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F05DD" w14:textId="34E4BC66" w:rsidR="00DA2341" w:rsidRPr="009D0CF0" w:rsidRDefault="000209EE" w:rsidP="001B73F9">
      <w:pPr>
        <w:autoSpaceDE w:val="0"/>
        <w:autoSpaceDN w:val="0"/>
        <w:adjustRightInd w:val="0"/>
        <w:spacing w:line="360" w:lineRule="auto"/>
        <w:rPr>
          <w:rFonts w:ascii="Segoe UI" w:hAnsi="Segoe UI" w:cs="Segoe UI"/>
          <w:b/>
          <w:sz w:val="20"/>
          <w:szCs w:val="20"/>
        </w:rPr>
      </w:pPr>
      <w:r w:rsidRPr="009D0CF0">
        <w:rPr>
          <w:rFonts w:ascii="Segoe UI" w:hAnsi="Segoe UI" w:cs="Segoe UI"/>
          <w:b/>
          <w:sz w:val="20"/>
          <w:szCs w:val="20"/>
        </w:rPr>
        <w:t>Pathways to Policy and Management: Knowledge, process and venue</w:t>
      </w:r>
    </w:p>
    <w:p w14:paraId="461C6634" w14:textId="146763DB" w:rsidR="000209EE" w:rsidRDefault="000209EE" w:rsidP="001B73F9">
      <w:pPr>
        <w:autoSpaceDE w:val="0"/>
        <w:autoSpaceDN w:val="0"/>
        <w:adjustRightInd w:val="0"/>
        <w:spacing w:line="360" w:lineRule="auto"/>
        <w:rPr>
          <w:rFonts w:ascii="Segoe UI" w:hAnsi="Segoe UI" w:cs="Segoe UI"/>
          <w:sz w:val="20"/>
          <w:szCs w:val="20"/>
        </w:rPr>
      </w:pPr>
    </w:p>
    <w:p w14:paraId="72B6E1C1" w14:textId="47E163C6" w:rsidR="000C3E78" w:rsidRPr="000763B6" w:rsidRDefault="000209EE" w:rsidP="001B73F9">
      <w:pPr>
        <w:autoSpaceDE w:val="0"/>
        <w:autoSpaceDN w:val="0"/>
        <w:adjustRightInd w:val="0"/>
        <w:spacing w:line="360" w:lineRule="auto"/>
        <w:rPr>
          <w:rFonts w:ascii="Segoe UI" w:hAnsi="Segoe UI" w:cs="Segoe UI"/>
          <w:sz w:val="20"/>
          <w:szCs w:val="20"/>
        </w:rPr>
      </w:pPr>
      <w:r>
        <w:rPr>
          <w:rFonts w:ascii="Segoe UI" w:hAnsi="Segoe UI" w:cs="Segoe UI"/>
          <w:sz w:val="20"/>
          <w:szCs w:val="20"/>
        </w:rPr>
        <w:t xml:space="preserve">Environmental knowledge and values permeate policy and management processes in numerous ways, with some forms often having a stronger impact than others. These processes can be relatively slow and long-term. Some, however, are more immediate and rapidly evolving. </w:t>
      </w:r>
      <w:r w:rsidR="000C3E78" w:rsidRPr="000763B6">
        <w:rPr>
          <w:rFonts w:ascii="Segoe UI" w:hAnsi="Segoe UI" w:cs="Segoe UI"/>
          <w:sz w:val="20"/>
          <w:szCs w:val="20"/>
        </w:rPr>
        <w:t xml:space="preserve">Many of us engaged in contemporary research on environmental matters in the UK are concerned with the potential shape of environmental management and governance following the UK’s ‘planned’ departure from the European Union (EU) next year (‘Brexit’). Conversations, calls for research, and workshops on the subject are happening everywhere – continually </w:t>
      </w:r>
      <w:r w:rsidR="00044B76">
        <w:rPr>
          <w:rFonts w:ascii="Segoe UI" w:hAnsi="Segoe UI" w:cs="Segoe UI"/>
          <w:sz w:val="20"/>
          <w:szCs w:val="20"/>
        </w:rPr>
        <w:t>announced</w:t>
      </w:r>
      <w:r w:rsidR="000C3E78" w:rsidRPr="000763B6">
        <w:rPr>
          <w:rFonts w:ascii="Segoe UI" w:hAnsi="Segoe UI" w:cs="Segoe UI"/>
          <w:sz w:val="20"/>
          <w:szCs w:val="20"/>
        </w:rPr>
        <w:t xml:space="preserve"> in email inboxes and on social media. The environment (protections, land use, resilience, change) is at the heart of the </w:t>
      </w:r>
      <w:r w:rsidR="00044B76">
        <w:rPr>
          <w:rFonts w:ascii="Segoe UI" w:hAnsi="Segoe UI" w:cs="Segoe UI"/>
          <w:sz w:val="20"/>
          <w:szCs w:val="20"/>
        </w:rPr>
        <w:t xml:space="preserve">‘Brexit’ </w:t>
      </w:r>
      <w:r w:rsidR="000C3E78" w:rsidRPr="000763B6">
        <w:rPr>
          <w:rFonts w:ascii="Segoe UI" w:hAnsi="Segoe UI" w:cs="Segoe UI"/>
          <w:sz w:val="20"/>
          <w:szCs w:val="20"/>
        </w:rPr>
        <w:t xml:space="preserve">debate as the UK’s ‘green’ policies, practices and economies have evolved in a deeply mutualistic fashion with the rest of the EU’s. </w:t>
      </w:r>
      <w:r w:rsidR="00C94910" w:rsidRPr="000763B6">
        <w:rPr>
          <w:rFonts w:ascii="Segoe UI" w:hAnsi="Segoe UI" w:cs="Segoe UI"/>
          <w:sz w:val="20"/>
          <w:szCs w:val="20"/>
        </w:rPr>
        <w:t xml:space="preserve">The Natura 2000 network and 2020 climate and energy targets </w:t>
      </w:r>
      <w:r>
        <w:rPr>
          <w:rFonts w:ascii="Segoe UI" w:hAnsi="Segoe UI" w:cs="Segoe UI"/>
          <w:sz w:val="20"/>
          <w:szCs w:val="20"/>
        </w:rPr>
        <w:t>can</w:t>
      </w:r>
      <w:r w:rsidR="00C94910" w:rsidRPr="000763B6">
        <w:rPr>
          <w:rFonts w:ascii="Segoe UI" w:hAnsi="Segoe UI" w:cs="Segoe UI"/>
          <w:sz w:val="20"/>
          <w:szCs w:val="20"/>
        </w:rPr>
        <w:t xml:space="preserve"> be cited as examples of such co-ordinated, mutually reinforcing approaches. </w:t>
      </w:r>
    </w:p>
    <w:p w14:paraId="6CFFAF75" w14:textId="77777777" w:rsidR="00AA4428" w:rsidRPr="000763B6" w:rsidRDefault="00AA4428" w:rsidP="001B73F9">
      <w:pPr>
        <w:autoSpaceDE w:val="0"/>
        <w:autoSpaceDN w:val="0"/>
        <w:adjustRightInd w:val="0"/>
        <w:spacing w:line="360" w:lineRule="auto"/>
        <w:rPr>
          <w:rFonts w:ascii="Segoe UI" w:hAnsi="Segoe UI" w:cs="Segoe UI"/>
          <w:sz w:val="20"/>
          <w:szCs w:val="20"/>
        </w:rPr>
      </w:pPr>
    </w:p>
    <w:p w14:paraId="27FB0F92" w14:textId="17DBE8D0" w:rsidR="00AA4428" w:rsidRPr="000763B6" w:rsidRDefault="000461C1" w:rsidP="001B73F9">
      <w:pPr>
        <w:autoSpaceDE w:val="0"/>
        <w:autoSpaceDN w:val="0"/>
        <w:adjustRightInd w:val="0"/>
        <w:spacing w:line="360" w:lineRule="auto"/>
        <w:rPr>
          <w:rFonts w:ascii="Segoe UI" w:hAnsi="Segoe UI" w:cs="Segoe UI"/>
          <w:sz w:val="20"/>
          <w:szCs w:val="20"/>
        </w:rPr>
      </w:pPr>
      <w:r w:rsidRPr="000763B6">
        <w:rPr>
          <w:rFonts w:ascii="Segoe UI" w:hAnsi="Segoe UI" w:cs="Segoe UI"/>
          <w:sz w:val="20"/>
          <w:szCs w:val="20"/>
        </w:rPr>
        <w:t xml:space="preserve">Many of the questions currently being posed are long-standing and have a broadly familiar tone – How can land-managers be supported to deliver public benefits? What shape should our energy sector be in order to deliver on climate change commitments? – but </w:t>
      </w:r>
      <w:r w:rsidR="00044B76">
        <w:rPr>
          <w:rFonts w:ascii="Segoe UI" w:hAnsi="Segoe UI" w:cs="Segoe UI"/>
          <w:sz w:val="20"/>
          <w:szCs w:val="20"/>
        </w:rPr>
        <w:t>have</w:t>
      </w:r>
      <w:r w:rsidRPr="000763B6">
        <w:rPr>
          <w:rFonts w:ascii="Segoe UI" w:hAnsi="Segoe UI" w:cs="Segoe UI"/>
          <w:sz w:val="20"/>
          <w:szCs w:val="20"/>
        </w:rPr>
        <w:t xml:space="preserve"> the new suffix ‘… following the departure of the UK from the </w:t>
      </w:r>
      <w:r w:rsidR="00044B76">
        <w:rPr>
          <w:rFonts w:ascii="Segoe UI" w:hAnsi="Segoe UI" w:cs="Segoe UI"/>
          <w:sz w:val="20"/>
          <w:szCs w:val="20"/>
        </w:rPr>
        <w:t>EU</w:t>
      </w:r>
      <w:r w:rsidRPr="000763B6">
        <w:rPr>
          <w:rFonts w:ascii="Segoe UI" w:hAnsi="Segoe UI" w:cs="Segoe UI"/>
          <w:sz w:val="20"/>
          <w:szCs w:val="20"/>
        </w:rPr>
        <w:t>?’</w:t>
      </w:r>
      <w:r w:rsidR="000209EE">
        <w:rPr>
          <w:rFonts w:ascii="Segoe UI" w:hAnsi="Segoe UI" w:cs="Segoe UI"/>
          <w:sz w:val="20"/>
          <w:szCs w:val="20"/>
        </w:rPr>
        <w:t xml:space="preserve"> </w:t>
      </w:r>
      <w:r w:rsidR="00044B76">
        <w:rPr>
          <w:rFonts w:ascii="Segoe UI" w:hAnsi="Segoe UI" w:cs="Segoe UI"/>
          <w:sz w:val="20"/>
          <w:szCs w:val="20"/>
        </w:rPr>
        <w:t>(</w:t>
      </w:r>
      <w:r w:rsidR="000209EE">
        <w:rPr>
          <w:rFonts w:ascii="Segoe UI" w:hAnsi="Segoe UI" w:cs="Segoe UI"/>
          <w:sz w:val="20"/>
          <w:szCs w:val="20"/>
        </w:rPr>
        <w:t>and with notably shorter timeframes in which to produce an answer</w:t>
      </w:r>
      <w:r w:rsidR="00044B76">
        <w:rPr>
          <w:rFonts w:ascii="Segoe UI" w:hAnsi="Segoe UI" w:cs="Segoe UI"/>
          <w:sz w:val="20"/>
          <w:szCs w:val="20"/>
        </w:rPr>
        <w:t>!)</w:t>
      </w:r>
      <w:r w:rsidRPr="000763B6">
        <w:rPr>
          <w:rFonts w:ascii="Segoe UI" w:hAnsi="Segoe UI" w:cs="Segoe UI"/>
          <w:sz w:val="20"/>
          <w:szCs w:val="20"/>
        </w:rPr>
        <w:t xml:space="preserve">. However, the current </w:t>
      </w:r>
      <w:r w:rsidR="00D00235" w:rsidRPr="000763B6">
        <w:rPr>
          <w:rFonts w:ascii="Segoe UI" w:hAnsi="Segoe UI" w:cs="Segoe UI"/>
          <w:sz w:val="20"/>
          <w:szCs w:val="20"/>
        </w:rPr>
        <w:t>deliberations</w:t>
      </w:r>
      <w:r w:rsidRPr="000763B6">
        <w:rPr>
          <w:rFonts w:ascii="Segoe UI" w:hAnsi="Segoe UI" w:cs="Segoe UI"/>
          <w:sz w:val="20"/>
          <w:szCs w:val="20"/>
        </w:rPr>
        <w:t xml:space="preserve"> </w:t>
      </w:r>
      <w:r w:rsidR="00C017FF" w:rsidRPr="000763B6">
        <w:rPr>
          <w:rFonts w:ascii="Segoe UI" w:hAnsi="Segoe UI" w:cs="Segoe UI"/>
          <w:sz w:val="20"/>
          <w:szCs w:val="20"/>
        </w:rPr>
        <w:t>do</w:t>
      </w:r>
      <w:r w:rsidRPr="000763B6">
        <w:rPr>
          <w:rFonts w:ascii="Segoe UI" w:hAnsi="Segoe UI" w:cs="Segoe UI"/>
          <w:sz w:val="20"/>
          <w:szCs w:val="20"/>
        </w:rPr>
        <w:t xml:space="preserve"> provide an opportunity to re-examine and challenge some of the core structures of EU schemes such as the </w:t>
      </w:r>
      <w:r w:rsidR="00D00235" w:rsidRPr="000763B6">
        <w:rPr>
          <w:rFonts w:ascii="Segoe UI" w:hAnsi="Segoe UI" w:cs="Segoe UI"/>
          <w:sz w:val="20"/>
          <w:szCs w:val="20"/>
        </w:rPr>
        <w:t xml:space="preserve">much-debated </w:t>
      </w:r>
      <w:r w:rsidRPr="000763B6">
        <w:rPr>
          <w:rFonts w:ascii="Segoe UI" w:hAnsi="Segoe UI" w:cs="Segoe UI"/>
          <w:sz w:val="20"/>
          <w:szCs w:val="20"/>
        </w:rPr>
        <w:t xml:space="preserve">Common Agricultural Policy (CAP). </w:t>
      </w:r>
      <w:r w:rsidR="00C017FF" w:rsidRPr="000763B6">
        <w:rPr>
          <w:rFonts w:ascii="Segoe UI" w:hAnsi="Segoe UI" w:cs="Segoe UI"/>
          <w:sz w:val="20"/>
          <w:szCs w:val="20"/>
        </w:rPr>
        <w:t>Certainly those in favour of leaving the EU wish to characterise it as such</w:t>
      </w:r>
      <w:r w:rsidR="000209EE">
        <w:rPr>
          <w:rFonts w:ascii="Segoe UI" w:hAnsi="Segoe UI" w:cs="Segoe UI"/>
          <w:sz w:val="20"/>
          <w:szCs w:val="20"/>
        </w:rPr>
        <w:t xml:space="preserve">. </w:t>
      </w:r>
      <w:r w:rsidR="004A22FF" w:rsidRPr="000763B6">
        <w:rPr>
          <w:rFonts w:ascii="Segoe UI" w:hAnsi="Segoe UI" w:cs="Segoe UI"/>
          <w:sz w:val="20"/>
          <w:szCs w:val="20"/>
        </w:rPr>
        <w:t>Recently the UK’s Prime Minister stated that leaving the CAP as a ‘real opportunity for the future’</w:t>
      </w:r>
      <w:r w:rsidR="004A22FF" w:rsidRPr="000763B6">
        <w:rPr>
          <w:rStyle w:val="FootnoteReference"/>
          <w:rFonts w:ascii="Segoe UI" w:hAnsi="Segoe UI" w:cs="Segoe UI"/>
          <w:sz w:val="20"/>
          <w:szCs w:val="20"/>
        </w:rPr>
        <w:footnoteReference w:id="1"/>
      </w:r>
      <w:r w:rsidR="004A22FF" w:rsidRPr="000763B6">
        <w:rPr>
          <w:rFonts w:ascii="Segoe UI" w:hAnsi="Segoe UI" w:cs="Segoe UI"/>
          <w:sz w:val="20"/>
          <w:szCs w:val="20"/>
        </w:rPr>
        <w:t xml:space="preserve"> and e</w:t>
      </w:r>
      <w:r w:rsidR="00997695" w:rsidRPr="000763B6">
        <w:rPr>
          <w:rFonts w:ascii="Segoe UI" w:hAnsi="Segoe UI" w:cs="Segoe UI"/>
          <w:sz w:val="20"/>
          <w:szCs w:val="20"/>
        </w:rPr>
        <w:t>arlier</w:t>
      </w:r>
      <w:r w:rsidR="000547A7" w:rsidRPr="000763B6">
        <w:rPr>
          <w:rFonts w:ascii="Segoe UI" w:hAnsi="Segoe UI" w:cs="Segoe UI"/>
          <w:sz w:val="20"/>
          <w:szCs w:val="20"/>
        </w:rPr>
        <w:t xml:space="preserve"> this year a</w:t>
      </w:r>
      <w:r w:rsidR="004A22FF" w:rsidRPr="000763B6">
        <w:rPr>
          <w:rFonts w:ascii="Segoe UI" w:hAnsi="Segoe UI" w:cs="Segoe UI"/>
          <w:sz w:val="20"/>
          <w:szCs w:val="20"/>
        </w:rPr>
        <w:t>nother</w:t>
      </w:r>
      <w:r w:rsidR="000547A7" w:rsidRPr="000763B6">
        <w:rPr>
          <w:rFonts w:ascii="Segoe UI" w:hAnsi="Segoe UI" w:cs="Segoe UI"/>
          <w:sz w:val="20"/>
          <w:szCs w:val="20"/>
        </w:rPr>
        <w:t xml:space="preserve"> senior UK politician described </w:t>
      </w:r>
      <w:r w:rsidR="004A22FF" w:rsidRPr="000763B6">
        <w:rPr>
          <w:rFonts w:ascii="Segoe UI" w:hAnsi="Segoe UI" w:cs="Segoe UI"/>
          <w:sz w:val="20"/>
          <w:szCs w:val="20"/>
        </w:rPr>
        <w:t xml:space="preserve">the </w:t>
      </w:r>
      <w:r w:rsidR="000547A7" w:rsidRPr="000763B6">
        <w:rPr>
          <w:rFonts w:ascii="Segoe UI" w:hAnsi="Segoe UI" w:cs="Segoe UI"/>
          <w:sz w:val="20"/>
          <w:szCs w:val="20"/>
        </w:rPr>
        <w:t xml:space="preserve">CAP as ‘fundamentally flawed’, ‘unjust’, and </w:t>
      </w:r>
      <w:r w:rsidR="00997695" w:rsidRPr="000763B6">
        <w:rPr>
          <w:rFonts w:ascii="Segoe UI" w:hAnsi="Segoe UI" w:cs="Segoe UI"/>
          <w:sz w:val="20"/>
          <w:szCs w:val="20"/>
        </w:rPr>
        <w:t>as producing ‘perverse outcomes’</w:t>
      </w:r>
      <w:r w:rsidR="00997695" w:rsidRPr="000763B6">
        <w:rPr>
          <w:rStyle w:val="FootnoteReference"/>
          <w:rFonts w:ascii="Segoe UI" w:hAnsi="Segoe UI" w:cs="Segoe UI"/>
          <w:sz w:val="20"/>
          <w:szCs w:val="20"/>
        </w:rPr>
        <w:footnoteReference w:id="2"/>
      </w:r>
      <w:r w:rsidR="00997695" w:rsidRPr="000763B6">
        <w:rPr>
          <w:rFonts w:ascii="Segoe UI" w:hAnsi="Segoe UI" w:cs="Segoe UI"/>
          <w:sz w:val="20"/>
          <w:szCs w:val="20"/>
        </w:rPr>
        <w:t xml:space="preserve">. </w:t>
      </w:r>
      <w:r w:rsidR="00D00235" w:rsidRPr="000763B6">
        <w:rPr>
          <w:rFonts w:ascii="Segoe UI" w:hAnsi="Segoe UI" w:cs="Segoe UI"/>
          <w:sz w:val="20"/>
          <w:szCs w:val="20"/>
        </w:rPr>
        <w:t xml:space="preserve">Claims such as these deserve attention – whatever one’s thoughts about those who make them. </w:t>
      </w:r>
      <w:r w:rsidR="00997695" w:rsidRPr="000763B6">
        <w:rPr>
          <w:rFonts w:ascii="Segoe UI" w:hAnsi="Segoe UI" w:cs="Segoe UI"/>
          <w:sz w:val="20"/>
          <w:szCs w:val="20"/>
        </w:rPr>
        <w:t xml:space="preserve">Some see </w:t>
      </w:r>
      <w:r w:rsidR="00044B76">
        <w:rPr>
          <w:rFonts w:ascii="Segoe UI" w:hAnsi="Segoe UI" w:cs="Segoe UI"/>
          <w:sz w:val="20"/>
          <w:szCs w:val="20"/>
        </w:rPr>
        <w:t>an</w:t>
      </w:r>
      <w:r w:rsidR="00997695" w:rsidRPr="000763B6">
        <w:rPr>
          <w:rFonts w:ascii="Segoe UI" w:hAnsi="Segoe UI" w:cs="Segoe UI"/>
          <w:sz w:val="20"/>
          <w:szCs w:val="20"/>
        </w:rPr>
        <w:t xml:space="preserve"> opportunity for the UK to escape the perceived </w:t>
      </w:r>
      <w:r w:rsidR="00044B76">
        <w:rPr>
          <w:rFonts w:ascii="Segoe UI" w:hAnsi="Segoe UI" w:cs="Segoe UI"/>
          <w:sz w:val="20"/>
          <w:szCs w:val="20"/>
        </w:rPr>
        <w:t>EU ‘</w:t>
      </w:r>
      <w:r w:rsidR="00997695" w:rsidRPr="000763B6">
        <w:rPr>
          <w:rFonts w:ascii="Segoe UI" w:hAnsi="Segoe UI" w:cs="Segoe UI"/>
          <w:sz w:val="20"/>
          <w:szCs w:val="20"/>
        </w:rPr>
        <w:t>straightjacket</w:t>
      </w:r>
      <w:r w:rsidR="00044B76">
        <w:rPr>
          <w:rFonts w:ascii="Segoe UI" w:hAnsi="Segoe UI" w:cs="Segoe UI"/>
          <w:sz w:val="20"/>
          <w:szCs w:val="20"/>
        </w:rPr>
        <w:t>’</w:t>
      </w:r>
      <w:r w:rsidR="00997695" w:rsidRPr="000763B6">
        <w:rPr>
          <w:rFonts w:ascii="Segoe UI" w:hAnsi="Segoe UI" w:cs="Segoe UI"/>
          <w:sz w:val="20"/>
          <w:szCs w:val="20"/>
        </w:rPr>
        <w:t xml:space="preserve"> </w:t>
      </w:r>
      <w:r w:rsidR="00044B76">
        <w:rPr>
          <w:rFonts w:ascii="Segoe UI" w:hAnsi="Segoe UI" w:cs="Segoe UI"/>
          <w:sz w:val="20"/>
          <w:szCs w:val="20"/>
        </w:rPr>
        <w:t>and create</w:t>
      </w:r>
      <w:r w:rsidR="00997695" w:rsidRPr="000763B6">
        <w:rPr>
          <w:rFonts w:ascii="Segoe UI" w:hAnsi="Segoe UI" w:cs="Segoe UI"/>
          <w:sz w:val="20"/>
          <w:szCs w:val="20"/>
        </w:rPr>
        <w:t xml:space="preserve"> stronger</w:t>
      </w:r>
      <w:r w:rsidR="00044B76">
        <w:rPr>
          <w:rFonts w:ascii="Segoe UI" w:hAnsi="Segoe UI" w:cs="Segoe UI"/>
          <w:sz w:val="20"/>
          <w:szCs w:val="20"/>
        </w:rPr>
        <w:t>,</w:t>
      </w:r>
      <w:r w:rsidR="00997695" w:rsidRPr="000763B6">
        <w:rPr>
          <w:rFonts w:ascii="Segoe UI" w:hAnsi="Segoe UI" w:cs="Segoe UI"/>
          <w:sz w:val="20"/>
          <w:szCs w:val="20"/>
        </w:rPr>
        <w:t xml:space="preserve"> more effective environmental protections. </w:t>
      </w:r>
      <w:r w:rsidR="00044B76">
        <w:rPr>
          <w:rFonts w:ascii="Segoe UI" w:hAnsi="Segoe UI" w:cs="Segoe UI"/>
          <w:sz w:val="20"/>
          <w:szCs w:val="20"/>
        </w:rPr>
        <w:t>Rigorous</w:t>
      </w:r>
      <w:r w:rsidR="000209EE">
        <w:rPr>
          <w:rFonts w:ascii="Segoe UI" w:hAnsi="Segoe UI" w:cs="Segoe UI"/>
          <w:sz w:val="20"/>
          <w:szCs w:val="20"/>
        </w:rPr>
        <w:t xml:space="preserve"> border controls</w:t>
      </w:r>
      <w:r w:rsidR="00044B76">
        <w:rPr>
          <w:rFonts w:ascii="Segoe UI" w:hAnsi="Segoe UI" w:cs="Segoe UI"/>
          <w:sz w:val="20"/>
          <w:szCs w:val="20"/>
        </w:rPr>
        <w:t>, for example,</w:t>
      </w:r>
      <w:r w:rsidR="000209EE">
        <w:rPr>
          <w:rFonts w:ascii="Segoe UI" w:hAnsi="Segoe UI" w:cs="Segoe UI"/>
          <w:sz w:val="20"/>
          <w:szCs w:val="20"/>
        </w:rPr>
        <w:t xml:space="preserve"> have </w:t>
      </w:r>
      <w:r w:rsidR="000209EE" w:rsidRPr="000763B6">
        <w:rPr>
          <w:rFonts w:ascii="Segoe UI" w:hAnsi="Segoe UI" w:cs="Segoe UI"/>
          <w:sz w:val="20"/>
          <w:szCs w:val="20"/>
        </w:rPr>
        <w:t xml:space="preserve">commonly been called for by those </w:t>
      </w:r>
      <w:r w:rsidR="00044B76">
        <w:rPr>
          <w:rFonts w:ascii="Segoe UI" w:hAnsi="Segoe UI" w:cs="Segoe UI"/>
          <w:sz w:val="20"/>
          <w:szCs w:val="20"/>
        </w:rPr>
        <w:t>concerned with biosecurity</w:t>
      </w:r>
      <w:r w:rsidR="000209EE" w:rsidRPr="000763B6">
        <w:rPr>
          <w:rFonts w:ascii="Segoe UI" w:hAnsi="Segoe UI" w:cs="Segoe UI"/>
          <w:sz w:val="20"/>
          <w:szCs w:val="20"/>
        </w:rPr>
        <w:t xml:space="preserve">. </w:t>
      </w:r>
      <w:r w:rsidR="000209EE">
        <w:rPr>
          <w:rFonts w:ascii="Segoe UI" w:hAnsi="Segoe UI" w:cs="Segoe UI"/>
          <w:sz w:val="20"/>
          <w:szCs w:val="20"/>
        </w:rPr>
        <w:t xml:space="preserve"> R</w:t>
      </w:r>
      <w:r w:rsidR="000209EE" w:rsidRPr="000763B6">
        <w:rPr>
          <w:rFonts w:ascii="Segoe UI" w:hAnsi="Segoe UI" w:cs="Segoe UI"/>
          <w:sz w:val="20"/>
          <w:szCs w:val="20"/>
        </w:rPr>
        <w:t xml:space="preserve">eference </w:t>
      </w:r>
      <w:r w:rsidR="000209EE">
        <w:rPr>
          <w:rFonts w:ascii="Segoe UI" w:hAnsi="Segoe UI" w:cs="Segoe UI"/>
          <w:sz w:val="20"/>
          <w:szCs w:val="20"/>
        </w:rPr>
        <w:t xml:space="preserve">has also been </w:t>
      </w:r>
      <w:r w:rsidR="000209EE" w:rsidRPr="000763B6">
        <w:rPr>
          <w:rFonts w:ascii="Segoe UI" w:hAnsi="Segoe UI" w:cs="Segoe UI"/>
          <w:sz w:val="20"/>
          <w:szCs w:val="20"/>
        </w:rPr>
        <w:t>made to strengthening animal welfare standards in farming</w:t>
      </w:r>
      <w:r w:rsidR="00044B76">
        <w:rPr>
          <w:rFonts w:ascii="Segoe UI" w:hAnsi="Segoe UI" w:cs="Segoe UI"/>
          <w:sz w:val="20"/>
          <w:szCs w:val="20"/>
        </w:rPr>
        <w:t>,</w:t>
      </w:r>
      <w:r w:rsidR="000209EE" w:rsidRPr="000763B6">
        <w:rPr>
          <w:rFonts w:ascii="Segoe UI" w:hAnsi="Segoe UI" w:cs="Segoe UI"/>
          <w:sz w:val="20"/>
          <w:szCs w:val="20"/>
        </w:rPr>
        <w:t xml:space="preserve"> and the potential for a more open approach to plant science’s use of genomics. </w:t>
      </w:r>
    </w:p>
    <w:p w14:paraId="65911573" w14:textId="77777777" w:rsidR="00997695" w:rsidRPr="000763B6" w:rsidRDefault="00997695" w:rsidP="001B73F9">
      <w:pPr>
        <w:autoSpaceDE w:val="0"/>
        <w:autoSpaceDN w:val="0"/>
        <w:adjustRightInd w:val="0"/>
        <w:spacing w:line="360" w:lineRule="auto"/>
        <w:rPr>
          <w:rFonts w:ascii="Segoe UI" w:hAnsi="Segoe UI" w:cs="Segoe UI"/>
          <w:sz w:val="20"/>
          <w:szCs w:val="20"/>
        </w:rPr>
      </w:pPr>
    </w:p>
    <w:p w14:paraId="671FC6E4" w14:textId="43FACC9E" w:rsidR="009B7A4B" w:rsidRPr="009D0CF0" w:rsidRDefault="005A19E5" w:rsidP="001B73F9">
      <w:pPr>
        <w:autoSpaceDE w:val="0"/>
        <w:autoSpaceDN w:val="0"/>
        <w:adjustRightInd w:val="0"/>
        <w:spacing w:line="360" w:lineRule="auto"/>
        <w:rPr>
          <w:rFonts w:ascii="Segoe UI" w:hAnsi="Segoe UI" w:cs="Segoe UI"/>
          <w:sz w:val="20"/>
          <w:szCs w:val="20"/>
        </w:rPr>
      </w:pPr>
      <w:r w:rsidRPr="000763B6">
        <w:rPr>
          <w:rFonts w:ascii="Segoe UI" w:hAnsi="Segoe UI" w:cs="Segoe UI"/>
          <w:sz w:val="20"/>
          <w:szCs w:val="20"/>
        </w:rPr>
        <w:t xml:space="preserve">The UK’s exit from the EU presents a typical challenge for science </w:t>
      </w:r>
      <w:r w:rsidR="00044B76">
        <w:rPr>
          <w:rFonts w:ascii="Segoe UI" w:hAnsi="Segoe UI" w:cs="Segoe UI"/>
          <w:sz w:val="20"/>
          <w:szCs w:val="20"/>
        </w:rPr>
        <w:t>where it</w:t>
      </w:r>
      <w:r w:rsidRPr="000763B6">
        <w:rPr>
          <w:rFonts w:ascii="Segoe UI" w:hAnsi="Segoe UI" w:cs="Segoe UI"/>
          <w:sz w:val="20"/>
          <w:szCs w:val="20"/>
        </w:rPr>
        <w:t xml:space="preserve"> engages with </w:t>
      </w:r>
      <w:r w:rsidR="000209EE">
        <w:rPr>
          <w:rFonts w:ascii="Segoe UI" w:hAnsi="Segoe UI" w:cs="Segoe UI"/>
          <w:sz w:val="20"/>
          <w:szCs w:val="20"/>
        </w:rPr>
        <w:t>policy</w:t>
      </w:r>
      <w:r w:rsidRPr="000763B6">
        <w:rPr>
          <w:rFonts w:ascii="Segoe UI" w:hAnsi="Segoe UI" w:cs="Segoe UI"/>
          <w:sz w:val="20"/>
          <w:szCs w:val="20"/>
        </w:rPr>
        <w:t>: the effective gathering and integrat</w:t>
      </w:r>
      <w:r w:rsidR="00BE0B05" w:rsidRPr="000763B6">
        <w:rPr>
          <w:rFonts w:ascii="Segoe UI" w:hAnsi="Segoe UI" w:cs="Segoe UI"/>
          <w:sz w:val="20"/>
          <w:szCs w:val="20"/>
        </w:rPr>
        <w:t>ion of knowledge into</w:t>
      </w:r>
      <w:r w:rsidRPr="000763B6">
        <w:rPr>
          <w:rFonts w:ascii="Segoe UI" w:hAnsi="Segoe UI" w:cs="Segoe UI"/>
          <w:sz w:val="20"/>
          <w:szCs w:val="20"/>
        </w:rPr>
        <w:t xml:space="preserve"> fraught process</w:t>
      </w:r>
      <w:r w:rsidR="00BE0B05" w:rsidRPr="000763B6">
        <w:rPr>
          <w:rFonts w:ascii="Segoe UI" w:hAnsi="Segoe UI" w:cs="Segoe UI"/>
          <w:sz w:val="20"/>
          <w:szCs w:val="20"/>
        </w:rPr>
        <w:t>es within a defined and imminant timescale. It involves rapid identification of information and decisions about what knowledge is ‘in’, its mobilisation on to the right pathways, in the right format, and its effective absorption in such a way as to impact meaningfully on policy outcomes. Some universities and research institutes have been swift to adapt, seeking to organise their existing expertise</w:t>
      </w:r>
      <w:r w:rsidR="004C0742" w:rsidRPr="000763B6">
        <w:rPr>
          <w:rFonts w:ascii="Segoe UI" w:hAnsi="Segoe UI" w:cs="Segoe UI"/>
          <w:sz w:val="20"/>
          <w:szCs w:val="20"/>
        </w:rPr>
        <w:t xml:space="preserve"> to respond</w:t>
      </w:r>
      <w:r w:rsidR="00BE0B05" w:rsidRPr="000763B6">
        <w:rPr>
          <w:rFonts w:ascii="Segoe UI" w:hAnsi="Segoe UI" w:cs="Segoe UI"/>
          <w:sz w:val="20"/>
          <w:szCs w:val="20"/>
        </w:rPr>
        <w:t xml:space="preserve"> in appropriate ways. However, the timescales intrinsic to scenarios such as ‘Brexit’ present a significant challenge to some well-established academic </w:t>
      </w:r>
      <w:r w:rsidR="009B7A4B" w:rsidRPr="000763B6">
        <w:rPr>
          <w:rFonts w:ascii="Segoe UI" w:hAnsi="Segoe UI" w:cs="Segoe UI"/>
          <w:sz w:val="20"/>
          <w:szCs w:val="20"/>
        </w:rPr>
        <w:t xml:space="preserve">practices. Peer-review, </w:t>
      </w:r>
      <w:r w:rsidR="00BE0B05" w:rsidRPr="000763B6">
        <w:rPr>
          <w:rFonts w:ascii="Segoe UI" w:hAnsi="Segoe UI" w:cs="Segoe UI"/>
          <w:sz w:val="20"/>
          <w:szCs w:val="20"/>
        </w:rPr>
        <w:t xml:space="preserve">publication and research procurement, for example, </w:t>
      </w:r>
      <w:r w:rsidR="009B7A4B" w:rsidRPr="000763B6">
        <w:rPr>
          <w:rFonts w:ascii="Segoe UI" w:hAnsi="Segoe UI" w:cs="Segoe UI"/>
          <w:sz w:val="20"/>
          <w:szCs w:val="20"/>
        </w:rPr>
        <w:t xml:space="preserve">generally operate within longer timeframes. Consequently, we are seeing some of these processes short-cut, albeit in relatively commonly experienced ways. At the receiving </w:t>
      </w:r>
      <w:r w:rsidR="000209EE">
        <w:rPr>
          <w:rFonts w:ascii="Segoe UI" w:hAnsi="Segoe UI" w:cs="Segoe UI"/>
          <w:sz w:val="20"/>
          <w:szCs w:val="20"/>
        </w:rPr>
        <w:t xml:space="preserve">(policy-making) </w:t>
      </w:r>
      <w:r w:rsidR="009B7A4B" w:rsidRPr="000763B6">
        <w:rPr>
          <w:rFonts w:ascii="Segoe UI" w:hAnsi="Segoe UI" w:cs="Segoe UI"/>
          <w:sz w:val="20"/>
          <w:szCs w:val="20"/>
        </w:rPr>
        <w:t xml:space="preserve">end, the Institute for Government </w:t>
      </w:r>
      <w:r w:rsidR="00607F20" w:rsidRPr="000763B6">
        <w:rPr>
          <w:rFonts w:ascii="Segoe UI" w:hAnsi="Segoe UI" w:cs="Segoe UI"/>
          <w:sz w:val="20"/>
          <w:szCs w:val="20"/>
        </w:rPr>
        <w:t>(IoG)</w:t>
      </w:r>
      <w:r w:rsidR="00607F20" w:rsidRPr="000763B6">
        <w:rPr>
          <w:rStyle w:val="FootnoteReference"/>
          <w:rFonts w:ascii="Segoe UI" w:hAnsi="Segoe UI" w:cs="Segoe UI"/>
          <w:sz w:val="20"/>
          <w:szCs w:val="20"/>
        </w:rPr>
        <w:footnoteReference w:id="3"/>
      </w:r>
      <w:r w:rsidR="00607F20" w:rsidRPr="000763B6">
        <w:rPr>
          <w:rFonts w:ascii="Segoe UI" w:hAnsi="Segoe UI" w:cs="Segoe UI"/>
          <w:sz w:val="20"/>
          <w:szCs w:val="20"/>
        </w:rPr>
        <w:t xml:space="preserve"> </w:t>
      </w:r>
      <w:r w:rsidR="009B7A4B" w:rsidRPr="000763B6">
        <w:rPr>
          <w:rFonts w:ascii="Segoe UI" w:hAnsi="Segoe UI" w:cs="Segoe UI"/>
          <w:sz w:val="20"/>
          <w:szCs w:val="20"/>
        </w:rPr>
        <w:t>noted this year that 11,500 jobs had been created in the civil service</w:t>
      </w:r>
      <w:r w:rsidR="000209EE">
        <w:rPr>
          <w:rFonts w:ascii="Segoe UI" w:hAnsi="Segoe UI" w:cs="Segoe UI"/>
          <w:sz w:val="20"/>
          <w:szCs w:val="20"/>
        </w:rPr>
        <w:t xml:space="preserve"> in an effort to increase capacity</w:t>
      </w:r>
      <w:r w:rsidR="009B7A4B" w:rsidRPr="000763B6">
        <w:rPr>
          <w:rFonts w:ascii="Segoe UI" w:hAnsi="Segoe UI" w:cs="Segoe UI"/>
          <w:sz w:val="20"/>
          <w:szCs w:val="20"/>
        </w:rPr>
        <w:t xml:space="preserve">. </w:t>
      </w:r>
      <w:r w:rsidR="00607F20" w:rsidRPr="000763B6">
        <w:rPr>
          <w:rFonts w:ascii="Segoe UI" w:hAnsi="Segoe UI" w:cs="Segoe UI"/>
          <w:sz w:val="20"/>
          <w:szCs w:val="20"/>
        </w:rPr>
        <w:t>For the Department for Envir</w:t>
      </w:r>
      <w:r w:rsidR="000209EE">
        <w:rPr>
          <w:rFonts w:ascii="Segoe UI" w:hAnsi="Segoe UI" w:cs="Segoe UI"/>
          <w:sz w:val="20"/>
          <w:szCs w:val="20"/>
        </w:rPr>
        <w:t>onment, Food and Rural Affairs</w:t>
      </w:r>
      <w:r w:rsidR="00607F20" w:rsidRPr="000763B6">
        <w:rPr>
          <w:rFonts w:ascii="Segoe UI" w:hAnsi="Segoe UI" w:cs="Segoe UI"/>
          <w:sz w:val="20"/>
          <w:szCs w:val="20"/>
        </w:rPr>
        <w:t xml:space="preserve"> the IoG noted that recruitment is likely to ‘fully reverse’ the job </w:t>
      </w:r>
      <w:r w:rsidR="00607F20" w:rsidRPr="009D0CF0">
        <w:rPr>
          <w:rFonts w:ascii="Segoe UI" w:hAnsi="Segoe UI" w:cs="Segoe UI"/>
          <w:sz w:val="20"/>
          <w:szCs w:val="20"/>
        </w:rPr>
        <w:t>cuts made subsequent to ‘austerity’ focused spending reviews</w:t>
      </w:r>
      <w:r w:rsidR="000209EE" w:rsidRPr="009D0CF0">
        <w:rPr>
          <w:rFonts w:ascii="Segoe UI" w:hAnsi="Segoe UI" w:cs="Segoe UI"/>
          <w:sz w:val="20"/>
          <w:szCs w:val="20"/>
        </w:rPr>
        <w:t xml:space="preserve">. These </w:t>
      </w:r>
      <w:r w:rsidR="00607F20" w:rsidRPr="009D0CF0">
        <w:rPr>
          <w:rFonts w:ascii="Segoe UI" w:hAnsi="Segoe UI" w:cs="Segoe UI"/>
          <w:sz w:val="20"/>
          <w:szCs w:val="20"/>
        </w:rPr>
        <w:t xml:space="preserve">saw the departure of many experienced </w:t>
      </w:r>
      <w:r w:rsidR="00607F20" w:rsidRPr="009D0CF0">
        <w:rPr>
          <w:rFonts w:ascii="Segoe UI" w:hAnsi="Segoe UI" w:cs="Segoe UI"/>
          <w:sz w:val="20"/>
          <w:szCs w:val="20"/>
        </w:rPr>
        <w:lastRenderedPageBreak/>
        <w:t>government scientists whose knowledge is now absent from the</w:t>
      </w:r>
      <w:r w:rsidR="000209EE" w:rsidRPr="009D0CF0">
        <w:rPr>
          <w:rFonts w:ascii="Segoe UI" w:hAnsi="Segoe UI" w:cs="Segoe UI"/>
          <w:sz w:val="20"/>
          <w:szCs w:val="20"/>
        </w:rPr>
        <w:t xml:space="preserve"> ‘Brexit’</w:t>
      </w:r>
      <w:r w:rsidR="00607F20" w:rsidRPr="009D0CF0">
        <w:rPr>
          <w:rFonts w:ascii="Segoe UI" w:hAnsi="Segoe UI" w:cs="Segoe UI"/>
          <w:sz w:val="20"/>
          <w:szCs w:val="20"/>
        </w:rPr>
        <w:t xml:space="preserve"> process.</w:t>
      </w:r>
      <w:r w:rsidR="000209EE" w:rsidRPr="009D0CF0">
        <w:rPr>
          <w:rFonts w:ascii="Segoe UI" w:hAnsi="Segoe UI" w:cs="Segoe UI"/>
          <w:sz w:val="20"/>
          <w:szCs w:val="20"/>
        </w:rPr>
        <w:t xml:space="preserve"> </w:t>
      </w:r>
    </w:p>
    <w:p w14:paraId="491E083F" w14:textId="77777777" w:rsidR="00F86272" w:rsidRPr="009D0CF0" w:rsidRDefault="00F86272" w:rsidP="001B73F9">
      <w:pPr>
        <w:autoSpaceDE w:val="0"/>
        <w:autoSpaceDN w:val="0"/>
        <w:adjustRightInd w:val="0"/>
        <w:spacing w:line="360" w:lineRule="auto"/>
        <w:rPr>
          <w:rFonts w:ascii="Segoe UI" w:hAnsi="Segoe UI" w:cs="Segoe UI"/>
          <w:sz w:val="20"/>
          <w:szCs w:val="20"/>
        </w:rPr>
      </w:pPr>
    </w:p>
    <w:p w14:paraId="202F368D" w14:textId="4AA5E145" w:rsidR="00F86272" w:rsidRPr="009D0CF0" w:rsidRDefault="00F86272" w:rsidP="001B73F9">
      <w:pPr>
        <w:autoSpaceDE w:val="0"/>
        <w:autoSpaceDN w:val="0"/>
        <w:adjustRightInd w:val="0"/>
        <w:spacing w:line="360" w:lineRule="auto"/>
        <w:rPr>
          <w:rFonts w:ascii="Segoe UI" w:hAnsi="Segoe UI" w:cs="Segoe UI"/>
          <w:sz w:val="20"/>
          <w:szCs w:val="20"/>
        </w:rPr>
      </w:pPr>
      <w:r w:rsidRPr="009D0CF0">
        <w:rPr>
          <w:rFonts w:ascii="Segoe UI" w:hAnsi="Segoe UI" w:cs="Segoe UI"/>
          <w:sz w:val="20"/>
          <w:szCs w:val="20"/>
        </w:rPr>
        <w:t xml:space="preserve">How knowledge, values and expertise enter policy and management processes </w:t>
      </w:r>
      <w:r w:rsidR="00844359" w:rsidRPr="009D0CF0">
        <w:rPr>
          <w:rFonts w:ascii="Segoe UI" w:hAnsi="Segoe UI" w:cs="Segoe UI"/>
          <w:sz w:val="20"/>
          <w:szCs w:val="20"/>
        </w:rPr>
        <w:t xml:space="preserve">has been a consistent concern within the pages of </w:t>
      </w:r>
      <w:r w:rsidR="00844359" w:rsidRPr="009D0CF0">
        <w:rPr>
          <w:rFonts w:ascii="Segoe UI" w:hAnsi="Segoe UI" w:cs="Segoe UI"/>
          <w:i/>
          <w:sz w:val="20"/>
          <w:szCs w:val="20"/>
        </w:rPr>
        <w:t>Environmental Values</w:t>
      </w:r>
      <w:r w:rsidR="00844359" w:rsidRPr="009D0CF0">
        <w:rPr>
          <w:rFonts w:ascii="Segoe UI" w:hAnsi="Segoe UI" w:cs="Segoe UI"/>
          <w:sz w:val="20"/>
          <w:szCs w:val="20"/>
        </w:rPr>
        <w:t xml:space="preserve"> (see Barr 2017)</w:t>
      </w:r>
      <w:r w:rsidR="008C34C2" w:rsidRPr="009D0CF0">
        <w:rPr>
          <w:rFonts w:ascii="Segoe UI" w:hAnsi="Segoe UI" w:cs="Segoe UI"/>
          <w:sz w:val="20"/>
          <w:szCs w:val="20"/>
        </w:rPr>
        <w:t xml:space="preserve"> and the varied contributions to this issue continue this. Between them they illustrate not only the </w:t>
      </w:r>
      <w:r w:rsidR="008C34C2" w:rsidRPr="009D0CF0">
        <w:rPr>
          <w:rFonts w:ascii="Segoe UI" w:hAnsi="Segoe UI" w:cs="Segoe UI"/>
          <w:i/>
          <w:sz w:val="20"/>
          <w:szCs w:val="20"/>
        </w:rPr>
        <w:t>forms</w:t>
      </w:r>
      <w:r w:rsidR="008C34C2" w:rsidRPr="009D0CF0">
        <w:rPr>
          <w:rFonts w:ascii="Segoe UI" w:hAnsi="Segoe UI" w:cs="Segoe UI"/>
          <w:sz w:val="20"/>
          <w:szCs w:val="20"/>
        </w:rPr>
        <w:t xml:space="preserve"> in which knowledge a</w:t>
      </w:r>
      <w:r w:rsidR="00830A3B" w:rsidRPr="009D0CF0">
        <w:rPr>
          <w:rFonts w:ascii="Segoe UI" w:hAnsi="Segoe UI" w:cs="Segoe UI"/>
          <w:sz w:val="20"/>
          <w:szCs w:val="20"/>
        </w:rPr>
        <w:t>nd values can be input to these</w:t>
      </w:r>
      <w:r w:rsidR="008C34C2" w:rsidRPr="009D0CF0">
        <w:rPr>
          <w:rFonts w:ascii="Segoe UI" w:hAnsi="Segoe UI" w:cs="Segoe UI"/>
          <w:sz w:val="20"/>
          <w:szCs w:val="20"/>
        </w:rPr>
        <w:t xml:space="preserve"> processes (indigenous, experimental </w:t>
      </w:r>
      <w:r w:rsidR="00155DAB" w:rsidRPr="009D0CF0">
        <w:rPr>
          <w:rFonts w:ascii="Segoe UI" w:hAnsi="Segoe UI" w:cs="Segoe UI"/>
          <w:sz w:val="20"/>
          <w:szCs w:val="20"/>
        </w:rPr>
        <w:t xml:space="preserve">social survey, </w:t>
      </w:r>
      <w:r w:rsidR="00E148EC" w:rsidRPr="009D0CF0">
        <w:rPr>
          <w:rFonts w:ascii="Segoe UI" w:hAnsi="Segoe UI" w:cs="Segoe UI"/>
          <w:sz w:val="20"/>
          <w:szCs w:val="20"/>
        </w:rPr>
        <w:t xml:space="preserve">visualisations, </w:t>
      </w:r>
      <w:r w:rsidR="00155DAB" w:rsidRPr="009D0CF0">
        <w:rPr>
          <w:rFonts w:ascii="Segoe UI" w:hAnsi="Segoe UI" w:cs="Segoe UI"/>
          <w:sz w:val="20"/>
          <w:szCs w:val="20"/>
        </w:rPr>
        <w:t>ecological science</w:t>
      </w:r>
      <w:r w:rsidR="008C34C2" w:rsidRPr="009D0CF0">
        <w:rPr>
          <w:rFonts w:ascii="Segoe UI" w:hAnsi="Segoe UI" w:cs="Segoe UI"/>
          <w:sz w:val="20"/>
          <w:szCs w:val="20"/>
        </w:rPr>
        <w:t xml:space="preserve">), but also the diverse array of </w:t>
      </w:r>
      <w:r w:rsidR="008C34C2" w:rsidRPr="009D0CF0">
        <w:rPr>
          <w:rFonts w:ascii="Segoe UI" w:hAnsi="Segoe UI" w:cs="Segoe UI"/>
          <w:i/>
          <w:sz w:val="20"/>
          <w:szCs w:val="20"/>
        </w:rPr>
        <w:t>venues</w:t>
      </w:r>
      <w:r w:rsidR="008C34C2" w:rsidRPr="009D0CF0">
        <w:rPr>
          <w:rFonts w:ascii="Segoe UI" w:hAnsi="Segoe UI" w:cs="Segoe UI"/>
          <w:sz w:val="20"/>
          <w:szCs w:val="20"/>
        </w:rPr>
        <w:t xml:space="preserve"> in which this </w:t>
      </w:r>
      <w:r w:rsidR="00155DAB" w:rsidRPr="009D0CF0">
        <w:rPr>
          <w:rFonts w:ascii="Segoe UI" w:hAnsi="Segoe UI" w:cs="Segoe UI"/>
          <w:sz w:val="20"/>
          <w:szCs w:val="20"/>
        </w:rPr>
        <w:t>information</w:t>
      </w:r>
      <w:r w:rsidR="008C34C2" w:rsidRPr="009D0CF0">
        <w:rPr>
          <w:rFonts w:ascii="Segoe UI" w:hAnsi="Segoe UI" w:cs="Segoe UI"/>
          <w:sz w:val="20"/>
          <w:szCs w:val="20"/>
        </w:rPr>
        <w:t xml:space="preserve"> </w:t>
      </w:r>
      <w:r w:rsidR="00044B76">
        <w:rPr>
          <w:rFonts w:ascii="Segoe UI" w:hAnsi="Segoe UI" w:cs="Segoe UI"/>
          <w:sz w:val="20"/>
          <w:szCs w:val="20"/>
        </w:rPr>
        <w:t>is used</w:t>
      </w:r>
      <w:r w:rsidR="00E148EC" w:rsidRPr="009D0CF0">
        <w:rPr>
          <w:rFonts w:ascii="Segoe UI" w:hAnsi="Segoe UI" w:cs="Segoe UI"/>
          <w:sz w:val="20"/>
          <w:szCs w:val="20"/>
        </w:rPr>
        <w:t xml:space="preserve"> (courts, media, planning</w:t>
      </w:r>
      <w:r w:rsidR="00044B76">
        <w:rPr>
          <w:rFonts w:ascii="Segoe UI" w:hAnsi="Segoe UI" w:cs="Segoe UI"/>
          <w:sz w:val="20"/>
          <w:szCs w:val="20"/>
        </w:rPr>
        <w:t>,</w:t>
      </w:r>
      <w:r w:rsidR="00E148EC" w:rsidRPr="009D0CF0">
        <w:rPr>
          <w:rFonts w:ascii="Segoe UI" w:hAnsi="Segoe UI" w:cs="Segoe UI"/>
          <w:sz w:val="20"/>
          <w:szCs w:val="20"/>
        </w:rPr>
        <w:t xml:space="preserve"> </w:t>
      </w:r>
      <w:r w:rsidR="000209EE" w:rsidRPr="009D0CF0">
        <w:rPr>
          <w:rFonts w:ascii="Segoe UI" w:hAnsi="Segoe UI" w:cs="Segoe UI"/>
          <w:sz w:val="20"/>
          <w:szCs w:val="20"/>
        </w:rPr>
        <w:t xml:space="preserve">reconciliation </w:t>
      </w:r>
      <w:r w:rsidR="00E148EC" w:rsidRPr="009D0CF0">
        <w:rPr>
          <w:rFonts w:ascii="Segoe UI" w:hAnsi="Segoe UI" w:cs="Segoe UI"/>
          <w:sz w:val="20"/>
          <w:szCs w:val="20"/>
        </w:rPr>
        <w:t>processes</w:t>
      </w:r>
      <w:r w:rsidR="008C34C2" w:rsidRPr="009D0CF0">
        <w:rPr>
          <w:rFonts w:ascii="Segoe UI" w:hAnsi="Segoe UI" w:cs="Segoe UI"/>
          <w:sz w:val="20"/>
          <w:szCs w:val="20"/>
        </w:rPr>
        <w:t xml:space="preserve">). </w:t>
      </w:r>
    </w:p>
    <w:p w14:paraId="4E4C74A5" w14:textId="77777777" w:rsidR="008C34C2" w:rsidRPr="009D0CF0" w:rsidRDefault="008C34C2" w:rsidP="001B73F9">
      <w:pPr>
        <w:autoSpaceDE w:val="0"/>
        <w:autoSpaceDN w:val="0"/>
        <w:adjustRightInd w:val="0"/>
        <w:spacing w:line="360" w:lineRule="auto"/>
        <w:rPr>
          <w:rFonts w:ascii="Segoe UI" w:hAnsi="Segoe UI" w:cs="Segoe UI"/>
          <w:sz w:val="20"/>
          <w:szCs w:val="20"/>
        </w:rPr>
      </w:pPr>
    </w:p>
    <w:p w14:paraId="6623CB56" w14:textId="260D666C" w:rsidR="00C87BAB" w:rsidRPr="001B73F9" w:rsidRDefault="00155DAB" w:rsidP="001B73F9">
      <w:pPr>
        <w:autoSpaceDE w:val="0"/>
        <w:autoSpaceDN w:val="0"/>
        <w:adjustRightInd w:val="0"/>
        <w:spacing w:line="360" w:lineRule="auto"/>
        <w:rPr>
          <w:rFonts w:ascii="Segoe UI" w:hAnsi="Segoe UI" w:cs="Segoe UI"/>
          <w:sz w:val="20"/>
          <w:szCs w:val="20"/>
        </w:rPr>
      </w:pPr>
      <w:r w:rsidRPr="009D0CF0">
        <w:rPr>
          <w:rFonts w:ascii="Segoe UI" w:hAnsi="Segoe UI" w:cs="Segoe UI"/>
          <w:sz w:val="20"/>
          <w:szCs w:val="20"/>
        </w:rPr>
        <w:t>Shana Hirsh and Jerrold Long focus on the courts as a venue in the negotiation of adaptive management and species protection, and particularly on the role of scientific knowledge therein.</w:t>
      </w:r>
      <w:r w:rsidR="00F539AC" w:rsidRPr="009D0CF0">
        <w:rPr>
          <w:rFonts w:ascii="Segoe UI" w:hAnsi="Segoe UI" w:cs="Segoe UI"/>
          <w:sz w:val="20"/>
          <w:szCs w:val="20"/>
        </w:rPr>
        <w:t xml:space="preserve"> Their central problem is the tension between the</w:t>
      </w:r>
      <w:r w:rsidR="005A307B" w:rsidRPr="009D0CF0">
        <w:rPr>
          <w:rFonts w:ascii="Segoe UI" w:hAnsi="Segoe UI" w:cs="Segoe UI"/>
          <w:sz w:val="20"/>
          <w:szCs w:val="20"/>
        </w:rPr>
        <w:t xml:space="preserve"> US</w:t>
      </w:r>
      <w:r w:rsidR="00F539AC" w:rsidRPr="009D0CF0">
        <w:rPr>
          <w:rFonts w:ascii="Segoe UI" w:hAnsi="Segoe UI" w:cs="Segoe UI"/>
          <w:sz w:val="20"/>
          <w:szCs w:val="20"/>
        </w:rPr>
        <w:t xml:space="preserve"> Endangered Species Act’s demand for the use of the ‘best avai</w:t>
      </w:r>
      <w:r w:rsidR="00EE2BDA" w:rsidRPr="009D0CF0">
        <w:rPr>
          <w:rFonts w:ascii="Segoe UI" w:hAnsi="Segoe UI" w:cs="Segoe UI"/>
          <w:sz w:val="20"/>
          <w:szCs w:val="20"/>
        </w:rPr>
        <w:t xml:space="preserve">lable science’ and the flexibility </w:t>
      </w:r>
      <w:r w:rsidR="005A307B" w:rsidRPr="009D0CF0">
        <w:rPr>
          <w:rFonts w:ascii="Segoe UI" w:hAnsi="Segoe UI" w:cs="Segoe UI"/>
          <w:sz w:val="20"/>
          <w:szCs w:val="20"/>
        </w:rPr>
        <w:t>and uncertainty</w:t>
      </w:r>
      <w:r w:rsidR="00F539AC" w:rsidRPr="009D0CF0">
        <w:rPr>
          <w:rFonts w:ascii="Segoe UI" w:hAnsi="Segoe UI" w:cs="Segoe UI"/>
          <w:sz w:val="20"/>
          <w:szCs w:val="20"/>
        </w:rPr>
        <w:t xml:space="preserve"> intrinsic to adaptive management.</w:t>
      </w:r>
      <w:r w:rsidR="005A307B" w:rsidRPr="009D0CF0">
        <w:rPr>
          <w:rFonts w:ascii="Segoe UI" w:hAnsi="Segoe UI" w:cs="Segoe UI"/>
          <w:sz w:val="20"/>
          <w:szCs w:val="20"/>
        </w:rPr>
        <w:t xml:space="preserve"> </w:t>
      </w:r>
      <w:r w:rsidR="00C87BAB" w:rsidRPr="009D0CF0">
        <w:rPr>
          <w:rFonts w:ascii="Segoe UI" w:hAnsi="Segoe UI" w:cs="Segoe UI"/>
          <w:sz w:val="20"/>
          <w:szCs w:val="20"/>
        </w:rPr>
        <w:t xml:space="preserve">They describe </w:t>
      </w:r>
      <w:r w:rsidR="00C87BAB" w:rsidRPr="001B73F9">
        <w:rPr>
          <w:rFonts w:ascii="Segoe UI" w:hAnsi="Segoe UI" w:cs="Segoe UI"/>
          <w:sz w:val="20"/>
          <w:szCs w:val="20"/>
        </w:rPr>
        <w:t xml:space="preserve">the controversies surrounding the US National Oceanic and Atmospheric Administration’s </w:t>
      </w:r>
      <w:r w:rsidR="0076476A" w:rsidRPr="001B73F9">
        <w:rPr>
          <w:rFonts w:ascii="Segoe UI" w:hAnsi="Segoe UI" w:cs="Segoe UI"/>
          <w:sz w:val="20"/>
          <w:szCs w:val="20"/>
        </w:rPr>
        <w:t xml:space="preserve">(NOAA) </w:t>
      </w:r>
      <w:r w:rsidR="00C87BAB" w:rsidRPr="001B73F9">
        <w:rPr>
          <w:rFonts w:ascii="Segoe UI" w:hAnsi="Segoe UI" w:cs="Segoe UI"/>
          <w:sz w:val="20"/>
          <w:szCs w:val="20"/>
        </w:rPr>
        <w:t xml:space="preserve">production of ‘biological opinions’ (BiOps) in relation to the effect of dam operations on endangered salmon species in the Columbia River basin. </w:t>
      </w:r>
      <w:r w:rsidR="00131D83" w:rsidRPr="001B73F9">
        <w:rPr>
          <w:rFonts w:ascii="Segoe UI" w:hAnsi="Segoe UI" w:cs="Segoe UI"/>
          <w:sz w:val="20"/>
          <w:szCs w:val="20"/>
        </w:rPr>
        <w:t xml:space="preserve">These BiOps </w:t>
      </w:r>
      <w:r w:rsidR="00432B08" w:rsidRPr="001B73F9">
        <w:rPr>
          <w:rFonts w:ascii="Segoe UI" w:hAnsi="Segoe UI" w:cs="Segoe UI"/>
          <w:sz w:val="20"/>
          <w:szCs w:val="20"/>
        </w:rPr>
        <w:t xml:space="preserve">facilitated the continued operation of the federally-managed dams through findings of ‘no jeopardy’ towards the protected species </w:t>
      </w:r>
      <w:r w:rsidR="000209EE" w:rsidRPr="001B73F9">
        <w:rPr>
          <w:rFonts w:ascii="Segoe UI" w:hAnsi="Segoe UI" w:cs="Segoe UI"/>
          <w:sz w:val="20"/>
          <w:szCs w:val="20"/>
        </w:rPr>
        <w:t>based on</w:t>
      </w:r>
      <w:r w:rsidR="00432B08" w:rsidRPr="001B73F9">
        <w:rPr>
          <w:rFonts w:ascii="Segoe UI" w:hAnsi="Segoe UI" w:cs="Segoe UI"/>
          <w:sz w:val="20"/>
          <w:szCs w:val="20"/>
        </w:rPr>
        <w:t xml:space="preserve"> </w:t>
      </w:r>
      <w:r w:rsidR="00432B08" w:rsidRPr="001B73F9">
        <w:rPr>
          <w:rFonts w:ascii="Segoe UI" w:hAnsi="Segoe UI" w:cs="Segoe UI"/>
          <w:i/>
          <w:sz w:val="20"/>
          <w:szCs w:val="20"/>
        </w:rPr>
        <w:t>suggested</w:t>
      </w:r>
      <w:r w:rsidR="00432B08" w:rsidRPr="001B73F9">
        <w:rPr>
          <w:rFonts w:ascii="Segoe UI" w:hAnsi="Segoe UI" w:cs="Segoe UI"/>
          <w:sz w:val="20"/>
          <w:szCs w:val="20"/>
        </w:rPr>
        <w:t xml:space="preserve"> implementation of management actions (‘reasonable and prudent alternatives’ – RPAs). </w:t>
      </w:r>
      <w:r w:rsidR="0093240A" w:rsidRPr="001B73F9">
        <w:rPr>
          <w:rFonts w:ascii="Segoe UI" w:hAnsi="Segoe UI" w:cs="Segoe UI"/>
          <w:sz w:val="20"/>
          <w:szCs w:val="20"/>
        </w:rPr>
        <w:t xml:space="preserve">They were, however, challenged in the courts by </w:t>
      </w:r>
      <w:r w:rsidR="00315BC0" w:rsidRPr="001B73F9">
        <w:rPr>
          <w:rFonts w:ascii="Segoe UI" w:hAnsi="Segoe UI" w:cs="Segoe UI"/>
          <w:sz w:val="20"/>
          <w:szCs w:val="20"/>
        </w:rPr>
        <w:t xml:space="preserve">indigenous groups, </w:t>
      </w:r>
      <w:r w:rsidR="0093240A" w:rsidRPr="001B73F9">
        <w:rPr>
          <w:rFonts w:ascii="Segoe UI" w:hAnsi="Segoe UI" w:cs="Segoe UI"/>
          <w:sz w:val="20"/>
          <w:szCs w:val="20"/>
        </w:rPr>
        <w:t>stat</w:t>
      </w:r>
      <w:r w:rsidR="0076476A" w:rsidRPr="001B73F9">
        <w:rPr>
          <w:rFonts w:ascii="Segoe UI" w:hAnsi="Segoe UI" w:cs="Segoe UI"/>
          <w:sz w:val="20"/>
          <w:szCs w:val="20"/>
        </w:rPr>
        <w:t>e and NGO actors on multiple grounds</w:t>
      </w:r>
      <w:r w:rsidR="00131D83" w:rsidRPr="001B73F9">
        <w:rPr>
          <w:rFonts w:ascii="Segoe UI" w:hAnsi="Segoe UI" w:cs="Segoe UI"/>
          <w:sz w:val="20"/>
          <w:szCs w:val="20"/>
        </w:rPr>
        <w:t>,</w:t>
      </w:r>
      <w:r w:rsidR="0076476A" w:rsidRPr="001B73F9">
        <w:rPr>
          <w:rFonts w:ascii="Segoe UI" w:hAnsi="Segoe UI" w:cs="Segoe UI"/>
          <w:sz w:val="20"/>
          <w:szCs w:val="20"/>
        </w:rPr>
        <w:t xml:space="preserve"> with judgements against them in relation to their use of science (</w:t>
      </w:r>
      <w:r w:rsidR="000209EE" w:rsidRPr="001B73F9">
        <w:rPr>
          <w:rFonts w:ascii="Segoe UI" w:hAnsi="Segoe UI" w:cs="Segoe UI"/>
          <w:sz w:val="20"/>
          <w:szCs w:val="20"/>
        </w:rPr>
        <w:t xml:space="preserve">particularly </w:t>
      </w:r>
      <w:r w:rsidR="0076476A" w:rsidRPr="001B73F9">
        <w:rPr>
          <w:rFonts w:ascii="Segoe UI" w:hAnsi="Segoe UI" w:cs="Segoe UI"/>
          <w:sz w:val="20"/>
          <w:szCs w:val="20"/>
        </w:rPr>
        <w:t xml:space="preserve">their catchment modelling) and the likelihood of certain management actions (e.g. habitat restoration) actually occurring. </w:t>
      </w:r>
      <w:r w:rsidR="00AC54FA" w:rsidRPr="001B73F9">
        <w:rPr>
          <w:rFonts w:ascii="Segoe UI" w:hAnsi="Segoe UI" w:cs="Segoe UI"/>
          <w:sz w:val="20"/>
          <w:szCs w:val="20"/>
        </w:rPr>
        <w:t xml:space="preserve">In 2008 the NOAA produced an Adaptive Management Implementation Plan with the goal of more effectively delivering the RPAs, however the level of uncertainty has remained, as Hirsh and Long state, ‘too much for the court, even when part of a formal adaptive management plan.’. </w:t>
      </w:r>
    </w:p>
    <w:p w14:paraId="063C8394" w14:textId="77777777" w:rsidR="00AC54FA" w:rsidRPr="001B73F9" w:rsidRDefault="00AC54FA" w:rsidP="001B73F9">
      <w:pPr>
        <w:autoSpaceDE w:val="0"/>
        <w:autoSpaceDN w:val="0"/>
        <w:adjustRightInd w:val="0"/>
        <w:spacing w:line="360" w:lineRule="auto"/>
        <w:rPr>
          <w:rFonts w:ascii="Segoe UI" w:hAnsi="Segoe UI" w:cs="Segoe UI"/>
          <w:sz w:val="20"/>
          <w:szCs w:val="20"/>
        </w:rPr>
      </w:pPr>
    </w:p>
    <w:p w14:paraId="5A90765E" w14:textId="74C5849C" w:rsidR="00AC54FA" w:rsidRPr="009D0CF0" w:rsidRDefault="008D6D43" w:rsidP="001B73F9">
      <w:pPr>
        <w:autoSpaceDE w:val="0"/>
        <w:autoSpaceDN w:val="0"/>
        <w:adjustRightInd w:val="0"/>
        <w:spacing w:line="360" w:lineRule="auto"/>
        <w:rPr>
          <w:rFonts w:ascii="Segoe UI" w:hAnsi="Segoe UI" w:cs="Segoe UI"/>
          <w:sz w:val="20"/>
          <w:szCs w:val="20"/>
        </w:rPr>
      </w:pPr>
      <w:r w:rsidRPr="001B73F9">
        <w:rPr>
          <w:rFonts w:ascii="Segoe UI" w:hAnsi="Segoe UI" w:cs="Segoe UI"/>
          <w:sz w:val="20"/>
          <w:szCs w:val="20"/>
        </w:rPr>
        <w:t xml:space="preserve">The authors seek to explain these controversies in reference to the role of non-epistemic values in science, engaging particularly with the concepts of inductive risk (which, arguably, is what adaptive management is directed towards) and pragmatic encroachment. </w:t>
      </w:r>
      <w:r w:rsidR="000C64E8" w:rsidRPr="001B73F9">
        <w:rPr>
          <w:rFonts w:ascii="Segoe UI" w:hAnsi="Segoe UI" w:cs="Segoe UI"/>
          <w:sz w:val="20"/>
          <w:szCs w:val="20"/>
        </w:rPr>
        <w:t xml:space="preserve">Recognising that any given scientific conclusion may be wrong (inductive risk), non-epistemic values such as ethical standards and tolerances play a necessary role in accepting </w:t>
      </w:r>
      <w:r w:rsidR="000209EE" w:rsidRPr="001B73F9">
        <w:rPr>
          <w:rFonts w:ascii="Segoe UI" w:hAnsi="Segoe UI" w:cs="Segoe UI"/>
          <w:sz w:val="20"/>
          <w:szCs w:val="20"/>
        </w:rPr>
        <w:t xml:space="preserve">or rejecting </w:t>
      </w:r>
      <w:r w:rsidR="00131D83" w:rsidRPr="001B73F9">
        <w:rPr>
          <w:rFonts w:ascii="Segoe UI" w:hAnsi="Segoe UI" w:cs="Segoe UI"/>
          <w:sz w:val="20"/>
          <w:szCs w:val="20"/>
        </w:rPr>
        <w:t>science</w:t>
      </w:r>
      <w:r w:rsidR="000C64E8" w:rsidRPr="001B73F9">
        <w:rPr>
          <w:rFonts w:ascii="Segoe UI" w:hAnsi="Segoe UI" w:cs="Segoe UI"/>
          <w:sz w:val="20"/>
          <w:szCs w:val="20"/>
        </w:rPr>
        <w:t xml:space="preserve">. Crucially, this can lead to a requirement for higher levels of certainty in cases where being wrong matters more – for example, when irreversible species extinction is a possibility. Alongside this, pragmatic encroachment recognises that absolute scientific certainty is not possible and therefore that any management actions can only be based on ‘sufficient reason’. </w:t>
      </w:r>
      <w:r w:rsidR="001B1F56" w:rsidRPr="001B73F9">
        <w:rPr>
          <w:rFonts w:ascii="Segoe UI" w:hAnsi="Segoe UI" w:cs="Segoe UI"/>
          <w:sz w:val="20"/>
          <w:szCs w:val="20"/>
        </w:rPr>
        <w:t xml:space="preserve">As the authors note, </w:t>
      </w:r>
      <w:r w:rsidR="000C64E8" w:rsidRPr="001B73F9">
        <w:rPr>
          <w:rFonts w:ascii="Segoe UI" w:hAnsi="Segoe UI" w:cs="Segoe UI"/>
          <w:sz w:val="20"/>
          <w:szCs w:val="20"/>
        </w:rPr>
        <w:t>‘what is considered reasonable … is contingent upon values and culture’.</w:t>
      </w:r>
      <w:r w:rsidR="001B1F56" w:rsidRPr="001B73F9">
        <w:rPr>
          <w:rFonts w:ascii="Segoe UI" w:hAnsi="Segoe UI" w:cs="Segoe UI"/>
          <w:sz w:val="20"/>
          <w:szCs w:val="20"/>
        </w:rPr>
        <w:t xml:space="preserve"> </w:t>
      </w:r>
      <w:r w:rsidRPr="001B73F9">
        <w:rPr>
          <w:rFonts w:ascii="Segoe UI" w:hAnsi="Segoe UI" w:cs="Segoe UI"/>
          <w:sz w:val="20"/>
          <w:szCs w:val="20"/>
        </w:rPr>
        <w:t>In describing the role that non-epistemic values play</w:t>
      </w:r>
      <w:r w:rsidR="000209EE" w:rsidRPr="001B73F9">
        <w:rPr>
          <w:rFonts w:ascii="Segoe UI" w:hAnsi="Segoe UI" w:cs="Segoe UI"/>
          <w:sz w:val="20"/>
          <w:szCs w:val="20"/>
        </w:rPr>
        <w:t>,</w:t>
      </w:r>
      <w:r w:rsidRPr="001B73F9">
        <w:rPr>
          <w:rFonts w:ascii="Segoe UI" w:hAnsi="Segoe UI" w:cs="Segoe UI"/>
          <w:sz w:val="20"/>
          <w:szCs w:val="20"/>
        </w:rPr>
        <w:t xml:space="preserve"> and locating the core actors (notably the courts and the NOAA) as rooted in different traditions of science and as holding differing values and societal goals, the paper clarifies the reasons for the emergence of the various conflicts in this case. </w:t>
      </w:r>
      <w:r w:rsidR="001B1F56" w:rsidRPr="001B73F9">
        <w:rPr>
          <w:rFonts w:ascii="Segoe UI" w:hAnsi="Segoe UI" w:cs="Segoe UI"/>
          <w:sz w:val="20"/>
          <w:szCs w:val="20"/>
        </w:rPr>
        <w:t xml:space="preserve">It is argued that environmental management processes can be strengthened by articulating standards at all stages within associated scientific and decision-making processes, </w:t>
      </w:r>
      <w:r w:rsidR="009D0CF0" w:rsidRPr="001B73F9">
        <w:rPr>
          <w:rFonts w:ascii="Segoe UI" w:hAnsi="Segoe UI" w:cs="Segoe UI"/>
          <w:sz w:val="20"/>
          <w:szCs w:val="20"/>
        </w:rPr>
        <w:t>along with</w:t>
      </w:r>
      <w:r w:rsidR="001B1F56" w:rsidRPr="001B73F9">
        <w:rPr>
          <w:rFonts w:ascii="Segoe UI" w:hAnsi="Segoe UI" w:cs="Segoe UI"/>
          <w:sz w:val="20"/>
          <w:szCs w:val="20"/>
        </w:rPr>
        <w:t xml:space="preserve"> the non-epistemic values that frame them. </w:t>
      </w:r>
    </w:p>
    <w:p w14:paraId="7B0B43AC" w14:textId="587D38A0" w:rsidR="00AE79D9" w:rsidRPr="009D0CF0" w:rsidRDefault="00AE79D9" w:rsidP="001B73F9">
      <w:pPr>
        <w:autoSpaceDE w:val="0"/>
        <w:autoSpaceDN w:val="0"/>
        <w:adjustRightInd w:val="0"/>
        <w:spacing w:line="360" w:lineRule="auto"/>
        <w:rPr>
          <w:rFonts w:ascii="Segoe UI" w:hAnsi="Segoe UI" w:cs="Segoe UI"/>
          <w:sz w:val="20"/>
          <w:szCs w:val="20"/>
        </w:rPr>
      </w:pPr>
    </w:p>
    <w:p w14:paraId="25D76C11" w14:textId="2E5BBFDB" w:rsidR="0004388B" w:rsidRPr="009D0CF0" w:rsidRDefault="00AE79D9" w:rsidP="001B73F9">
      <w:pPr>
        <w:tabs>
          <w:tab w:val="left" w:pos="7371"/>
          <w:tab w:val="left" w:pos="8080"/>
        </w:tabs>
        <w:autoSpaceDE w:val="0"/>
        <w:autoSpaceDN w:val="0"/>
        <w:adjustRightInd w:val="0"/>
        <w:spacing w:line="360" w:lineRule="auto"/>
        <w:rPr>
          <w:rFonts w:ascii="Segoe UI" w:hAnsi="Segoe UI" w:cs="Segoe UI"/>
          <w:sz w:val="20"/>
          <w:szCs w:val="20"/>
        </w:rPr>
      </w:pPr>
      <w:r w:rsidRPr="009D0CF0">
        <w:rPr>
          <w:rFonts w:ascii="Segoe UI" w:hAnsi="Segoe UI" w:cs="Segoe UI"/>
          <w:sz w:val="20"/>
          <w:szCs w:val="20"/>
        </w:rPr>
        <w:t>Lidia Greco and Francesco Bagnardi’s paper offers an analysis of responses to the environmental pollution and associated ill health caused by Europe’s largest steel plant at Taranto in southern Italy. Establ</w:t>
      </w:r>
      <w:r w:rsidR="009250A7" w:rsidRPr="009D0CF0">
        <w:rPr>
          <w:rFonts w:ascii="Segoe UI" w:hAnsi="Segoe UI" w:cs="Segoe UI"/>
          <w:sz w:val="20"/>
          <w:szCs w:val="20"/>
        </w:rPr>
        <w:t>ishe</w:t>
      </w:r>
      <w:r w:rsidR="00D607AC" w:rsidRPr="009D0CF0">
        <w:rPr>
          <w:rFonts w:ascii="Segoe UI" w:hAnsi="Segoe UI" w:cs="Segoe UI"/>
          <w:sz w:val="20"/>
          <w:szCs w:val="20"/>
        </w:rPr>
        <w:t>d over fifty years ago, this</w:t>
      </w:r>
      <w:r w:rsidR="009250A7" w:rsidRPr="009D0CF0">
        <w:rPr>
          <w:rFonts w:ascii="Segoe UI" w:hAnsi="Segoe UI" w:cs="Segoe UI"/>
          <w:sz w:val="20"/>
          <w:szCs w:val="20"/>
        </w:rPr>
        <w:t xml:space="preserve"> huge industrial complex</w:t>
      </w:r>
      <w:r w:rsidR="00D607AC" w:rsidRPr="009D0CF0">
        <w:rPr>
          <w:rFonts w:ascii="Segoe UI" w:hAnsi="Segoe UI" w:cs="Segoe UI"/>
          <w:sz w:val="20"/>
          <w:szCs w:val="20"/>
        </w:rPr>
        <w:t>, its management</w:t>
      </w:r>
      <w:r w:rsidR="009250A7" w:rsidRPr="009D0CF0">
        <w:rPr>
          <w:rFonts w:ascii="Segoe UI" w:hAnsi="Segoe UI" w:cs="Segoe UI"/>
          <w:sz w:val="20"/>
          <w:szCs w:val="20"/>
        </w:rPr>
        <w:t xml:space="preserve"> </w:t>
      </w:r>
      <w:r w:rsidR="0004388B" w:rsidRPr="009D0CF0">
        <w:rPr>
          <w:rFonts w:ascii="Segoe UI" w:hAnsi="Segoe UI" w:cs="Segoe UI"/>
          <w:sz w:val="20"/>
          <w:szCs w:val="20"/>
        </w:rPr>
        <w:t>and environmental impact had</w:t>
      </w:r>
      <w:r w:rsidR="002C764C" w:rsidRPr="009D0CF0">
        <w:rPr>
          <w:rFonts w:ascii="Segoe UI" w:hAnsi="Segoe UI" w:cs="Segoe UI"/>
          <w:sz w:val="20"/>
          <w:szCs w:val="20"/>
        </w:rPr>
        <w:t xml:space="preserve"> </w:t>
      </w:r>
      <w:r w:rsidR="00D607AC" w:rsidRPr="009D0CF0">
        <w:rPr>
          <w:rFonts w:ascii="Segoe UI" w:hAnsi="Segoe UI" w:cs="Segoe UI"/>
          <w:sz w:val="20"/>
          <w:szCs w:val="20"/>
        </w:rPr>
        <w:t xml:space="preserve">consistently </w:t>
      </w:r>
      <w:r w:rsidR="002C764C" w:rsidRPr="009D0CF0">
        <w:rPr>
          <w:rFonts w:ascii="Segoe UI" w:hAnsi="Segoe UI" w:cs="Segoe UI"/>
          <w:sz w:val="20"/>
          <w:szCs w:val="20"/>
        </w:rPr>
        <w:t xml:space="preserve">been the focus of </w:t>
      </w:r>
      <w:r w:rsidR="00D607AC" w:rsidRPr="009D0CF0">
        <w:rPr>
          <w:rFonts w:ascii="Segoe UI" w:hAnsi="Segoe UI" w:cs="Segoe UI"/>
          <w:sz w:val="20"/>
          <w:szCs w:val="20"/>
        </w:rPr>
        <w:t xml:space="preserve">critical </w:t>
      </w:r>
      <w:r w:rsidR="002C764C" w:rsidRPr="009D0CF0">
        <w:rPr>
          <w:rFonts w:ascii="Segoe UI" w:hAnsi="Segoe UI" w:cs="Segoe UI"/>
          <w:sz w:val="20"/>
          <w:szCs w:val="20"/>
        </w:rPr>
        <w:t xml:space="preserve">attention from the media, environmental organisations, </w:t>
      </w:r>
      <w:r w:rsidR="0004388B" w:rsidRPr="009D0CF0">
        <w:rPr>
          <w:rFonts w:ascii="Segoe UI" w:hAnsi="Segoe UI" w:cs="Segoe UI"/>
          <w:sz w:val="20"/>
          <w:szCs w:val="20"/>
        </w:rPr>
        <w:t xml:space="preserve">and </w:t>
      </w:r>
      <w:r w:rsidR="00131D83">
        <w:rPr>
          <w:rFonts w:ascii="Segoe UI" w:hAnsi="Segoe UI" w:cs="Segoe UI"/>
          <w:sz w:val="20"/>
          <w:szCs w:val="20"/>
        </w:rPr>
        <w:t>workers. The authors identify</w:t>
      </w:r>
      <w:r w:rsidR="002C764C" w:rsidRPr="009D0CF0">
        <w:rPr>
          <w:rFonts w:ascii="Segoe UI" w:hAnsi="Segoe UI" w:cs="Segoe UI"/>
          <w:sz w:val="20"/>
          <w:szCs w:val="20"/>
        </w:rPr>
        <w:t xml:space="preserve"> its privatisation in the mid-1990s </w:t>
      </w:r>
      <w:r w:rsidR="002A37BD" w:rsidRPr="009D0CF0">
        <w:rPr>
          <w:rFonts w:ascii="Segoe UI" w:hAnsi="Segoe UI" w:cs="Segoe UI"/>
          <w:sz w:val="20"/>
          <w:szCs w:val="20"/>
        </w:rPr>
        <w:t xml:space="preserve">as the </w:t>
      </w:r>
      <w:r w:rsidR="00D607AC" w:rsidRPr="009D0CF0">
        <w:rPr>
          <w:rFonts w:ascii="Segoe UI" w:hAnsi="Segoe UI" w:cs="Segoe UI"/>
          <w:sz w:val="20"/>
          <w:szCs w:val="20"/>
        </w:rPr>
        <w:t xml:space="preserve">key </w:t>
      </w:r>
      <w:r w:rsidR="002A37BD" w:rsidRPr="009D0CF0">
        <w:rPr>
          <w:rFonts w:ascii="Segoe UI" w:hAnsi="Segoe UI" w:cs="Segoe UI"/>
          <w:sz w:val="20"/>
          <w:szCs w:val="20"/>
        </w:rPr>
        <w:t>point in the evolution of action to address</w:t>
      </w:r>
      <w:r w:rsidR="00D607AC" w:rsidRPr="009D0CF0">
        <w:rPr>
          <w:rFonts w:ascii="Segoe UI" w:hAnsi="Segoe UI" w:cs="Segoe UI"/>
          <w:sz w:val="20"/>
          <w:szCs w:val="20"/>
        </w:rPr>
        <w:t xml:space="preserve"> its environmental impacts. The move away from public control</w:t>
      </w:r>
      <w:r w:rsidR="002A37BD" w:rsidRPr="009D0CF0">
        <w:rPr>
          <w:rFonts w:ascii="Segoe UI" w:hAnsi="Segoe UI" w:cs="Segoe UI"/>
          <w:sz w:val="20"/>
          <w:szCs w:val="20"/>
        </w:rPr>
        <w:t xml:space="preserve"> resulted in</w:t>
      </w:r>
      <w:r w:rsidR="002C764C" w:rsidRPr="009D0CF0">
        <w:rPr>
          <w:rFonts w:ascii="Segoe UI" w:hAnsi="Segoe UI" w:cs="Segoe UI"/>
          <w:sz w:val="20"/>
          <w:szCs w:val="20"/>
        </w:rPr>
        <w:t xml:space="preserve"> the ‘collapse’ of the </w:t>
      </w:r>
      <w:r w:rsidR="00D607AC" w:rsidRPr="009D0CF0">
        <w:rPr>
          <w:rFonts w:ascii="Segoe UI" w:hAnsi="Segoe UI" w:cs="Segoe UI"/>
          <w:sz w:val="20"/>
          <w:szCs w:val="20"/>
        </w:rPr>
        <w:t xml:space="preserve">albeit </w:t>
      </w:r>
      <w:r w:rsidR="0004388B" w:rsidRPr="009D0CF0">
        <w:rPr>
          <w:rFonts w:ascii="Segoe UI" w:hAnsi="Segoe UI" w:cs="Segoe UI"/>
          <w:sz w:val="20"/>
          <w:szCs w:val="20"/>
        </w:rPr>
        <w:t xml:space="preserve">weak </w:t>
      </w:r>
      <w:r w:rsidR="002C764C" w:rsidRPr="009D0CF0">
        <w:rPr>
          <w:rFonts w:ascii="Segoe UI" w:hAnsi="Segoe UI" w:cs="Segoe UI"/>
          <w:sz w:val="20"/>
          <w:szCs w:val="20"/>
        </w:rPr>
        <w:t>pre-existing regulatory framework</w:t>
      </w:r>
      <w:r w:rsidR="002A37BD" w:rsidRPr="009D0CF0">
        <w:rPr>
          <w:rFonts w:ascii="Segoe UI" w:hAnsi="Segoe UI" w:cs="Segoe UI"/>
          <w:sz w:val="20"/>
          <w:szCs w:val="20"/>
        </w:rPr>
        <w:t xml:space="preserve"> and erosion of </w:t>
      </w:r>
      <w:r w:rsidR="002A37BD" w:rsidRPr="009D0CF0">
        <w:rPr>
          <w:rFonts w:ascii="Segoe UI" w:hAnsi="Segoe UI" w:cs="Segoe UI"/>
          <w:sz w:val="20"/>
          <w:szCs w:val="20"/>
        </w:rPr>
        <w:lastRenderedPageBreak/>
        <w:t>the broad socio-economic compromises that underpinned</w:t>
      </w:r>
      <w:r w:rsidR="0004388B" w:rsidRPr="009D0CF0">
        <w:rPr>
          <w:rFonts w:ascii="Segoe UI" w:hAnsi="Segoe UI" w:cs="Segoe UI"/>
          <w:sz w:val="20"/>
          <w:szCs w:val="20"/>
        </w:rPr>
        <w:t xml:space="preserve"> the plant’s generally unopposed operation</w:t>
      </w:r>
      <w:r w:rsidR="009D0CF0" w:rsidRPr="009D0CF0">
        <w:rPr>
          <w:rFonts w:ascii="Segoe UI" w:hAnsi="Segoe UI" w:cs="Segoe UI"/>
          <w:sz w:val="20"/>
          <w:szCs w:val="20"/>
        </w:rPr>
        <w:t xml:space="preserve"> </w:t>
      </w:r>
      <w:r w:rsidR="009D0CF0" w:rsidRPr="009D0CF0">
        <w:rPr>
          <w:rFonts w:ascii="Segoe UI" w:hAnsi="Segoe UI" w:cs="Segoe UI"/>
          <w:sz w:val="20"/>
          <w:szCs w:val="20"/>
        </w:rPr>
        <w:t>(based on providing economic development and jobs)</w:t>
      </w:r>
      <w:r w:rsidR="0004388B" w:rsidRPr="009D0CF0">
        <w:rPr>
          <w:rFonts w:ascii="Segoe UI" w:hAnsi="Segoe UI" w:cs="Segoe UI"/>
          <w:sz w:val="20"/>
          <w:szCs w:val="20"/>
        </w:rPr>
        <w:t>.</w:t>
      </w:r>
      <w:r w:rsidR="0004388B" w:rsidRPr="009D0CF0">
        <w:rPr>
          <w:rFonts w:ascii="Segoe UI" w:hAnsi="Segoe UI" w:cs="Segoe UI"/>
          <w:sz w:val="20"/>
          <w:szCs w:val="20"/>
        </w:rPr>
        <w:t xml:space="preserve"> As in the case of salmon protection above, the courts have been a consistent venue for </w:t>
      </w:r>
      <w:r w:rsidR="00D607AC" w:rsidRPr="009D0CF0">
        <w:rPr>
          <w:rFonts w:ascii="Segoe UI" w:hAnsi="Segoe UI" w:cs="Segoe UI"/>
          <w:sz w:val="20"/>
          <w:szCs w:val="20"/>
        </w:rPr>
        <w:t>contest</w:t>
      </w:r>
      <w:r w:rsidR="00131D83">
        <w:rPr>
          <w:rFonts w:ascii="Segoe UI" w:hAnsi="Segoe UI" w:cs="Segoe UI"/>
          <w:sz w:val="20"/>
          <w:szCs w:val="20"/>
        </w:rPr>
        <w:t xml:space="preserve"> in this case</w:t>
      </w:r>
      <w:r w:rsidR="0004388B" w:rsidRPr="009D0CF0">
        <w:rPr>
          <w:rFonts w:ascii="Segoe UI" w:hAnsi="Segoe UI" w:cs="Segoe UI"/>
          <w:sz w:val="20"/>
          <w:szCs w:val="20"/>
        </w:rPr>
        <w:t xml:space="preserve"> </w:t>
      </w:r>
      <w:r w:rsidR="00131D83">
        <w:rPr>
          <w:rFonts w:ascii="Segoe UI" w:hAnsi="Segoe UI" w:cs="Segoe UI"/>
          <w:sz w:val="20"/>
          <w:szCs w:val="20"/>
        </w:rPr>
        <w:t>and</w:t>
      </w:r>
      <w:r w:rsidR="0004388B" w:rsidRPr="009D0CF0">
        <w:rPr>
          <w:rFonts w:ascii="Segoe UI" w:hAnsi="Segoe UI" w:cs="Segoe UI"/>
          <w:sz w:val="20"/>
          <w:szCs w:val="20"/>
        </w:rPr>
        <w:t xml:space="preserve"> local magistrates were critical to </w:t>
      </w:r>
      <w:r w:rsidR="00E24A18" w:rsidRPr="009D0CF0">
        <w:rPr>
          <w:rFonts w:ascii="Segoe UI" w:hAnsi="Segoe UI" w:cs="Segoe UI"/>
          <w:sz w:val="20"/>
          <w:szCs w:val="20"/>
        </w:rPr>
        <w:t xml:space="preserve">triggering governmental intervention in 2012. </w:t>
      </w:r>
    </w:p>
    <w:p w14:paraId="7CED6E4B" w14:textId="3BAD2A15" w:rsidR="00D607AC" w:rsidRPr="009D0CF0" w:rsidRDefault="00D607AC" w:rsidP="001B73F9">
      <w:pPr>
        <w:tabs>
          <w:tab w:val="left" w:pos="8080"/>
        </w:tabs>
        <w:autoSpaceDE w:val="0"/>
        <w:autoSpaceDN w:val="0"/>
        <w:adjustRightInd w:val="0"/>
        <w:spacing w:line="360" w:lineRule="auto"/>
        <w:rPr>
          <w:rFonts w:ascii="Segoe UI" w:hAnsi="Segoe UI" w:cs="Segoe UI"/>
          <w:sz w:val="20"/>
          <w:szCs w:val="20"/>
        </w:rPr>
      </w:pPr>
    </w:p>
    <w:p w14:paraId="3310C450" w14:textId="15C44771" w:rsidR="008B057B" w:rsidRPr="009D0CF0" w:rsidRDefault="006656EF" w:rsidP="001B73F9">
      <w:pPr>
        <w:tabs>
          <w:tab w:val="left" w:pos="8080"/>
        </w:tabs>
        <w:autoSpaceDE w:val="0"/>
        <w:autoSpaceDN w:val="0"/>
        <w:adjustRightInd w:val="0"/>
        <w:spacing w:line="360" w:lineRule="auto"/>
        <w:rPr>
          <w:rFonts w:ascii="Segoe UI" w:hAnsi="Segoe UI" w:cs="Segoe UI"/>
          <w:sz w:val="20"/>
          <w:szCs w:val="20"/>
        </w:rPr>
      </w:pPr>
      <w:r w:rsidRPr="009D0CF0">
        <w:rPr>
          <w:rFonts w:ascii="Segoe UI" w:hAnsi="Segoe UI" w:cs="Segoe UI"/>
          <w:sz w:val="20"/>
          <w:szCs w:val="20"/>
        </w:rPr>
        <w:t xml:space="preserve">The authors describe how both the opposing ‘industrialist’ and ‘environmentalist’ movements in this case mobilise primarily technical and scientific </w:t>
      </w:r>
      <w:r w:rsidR="009D0CF0" w:rsidRPr="009D0CF0">
        <w:rPr>
          <w:rFonts w:ascii="Segoe UI" w:hAnsi="Segoe UI" w:cs="Segoe UI"/>
          <w:sz w:val="20"/>
          <w:szCs w:val="20"/>
        </w:rPr>
        <w:t>knowledge</w:t>
      </w:r>
      <w:r w:rsidRPr="009D0CF0">
        <w:rPr>
          <w:rFonts w:ascii="Segoe UI" w:hAnsi="Segoe UI" w:cs="Segoe UI"/>
          <w:sz w:val="20"/>
          <w:szCs w:val="20"/>
        </w:rPr>
        <w:t xml:space="preserve"> to support their positions. The ‘industrialist’ position being strongly reliant on ecological modernisation to maintain the </w:t>
      </w:r>
      <w:r w:rsidR="008B057B" w:rsidRPr="009D0CF0">
        <w:rPr>
          <w:rFonts w:ascii="Segoe UI" w:hAnsi="Segoe UI" w:cs="Segoe UI"/>
          <w:sz w:val="20"/>
          <w:szCs w:val="20"/>
        </w:rPr>
        <w:t xml:space="preserve">‘sustainable’ </w:t>
      </w:r>
      <w:r w:rsidRPr="009D0CF0">
        <w:rPr>
          <w:rFonts w:ascii="Segoe UI" w:hAnsi="Segoe UI" w:cs="Segoe UI"/>
          <w:sz w:val="20"/>
          <w:szCs w:val="20"/>
        </w:rPr>
        <w:t xml:space="preserve">operation of the plant. The ‘environmentalist’ position draws primarily on health data to advocate for the closure of the plant. </w:t>
      </w:r>
      <w:r w:rsidR="008B057B" w:rsidRPr="009D0CF0">
        <w:rPr>
          <w:rFonts w:ascii="Segoe UI" w:hAnsi="Segoe UI" w:cs="Segoe UI"/>
          <w:sz w:val="20"/>
          <w:szCs w:val="20"/>
        </w:rPr>
        <w:t>The paper’s central contention is, however, that</w:t>
      </w:r>
      <w:r w:rsidR="009F35A7" w:rsidRPr="009D0CF0">
        <w:rPr>
          <w:rFonts w:ascii="Segoe UI" w:hAnsi="Segoe UI" w:cs="Segoe UI"/>
          <w:sz w:val="20"/>
          <w:szCs w:val="20"/>
        </w:rPr>
        <w:t xml:space="preserve"> neither position challenges existing power relations and roles:</w:t>
      </w:r>
      <w:r w:rsidR="008B057B" w:rsidRPr="009D0CF0">
        <w:rPr>
          <w:rFonts w:ascii="Segoe UI" w:hAnsi="Segoe UI" w:cs="Segoe UI"/>
          <w:sz w:val="20"/>
          <w:szCs w:val="20"/>
        </w:rPr>
        <w:t xml:space="preserve"> the debate is ‘polarised but not politicised’</w:t>
      </w:r>
      <w:r w:rsidR="009F35A7" w:rsidRPr="009D0CF0">
        <w:rPr>
          <w:rFonts w:ascii="Segoe UI" w:hAnsi="Segoe UI" w:cs="Segoe UI"/>
          <w:sz w:val="20"/>
          <w:szCs w:val="20"/>
        </w:rPr>
        <w:t>. Actors attempting to make this challenge have found it virtually impossible to gain purchase within the debate. B</w:t>
      </w:r>
      <w:r w:rsidR="008B057B" w:rsidRPr="009D0CF0">
        <w:rPr>
          <w:rFonts w:ascii="Segoe UI" w:hAnsi="Segoe UI" w:cs="Segoe UI"/>
          <w:sz w:val="20"/>
          <w:szCs w:val="20"/>
        </w:rPr>
        <w:t>oth</w:t>
      </w:r>
      <w:r w:rsidR="009F35A7" w:rsidRPr="009D0CF0">
        <w:rPr>
          <w:rFonts w:ascii="Segoe UI" w:hAnsi="Segoe UI" w:cs="Segoe UI"/>
          <w:sz w:val="20"/>
          <w:szCs w:val="20"/>
        </w:rPr>
        <w:t xml:space="preserve"> established</w:t>
      </w:r>
      <w:r w:rsidR="008B057B" w:rsidRPr="009D0CF0">
        <w:rPr>
          <w:rFonts w:ascii="Segoe UI" w:hAnsi="Segoe UI" w:cs="Segoe UI"/>
          <w:sz w:val="20"/>
          <w:szCs w:val="20"/>
        </w:rPr>
        <w:t xml:space="preserve"> positions</w:t>
      </w:r>
      <w:r w:rsidR="009F35A7" w:rsidRPr="009D0CF0">
        <w:rPr>
          <w:rFonts w:ascii="Segoe UI" w:hAnsi="Segoe UI" w:cs="Segoe UI"/>
          <w:sz w:val="20"/>
          <w:szCs w:val="20"/>
        </w:rPr>
        <w:t>, it is argued,</w:t>
      </w:r>
      <w:r w:rsidR="008B057B" w:rsidRPr="009D0CF0">
        <w:rPr>
          <w:rFonts w:ascii="Segoe UI" w:hAnsi="Segoe UI" w:cs="Segoe UI"/>
          <w:sz w:val="20"/>
          <w:szCs w:val="20"/>
        </w:rPr>
        <w:t xml:space="preserve"> ignore the case’s core ques</w:t>
      </w:r>
      <w:r w:rsidR="009D0CF0" w:rsidRPr="009D0CF0">
        <w:rPr>
          <w:rFonts w:ascii="Segoe UI" w:hAnsi="Segoe UI" w:cs="Segoe UI"/>
          <w:sz w:val="20"/>
          <w:szCs w:val="20"/>
        </w:rPr>
        <w:t xml:space="preserve">tion of environmental justice - </w:t>
      </w:r>
      <w:r w:rsidR="008B057B" w:rsidRPr="009D0CF0">
        <w:rPr>
          <w:rFonts w:ascii="Segoe UI" w:hAnsi="Segoe UI" w:cs="Segoe UI"/>
          <w:sz w:val="20"/>
          <w:szCs w:val="20"/>
        </w:rPr>
        <w:t xml:space="preserve">the fact </w:t>
      </w:r>
      <w:r w:rsidR="00131D83">
        <w:rPr>
          <w:rFonts w:ascii="Segoe UI" w:hAnsi="Segoe UI" w:cs="Segoe UI"/>
          <w:sz w:val="20"/>
          <w:szCs w:val="20"/>
        </w:rPr>
        <w:t>that</w:t>
      </w:r>
      <w:r w:rsidR="008B057B" w:rsidRPr="009D0CF0">
        <w:rPr>
          <w:rFonts w:ascii="Segoe UI" w:hAnsi="Segoe UI" w:cs="Segoe UI"/>
          <w:sz w:val="20"/>
          <w:szCs w:val="20"/>
        </w:rPr>
        <w:t xml:space="preserve"> local workers will most likely continue to feel social, economic and environmental impacts associated with the plant regardless of its future. </w:t>
      </w:r>
    </w:p>
    <w:p w14:paraId="339045BE" w14:textId="77777777" w:rsidR="00155DAB" w:rsidRPr="009D0CF0" w:rsidRDefault="00155DAB" w:rsidP="001B73F9">
      <w:pPr>
        <w:autoSpaceDE w:val="0"/>
        <w:autoSpaceDN w:val="0"/>
        <w:adjustRightInd w:val="0"/>
        <w:spacing w:line="360" w:lineRule="auto"/>
        <w:rPr>
          <w:rFonts w:ascii="Segoe UI" w:hAnsi="Segoe UI" w:cs="Segoe UI"/>
          <w:sz w:val="20"/>
          <w:szCs w:val="20"/>
        </w:rPr>
      </w:pPr>
    </w:p>
    <w:p w14:paraId="57ED7F6C" w14:textId="65EF1403" w:rsidR="00BC0E30" w:rsidRPr="009D0CF0" w:rsidRDefault="00BC0E30" w:rsidP="001B73F9">
      <w:pPr>
        <w:spacing w:line="360" w:lineRule="auto"/>
        <w:rPr>
          <w:rFonts w:ascii="Segoe UI" w:hAnsi="Segoe UI" w:cs="Segoe UI"/>
          <w:sz w:val="20"/>
          <w:szCs w:val="20"/>
        </w:rPr>
      </w:pPr>
      <w:r w:rsidRPr="009D0CF0">
        <w:rPr>
          <w:rFonts w:ascii="Segoe UI" w:hAnsi="Segoe UI" w:cs="Segoe UI"/>
          <w:sz w:val="20"/>
          <w:szCs w:val="20"/>
        </w:rPr>
        <w:t xml:space="preserve">The ways in which </w:t>
      </w:r>
      <w:r w:rsidRPr="009D0CF0">
        <w:rPr>
          <w:rFonts w:ascii="Segoe UI" w:hAnsi="Segoe UI" w:cs="Segoe UI"/>
          <w:i/>
          <w:sz w:val="20"/>
          <w:szCs w:val="20"/>
        </w:rPr>
        <w:t>indigenous</w:t>
      </w:r>
      <w:r w:rsidRPr="009D0CF0">
        <w:rPr>
          <w:rFonts w:ascii="Segoe UI" w:hAnsi="Segoe UI" w:cs="Segoe UI"/>
          <w:sz w:val="20"/>
          <w:szCs w:val="20"/>
        </w:rPr>
        <w:t xml:space="preserve"> knowledge can enter, and improve, environmental management </w:t>
      </w:r>
      <w:r w:rsidR="00485FEF" w:rsidRPr="009D0CF0">
        <w:rPr>
          <w:rFonts w:ascii="Segoe UI" w:hAnsi="Segoe UI" w:cs="Segoe UI"/>
          <w:sz w:val="20"/>
          <w:szCs w:val="20"/>
        </w:rPr>
        <w:t>and policy processes has been a</w:t>
      </w:r>
      <w:r w:rsidRPr="009D0CF0">
        <w:rPr>
          <w:rFonts w:ascii="Segoe UI" w:hAnsi="Segoe UI" w:cs="Segoe UI"/>
          <w:sz w:val="20"/>
          <w:szCs w:val="20"/>
        </w:rPr>
        <w:t xml:space="preserve"> consistent</w:t>
      </w:r>
      <w:r w:rsidR="00485FEF" w:rsidRPr="009D0CF0">
        <w:rPr>
          <w:rFonts w:ascii="Segoe UI" w:hAnsi="Segoe UI" w:cs="Segoe UI"/>
          <w:sz w:val="20"/>
          <w:szCs w:val="20"/>
        </w:rPr>
        <w:t xml:space="preserve"> theme</w:t>
      </w:r>
      <w:r w:rsidRPr="009D0CF0">
        <w:rPr>
          <w:rFonts w:ascii="Segoe UI" w:hAnsi="Segoe UI" w:cs="Segoe UI"/>
          <w:sz w:val="20"/>
          <w:szCs w:val="20"/>
        </w:rPr>
        <w:t xml:space="preserve"> of </w:t>
      </w:r>
      <w:r w:rsidRPr="009D0CF0">
        <w:rPr>
          <w:rFonts w:ascii="Segoe UI" w:hAnsi="Segoe UI" w:cs="Segoe UI"/>
          <w:i/>
          <w:sz w:val="20"/>
          <w:szCs w:val="20"/>
        </w:rPr>
        <w:t>Environmental Values</w:t>
      </w:r>
      <w:r w:rsidRPr="009D0CF0">
        <w:rPr>
          <w:rFonts w:ascii="Segoe UI" w:hAnsi="Segoe UI" w:cs="Segoe UI"/>
          <w:sz w:val="20"/>
          <w:szCs w:val="20"/>
        </w:rPr>
        <w:t xml:space="preserve"> (e.g. Bach and Larson, 2017; Bhattacharyya and Larson 2014). This is continued within the pages of this issue by Esme Murdock who makes plain that established judicial venues and processes are not </w:t>
      </w:r>
      <w:r w:rsidR="009D0CF0" w:rsidRPr="009D0CF0">
        <w:rPr>
          <w:rFonts w:ascii="Segoe UI" w:hAnsi="Segoe UI" w:cs="Segoe UI"/>
          <w:sz w:val="20"/>
          <w:szCs w:val="20"/>
        </w:rPr>
        <w:t>adequate</w:t>
      </w:r>
      <w:r w:rsidRPr="009D0CF0">
        <w:rPr>
          <w:rFonts w:ascii="Segoe UI" w:hAnsi="Segoe UI" w:cs="Segoe UI"/>
          <w:sz w:val="20"/>
          <w:szCs w:val="20"/>
        </w:rPr>
        <w:t xml:space="preserve"> for addressing all matters of environmental degradation. She addresses the need for reconciliation in cases of settler land seizure from indigenous communities, arguing convincingly that its ecological effects are an ‘instantiation of violent relations’ that demand such reconciliation. However, it is argued that familiar approaches</w:t>
      </w:r>
      <w:r w:rsidR="009D0CF0" w:rsidRPr="009D0CF0">
        <w:rPr>
          <w:rFonts w:ascii="Segoe UI" w:hAnsi="Segoe UI" w:cs="Segoe UI"/>
          <w:sz w:val="20"/>
          <w:szCs w:val="20"/>
        </w:rPr>
        <w:t>,</w:t>
      </w:r>
      <w:r w:rsidRPr="009D0CF0">
        <w:rPr>
          <w:rFonts w:ascii="Segoe UI" w:hAnsi="Segoe UI" w:cs="Segoe UI"/>
          <w:sz w:val="20"/>
          <w:szCs w:val="20"/>
        </w:rPr>
        <w:t xml:space="preserve"> such as the ‘Truth and Reconciliation Commission’</w:t>
      </w:r>
      <w:r w:rsidR="00131D83">
        <w:rPr>
          <w:rFonts w:ascii="Segoe UI" w:hAnsi="Segoe UI" w:cs="Segoe UI"/>
          <w:sz w:val="20"/>
          <w:szCs w:val="20"/>
        </w:rPr>
        <w:t xml:space="preserve"> (TRC)</w:t>
      </w:r>
      <w:r w:rsidRPr="009D0CF0">
        <w:rPr>
          <w:rFonts w:ascii="Segoe UI" w:hAnsi="Segoe UI" w:cs="Segoe UI"/>
          <w:sz w:val="20"/>
          <w:szCs w:val="20"/>
        </w:rPr>
        <w:t xml:space="preserve"> model</w:t>
      </w:r>
      <w:r w:rsidR="009D0CF0" w:rsidRPr="009D0CF0">
        <w:rPr>
          <w:rFonts w:ascii="Segoe UI" w:hAnsi="Segoe UI" w:cs="Segoe UI"/>
          <w:sz w:val="20"/>
          <w:szCs w:val="20"/>
        </w:rPr>
        <w:t>,</w:t>
      </w:r>
      <w:r w:rsidRPr="009D0CF0">
        <w:rPr>
          <w:rFonts w:ascii="Segoe UI" w:hAnsi="Segoe UI" w:cs="Segoe UI"/>
          <w:sz w:val="20"/>
          <w:szCs w:val="20"/>
        </w:rPr>
        <w:t xml:space="preserve"> systematically omit environmental dimensions of </w:t>
      </w:r>
      <w:r w:rsidR="009D0CF0" w:rsidRPr="009D0CF0">
        <w:rPr>
          <w:rFonts w:ascii="Segoe UI" w:hAnsi="Segoe UI" w:cs="Segoe UI"/>
          <w:sz w:val="20"/>
          <w:szCs w:val="20"/>
        </w:rPr>
        <w:t>harm (ecological violence). Thes</w:t>
      </w:r>
      <w:r w:rsidRPr="009D0CF0">
        <w:rPr>
          <w:rFonts w:ascii="Segoe UI" w:hAnsi="Segoe UI" w:cs="Segoe UI"/>
          <w:sz w:val="20"/>
          <w:szCs w:val="20"/>
        </w:rPr>
        <w:t xml:space="preserve">e are often of primary importance to displaced indigenous communities whose history of relations with the land </w:t>
      </w:r>
      <w:r w:rsidR="009D0CF0" w:rsidRPr="009D0CF0">
        <w:rPr>
          <w:rFonts w:ascii="Segoe UI" w:hAnsi="Segoe UI" w:cs="Segoe UI"/>
          <w:sz w:val="20"/>
          <w:szCs w:val="20"/>
        </w:rPr>
        <w:t xml:space="preserve">are </w:t>
      </w:r>
      <w:r w:rsidRPr="009D0CF0">
        <w:rPr>
          <w:rFonts w:ascii="Segoe UI" w:hAnsi="Segoe UI" w:cs="Segoe UI"/>
          <w:sz w:val="20"/>
          <w:szCs w:val="20"/>
        </w:rPr>
        <w:t xml:space="preserve">erased by land seizure. Such models </w:t>
      </w:r>
      <w:r w:rsidR="009D0CF0" w:rsidRPr="009D0CF0">
        <w:rPr>
          <w:rFonts w:ascii="Segoe UI" w:hAnsi="Segoe UI" w:cs="Segoe UI"/>
          <w:sz w:val="20"/>
          <w:szCs w:val="20"/>
        </w:rPr>
        <w:t xml:space="preserve">of reconciliation </w:t>
      </w:r>
      <w:r w:rsidRPr="009D0CF0">
        <w:rPr>
          <w:rFonts w:ascii="Segoe UI" w:hAnsi="Segoe UI" w:cs="Segoe UI"/>
          <w:sz w:val="20"/>
          <w:szCs w:val="20"/>
        </w:rPr>
        <w:t>extend and perpetuate the dominance of euro-descendent cosmologies and epistemologies by failing to comprehend indigenous positionalities – especially in relation to land – but also b</w:t>
      </w:r>
      <w:r w:rsidR="009D0CF0" w:rsidRPr="009D0CF0">
        <w:rPr>
          <w:rFonts w:ascii="Segoe UI" w:hAnsi="Segoe UI" w:cs="Segoe UI"/>
          <w:sz w:val="20"/>
          <w:szCs w:val="20"/>
        </w:rPr>
        <w:t>y measuring “truth by settlers’</w:t>
      </w:r>
      <w:r w:rsidRPr="009D0CF0">
        <w:rPr>
          <w:rFonts w:ascii="Segoe UI" w:hAnsi="Segoe UI" w:cs="Segoe UI"/>
          <w:sz w:val="20"/>
          <w:szCs w:val="20"/>
        </w:rPr>
        <w:t xml:space="preserve"> institutional legal-juridical standards”. Difficulties </w:t>
      </w:r>
      <w:r w:rsidR="00131D83">
        <w:rPr>
          <w:rFonts w:ascii="Segoe UI" w:hAnsi="Segoe UI" w:cs="Segoe UI"/>
          <w:sz w:val="20"/>
          <w:szCs w:val="20"/>
        </w:rPr>
        <w:t xml:space="preserve">particularly </w:t>
      </w:r>
      <w:r w:rsidRPr="009D0CF0">
        <w:rPr>
          <w:rFonts w:ascii="Segoe UI" w:hAnsi="Segoe UI" w:cs="Segoe UI"/>
          <w:sz w:val="20"/>
          <w:szCs w:val="20"/>
        </w:rPr>
        <w:t xml:space="preserve">arise from the differences between settler and indigenous conceptualisations of land: as something to be owned or something to belong to and hold reciprocal relations with. </w:t>
      </w:r>
    </w:p>
    <w:p w14:paraId="4D3E46BF" w14:textId="77777777" w:rsidR="00BC0E30" w:rsidRPr="009D0CF0" w:rsidRDefault="00BC0E30" w:rsidP="001B73F9">
      <w:pPr>
        <w:spacing w:line="360" w:lineRule="auto"/>
        <w:rPr>
          <w:rFonts w:ascii="Segoe UI" w:hAnsi="Segoe UI" w:cs="Segoe UI"/>
          <w:sz w:val="20"/>
          <w:szCs w:val="20"/>
        </w:rPr>
      </w:pPr>
    </w:p>
    <w:p w14:paraId="7D476FDD" w14:textId="441E80A3" w:rsidR="00BC0E30" w:rsidRPr="009D0CF0" w:rsidRDefault="00BC0E30" w:rsidP="001B73F9">
      <w:pPr>
        <w:spacing w:line="360" w:lineRule="auto"/>
        <w:rPr>
          <w:rFonts w:ascii="Segoe UI" w:hAnsi="Segoe UI" w:cs="Segoe UI"/>
          <w:sz w:val="20"/>
          <w:szCs w:val="20"/>
        </w:rPr>
      </w:pPr>
      <w:r w:rsidRPr="009D0CF0">
        <w:rPr>
          <w:rFonts w:ascii="Segoe UI" w:hAnsi="Segoe UI" w:cs="Segoe UI"/>
          <w:sz w:val="20"/>
          <w:szCs w:val="20"/>
        </w:rPr>
        <w:t xml:space="preserve">In its central use of testimony (for generating proof of injustice), the </w:t>
      </w:r>
      <w:r w:rsidR="00131D83">
        <w:rPr>
          <w:rFonts w:ascii="Segoe UI" w:hAnsi="Segoe UI" w:cs="Segoe UI"/>
          <w:sz w:val="20"/>
          <w:szCs w:val="20"/>
        </w:rPr>
        <w:t>TRC</w:t>
      </w:r>
      <w:r w:rsidRPr="009D0CF0">
        <w:rPr>
          <w:rFonts w:ascii="Segoe UI" w:hAnsi="Segoe UI" w:cs="Segoe UI"/>
          <w:sz w:val="20"/>
          <w:szCs w:val="20"/>
        </w:rPr>
        <w:t xml:space="preserve"> model can </w:t>
      </w:r>
      <w:r w:rsidR="009D0CF0" w:rsidRPr="009D0CF0">
        <w:rPr>
          <w:rFonts w:ascii="Segoe UI" w:hAnsi="Segoe UI" w:cs="Segoe UI"/>
          <w:sz w:val="20"/>
          <w:szCs w:val="20"/>
        </w:rPr>
        <w:t xml:space="preserve">furthermore </w:t>
      </w:r>
      <w:r w:rsidRPr="009D0CF0">
        <w:rPr>
          <w:rFonts w:ascii="Segoe UI" w:hAnsi="Segoe UI" w:cs="Segoe UI"/>
          <w:sz w:val="20"/>
          <w:szCs w:val="20"/>
        </w:rPr>
        <w:t>deafen its participants to indigenous epistemologies. The audience must be ‘capable of hearing’ and accepting indigenous testimony</w:t>
      </w:r>
      <w:r w:rsidR="009D0CF0" w:rsidRPr="009D0CF0">
        <w:rPr>
          <w:rFonts w:ascii="Segoe UI" w:hAnsi="Segoe UI" w:cs="Segoe UI"/>
          <w:sz w:val="20"/>
          <w:szCs w:val="20"/>
        </w:rPr>
        <w:t xml:space="preserve"> - whilst</w:t>
      </w:r>
      <w:r w:rsidRPr="009D0CF0">
        <w:rPr>
          <w:rFonts w:ascii="Segoe UI" w:hAnsi="Segoe UI" w:cs="Segoe UI"/>
          <w:sz w:val="20"/>
          <w:szCs w:val="20"/>
        </w:rPr>
        <w:t xml:space="preserve"> situated in a context where the standards proof are set by institutions that are an artefact of settle</w:t>
      </w:r>
      <w:r w:rsidR="009D0CF0" w:rsidRPr="009D0CF0">
        <w:rPr>
          <w:rFonts w:ascii="Segoe UI" w:hAnsi="Segoe UI" w:cs="Segoe UI"/>
          <w:sz w:val="20"/>
          <w:szCs w:val="20"/>
        </w:rPr>
        <w:t>r</w:t>
      </w:r>
      <w:r w:rsidRPr="009D0CF0">
        <w:rPr>
          <w:rFonts w:ascii="Segoe UI" w:hAnsi="Segoe UI" w:cs="Segoe UI"/>
          <w:sz w:val="20"/>
          <w:szCs w:val="20"/>
        </w:rPr>
        <w:t xml:space="preserve"> domination. This operates in conjunction with the potential for ‘re-victimisation’ of those testi</w:t>
      </w:r>
      <w:r w:rsidR="00181459">
        <w:rPr>
          <w:rFonts w:ascii="Segoe UI" w:hAnsi="Segoe UI" w:cs="Segoe UI"/>
          <w:sz w:val="20"/>
          <w:szCs w:val="20"/>
        </w:rPr>
        <w:t>fying</w:t>
      </w:r>
      <w:r w:rsidRPr="009D0CF0">
        <w:rPr>
          <w:rFonts w:ascii="Segoe UI" w:hAnsi="Segoe UI" w:cs="Segoe UI"/>
          <w:sz w:val="20"/>
          <w:szCs w:val="20"/>
        </w:rPr>
        <w:t xml:space="preserve"> – a problem now recognised within a number of judicial processes. Individuals may feel shame at having to “prove their oppression to their oppressors”. Having levelled these criticisms, Murdock hint</w:t>
      </w:r>
      <w:r w:rsidR="00181459">
        <w:rPr>
          <w:rFonts w:ascii="Segoe UI" w:hAnsi="Segoe UI" w:cs="Segoe UI"/>
          <w:sz w:val="20"/>
          <w:szCs w:val="20"/>
        </w:rPr>
        <w:t>s</w:t>
      </w:r>
      <w:r w:rsidRPr="009D0CF0">
        <w:rPr>
          <w:rFonts w:ascii="Segoe UI" w:hAnsi="Segoe UI" w:cs="Segoe UI"/>
          <w:sz w:val="20"/>
          <w:szCs w:val="20"/>
        </w:rPr>
        <w:t xml:space="preserve"> at some light at the end of the tunnel, identifying the co-management of Nmé (lake sturgeon) in the Big Manistee watershed</w:t>
      </w:r>
      <w:r w:rsidR="009D0CF0" w:rsidRPr="009D0CF0">
        <w:rPr>
          <w:rFonts w:ascii="Segoe UI" w:hAnsi="Segoe UI" w:cs="Segoe UI"/>
          <w:sz w:val="20"/>
          <w:szCs w:val="20"/>
        </w:rPr>
        <w:t xml:space="preserve"> in the Great Lakes region</w:t>
      </w:r>
      <w:r w:rsidRPr="009D0CF0">
        <w:rPr>
          <w:rFonts w:ascii="Segoe UI" w:hAnsi="Segoe UI" w:cs="Segoe UI"/>
          <w:sz w:val="20"/>
          <w:szCs w:val="20"/>
        </w:rPr>
        <w:t xml:space="preserve"> as an exemplar of what she terms successful ‘deep reconciliation’.</w:t>
      </w:r>
    </w:p>
    <w:p w14:paraId="4D6EE6E7" w14:textId="2BA3AA6F" w:rsidR="004137A3" w:rsidRPr="009D0CF0" w:rsidRDefault="004137A3" w:rsidP="001B73F9">
      <w:pPr>
        <w:spacing w:line="360" w:lineRule="auto"/>
        <w:rPr>
          <w:rFonts w:ascii="Segoe UI" w:hAnsi="Segoe UI" w:cs="Segoe UI"/>
          <w:sz w:val="20"/>
          <w:szCs w:val="20"/>
        </w:rPr>
      </w:pPr>
    </w:p>
    <w:p w14:paraId="40CE26C9" w14:textId="6139B811" w:rsidR="004137A3" w:rsidRPr="009D0CF0" w:rsidRDefault="004137A3" w:rsidP="001B73F9">
      <w:pPr>
        <w:spacing w:line="360" w:lineRule="auto"/>
        <w:rPr>
          <w:rFonts w:ascii="Segoe UI" w:hAnsi="Segoe UI" w:cs="Segoe UI"/>
          <w:sz w:val="20"/>
          <w:szCs w:val="20"/>
        </w:rPr>
      </w:pPr>
      <w:r w:rsidRPr="009D0CF0">
        <w:rPr>
          <w:rFonts w:ascii="Segoe UI" w:hAnsi="Segoe UI" w:cs="Segoe UI"/>
          <w:sz w:val="20"/>
          <w:szCs w:val="20"/>
        </w:rPr>
        <w:t xml:space="preserve">This issue’s remaining papers focus on climate change and, in particular, </w:t>
      </w:r>
      <w:r w:rsidR="00BF68B7" w:rsidRPr="009D0CF0">
        <w:rPr>
          <w:rFonts w:ascii="Segoe UI" w:hAnsi="Segoe UI" w:cs="Segoe UI"/>
          <w:sz w:val="20"/>
          <w:szCs w:val="20"/>
        </w:rPr>
        <w:t xml:space="preserve">consider the ways in which information and knowledge operates within ‘public’ discourses. Time and again it is apparent that decisions by public officials and others are moderated by their perceptions of public preferences for management options and their assumptions about processes and </w:t>
      </w:r>
      <w:r w:rsidR="009D0CF0" w:rsidRPr="009D0CF0">
        <w:rPr>
          <w:rFonts w:ascii="Segoe UI" w:hAnsi="Segoe UI" w:cs="Segoe UI"/>
          <w:sz w:val="20"/>
          <w:szCs w:val="20"/>
        </w:rPr>
        <w:t xml:space="preserve">appropriate </w:t>
      </w:r>
      <w:r w:rsidR="00BF68B7" w:rsidRPr="009D0CF0">
        <w:rPr>
          <w:rFonts w:ascii="Segoe UI" w:hAnsi="Segoe UI" w:cs="Segoe UI"/>
          <w:sz w:val="20"/>
          <w:szCs w:val="20"/>
        </w:rPr>
        <w:t xml:space="preserve">messages for engagement. </w:t>
      </w:r>
    </w:p>
    <w:p w14:paraId="4EF340AF" w14:textId="15554BA9" w:rsidR="00BF68B7" w:rsidRPr="009D0CF0" w:rsidRDefault="00BF68B7" w:rsidP="001B73F9">
      <w:pPr>
        <w:spacing w:line="360" w:lineRule="auto"/>
        <w:rPr>
          <w:rFonts w:ascii="Segoe UI" w:hAnsi="Segoe UI" w:cs="Segoe UI"/>
          <w:sz w:val="20"/>
          <w:szCs w:val="20"/>
        </w:rPr>
      </w:pPr>
    </w:p>
    <w:p w14:paraId="04445EE6" w14:textId="1BF27BF4" w:rsidR="00BF68B7" w:rsidRPr="009D0CF0" w:rsidRDefault="00BF68B7" w:rsidP="001B73F9">
      <w:pPr>
        <w:spacing w:line="360" w:lineRule="auto"/>
        <w:rPr>
          <w:rFonts w:ascii="Segoe UI" w:hAnsi="Segoe UI" w:cs="Segoe UI"/>
          <w:sz w:val="20"/>
          <w:szCs w:val="20"/>
        </w:rPr>
      </w:pPr>
      <w:r w:rsidRPr="009D0CF0">
        <w:rPr>
          <w:rFonts w:ascii="Segoe UI" w:hAnsi="Segoe UI" w:cs="Segoe UI"/>
          <w:sz w:val="20"/>
          <w:szCs w:val="20"/>
        </w:rPr>
        <w:t>Samuel Merrill and co-authors focus on options for financing protection for coastal communities vulnerable to climate-enhanced flood hazards.</w:t>
      </w:r>
      <w:r w:rsidR="00BD2966" w:rsidRPr="009D0CF0">
        <w:rPr>
          <w:rFonts w:ascii="Segoe UI" w:hAnsi="Segoe UI" w:cs="Segoe UI"/>
          <w:sz w:val="20"/>
          <w:szCs w:val="20"/>
        </w:rPr>
        <w:t xml:space="preserve"> The values underpinning flood governance and management in the United States have evolved via a lengthy process wherein expert knowledge has continually interacted with policy and public discourses (Bergsma, 2016). Within this, a</w:t>
      </w:r>
      <w:r w:rsidRPr="009D0CF0">
        <w:rPr>
          <w:rFonts w:ascii="Segoe UI" w:hAnsi="Segoe UI" w:cs="Segoe UI"/>
          <w:sz w:val="20"/>
          <w:szCs w:val="20"/>
        </w:rPr>
        <w:t xml:space="preserve"> long standing aspect of the climate change adaptation debate at this scale has been whether the costs of protection should be met directly by local beneficiaries or collectively through general taxation. In this paper the authors analyse this </w:t>
      </w:r>
      <w:r w:rsidR="009D0CF0" w:rsidRPr="009D0CF0">
        <w:rPr>
          <w:rFonts w:ascii="Segoe UI" w:hAnsi="Segoe UI" w:cs="Segoe UI"/>
          <w:sz w:val="20"/>
          <w:szCs w:val="20"/>
        </w:rPr>
        <w:t xml:space="preserve">question </w:t>
      </w:r>
      <w:r w:rsidRPr="009D0CF0">
        <w:rPr>
          <w:rFonts w:ascii="Segoe UI" w:hAnsi="Segoe UI" w:cs="Segoe UI"/>
          <w:sz w:val="20"/>
          <w:szCs w:val="20"/>
        </w:rPr>
        <w:t>through participatory case-study research in Florida. They show that those methods that place the cost burden</w:t>
      </w:r>
      <w:r w:rsidR="00181459">
        <w:rPr>
          <w:rFonts w:ascii="Segoe UI" w:hAnsi="Segoe UI" w:cs="Segoe UI"/>
          <w:sz w:val="20"/>
          <w:szCs w:val="20"/>
        </w:rPr>
        <w:t xml:space="preserve"> directly on beneficiaries (e.g. low-</w:t>
      </w:r>
      <w:r w:rsidRPr="009D0CF0">
        <w:rPr>
          <w:rFonts w:ascii="Segoe UI" w:hAnsi="Segoe UI" w:cs="Segoe UI"/>
          <w:sz w:val="20"/>
          <w:szCs w:val="20"/>
        </w:rPr>
        <w:t xml:space="preserve">interest loans for property owners) </w:t>
      </w:r>
      <w:r w:rsidR="009D0CF0" w:rsidRPr="009D0CF0">
        <w:rPr>
          <w:rFonts w:ascii="Segoe UI" w:hAnsi="Segoe UI" w:cs="Segoe UI"/>
          <w:sz w:val="20"/>
          <w:szCs w:val="20"/>
        </w:rPr>
        <w:t>are</w:t>
      </w:r>
      <w:r w:rsidRPr="009D0CF0">
        <w:rPr>
          <w:rFonts w:ascii="Segoe UI" w:hAnsi="Segoe UI" w:cs="Segoe UI"/>
          <w:sz w:val="20"/>
          <w:szCs w:val="20"/>
        </w:rPr>
        <w:t xml:space="preserve"> considered most acceptable. Options to raise money more collectively (through taxation or utility bills) </w:t>
      </w:r>
      <w:r w:rsidR="009D0CF0" w:rsidRPr="009D0CF0">
        <w:rPr>
          <w:rFonts w:ascii="Segoe UI" w:hAnsi="Segoe UI" w:cs="Segoe UI"/>
          <w:sz w:val="20"/>
          <w:szCs w:val="20"/>
        </w:rPr>
        <w:t>are</w:t>
      </w:r>
      <w:r w:rsidRPr="009D0CF0">
        <w:rPr>
          <w:rFonts w:ascii="Segoe UI" w:hAnsi="Segoe UI" w:cs="Segoe UI"/>
          <w:sz w:val="20"/>
          <w:szCs w:val="20"/>
        </w:rPr>
        <w:t xml:space="preserve"> less acceptable. Whilst the overall level of acceptability varied somewhat, this rank ordering of preferences remained relatively consistent across respondent categories of reported environmental values (assessed in reference to the ‘new ecological paradigm’ </w:t>
      </w:r>
      <w:r w:rsidR="0051492A" w:rsidRPr="009D0CF0">
        <w:rPr>
          <w:rFonts w:ascii="Segoe UI" w:hAnsi="Segoe UI" w:cs="Segoe UI"/>
          <w:sz w:val="20"/>
          <w:szCs w:val="20"/>
        </w:rPr>
        <w:t xml:space="preserve">scale) and party political affiliation. Low interest loans in particular </w:t>
      </w:r>
      <w:r w:rsidR="00181459">
        <w:rPr>
          <w:rFonts w:ascii="Segoe UI" w:hAnsi="Segoe UI" w:cs="Segoe UI"/>
          <w:sz w:val="20"/>
          <w:szCs w:val="20"/>
        </w:rPr>
        <w:t>remained the</w:t>
      </w:r>
      <w:r w:rsidR="0051492A" w:rsidRPr="009D0CF0">
        <w:rPr>
          <w:rFonts w:ascii="Segoe UI" w:hAnsi="Segoe UI" w:cs="Segoe UI"/>
          <w:sz w:val="20"/>
          <w:szCs w:val="20"/>
        </w:rPr>
        <w:t xml:space="preserve"> most preferred option. </w:t>
      </w:r>
    </w:p>
    <w:p w14:paraId="799F3AC5" w14:textId="15AB251C" w:rsidR="0051492A" w:rsidRPr="009D0CF0" w:rsidRDefault="0051492A" w:rsidP="001B73F9">
      <w:pPr>
        <w:spacing w:line="360" w:lineRule="auto"/>
        <w:rPr>
          <w:rFonts w:ascii="Segoe UI" w:hAnsi="Segoe UI" w:cs="Segoe UI"/>
          <w:sz w:val="20"/>
          <w:szCs w:val="20"/>
        </w:rPr>
      </w:pPr>
    </w:p>
    <w:p w14:paraId="174C2D32" w14:textId="733D5E56" w:rsidR="00CB1E0D" w:rsidRPr="009D0CF0" w:rsidRDefault="0051492A" w:rsidP="001B73F9">
      <w:pPr>
        <w:spacing w:line="360" w:lineRule="auto"/>
        <w:rPr>
          <w:rFonts w:ascii="Segoe UI" w:hAnsi="Segoe UI" w:cs="Segoe UI"/>
          <w:sz w:val="20"/>
          <w:szCs w:val="20"/>
        </w:rPr>
      </w:pPr>
      <w:r w:rsidRPr="009D0CF0">
        <w:rPr>
          <w:rFonts w:ascii="Segoe UI" w:hAnsi="Segoe UI" w:cs="Segoe UI"/>
          <w:sz w:val="20"/>
          <w:szCs w:val="20"/>
        </w:rPr>
        <w:t xml:space="preserve">An especially interesting element of this study is the use of visualisation within the participatory research process to bring knowledge of the potential impacts of flooding into the public discourse. Visualisations are now a relatively common element of participatory environmental planning and management processes (Reed et al 2013), especially </w:t>
      </w:r>
      <w:r w:rsidR="00181459">
        <w:rPr>
          <w:rFonts w:ascii="Segoe UI" w:hAnsi="Segoe UI" w:cs="Segoe UI"/>
          <w:sz w:val="20"/>
          <w:szCs w:val="20"/>
        </w:rPr>
        <w:t>in relation</w:t>
      </w:r>
      <w:r w:rsidRPr="009D0CF0">
        <w:rPr>
          <w:rFonts w:ascii="Segoe UI" w:hAnsi="Segoe UI" w:cs="Segoe UI"/>
          <w:sz w:val="20"/>
          <w:szCs w:val="20"/>
        </w:rPr>
        <w:t xml:space="preserve"> to </w:t>
      </w:r>
      <w:r w:rsidR="009D0CF0" w:rsidRPr="009D0CF0">
        <w:rPr>
          <w:rFonts w:ascii="Segoe UI" w:hAnsi="Segoe UI" w:cs="Segoe UI"/>
          <w:sz w:val="20"/>
          <w:szCs w:val="20"/>
        </w:rPr>
        <w:t xml:space="preserve">my own area of work - </w:t>
      </w:r>
      <w:r w:rsidRPr="009D0CF0">
        <w:rPr>
          <w:rFonts w:ascii="Segoe UI" w:hAnsi="Segoe UI" w:cs="Segoe UI"/>
          <w:sz w:val="20"/>
          <w:szCs w:val="20"/>
        </w:rPr>
        <w:t xml:space="preserve">sustainable land use. Their use introduces questions around how the images that are generated and used embody, reflect and/or influence the environmental values of both respondents and researchers. In this case the research process, including the visualisation, does appear to have increased participants knowledge of local impacts, risks and costs - with an attendant impact, albeit small, on their preferences for funding options. </w:t>
      </w:r>
    </w:p>
    <w:p w14:paraId="340FB992" w14:textId="77777777" w:rsidR="00830A3B" w:rsidRPr="009D0CF0" w:rsidRDefault="00830A3B" w:rsidP="001B73F9">
      <w:pPr>
        <w:autoSpaceDE w:val="0"/>
        <w:autoSpaceDN w:val="0"/>
        <w:adjustRightInd w:val="0"/>
        <w:spacing w:line="360" w:lineRule="auto"/>
        <w:rPr>
          <w:rFonts w:ascii="Segoe UI" w:hAnsi="Segoe UI" w:cs="Segoe UI"/>
          <w:sz w:val="20"/>
          <w:szCs w:val="20"/>
        </w:rPr>
      </w:pPr>
    </w:p>
    <w:p w14:paraId="249C5FA6" w14:textId="6DF7B9C1" w:rsidR="00BC0E30" w:rsidRPr="000763B6" w:rsidRDefault="00BC0E30" w:rsidP="001B73F9">
      <w:pPr>
        <w:autoSpaceDE w:val="0"/>
        <w:autoSpaceDN w:val="0"/>
        <w:adjustRightInd w:val="0"/>
        <w:spacing w:line="360" w:lineRule="auto"/>
        <w:rPr>
          <w:rFonts w:ascii="Segoe UI" w:hAnsi="Segoe UI" w:cs="Segoe UI"/>
          <w:sz w:val="20"/>
          <w:szCs w:val="20"/>
        </w:rPr>
      </w:pPr>
      <w:r w:rsidRPr="009D0CF0">
        <w:rPr>
          <w:rFonts w:ascii="Segoe UI" w:hAnsi="Segoe UI" w:cs="Segoe UI"/>
          <w:sz w:val="20"/>
          <w:szCs w:val="20"/>
        </w:rPr>
        <w:t xml:space="preserve">Adrian Brügger and Nicholas Pidgeon shift our attention </w:t>
      </w:r>
      <w:r w:rsidR="00E7530E" w:rsidRPr="009D0CF0">
        <w:rPr>
          <w:rFonts w:ascii="Segoe UI" w:hAnsi="Segoe UI" w:cs="Segoe UI"/>
          <w:sz w:val="20"/>
          <w:szCs w:val="20"/>
        </w:rPr>
        <w:t>to the ways in which our existing beliefs about</w:t>
      </w:r>
      <w:r w:rsidR="004B5E07" w:rsidRPr="009D0CF0">
        <w:rPr>
          <w:rFonts w:ascii="Segoe UI" w:hAnsi="Segoe UI" w:cs="Segoe UI"/>
          <w:sz w:val="20"/>
          <w:szCs w:val="20"/>
        </w:rPr>
        <w:t xml:space="preserve"> and framings of</w:t>
      </w:r>
      <w:r w:rsidR="00E7530E" w:rsidRPr="009D0CF0">
        <w:rPr>
          <w:rFonts w:ascii="Segoe UI" w:hAnsi="Segoe UI" w:cs="Segoe UI"/>
          <w:sz w:val="20"/>
          <w:szCs w:val="20"/>
        </w:rPr>
        <w:t xml:space="preserve"> climate change interact with the information </w:t>
      </w:r>
      <w:r w:rsidR="00181459">
        <w:rPr>
          <w:rFonts w:ascii="Segoe UI" w:hAnsi="Segoe UI" w:cs="Segoe UI"/>
          <w:sz w:val="20"/>
          <w:szCs w:val="20"/>
        </w:rPr>
        <w:t>from</w:t>
      </w:r>
      <w:r w:rsidR="00E7530E" w:rsidRPr="009D0CF0">
        <w:rPr>
          <w:rFonts w:ascii="Segoe UI" w:hAnsi="Segoe UI" w:cs="Segoe UI"/>
          <w:sz w:val="20"/>
          <w:szCs w:val="20"/>
        </w:rPr>
        <w:t xml:space="preserve"> public agencies and others seeking to affect our </w:t>
      </w:r>
      <w:r w:rsidR="00181459">
        <w:rPr>
          <w:rFonts w:ascii="Segoe UI" w:hAnsi="Segoe UI" w:cs="Segoe UI"/>
          <w:sz w:val="20"/>
          <w:szCs w:val="20"/>
        </w:rPr>
        <w:t>behaviour</w:t>
      </w:r>
      <w:r w:rsidR="00E7530E" w:rsidRPr="009D0CF0">
        <w:rPr>
          <w:rFonts w:ascii="Segoe UI" w:hAnsi="Segoe UI" w:cs="Segoe UI"/>
          <w:sz w:val="20"/>
          <w:szCs w:val="20"/>
        </w:rPr>
        <w:t>.</w:t>
      </w:r>
      <w:r w:rsidR="004B5E07" w:rsidRPr="009D0CF0">
        <w:rPr>
          <w:rFonts w:ascii="Segoe UI" w:hAnsi="Segoe UI" w:cs="Segoe UI"/>
          <w:sz w:val="20"/>
          <w:szCs w:val="20"/>
        </w:rPr>
        <w:t xml:space="preserve"> </w:t>
      </w:r>
      <w:r w:rsidR="00E7530E" w:rsidRPr="009D0CF0">
        <w:rPr>
          <w:rFonts w:ascii="Segoe UI" w:hAnsi="Segoe UI" w:cs="Segoe UI"/>
          <w:sz w:val="20"/>
          <w:szCs w:val="20"/>
        </w:rPr>
        <w:t xml:space="preserve">They critically reflect on the assertion that spatially-proximal representations of climate change impacts (considered particularly useful for facilitating visualisation techniques, such as used by Merrill et al above) are likely to affect </w:t>
      </w:r>
      <w:r w:rsidR="00181459">
        <w:rPr>
          <w:rFonts w:ascii="Segoe UI" w:hAnsi="Segoe UI" w:cs="Segoe UI"/>
          <w:sz w:val="20"/>
          <w:szCs w:val="20"/>
        </w:rPr>
        <w:t>our</w:t>
      </w:r>
      <w:r w:rsidR="00E7530E" w:rsidRPr="009D0CF0">
        <w:rPr>
          <w:rFonts w:ascii="Segoe UI" w:hAnsi="Segoe UI" w:cs="Segoe UI"/>
          <w:sz w:val="20"/>
          <w:szCs w:val="20"/>
        </w:rPr>
        <w:t xml:space="preserve"> motivations</w:t>
      </w:r>
      <w:r w:rsidR="00786C77" w:rsidRPr="009D0CF0">
        <w:rPr>
          <w:rFonts w:ascii="Segoe UI" w:hAnsi="Segoe UI" w:cs="Segoe UI"/>
          <w:sz w:val="20"/>
          <w:szCs w:val="20"/>
        </w:rPr>
        <w:t xml:space="preserve"> more than spatially-</w:t>
      </w:r>
      <w:r w:rsidR="00E7530E" w:rsidRPr="009D0CF0">
        <w:rPr>
          <w:rFonts w:ascii="Segoe UI" w:hAnsi="Segoe UI" w:cs="Segoe UI"/>
          <w:sz w:val="20"/>
          <w:szCs w:val="20"/>
        </w:rPr>
        <w:t xml:space="preserve">distant representations. </w:t>
      </w:r>
      <w:r w:rsidR="00786C77" w:rsidRPr="009D0CF0">
        <w:rPr>
          <w:rFonts w:ascii="Segoe UI" w:hAnsi="Segoe UI" w:cs="Segoe UI"/>
          <w:sz w:val="20"/>
          <w:szCs w:val="20"/>
        </w:rPr>
        <w:t xml:space="preserve">Framings of climate change have previously drawn criticism within the pages of </w:t>
      </w:r>
      <w:r w:rsidR="00786C77" w:rsidRPr="009D0CF0">
        <w:rPr>
          <w:rFonts w:ascii="Segoe UI" w:hAnsi="Segoe UI" w:cs="Segoe UI"/>
          <w:i/>
          <w:sz w:val="20"/>
          <w:szCs w:val="20"/>
        </w:rPr>
        <w:t>Environmental Values</w:t>
      </w:r>
      <w:r w:rsidR="00786C77" w:rsidRPr="009D0CF0">
        <w:rPr>
          <w:rFonts w:ascii="Segoe UI" w:hAnsi="Segoe UI" w:cs="Segoe UI"/>
          <w:sz w:val="20"/>
          <w:szCs w:val="20"/>
        </w:rPr>
        <w:t xml:space="preserve"> on account of the problematic representation of impacts temporally. Davies et al. (2017) highlighted the tendency</w:t>
      </w:r>
      <w:r w:rsidR="00D2196F" w:rsidRPr="009D0CF0">
        <w:rPr>
          <w:rFonts w:ascii="Segoe UI" w:hAnsi="Segoe UI" w:cs="Segoe UI"/>
          <w:sz w:val="20"/>
          <w:szCs w:val="20"/>
        </w:rPr>
        <w:t xml:space="preserve"> (particularly amongst media actors)</w:t>
      </w:r>
      <w:r w:rsidR="00786C77" w:rsidRPr="009D0CF0">
        <w:rPr>
          <w:rFonts w:ascii="Segoe UI" w:hAnsi="Segoe UI" w:cs="Segoe UI"/>
          <w:sz w:val="20"/>
          <w:szCs w:val="20"/>
        </w:rPr>
        <w:t xml:space="preserve"> towards the description of future impacts and resultant overstatement of contemporary environmental</w:t>
      </w:r>
      <w:r w:rsidR="00786C77" w:rsidRPr="000763B6">
        <w:rPr>
          <w:rFonts w:ascii="Segoe UI" w:hAnsi="Segoe UI" w:cs="Segoe UI"/>
          <w:sz w:val="20"/>
          <w:szCs w:val="20"/>
        </w:rPr>
        <w:t xml:space="preserve"> degradation. </w:t>
      </w:r>
      <w:r w:rsidR="00E7530E" w:rsidRPr="000763B6">
        <w:rPr>
          <w:rFonts w:ascii="Segoe UI" w:hAnsi="Segoe UI" w:cs="Segoe UI"/>
          <w:sz w:val="20"/>
          <w:szCs w:val="20"/>
        </w:rPr>
        <w:t xml:space="preserve">Through interview research in Switzerland, </w:t>
      </w:r>
      <w:r w:rsidR="00786C77" w:rsidRPr="000763B6">
        <w:rPr>
          <w:rFonts w:ascii="Segoe UI" w:hAnsi="Segoe UI" w:cs="Segoe UI"/>
          <w:sz w:val="20"/>
          <w:szCs w:val="20"/>
        </w:rPr>
        <w:t>Brügger and Pidgeon</w:t>
      </w:r>
      <w:r w:rsidR="00786C77" w:rsidRPr="000763B6">
        <w:rPr>
          <w:rFonts w:ascii="Segoe UI" w:hAnsi="Segoe UI" w:cs="Segoe UI"/>
          <w:sz w:val="20"/>
          <w:szCs w:val="20"/>
        </w:rPr>
        <w:t xml:space="preserve"> problematise established framings further by demonstrating</w:t>
      </w:r>
      <w:r w:rsidR="00E7530E" w:rsidRPr="000763B6">
        <w:rPr>
          <w:rFonts w:ascii="Segoe UI" w:hAnsi="Segoe UI" w:cs="Segoe UI"/>
          <w:sz w:val="20"/>
          <w:szCs w:val="20"/>
        </w:rPr>
        <w:t xml:space="preserve"> that individuals make frequent reference to both proximal </w:t>
      </w:r>
      <w:r w:rsidR="00E7530E" w:rsidRPr="000763B6">
        <w:rPr>
          <w:rFonts w:ascii="Segoe UI" w:hAnsi="Segoe UI" w:cs="Segoe UI"/>
          <w:i/>
          <w:sz w:val="20"/>
          <w:szCs w:val="20"/>
        </w:rPr>
        <w:t>and</w:t>
      </w:r>
      <w:r w:rsidR="00E7530E" w:rsidRPr="000763B6">
        <w:rPr>
          <w:rFonts w:ascii="Segoe UI" w:hAnsi="Segoe UI" w:cs="Segoe UI"/>
          <w:sz w:val="20"/>
          <w:szCs w:val="20"/>
        </w:rPr>
        <w:t xml:space="preserve"> distant impacts of climate change regardless of the spatial focus of information provided. They make clear that the media, experiences of others within their social network, and personal experiences are all sources of information drawn on </w:t>
      </w:r>
      <w:r w:rsidR="009D0CF0">
        <w:rPr>
          <w:rFonts w:ascii="Segoe UI" w:hAnsi="Segoe UI" w:cs="Segoe UI"/>
          <w:sz w:val="20"/>
          <w:szCs w:val="20"/>
        </w:rPr>
        <w:t xml:space="preserve">by individuals </w:t>
      </w:r>
      <w:r w:rsidR="00E7530E" w:rsidRPr="000763B6">
        <w:rPr>
          <w:rFonts w:ascii="Segoe UI" w:hAnsi="Segoe UI" w:cs="Segoe UI"/>
          <w:sz w:val="20"/>
          <w:szCs w:val="20"/>
        </w:rPr>
        <w:t xml:space="preserve">to frame climate change and its impacts. </w:t>
      </w:r>
      <w:r w:rsidR="00786C77" w:rsidRPr="000763B6">
        <w:rPr>
          <w:rFonts w:ascii="Segoe UI" w:hAnsi="Segoe UI" w:cs="Segoe UI"/>
          <w:sz w:val="20"/>
          <w:szCs w:val="20"/>
        </w:rPr>
        <w:t xml:space="preserve"> </w:t>
      </w:r>
    </w:p>
    <w:p w14:paraId="4CF4CA01" w14:textId="28EDFC5D" w:rsidR="00BB1053" w:rsidRPr="000763B6" w:rsidRDefault="00BB1053" w:rsidP="001B73F9">
      <w:pPr>
        <w:autoSpaceDE w:val="0"/>
        <w:autoSpaceDN w:val="0"/>
        <w:adjustRightInd w:val="0"/>
        <w:spacing w:line="360" w:lineRule="auto"/>
        <w:rPr>
          <w:rFonts w:ascii="Segoe UI" w:hAnsi="Segoe UI" w:cs="Segoe UI"/>
          <w:sz w:val="20"/>
          <w:szCs w:val="20"/>
        </w:rPr>
      </w:pPr>
    </w:p>
    <w:p w14:paraId="2FB642B0" w14:textId="04257D4B" w:rsidR="004137A3" w:rsidRPr="000763B6" w:rsidRDefault="00BB1053" w:rsidP="001B73F9">
      <w:pPr>
        <w:autoSpaceDE w:val="0"/>
        <w:autoSpaceDN w:val="0"/>
        <w:adjustRightInd w:val="0"/>
        <w:spacing w:line="360" w:lineRule="auto"/>
        <w:rPr>
          <w:rFonts w:ascii="Segoe UI" w:hAnsi="Segoe UI" w:cs="Segoe UI"/>
          <w:sz w:val="20"/>
          <w:szCs w:val="20"/>
        </w:rPr>
      </w:pPr>
      <w:r w:rsidRPr="000763B6">
        <w:rPr>
          <w:rFonts w:ascii="Segoe UI" w:hAnsi="Segoe UI" w:cs="Segoe UI"/>
          <w:sz w:val="20"/>
          <w:szCs w:val="20"/>
        </w:rPr>
        <w:t xml:space="preserve">The process of switching between spatial frames </w:t>
      </w:r>
      <w:r w:rsidR="00BC11EC">
        <w:rPr>
          <w:rFonts w:ascii="Segoe UI" w:hAnsi="Segoe UI" w:cs="Segoe UI"/>
          <w:sz w:val="20"/>
          <w:szCs w:val="20"/>
        </w:rPr>
        <w:t>is</w:t>
      </w:r>
      <w:r w:rsidRPr="000763B6">
        <w:rPr>
          <w:rFonts w:ascii="Segoe UI" w:hAnsi="Segoe UI" w:cs="Segoe UI"/>
          <w:sz w:val="20"/>
          <w:szCs w:val="20"/>
        </w:rPr>
        <w:t xml:space="preserve"> achieved in a number of ways. </w:t>
      </w:r>
      <w:r w:rsidRPr="000763B6">
        <w:rPr>
          <w:rFonts w:ascii="Segoe UI" w:hAnsi="Segoe UI" w:cs="Segoe UI"/>
          <w:sz w:val="20"/>
          <w:szCs w:val="20"/>
        </w:rPr>
        <w:t>Brügger and Pidgeon</w:t>
      </w:r>
      <w:r w:rsidRPr="000763B6">
        <w:rPr>
          <w:rFonts w:ascii="Segoe UI" w:hAnsi="Segoe UI" w:cs="Segoe UI"/>
          <w:sz w:val="20"/>
          <w:szCs w:val="20"/>
        </w:rPr>
        <w:t xml:space="preserve"> identify that responden</w:t>
      </w:r>
      <w:r w:rsidR="00BC11EC">
        <w:rPr>
          <w:rFonts w:ascii="Segoe UI" w:hAnsi="Segoe UI" w:cs="Segoe UI"/>
          <w:sz w:val="20"/>
          <w:szCs w:val="20"/>
        </w:rPr>
        <w:t>ts tend</w:t>
      </w:r>
      <w:r w:rsidRPr="000763B6">
        <w:rPr>
          <w:rFonts w:ascii="Segoe UI" w:hAnsi="Segoe UI" w:cs="Segoe UI"/>
          <w:sz w:val="20"/>
          <w:szCs w:val="20"/>
        </w:rPr>
        <w:t xml:space="preserve"> to collapse the distinctions between scales, making distant impacts locally relevant (e.g. by reconciling distant sea-level change with proximal glacial melt). Respondents were also inclined to reveal the personal implications of climate change impacts (e.g. the impact of predicted heatwaves on health) and to construct relationships of resilience and vulnerability. This latter dimension revolved particularly around the </w:t>
      </w:r>
      <w:r w:rsidR="004137A3" w:rsidRPr="000763B6">
        <w:rPr>
          <w:rFonts w:ascii="Segoe UI" w:hAnsi="Segoe UI" w:cs="Segoe UI"/>
          <w:sz w:val="20"/>
          <w:szCs w:val="20"/>
        </w:rPr>
        <w:t xml:space="preserve">economic and environmental resilience of countries such as Switzerland, and </w:t>
      </w:r>
      <w:r w:rsidR="004137A3" w:rsidRPr="000763B6">
        <w:rPr>
          <w:rFonts w:ascii="Segoe UI" w:hAnsi="Segoe UI" w:cs="Segoe UI"/>
          <w:i/>
          <w:sz w:val="20"/>
          <w:szCs w:val="20"/>
        </w:rPr>
        <w:t>vice versa</w:t>
      </w:r>
      <w:r w:rsidR="004137A3" w:rsidRPr="000763B6">
        <w:rPr>
          <w:rFonts w:ascii="Segoe UI" w:hAnsi="Segoe UI" w:cs="Segoe UI"/>
          <w:sz w:val="20"/>
          <w:szCs w:val="20"/>
        </w:rPr>
        <w:t xml:space="preserve">, the vulnerability of already economically and environmentally marginal distant places. </w:t>
      </w:r>
    </w:p>
    <w:p w14:paraId="688ACE07" w14:textId="765C7C2A" w:rsidR="00830A3B" w:rsidRPr="000763B6" w:rsidRDefault="00830A3B" w:rsidP="001B73F9">
      <w:pPr>
        <w:autoSpaceDE w:val="0"/>
        <w:autoSpaceDN w:val="0"/>
        <w:adjustRightInd w:val="0"/>
        <w:spacing w:line="360" w:lineRule="auto"/>
        <w:rPr>
          <w:rFonts w:ascii="Segoe UI" w:hAnsi="Segoe UI" w:cs="Segoe UI"/>
          <w:sz w:val="20"/>
          <w:szCs w:val="20"/>
        </w:rPr>
      </w:pPr>
    </w:p>
    <w:p w14:paraId="782003A9" w14:textId="733E841B" w:rsidR="008C34C2" w:rsidRPr="000763B6" w:rsidRDefault="008C34C2" w:rsidP="001B73F9">
      <w:pPr>
        <w:autoSpaceDE w:val="0"/>
        <w:autoSpaceDN w:val="0"/>
        <w:adjustRightInd w:val="0"/>
        <w:spacing w:line="360" w:lineRule="auto"/>
        <w:rPr>
          <w:rFonts w:ascii="Segoe UI" w:hAnsi="Segoe UI" w:cs="Segoe UI"/>
          <w:sz w:val="20"/>
          <w:szCs w:val="20"/>
        </w:rPr>
      </w:pPr>
      <w:r w:rsidRPr="000763B6">
        <w:rPr>
          <w:rFonts w:ascii="Segoe UI" w:hAnsi="Segoe UI" w:cs="Segoe UI"/>
          <w:sz w:val="20"/>
          <w:szCs w:val="20"/>
        </w:rPr>
        <w:t xml:space="preserve">These contributions remind us that </w:t>
      </w:r>
      <w:r w:rsidR="00073435">
        <w:rPr>
          <w:rFonts w:ascii="Segoe UI" w:hAnsi="Segoe UI" w:cs="Segoe UI"/>
          <w:sz w:val="20"/>
          <w:szCs w:val="20"/>
        </w:rPr>
        <w:t xml:space="preserve">environmental </w:t>
      </w:r>
      <w:r w:rsidRPr="000763B6">
        <w:rPr>
          <w:rFonts w:ascii="Segoe UI" w:hAnsi="Segoe UI" w:cs="Segoe UI"/>
          <w:sz w:val="20"/>
          <w:szCs w:val="20"/>
        </w:rPr>
        <w:t xml:space="preserve">policy and management processes are many-headed beasts that can be engaged with, steered and influenced at many stages and in many ways. </w:t>
      </w:r>
      <w:r w:rsidR="00073435">
        <w:rPr>
          <w:rFonts w:ascii="Segoe UI" w:hAnsi="Segoe UI" w:cs="Segoe UI"/>
          <w:sz w:val="20"/>
          <w:szCs w:val="20"/>
        </w:rPr>
        <w:t>This is s</w:t>
      </w:r>
      <w:r w:rsidR="008103A0" w:rsidRPr="000763B6">
        <w:rPr>
          <w:rFonts w:ascii="Segoe UI" w:hAnsi="Segoe UI" w:cs="Segoe UI"/>
          <w:sz w:val="20"/>
          <w:szCs w:val="20"/>
        </w:rPr>
        <w:t xml:space="preserve">omething that perhaps </w:t>
      </w:r>
      <w:r w:rsidR="00187FEB" w:rsidRPr="000763B6">
        <w:rPr>
          <w:rFonts w:ascii="Segoe UI" w:hAnsi="Segoe UI" w:cs="Segoe UI"/>
          <w:sz w:val="20"/>
          <w:szCs w:val="20"/>
        </w:rPr>
        <w:t>feel</w:t>
      </w:r>
      <w:r w:rsidR="00073435">
        <w:rPr>
          <w:rFonts w:ascii="Segoe UI" w:hAnsi="Segoe UI" w:cs="Segoe UI"/>
          <w:sz w:val="20"/>
          <w:szCs w:val="20"/>
        </w:rPr>
        <w:t>s</w:t>
      </w:r>
      <w:r w:rsidR="008103A0" w:rsidRPr="000763B6">
        <w:rPr>
          <w:rFonts w:ascii="Segoe UI" w:hAnsi="Segoe UI" w:cs="Segoe UI"/>
          <w:sz w:val="20"/>
          <w:szCs w:val="20"/>
        </w:rPr>
        <w:t xml:space="preserve"> less obvious in the aftermath of a high-profile</w:t>
      </w:r>
      <w:r w:rsidR="00BC11EC">
        <w:rPr>
          <w:rFonts w:ascii="Segoe UI" w:hAnsi="Segoe UI" w:cs="Segoe UI"/>
          <w:sz w:val="20"/>
          <w:szCs w:val="20"/>
        </w:rPr>
        <w:t>, singular</w:t>
      </w:r>
      <w:r w:rsidR="008103A0" w:rsidRPr="000763B6">
        <w:rPr>
          <w:rFonts w:ascii="Segoe UI" w:hAnsi="Segoe UI" w:cs="Segoe UI"/>
          <w:sz w:val="20"/>
          <w:szCs w:val="20"/>
        </w:rPr>
        <w:t xml:space="preserve"> decision-making event such as referendum.</w:t>
      </w:r>
      <w:r w:rsidR="00073435">
        <w:rPr>
          <w:rFonts w:ascii="Segoe UI" w:hAnsi="Segoe UI" w:cs="Segoe UI"/>
          <w:sz w:val="20"/>
          <w:szCs w:val="20"/>
        </w:rPr>
        <w:t xml:space="preserve"> A theme that permeates the papers in this issue, and many previous contributions to </w:t>
      </w:r>
      <w:r w:rsidR="00073435" w:rsidRPr="00073435">
        <w:rPr>
          <w:rFonts w:ascii="Segoe UI" w:hAnsi="Segoe UI" w:cs="Segoe UI"/>
          <w:i/>
          <w:sz w:val="20"/>
          <w:szCs w:val="20"/>
        </w:rPr>
        <w:t>Environmental Values</w:t>
      </w:r>
      <w:r w:rsidR="00073435">
        <w:rPr>
          <w:rFonts w:ascii="Segoe UI" w:hAnsi="Segoe UI" w:cs="Segoe UI"/>
          <w:sz w:val="20"/>
          <w:szCs w:val="20"/>
        </w:rPr>
        <w:t>, is the strength and relative inertia of existing ways of knowing</w:t>
      </w:r>
      <w:r w:rsidR="00BC11EC">
        <w:rPr>
          <w:rFonts w:ascii="Segoe UI" w:hAnsi="Segoe UI" w:cs="Segoe UI"/>
          <w:sz w:val="20"/>
          <w:szCs w:val="20"/>
        </w:rPr>
        <w:t xml:space="preserve"> within policy and management processes</w:t>
      </w:r>
      <w:r w:rsidR="00073435">
        <w:rPr>
          <w:rFonts w:ascii="Segoe UI" w:hAnsi="Segoe UI" w:cs="Segoe UI"/>
          <w:sz w:val="20"/>
          <w:szCs w:val="20"/>
        </w:rPr>
        <w:t xml:space="preserve"> – </w:t>
      </w:r>
      <w:r w:rsidR="00F248A6">
        <w:rPr>
          <w:rFonts w:ascii="Segoe UI" w:hAnsi="Segoe UI" w:cs="Segoe UI"/>
          <w:sz w:val="20"/>
          <w:szCs w:val="20"/>
        </w:rPr>
        <w:t xml:space="preserve">established </w:t>
      </w:r>
      <w:r w:rsidR="00073435">
        <w:rPr>
          <w:rFonts w:ascii="Segoe UI" w:hAnsi="Segoe UI" w:cs="Segoe UI"/>
          <w:sz w:val="20"/>
          <w:szCs w:val="20"/>
        </w:rPr>
        <w:t xml:space="preserve">‘knowledge’ that is often resident within and attuned to powerful actors. It is apparent in the NOAA’s BiOps that facilitate continued dam operation at the very likely expense of salmon species, and in the discourse that surrounds continued steel production in southern Italy. It is perpetuated by established political processes such as the </w:t>
      </w:r>
      <w:r w:rsidR="00191D58">
        <w:rPr>
          <w:rFonts w:ascii="Segoe UI" w:hAnsi="Segoe UI" w:cs="Segoe UI"/>
          <w:sz w:val="20"/>
          <w:szCs w:val="20"/>
        </w:rPr>
        <w:t>TRC</w:t>
      </w:r>
      <w:r w:rsidR="00073435">
        <w:rPr>
          <w:rFonts w:ascii="Segoe UI" w:hAnsi="Segoe UI" w:cs="Segoe UI"/>
          <w:sz w:val="20"/>
          <w:szCs w:val="20"/>
        </w:rPr>
        <w:t xml:space="preserve"> model described by Esme Murdock and within our own cognitive processes for assimilating information about climate change. That established ways of knowing can set the agenda of environmental management is a phenomenon that has been apparent in my own work (e.g. Dandy et al, 2014) and it has often been the role of contributors to </w:t>
      </w:r>
      <w:r w:rsidR="00073435" w:rsidRPr="000209EE">
        <w:rPr>
          <w:rFonts w:ascii="Segoe UI" w:hAnsi="Segoe UI" w:cs="Segoe UI"/>
          <w:i/>
          <w:sz w:val="20"/>
          <w:szCs w:val="20"/>
        </w:rPr>
        <w:t>Environmental Values</w:t>
      </w:r>
      <w:r w:rsidR="00073435">
        <w:rPr>
          <w:rFonts w:ascii="Segoe UI" w:hAnsi="Segoe UI" w:cs="Segoe UI"/>
          <w:sz w:val="20"/>
          <w:szCs w:val="20"/>
        </w:rPr>
        <w:t xml:space="preserve"> to “</w:t>
      </w:r>
      <w:r w:rsidR="00073435" w:rsidRPr="00073435">
        <w:rPr>
          <w:rFonts w:ascii="Segoe UI" w:hAnsi="Segoe UI" w:cs="Segoe UI"/>
          <w:sz w:val="20"/>
          <w:szCs w:val="20"/>
        </w:rPr>
        <w:t>highlight the ways in which existing epistemic frameworks lead to self-fulfilling prophecies that require overturning</w:t>
      </w:r>
      <w:r w:rsidR="00073435">
        <w:rPr>
          <w:rFonts w:ascii="Segoe UI" w:hAnsi="Segoe UI" w:cs="Segoe UI"/>
          <w:sz w:val="20"/>
          <w:szCs w:val="20"/>
        </w:rPr>
        <w:t xml:space="preserve">” (Barr, 2017 p. </w:t>
      </w:r>
      <w:r w:rsidR="000209EE">
        <w:rPr>
          <w:rFonts w:ascii="Segoe UI" w:hAnsi="Segoe UI" w:cs="Segoe UI"/>
          <w:sz w:val="20"/>
          <w:szCs w:val="20"/>
        </w:rPr>
        <w:t xml:space="preserve">126). </w:t>
      </w:r>
    </w:p>
    <w:p w14:paraId="7F395251" w14:textId="77777777" w:rsidR="008C34C2" w:rsidRPr="000763B6" w:rsidRDefault="008C34C2" w:rsidP="001B73F9">
      <w:pPr>
        <w:autoSpaceDE w:val="0"/>
        <w:autoSpaceDN w:val="0"/>
        <w:adjustRightInd w:val="0"/>
        <w:spacing w:line="360" w:lineRule="auto"/>
        <w:rPr>
          <w:rFonts w:ascii="Segoe UI" w:hAnsi="Segoe UI" w:cs="Segoe UI"/>
          <w:sz w:val="20"/>
          <w:szCs w:val="20"/>
        </w:rPr>
      </w:pPr>
    </w:p>
    <w:p w14:paraId="054A7A9D" w14:textId="2D0A9E66" w:rsidR="00155DAB" w:rsidRPr="000209EE" w:rsidRDefault="00155DAB" w:rsidP="001B73F9">
      <w:pPr>
        <w:autoSpaceDE w:val="0"/>
        <w:autoSpaceDN w:val="0"/>
        <w:adjustRightInd w:val="0"/>
        <w:spacing w:line="360" w:lineRule="auto"/>
        <w:rPr>
          <w:rFonts w:ascii="Segoe UI" w:hAnsi="Segoe UI" w:cs="Segoe UI"/>
          <w:sz w:val="20"/>
          <w:szCs w:val="20"/>
        </w:rPr>
      </w:pPr>
    </w:p>
    <w:p w14:paraId="3E063710" w14:textId="5FFB6CB7" w:rsidR="00182E18" w:rsidRPr="000209EE" w:rsidRDefault="007965DE" w:rsidP="001B73F9">
      <w:pPr>
        <w:spacing w:line="360" w:lineRule="auto"/>
        <w:rPr>
          <w:rFonts w:ascii="Segoe UI" w:hAnsi="Segoe UI" w:cs="Segoe UI"/>
          <w:i/>
          <w:sz w:val="20"/>
          <w:szCs w:val="20"/>
        </w:rPr>
      </w:pPr>
      <w:r w:rsidRPr="000209EE">
        <w:rPr>
          <w:rFonts w:ascii="Segoe UI" w:hAnsi="Segoe UI" w:cs="Segoe UI"/>
          <w:i/>
          <w:sz w:val="20"/>
          <w:szCs w:val="20"/>
        </w:rPr>
        <w:t>References</w:t>
      </w:r>
    </w:p>
    <w:p w14:paraId="4B86A2FD" w14:textId="77777777" w:rsidR="007965DE" w:rsidRPr="000209EE" w:rsidRDefault="007965DE" w:rsidP="001B73F9">
      <w:pPr>
        <w:spacing w:line="360" w:lineRule="auto"/>
        <w:rPr>
          <w:rFonts w:ascii="Segoe UI" w:hAnsi="Segoe UI" w:cs="Segoe UI"/>
          <w:sz w:val="20"/>
          <w:szCs w:val="20"/>
        </w:rPr>
      </w:pPr>
    </w:p>
    <w:p w14:paraId="0F7B2EF7" w14:textId="38581C55" w:rsidR="00182E18" w:rsidRPr="000209EE" w:rsidRDefault="00182E18" w:rsidP="001B73F9">
      <w:pPr>
        <w:spacing w:line="360" w:lineRule="auto"/>
        <w:rPr>
          <w:rFonts w:ascii="Segoe UI" w:hAnsi="Segoe UI" w:cs="Segoe UI"/>
          <w:color w:val="000000"/>
          <w:sz w:val="20"/>
          <w:szCs w:val="20"/>
          <w:shd w:val="clear" w:color="auto" w:fill="FFFFFF"/>
        </w:rPr>
      </w:pPr>
      <w:r w:rsidRPr="000209EE">
        <w:rPr>
          <w:rFonts w:ascii="Segoe UI" w:hAnsi="Segoe UI" w:cs="Segoe UI"/>
          <w:sz w:val="20"/>
          <w:szCs w:val="20"/>
        </w:rPr>
        <w:t xml:space="preserve">Bach, T.M. and Larson, B.M.H 2017. ‘Speaking About Weeds: Indigenous Elders' Metaphors for Invasive Species and Their Management’ </w:t>
      </w:r>
      <w:r w:rsidRPr="000209EE">
        <w:rPr>
          <w:rFonts w:ascii="Segoe UI" w:hAnsi="Segoe UI" w:cs="Segoe UI"/>
          <w:i/>
          <w:iCs/>
          <w:sz w:val="20"/>
          <w:szCs w:val="20"/>
        </w:rPr>
        <w:t xml:space="preserve">Environmental Values </w:t>
      </w:r>
      <w:r w:rsidRPr="000209EE">
        <w:rPr>
          <w:rFonts w:ascii="Segoe UI" w:hAnsi="Segoe UI" w:cs="Segoe UI"/>
          <w:iCs/>
          <w:sz w:val="20"/>
          <w:szCs w:val="20"/>
        </w:rPr>
        <w:t xml:space="preserve">26(5): </w:t>
      </w:r>
      <w:r w:rsidRPr="000209EE">
        <w:rPr>
          <w:rFonts w:ascii="Segoe UI" w:hAnsi="Segoe UI" w:cs="Segoe UI"/>
          <w:color w:val="000000"/>
          <w:sz w:val="20"/>
          <w:szCs w:val="20"/>
          <w:shd w:val="clear" w:color="auto" w:fill="FFFFFF"/>
        </w:rPr>
        <w:t>561-581</w:t>
      </w:r>
    </w:p>
    <w:p w14:paraId="2743B382" w14:textId="77777777" w:rsidR="00182E18" w:rsidRPr="000763B6" w:rsidRDefault="00182E18" w:rsidP="001B73F9">
      <w:pPr>
        <w:spacing w:line="360" w:lineRule="auto"/>
        <w:rPr>
          <w:rFonts w:ascii="Segoe UI" w:hAnsi="Segoe UI" w:cs="Segoe UI"/>
          <w:color w:val="000000"/>
          <w:sz w:val="20"/>
          <w:szCs w:val="20"/>
          <w:shd w:val="clear" w:color="auto" w:fill="FFFFFF"/>
        </w:rPr>
      </w:pPr>
    </w:p>
    <w:p w14:paraId="03C57E85" w14:textId="630A80EF" w:rsidR="00182E18" w:rsidRPr="000763B6" w:rsidRDefault="00182E18" w:rsidP="001B73F9">
      <w:pPr>
        <w:spacing w:line="360" w:lineRule="auto"/>
        <w:rPr>
          <w:rFonts w:ascii="Segoe UI" w:hAnsi="Segoe UI" w:cs="Segoe UI"/>
          <w:sz w:val="20"/>
          <w:szCs w:val="20"/>
        </w:rPr>
      </w:pPr>
      <w:r w:rsidRPr="000763B6">
        <w:rPr>
          <w:rFonts w:ascii="Segoe UI" w:hAnsi="Segoe UI" w:cs="Segoe UI"/>
          <w:sz w:val="20"/>
          <w:szCs w:val="20"/>
        </w:rPr>
        <w:t xml:space="preserve">Barr, B. </w:t>
      </w:r>
      <w:r w:rsidRPr="000763B6">
        <w:rPr>
          <w:rFonts w:ascii="Segoe UI" w:hAnsi="Segoe UI" w:cs="Segoe UI"/>
          <w:sz w:val="20"/>
          <w:szCs w:val="20"/>
        </w:rPr>
        <w:t>2017</w:t>
      </w:r>
      <w:r w:rsidRPr="000763B6">
        <w:rPr>
          <w:rFonts w:ascii="Segoe UI" w:hAnsi="Segoe UI" w:cs="Segoe UI"/>
          <w:sz w:val="20"/>
          <w:szCs w:val="20"/>
        </w:rPr>
        <w:t xml:space="preserve">. ‘Knowledge, Expertise and Engagement’. </w:t>
      </w:r>
      <w:r w:rsidRPr="000763B6">
        <w:rPr>
          <w:rFonts w:ascii="Segoe UI" w:hAnsi="Segoe UI" w:cs="Segoe UI"/>
          <w:i/>
          <w:iCs/>
          <w:sz w:val="20"/>
          <w:szCs w:val="20"/>
        </w:rPr>
        <w:t xml:space="preserve">Environmental Values </w:t>
      </w:r>
      <w:r w:rsidRPr="000763B6">
        <w:rPr>
          <w:rFonts w:ascii="Segoe UI" w:hAnsi="Segoe UI" w:cs="Segoe UI"/>
          <w:b/>
          <w:bCs/>
          <w:sz w:val="20"/>
          <w:szCs w:val="20"/>
        </w:rPr>
        <w:t>26</w:t>
      </w:r>
      <w:r w:rsidRPr="000763B6">
        <w:rPr>
          <w:rFonts w:ascii="Segoe UI" w:hAnsi="Segoe UI" w:cs="Segoe UI"/>
          <w:sz w:val="20"/>
          <w:szCs w:val="20"/>
        </w:rPr>
        <w:t>(2): 125–130.</w:t>
      </w:r>
    </w:p>
    <w:p w14:paraId="1E3C4F8A" w14:textId="0D5B99B1" w:rsidR="00182E18" w:rsidRPr="000763B6" w:rsidRDefault="00182E18" w:rsidP="001B73F9">
      <w:pPr>
        <w:spacing w:line="360" w:lineRule="auto"/>
        <w:rPr>
          <w:rFonts w:ascii="Segoe UI" w:hAnsi="Segoe UI" w:cs="Segoe UI"/>
          <w:sz w:val="20"/>
          <w:szCs w:val="20"/>
        </w:rPr>
      </w:pPr>
    </w:p>
    <w:p w14:paraId="0E23D260" w14:textId="15CFC09D" w:rsidR="00BD2966" w:rsidRPr="000763B6" w:rsidRDefault="00BD2966" w:rsidP="001B73F9">
      <w:pPr>
        <w:spacing w:line="360" w:lineRule="auto"/>
        <w:rPr>
          <w:rFonts w:ascii="Segoe UI" w:hAnsi="Segoe UI" w:cs="Segoe UI"/>
          <w:sz w:val="20"/>
          <w:szCs w:val="20"/>
        </w:rPr>
      </w:pPr>
      <w:r w:rsidRPr="000763B6">
        <w:rPr>
          <w:rFonts w:ascii="Segoe UI" w:hAnsi="Segoe UI" w:cs="Segoe UI"/>
          <w:sz w:val="20"/>
          <w:szCs w:val="20"/>
        </w:rPr>
        <w:t xml:space="preserve">Bergsma, E. (2016) ‘Geographers Versus Managers: Expert Influence on the Construction of Values Underlying Flood Insurance in the United States’. </w:t>
      </w:r>
      <w:r w:rsidRPr="000763B6">
        <w:rPr>
          <w:rFonts w:ascii="Segoe UI" w:hAnsi="Segoe UI" w:cs="Segoe UI"/>
          <w:i/>
          <w:iCs/>
          <w:sz w:val="20"/>
          <w:szCs w:val="20"/>
        </w:rPr>
        <w:t>Environmental Values</w:t>
      </w:r>
      <w:r w:rsidRPr="000763B6">
        <w:rPr>
          <w:rFonts w:ascii="Segoe UI" w:hAnsi="Segoe UI" w:cs="Segoe UI"/>
          <w:sz w:val="20"/>
          <w:szCs w:val="20"/>
        </w:rPr>
        <w:t xml:space="preserve"> </w:t>
      </w:r>
      <w:r w:rsidRPr="000763B6">
        <w:rPr>
          <w:rFonts w:ascii="Segoe UI" w:hAnsi="Segoe UI" w:cs="Segoe UI"/>
          <w:sz w:val="20"/>
          <w:szCs w:val="20"/>
        </w:rPr>
        <w:t>25(6): 687-705.</w:t>
      </w:r>
    </w:p>
    <w:p w14:paraId="701C8F65" w14:textId="77777777" w:rsidR="00BD2966" w:rsidRPr="000763B6" w:rsidRDefault="00BD2966" w:rsidP="001B73F9">
      <w:pPr>
        <w:spacing w:line="360" w:lineRule="auto"/>
        <w:rPr>
          <w:rFonts w:ascii="Segoe UI" w:hAnsi="Segoe UI" w:cs="Segoe UI"/>
          <w:sz w:val="20"/>
          <w:szCs w:val="20"/>
        </w:rPr>
      </w:pPr>
    </w:p>
    <w:p w14:paraId="4A935E0D" w14:textId="0AC43030" w:rsidR="00182E18" w:rsidRPr="000763B6" w:rsidRDefault="00182E18" w:rsidP="001B73F9">
      <w:pPr>
        <w:spacing w:line="360" w:lineRule="auto"/>
        <w:rPr>
          <w:rFonts w:ascii="Segoe UI" w:hAnsi="Segoe UI" w:cs="Segoe UI"/>
          <w:color w:val="000000"/>
          <w:sz w:val="20"/>
          <w:szCs w:val="20"/>
          <w:shd w:val="clear" w:color="auto" w:fill="FFFFFF"/>
        </w:rPr>
      </w:pPr>
      <w:r w:rsidRPr="000763B6">
        <w:rPr>
          <w:rFonts w:ascii="Segoe UI" w:hAnsi="Segoe UI" w:cs="Segoe UI"/>
          <w:sz w:val="20"/>
          <w:szCs w:val="20"/>
        </w:rPr>
        <w:t xml:space="preserve">Bhattacharyya, J. and Larson, B.M.H 2014. ‘The Need for Indigenous Voices in Discourse about Introduced Species: Insights from a Controversy over Wild Horses’, </w:t>
      </w:r>
      <w:r w:rsidRPr="000763B6">
        <w:rPr>
          <w:rFonts w:ascii="Segoe UI" w:hAnsi="Segoe UI" w:cs="Segoe UI"/>
          <w:i/>
          <w:iCs/>
          <w:sz w:val="20"/>
          <w:szCs w:val="20"/>
        </w:rPr>
        <w:t xml:space="preserve">Environmental Values </w:t>
      </w:r>
      <w:r w:rsidRPr="000763B6">
        <w:rPr>
          <w:rFonts w:ascii="Segoe UI" w:hAnsi="Segoe UI" w:cs="Segoe UI"/>
          <w:sz w:val="20"/>
          <w:szCs w:val="20"/>
        </w:rPr>
        <w:t xml:space="preserve">23(6), </w:t>
      </w:r>
      <w:r w:rsidRPr="000763B6">
        <w:rPr>
          <w:rFonts w:ascii="Segoe UI" w:hAnsi="Segoe UI" w:cs="Segoe UI"/>
          <w:color w:val="000000"/>
          <w:sz w:val="20"/>
          <w:szCs w:val="20"/>
          <w:shd w:val="clear" w:color="auto" w:fill="FFFFFF"/>
        </w:rPr>
        <w:t>663-684</w:t>
      </w:r>
    </w:p>
    <w:p w14:paraId="237946C1" w14:textId="77777777" w:rsidR="00182E18" w:rsidRPr="000763B6" w:rsidRDefault="00182E18" w:rsidP="001B73F9">
      <w:pPr>
        <w:spacing w:line="360" w:lineRule="auto"/>
        <w:rPr>
          <w:rFonts w:ascii="Segoe UI" w:hAnsi="Segoe UI" w:cs="Segoe UI"/>
          <w:sz w:val="20"/>
          <w:szCs w:val="20"/>
        </w:rPr>
      </w:pPr>
    </w:p>
    <w:p w14:paraId="128BF93C" w14:textId="7E9C1F1E" w:rsidR="00182E18" w:rsidRPr="000763B6" w:rsidRDefault="00182E18" w:rsidP="001B73F9">
      <w:pPr>
        <w:pStyle w:val="FootnoteText"/>
        <w:spacing w:line="360" w:lineRule="auto"/>
        <w:rPr>
          <w:rFonts w:ascii="Segoe UI" w:hAnsi="Segoe UI" w:cs="Segoe UI"/>
        </w:rPr>
      </w:pPr>
      <w:r w:rsidRPr="000763B6">
        <w:rPr>
          <w:rFonts w:ascii="Segoe UI" w:hAnsi="Segoe UI" w:cs="Segoe UI"/>
        </w:rPr>
        <w:t xml:space="preserve">Brügger, A. and N. Pidgeon. 2018. ‘ Spatial Framing, Existing Associations and Climate Change Beliefs’. </w:t>
      </w:r>
      <w:r w:rsidRPr="000763B6">
        <w:rPr>
          <w:rFonts w:ascii="Segoe UI" w:hAnsi="Segoe UI" w:cs="Segoe UI"/>
          <w:i/>
        </w:rPr>
        <w:t>Environmental Values</w:t>
      </w:r>
      <w:r w:rsidRPr="000763B6">
        <w:rPr>
          <w:rFonts w:ascii="Segoe UI" w:hAnsi="Segoe UI" w:cs="Segoe UI"/>
        </w:rPr>
        <w:t xml:space="preserve"> 27(5): </w:t>
      </w:r>
      <w:r w:rsidRPr="000763B6">
        <w:rPr>
          <w:rFonts w:ascii="Segoe UI" w:hAnsi="Segoe UI" w:cs="Segoe UI"/>
          <w:highlight w:val="yellow"/>
        </w:rPr>
        <w:t>pages</w:t>
      </w:r>
      <w:r w:rsidRPr="000763B6">
        <w:rPr>
          <w:rFonts w:ascii="Segoe UI" w:hAnsi="Segoe UI" w:cs="Segoe UI"/>
        </w:rPr>
        <w:t>.</w:t>
      </w:r>
    </w:p>
    <w:p w14:paraId="4662CD44" w14:textId="6E9C4895" w:rsidR="00182E18" w:rsidRDefault="00182E18" w:rsidP="001B73F9">
      <w:pPr>
        <w:pStyle w:val="FootnoteText"/>
        <w:spacing w:line="360" w:lineRule="auto"/>
        <w:rPr>
          <w:rFonts w:ascii="Segoe UI" w:hAnsi="Segoe UI" w:cs="Segoe UI"/>
        </w:rPr>
      </w:pPr>
    </w:p>
    <w:p w14:paraId="7C997E81" w14:textId="6EEDC2EA" w:rsidR="00073435" w:rsidRDefault="00073435" w:rsidP="001B73F9">
      <w:pPr>
        <w:pStyle w:val="FootnoteText"/>
        <w:spacing w:line="360" w:lineRule="auto"/>
        <w:rPr>
          <w:rFonts w:ascii="Segoe UI" w:hAnsi="Segoe UI" w:cs="Segoe UI"/>
        </w:rPr>
      </w:pPr>
      <w:r>
        <w:rPr>
          <w:rFonts w:ascii="Segoe UI" w:hAnsi="Segoe UI" w:cs="Segoe UI"/>
        </w:rPr>
        <w:t>Dandy, N., S. Fiorini and A.L. Davies. 2014. ‘</w:t>
      </w:r>
      <w:r w:rsidRPr="00073435">
        <w:rPr>
          <w:rFonts w:ascii="Segoe UI" w:hAnsi="Segoe UI" w:cs="Segoe UI"/>
        </w:rPr>
        <w:t>Agenda-setting and power in collaborative natural resource management</w:t>
      </w:r>
      <w:r>
        <w:rPr>
          <w:rFonts w:ascii="Segoe UI" w:hAnsi="Segoe UI" w:cs="Segoe UI"/>
        </w:rPr>
        <w:t xml:space="preserve">’. </w:t>
      </w:r>
      <w:r w:rsidRPr="00073435">
        <w:rPr>
          <w:rFonts w:ascii="Segoe UI" w:hAnsi="Segoe UI" w:cs="Segoe UI"/>
          <w:i/>
        </w:rPr>
        <w:t>Environmental Conservation</w:t>
      </w:r>
      <w:r>
        <w:rPr>
          <w:rFonts w:ascii="Segoe UI" w:hAnsi="Segoe UI" w:cs="Segoe UI"/>
        </w:rPr>
        <w:t xml:space="preserve"> 41</w:t>
      </w:r>
      <w:r w:rsidRPr="00073435">
        <w:rPr>
          <w:rFonts w:ascii="Segoe UI" w:hAnsi="Segoe UI" w:cs="Segoe UI"/>
        </w:rPr>
        <w:t>(4): 311–320</w:t>
      </w:r>
      <w:r>
        <w:rPr>
          <w:rFonts w:ascii="Segoe UI" w:hAnsi="Segoe UI" w:cs="Segoe UI"/>
        </w:rPr>
        <w:t>.</w:t>
      </w:r>
    </w:p>
    <w:p w14:paraId="6E185122" w14:textId="77777777" w:rsidR="00073435" w:rsidRPr="000763B6" w:rsidRDefault="00073435" w:rsidP="001B73F9">
      <w:pPr>
        <w:pStyle w:val="FootnoteText"/>
        <w:spacing w:line="360" w:lineRule="auto"/>
        <w:rPr>
          <w:rFonts w:ascii="Segoe UI" w:hAnsi="Segoe UI" w:cs="Segoe UI"/>
        </w:rPr>
      </w:pPr>
    </w:p>
    <w:p w14:paraId="26A7F75F" w14:textId="1BF9E925" w:rsidR="00F82963" w:rsidRPr="000763B6" w:rsidRDefault="00F82963" w:rsidP="001B73F9">
      <w:pPr>
        <w:pStyle w:val="FootnoteText"/>
        <w:spacing w:line="360" w:lineRule="auto"/>
        <w:rPr>
          <w:rFonts w:ascii="Segoe UI" w:hAnsi="Segoe UI" w:cs="Segoe UI"/>
        </w:rPr>
      </w:pPr>
      <w:r w:rsidRPr="000763B6">
        <w:rPr>
          <w:rFonts w:ascii="Segoe UI" w:hAnsi="Segoe UI" w:cs="Segoe UI"/>
        </w:rPr>
        <w:t xml:space="preserve">Davies, W., S. Wright and J. van Alstine. 2017. </w:t>
      </w:r>
      <w:r w:rsidR="005D2FCA" w:rsidRPr="000763B6">
        <w:rPr>
          <w:rFonts w:ascii="Segoe UI" w:hAnsi="Segoe UI" w:cs="Segoe UI"/>
        </w:rPr>
        <w:t>‘</w:t>
      </w:r>
      <w:r w:rsidRPr="000763B6">
        <w:rPr>
          <w:rFonts w:ascii="Segoe UI" w:hAnsi="Segoe UI" w:cs="Segoe UI"/>
        </w:rPr>
        <w:t>Framing a ‘Climate Change Frontier’:</w:t>
      </w:r>
      <w:r w:rsidRPr="000763B6">
        <w:rPr>
          <w:rFonts w:ascii="Segoe UI" w:hAnsi="Segoe UI" w:cs="Segoe UI"/>
        </w:rPr>
        <w:t xml:space="preserve"> </w:t>
      </w:r>
      <w:r w:rsidRPr="000763B6">
        <w:rPr>
          <w:rFonts w:ascii="Segoe UI" w:hAnsi="Segoe UI" w:cs="Segoe UI"/>
        </w:rPr>
        <w:t>International News Media Coverage Surrounding</w:t>
      </w:r>
      <w:r w:rsidRPr="000763B6">
        <w:rPr>
          <w:rFonts w:ascii="Segoe UI" w:hAnsi="Segoe UI" w:cs="Segoe UI"/>
        </w:rPr>
        <w:t xml:space="preserve"> </w:t>
      </w:r>
      <w:r w:rsidRPr="000763B6">
        <w:rPr>
          <w:rFonts w:ascii="Segoe UI" w:hAnsi="Segoe UI" w:cs="Segoe UI"/>
        </w:rPr>
        <w:t>Natural Resource Development in Greenland</w:t>
      </w:r>
      <w:r w:rsidRPr="000763B6">
        <w:rPr>
          <w:rFonts w:ascii="Segoe UI" w:hAnsi="Segoe UI" w:cs="Segoe UI"/>
        </w:rPr>
        <w:t xml:space="preserve">’. </w:t>
      </w:r>
      <w:r w:rsidRPr="000763B6">
        <w:rPr>
          <w:rFonts w:ascii="Segoe UI" w:hAnsi="Segoe UI" w:cs="Segoe UI"/>
          <w:i/>
        </w:rPr>
        <w:t>Environmental Values</w:t>
      </w:r>
      <w:r w:rsidRPr="000763B6">
        <w:rPr>
          <w:rFonts w:ascii="Segoe UI" w:hAnsi="Segoe UI" w:cs="Segoe UI"/>
        </w:rPr>
        <w:t xml:space="preserve"> 26(4): 481–502.</w:t>
      </w:r>
    </w:p>
    <w:p w14:paraId="5C690365" w14:textId="77777777" w:rsidR="00F82963" w:rsidRPr="000763B6" w:rsidRDefault="00F82963" w:rsidP="001B73F9">
      <w:pPr>
        <w:pStyle w:val="FootnoteText"/>
        <w:spacing w:line="360" w:lineRule="auto"/>
        <w:rPr>
          <w:rFonts w:ascii="Segoe UI" w:hAnsi="Segoe UI" w:cs="Segoe UI"/>
        </w:rPr>
      </w:pPr>
    </w:p>
    <w:p w14:paraId="1EE5247A" w14:textId="77777777" w:rsidR="00182E18" w:rsidRPr="000763B6" w:rsidRDefault="00182E18" w:rsidP="001B73F9">
      <w:pPr>
        <w:pStyle w:val="FootnoteText"/>
        <w:spacing w:line="360" w:lineRule="auto"/>
        <w:rPr>
          <w:rFonts w:ascii="Segoe UI" w:hAnsi="Segoe UI" w:cs="Segoe UI"/>
        </w:rPr>
      </w:pPr>
      <w:r w:rsidRPr="000763B6">
        <w:rPr>
          <w:rFonts w:ascii="Segoe UI" w:hAnsi="Segoe UI" w:cs="Segoe UI"/>
        </w:rPr>
        <w:t xml:space="preserve">Greco, L. and F. Bagnardi. 2018. ‘In the Name of Science and Technology: The Post-Political Environmental Debate and the Taranto Steel Plant (Italy)’. </w:t>
      </w:r>
      <w:r w:rsidRPr="000763B6">
        <w:rPr>
          <w:rFonts w:ascii="Segoe UI" w:hAnsi="Segoe UI" w:cs="Segoe UI"/>
          <w:i/>
        </w:rPr>
        <w:t>Environmental Values</w:t>
      </w:r>
      <w:r w:rsidRPr="000763B6">
        <w:rPr>
          <w:rFonts w:ascii="Segoe UI" w:hAnsi="Segoe UI" w:cs="Segoe UI"/>
        </w:rPr>
        <w:t xml:space="preserve"> 27(5): </w:t>
      </w:r>
      <w:r w:rsidRPr="000763B6">
        <w:rPr>
          <w:rFonts w:ascii="Segoe UI" w:hAnsi="Segoe UI" w:cs="Segoe UI"/>
          <w:highlight w:val="yellow"/>
        </w:rPr>
        <w:t>pages</w:t>
      </w:r>
      <w:r w:rsidRPr="000763B6">
        <w:rPr>
          <w:rFonts w:ascii="Segoe UI" w:hAnsi="Segoe UI" w:cs="Segoe UI"/>
        </w:rPr>
        <w:t>.</w:t>
      </w:r>
    </w:p>
    <w:p w14:paraId="050DC700" w14:textId="77777777" w:rsidR="00182E18" w:rsidRPr="000763B6" w:rsidRDefault="00182E18" w:rsidP="001B73F9">
      <w:pPr>
        <w:pStyle w:val="FootnoteText"/>
        <w:spacing w:line="360" w:lineRule="auto"/>
        <w:rPr>
          <w:rFonts w:ascii="Segoe UI" w:hAnsi="Segoe UI" w:cs="Segoe UI"/>
        </w:rPr>
      </w:pPr>
    </w:p>
    <w:p w14:paraId="57B52034" w14:textId="57697DD9" w:rsidR="00182E18" w:rsidRPr="000763B6" w:rsidRDefault="00182E18" w:rsidP="001B73F9">
      <w:pPr>
        <w:pStyle w:val="FootnoteText"/>
        <w:spacing w:line="360" w:lineRule="auto"/>
        <w:rPr>
          <w:rFonts w:ascii="Segoe UI" w:hAnsi="Segoe UI" w:cs="Segoe UI"/>
        </w:rPr>
      </w:pPr>
      <w:r w:rsidRPr="000763B6">
        <w:rPr>
          <w:rFonts w:ascii="Segoe UI" w:hAnsi="Segoe UI" w:cs="Segoe UI"/>
        </w:rPr>
        <w:t xml:space="preserve">Hirsh, S. and J. Long. 2018. ‘Non-Epistemic Values in Adaptive Management: Framing Possibilities in the Legal Context of Endangered Columbia River Salmon’. </w:t>
      </w:r>
      <w:r w:rsidRPr="000763B6">
        <w:rPr>
          <w:rFonts w:ascii="Segoe UI" w:hAnsi="Segoe UI" w:cs="Segoe UI"/>
          <w:i/>
        </w:rPr>
        <w:t>Environmental Values</w:t>
      </w:r>
      <w:r w:rsidRPr="000763B6">
        <w:rPr>
          <w:rFonts w:ascii="Segoe UI" w:hAnsi="Segoe UI" w:cs="Segoe UI"/>
        </w:rPr>
        <w:t xml:space="preserve"> 27(5): </w:t>
      </w:r>
      <w:r w:rsidRPr="000763B6">
        <w:rPr>
          <w:rFonts w:ascii="Segoe UI" w:hAnsi="Segoe UI" w:cs="Segoe UI"/>
          <w:highlight w:val="yellow"/>
        </w:rPr>
        <w:t>pages</w:t>
      </w:r>
      <w:r w:rsidRPr="000763B6">
        <w:rPr>
          <w:rFonts w:ascii="Segoe UI" w:hAnsi="Segoe UI" w:cs="Segoe UI"/>
        </w:rPr>
        <w:t>.</w:t>
      </w:r>
    </w:p>
    <w:p w14:paraId="6EEA95E7" w14:textId="77777777" w:rsidR="00182E18" w:rsidRPr="000763B6" w:rsidRDefault="00182E18" w:rsidP="001B73F9">
      <w:pPr>
        <w:pStyle w:val="Default"/>
        <w:spacing w:line="360" w:lineRule="auto"/>
        <w:rPr>
          <w:rFonts w:ascii="Segoe UI" w:hAnsi="Segoe UI" w:cs="Segoe UI"/>
          <w:sz w:val="20"/>
          <w:szCs w:val="20"/>
        </w:rPr>
      </w:pPr>
    </w:p>
    <w:p w14:paraId="5AA15A75" w14:textId="7C980451" w:rsidR="00182E18" w:rsidRPr="000763B6" w:rsidRDefault="00182E18" w:rsidP="001B73F9">
      <w:pPr>
        <w:pStyle w:val="Default"/>
        <w:spacing w:line="360" w:lineRule="auto"/>
        <w:rPr>
          <w:rFonts w:ascii="Segoe UI" w:hAnsi="Segoe UI" w:cs="Segoe UI"/>
          <w:sz w:val="20"/>
          <w:szCs w:val="20"/>
        </w:rPr>
      </w:pPr>
      <w:r w:rsidRPr="000763B6">
        <w:rPr>
          <w:rFonts w:ascii="Segoe UI" w:hAnsi="Segoe UI" w:cs="Segoe UI"/>
          <w:sz w:val="20"/>
          <w:szCs w:val="20"/>
        </w:rPr>
        <w:t xml:space="preserve">Murdock, E. 2018. ‘Unsettling Reconciliation: Decolonial Methods for Transforming Social-Ecological Systems’. </w:t>
      </w:r>
      <w:r w:rsidRPr="000763B6">
        <w:rPr>
          <w:rFonts w:ascii="Segoe UI" w:hAnsi="Segoe UI" w:cs="Segoe UI"/>
          <w:i/>
          <w:sz w:val="20"/>
          <w:szCs w:val="20"/>
        </w:rPr>
        <w:t>Environmental Values</w:t>
      </w:r>
      <w:r w:rsidRPr="000763B6">
        <w:rPr>
          <w:rFonts w:ascii="Segoe UI" w:hAnsi="Segoe UI" w:cs="Segoe UI"/>
          <w:sz w:val="20"/>
          <w:szCs w:val="20"/>
        </w:rPr>
        <w:t xml:space="preserve"> 27(5): </w:t>
      </w:r>
      <w:r w:rsidRPr="000763B6">
        <w:rPr>
          <w:rFonts w:ascii="Segoe UI" w:hAnsi="Segoe UI" w:cs="Segoe UI"/>
          <w:sz w:val="20"/>
          <w:szCs w:val="20"/>
          <w:highlight w:val="yellow"/>
        </w:rPr>
        <w:t>pages</w:t>
      </w:r>
      <w:r w:rsidRPr="000763B6">
        <w:rPr>
          <w:rFonts w:ascii="Segoe UI" w:hAnsi="Segoe UI" w:cs="Segoe UI"/>
          <w:sz w:val="20"/>
          <w:szCs w:val="20"/>
        </w:rPr>
        <w:t>.</w:t>
      </w:r>
    </w:p>
    <w:p w14:paraId="7BC2F3DF" w14:textId="77777777" w:rsidR="00182E18" w:rsidRPr="000763B6" w:rsidRDefault="00182E18" w:rsidP="001B73F9">
      <w:pPr>
        <w:pStyle w:val="Default"/>
        <w:spacing w:line="360" w:lineRule="auto"/>
        <w:rPr>
          <w:rFonts w:ascii="Segoe UI" w:hAnsi="Segoe UI" w:cs="Segoe UI"/>
          <w:sz w:val="20"/>
          <w:szCs w:val="20"/>
        </w:rPr>
      </w:pPr>
    </w:p>
    <w:p w14:paraId="7B182619" w14:textId="3885B023" w:rsidR="00182E18" w:rsidRPr="000763B6" w:rsidRDefault="00182E18" w:rsidP="001B73F9">
      <w:pPr>
        <w:pStyle w:val="Default"/>
        <w:spacing w:line="360" w:lineRule="auto"/>
        <w:rPr>
          <w:rFonts w:ascii="Segoe UI" w:hAnsi="Segoe UI" w:cs="Segoe UI"/>
          <w:sz w:val="20"/>
          <w:szCs w:val="20"/>
        </w:rPr>
      </w:pPr>
      <w:r w:rsidRPr="000763B6">
        <w:rPr>
          <w:rFonts w:ascii="Segoe UI" w:hAnsi="Segoe UI" w:cs="Segoe UI"/>
          <w:sz w:val="20"/>
          <w:szCs w:val="20"/>
        </w:rPr>
        <w:t xml:space="preserve">Merrill, S., J. Kartez, K. Langbehn, F. Muller-Karger and C.J. Reynolds. 2018. ‘Who Should Pay for Climate Adaptation? Public Attitudes and the Financing of Flood Protection in Florida’. </w:t>
      </w:r>
      <w:r w:rsidRPr="000763B6">
        <w:rPr>
          <w:rFonts w:ascii="Segoe UI" w:hAnsi="Segoe UI" w:cs="Segoe UI"/>
          <w:i/>
          <w:sz w:val="20"/>
          <w:szCs w:val="20"/>
        </w:rPr>
        <w:t>Environmental Values</w:t>
      </w:r>
      <w:r w:rsidRPr="000763B6">
        <w:rPr>
          <w:rFonts w:ascii="Segoe UI" w:hAnsi="Segoe UI" w:cs="Segoe UI"/>
          <w:sz w:val="20"/>
          <w:szCs w:val="20"/>
        </w:rPr>
        <w:t xml:space="preserve"> 27(5): </w:t>
      </w:r>
      <w:r w:rsidRPr="000763B6">
        <w:rPr>
          <w:rFonts w:ascii="Segoe UI" w:hAnsi="Segoe UI" w:cs="Segoe UI"/>
          <w:sz w:val="20"/>
          <w:szCs w:val="20"/>
          <w:highlight w:val="yellow"/>
        </w:rPr>
        <w:t>pages</w:t>
      </w:r>
      <w:r w:rsidRPr="000763B6">
        <w:rPr>
          <w:rFonts w:ascii="Segoe UI" w:hAnsi="Segoe UI" w:cs="Segoe UI"/>
          <w:sz w:val="20"/>
          <w:szCs w:val="20"/>
        </w:rPr>
        <w:t>.</w:t>
      </w:r>
    </w:p>
    <w:p w14:paraId="434EF0B1" w14:textId="77777777" w:rsidR="00182E18" w:rsidRPr="000763B6" w:rsidRDefault="00182E18" w:rsidP="001B73F9">
      <w:pPr>
        <w:spacing w:line="360" w:lineRule="auto"/>
        <w:rPr>
          <w:rFonts w:ascii="Segoe UI" w:hAnsi="Segoe UI" w:cs="Segoe UI"/>
          <w:sz w:val="20"/>
          <w:szCs w:val="20"/>
        </w:rPr>
      </w:pPr>
    </w:p>
    <w:p w14:paraId="687A86FD" w14:textId="0112A4F5" w:rsidR="00182E18" w:rsidRPr="000763B6" w:rsidRDefault="00182E18" w:rsidP="001B73F9">
      <w:pPr>
        <w:spacing w:line="360" w:lineRule="auto"/>
        <w:rPr>
          <w:rFonts w:ascii="Segoe UI" w:hAnsi="Segoe UI" w:cs="Segoe UI"/>
          <w:sz w:val="20"/>
          <w:szCs w:val="20"/>
        </w:rPr>
      </w:pPr>
      <w:r w:rsidRPr="000763B6">
        <w:rPr>
          <w:rFonts w:ascii="Segoe UI" w:hAnsi="Segoe UI" w:cs="Segoe UI"/>
          <w:sz w:val="20"/>
          <w:szCs w:val="20"/>
        </w:rPr>
        <w:t xml:space="preserve">Reed, M.S., J. Kenter, A. Bonn, K. Broad, T.P. Burt, I.R. Fazey, E.D.G. Fraser, K. Hubacek, D. Nainggolan, C.H. Quinn, L.C. Stringer and F. Ravera. 2013. ‘Participatory scenario development for environmental </w:t>
      </w:r>
      <w:r w:rsidRPr="000763B6">
        <w:rPr>
          <w:rFonts w:ascii="Segoe UI" w:hAnsi="Segoe UI" w:cs="Segoe UI"/>
          <w:sz w:val="20"/>
          <w:szCs w:val="20"/>
        </w:rPr>
        <w:lastRenderedPageBreak/>
        <w:t xml:space="preserve">management: A methodological framework illustrated with experience from the UK uplands’. </w:t>
      </w:r>
      <w:r w:rsidRPr="000763B6">
        <w:rPr>
          <w:rFonts w:ascii="Segoe UI" w:hAnsi="Segoe UI" w:cs="Segoe UI"/>
          <w:i/>
          <w:sz w:val="20"/>
          <w:szCs w:val="20"/>
        </w:rPr>
        <w:t>Journal of Environmental Management</w:t>
      </w:r>
      <w:r w:rsidRPr="000763B6">
        <w:rPr>
          <w:rFonts w:ascii="Segoe UI" w:hAnsi="Segoe UI" w:cs="Segoe UI"/>
          <w:sz w:val="20"/>
          <w:szCs w:val="20"/>
        </w:rPr>
        <w:t xml:space="preserve"> 128: 345-362. </w:t>
      </w:r>
      <w:bookmarkStart w:id="0" w:name="_GoBack"/>
      <w:bookmarkEnd w:id="0"/>
    </w:p>
    <w:p w14:paraId="2C1D5F9D" w14:textId="77777777" w:rsidR="00C94910" w:rsidRPr="000763B6" w:rsidRDefault="00C94910" w:rsidP="001B73F9">
      <w:pPr>
        <w:autoSpaceDE w:val="0"/>
        <w:autoSpaceDN w:val="0"/>
        <w:adjustRightInd w:val="0"/>
        <w:spacing w:line="360" w:lineRule="auto"/>
        <w:rPr>
          <w:rFonts w:ascii="Segoe UI" w:hAnsi="Segoe UI" w:cs="Segoe UI"/>
          <w:sz w:val="20"/>
          <w:szCs w:val="20"/>
        </w:rPr>
      </w:pPr>
    </w:p>
    <w:p w14:paraId="7DE9E525" w14:textId="528ED41F" w:rsidR="00DA2341" w:rsidRDefault="00DA2341" w:rsidP="001B73F9">
      <w:pPr>
        <w:autoSpaceDE w:val="0"/>
        <w:autoSpaceDN w:val="0"/>
        <w:adjustRightInd w:val="0"/>
        <w:spacing w:line="360" w:lineRule="auto"/>
        <w:rPr>
          <w:rFonts w:ascii="Segoe UI" w:hAnsi="Segoe UI" w:cs="Segoe UI"/>
          <w:sz w:val="20"/>
          <w:szCs w:val="20"/>
        </w:rPr>
      </w:pPr>
    </w:p>
    <w:p w14:paraId="4C6C88F2" w14:textId="74390585" w:rsidR="00BB555F" w:rsidRPr="00BB555F" w:rsidRDefault="00BB555F" w:rsidP="00BB555F">
      <w:pPr>
        <w:autoSpaceDE w:val="0"/>
        <w:autoSpaceDN w:val="0"/>
        <w:adjustRightInd w:val="0"/>
        <w:spacing w:line="360" w:lineRule="auto"/>
        <w:jc w:val="right"/>
        <w:rPr>
          <w:rFonts w:ascii="Segoe UI" w:hAnsi="Segoe UI" w:cs="Segoe UI"/>
          <w:b/>
          <w:sz w:val="20"/>
          <w:szCs w:val="20"/>
        </w:rPr>
      </w:pPr>
      <w:r w:rsidRPr="00BB555F">
        <w:rPr>
          <w:rFonts w:ascii="Segoe UI" w:hAnsi="Segoe UI" w:cs="Segoe UI"/>
          <w:b/>
          <w:sz w:val="20"/>
          <w:szCs w:val="20"/>
        </w:rPr>
        <w:t>NORMAN DANDY</w:t>
      </w:r>
    </w:p>
    <w:p w14:paraId="2753F00A" w14:textId="5ACAE322" w:rsidR="00BB555F" w:rsidRDefault="00BB555F" w:rsidP="00BB555F">
      <w:pPr>
        <w:autoSpaceDE w:val="0"/>
        <w:autoSpaceDN w:val="0"/>
        <w:adjustRightInd w:val="0"/>
        <w:spacing w:line="360" w:lineRule="auto"/>
        <w:jc w:val="right"/>
        <w:rPr>
          <w:rFonts w:ascii="Segoe UI" w:hAnsi="Segoe UI" w:cs="Segoe UI"/>
          <w:sz w:val="20"/>
          <w:szCs w:val="20"/>
        </w:rPr>
      </w:pPr>
      <w:r>
        <w:rPr>
          <w:rFonts w:ascii="Segoe UI" w:hAnsi="Segoe UI" w:cs="Segoe UI"/>
          <w:sz w:val="20"/>
          <w:szCs w:val="20"/>
        </w:rPr>
        <w:t>Sir William Roberts Centre for Sustainable Land Use</w:t>
      </w:r>
    </w:p>
    <w:p w14:paraId="3478807F" w14:textId="62445604" w:rsidR="00BB555F" w:rsidRDefault="00BB555F" w:rsidP="00BB555F">
      <w:pPr>
        <w:autoSpaceDE w:val="0"/>
        <w:autoSpaceDN w:val="0"/>
        <w:adjustRightInd w:val="0"/>
        <w:spacing w:line="360" w:lineRule="auto"/>
        <w:jc w:val="right"/>
        <w:rPr>
          <w:rFonts w:ascii="Segoe UI" w:hAnsi="Segoe UI" w:cs="Segoe UI"/>
          <w:sz w:val="20"/>
          <w:szCs w:val="20"/>
        </w:rPr>
      </w:pPr>
      <w:r>
        <w:rPr>
          <w:rFonts w:ascii="Segoe UI" w:hAnsi="Segoe UI" w:cs="Segoe UI"/>
          <w:sz w:val="20"/>
          <w:szCs w:val="20"/>
        </w:rPr>
        <w:t xml:space="preserve">School of Natural Sciences </w:t>
      </w:r>
    </w:p>
    <w:p w14:paraId="72A4D481" w14:textId="2E4403E0" w:rsidR="00BB555F" w:rsidRDefault="00BB555F" w:rsidP="00BB555F">
      <w:pPr>
        <w:autoSpaceDE w:val="0"/>
        <w:autoSpaceDN w:val="0"/>
        <w:adjustRightInd w:val="0"/>
        <w:spacing w:line="360" w:lineRule="auto"/>
        <w:jc w:val="right"/>
        <w:rPr>
          <w:rFonts w:ascii="Segoe UI" w:hAnsi="Segoe UI" w:cs="Segoe UI"/>
          <w:sz w:val="20"/>
          <w:szCs w:val="20"/>
        </w:rPr>
      </w:pPr>
      <w:r>
        <w:rPr>
          <w:rFonts w:ascii="Segoe UI" w:hAnsi="Segoe UI" w:cs="Segoe UI"/>
          <w:sz w:val="20"/>
          <w:szCs w:val="20"/>
        </w:rPr>
        <w:t>Bangor University</w:t>
      </w:r>
    </w:p>
    <w:p w14:paraId="0255733C" w14:textId="4E2C816E" w:rsidR="00BB555F" w:rsidRDefault="00BB555F" w:rsidP="00BB555F">
      <w:pPr>
        <w:autoSpaceDE w:val="0"/>
        <w:autoSpaceDN w:val="0"/>
        <w:adjustRightInd w:val="0"/>
        <w:spacing w:line="360" w:lineRule="auto"/>
        <w:jc w:val="right"/>
        <w:rPr>
          <w:rFonts w:ascii="Segoe UI" w:hAnsi="Segoe UI" w:cs="Segoe UI"/>
          <w:sz w:val="20"/>
          <w:szCs w:val="20"/>
        </w:rPr>
      </w:pPr>
      <w:r>
        <w:rPr>
          <w:rFonts w:ascii="Segoe UI" w:hAnsi="Segoe UI" w:cs="Segoe UI"/>
          <w:sz w:val="20"/>
          <w:szCs w:val="20"/>
        </w:rPr>
        <w:t>Bangor</w:t>
      </w:r>
    </w:p>
    <w:p w14:paraId="1C6E2B4F" w14:textId="08C5E199" w:rsidR="00BB555F" w:rsidRPr="000763B6" w:rsidRDefault="00BB555F" w:rsidP="00BB555F">
      <w:pPr>
        <w:autoSpaceDE w:val="0"/>
        <w:autoSpaceDN w:val="0"/>
        <w:adjustRightInd w:val="0"/>
        <w:spacing w:line="360" w:lineRule="auto"/>
        <w:jc w:val="right"/>
        <w:rPr>
          <w:rFonts w:ascii="Segoe UI" w:hAnsi="Segoe UI" w:cs="Segoe UI"/>
          <w:sz w:val="20"/>
          <w:szCs w:val="20"/>
        </w:rPr>
      </w:pPr>
      <w:r w:rsidRPr="00BB555F">
        <w:rPr>
          <w:rFonts w:ascii="Segoe UI" w:hAnsi="Segoe UI" w:cs="Segoe UI"/>
          <w:sz w:val="20"/>
          <w:szCs w:val="20"/>
        </w:rPr>
        <w:t>Gwynedd, LL57 2DG</w:t>
      </w:r>
    </w:p>
    <w:p w14:paraId="1108B7DA" w14:textId="77777777" w:rsidR="00CF01D8" w:rsidRPr="000763B6" w:rsidRDefault="00C23BA1" w:rsidP="001B73F9">
      <w:pPr>
        <w:spacing w:line="360" w:lineRule="auto"/>
        <w:rPr>
          <w:rFonts w:ascii="Segoe UI" w:hAnsi="Segoe UI" w:cs="Segoe UI"/>
          <w:sz w:val="20"/>
          <w:szCs w:val="20"/>
        </w:rPr>
      </w:pPr>
    </w:p>
    <w:sectPr w:rsidR="00CF01D8" w:rsidRPr="000763B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2FA5A" w16cid:durableId="1F09641D"/>
  <w16cid:commentId w16cid:paraId="6CB303A5" w16cid:durableId="1F057DFF"/>
  <w16cid:commentId w16cid:paraId="0F391FAE" w16cid:durableId="1F0974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B83FB" w14:textId="77777777" w:rsidR="00997695" w:rsidRDefault="00997695" w:rsidP="00997695">
      <w:r>
        <w:separator/>
      </w:r>
    </w:p>
  </w:endnote>
  <w:endnote w:type="continuationSeparator" w:id="0">
    <w:p w14:paraId="264D40EC" w14:textId="77777777" w:rsidR="00997695" w:rsidRDefault="00997695" w:rsidP="0099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D1D1" w14:textId="77777777" w:rsidR="00997695" w:rsidRDefault="00997695" w:rsidP="00997695">
      <w:r>
        <w:separator/>
      </w:r>
    </w:p>
  </w:footnote>
  <w:footnote w:type="continuationSeparator" w:id="0">
    <w:p w14:paraId="2FAC0B13" w14:textId="77777777" w:rsidR="00997695" w:rsidRDefault="00997695" w:rsidP="00997695">
      <w:r>
        <w:continuationSeparator/>
      </w:r>
    </w:p>
  </w:footnote>
  <w:footnote w:id="1">
    <w:p w14:paraId="30BB4C7F" w14:textId="77777777" w:rsidR="004A22FF" w:rsidRDefault="004A22FF">
      <w:pPr>
        <w:pStyle w:val="FootnoteText"/>
      </w:pPr>
      <w:r>
        <w:rPr>
          <w:rStyle w:val="FootnoteReference"/>
        </w:rPr>
        <w:footnoteRef/>
      </w:r>
      <w:r>
        <w:t xml:space="preserve"> Theresa May MP, speech to the Royal Welsh Show, July 26</w:t>
      </w:r>
      <w:r w:rsidRPr="004A22FF">
        <w:rPr>
          <w:vertAlign w:val="superscript"/>
        </w:rPr>
        <w:t>th</w:t>
      </w:r>
      <w:r>
        <w:t xml:space="preserve"> 2018. See </w:t>
      </w:r>
      <w:hyperlink r:id="rId1" w:history="1">
        <w:r w:rsidRPr="00CC7FF4">
          <w:rPr>
            <w:rStyle w:val="Hyperlink"/>
          </w:rPr>
          <w:t>http://www.itv.com/news/wales/2018-07-26/theresa-may-visits-royal-welsh-show-to-set-out-post-brexit-farming-plans/</w:t>
        </w:r>
      </w:hyperlink>
      <w:r>
        <w:t xml:space="preserve"> </w:t>
      </w:r>
    </w:p>
  </w:footnote>
  <w:footnote w:id="2">
    <w:p w14:paraId="1C727B48" w14:textId="77777777" w:rsidR="00997695" w:rsidRDefault="00997695">
      <w:pPr>
        <w:pStyle w:val="FootnoteText"/>
      </w:pPr>
      <w:r>
        <w:rPr>
          <w:rStyle w:val="FootnoteReference"/>
        </w:rPr>
        <w:footnoteRef/>
      </w:r>
      <w:r>
        <w:t xml:space="preserve"> Michael Gove</w:t>
      </w:r>
      <w:r w:rsidR="004A22FF">
        <w:t xml:space="preserve"> MP</w:t>
      </w:r>
      <w:r>
        <w:t>, ‘Farming for the next generation’ speech to the Oxford Farming Conference, January 4</w:t>
      </w:r>
      <w:r w:rsidRPr="00997695">
        <w:rPr>
          <w:vertAlign w:val="superscript"/>
        </w:rPr>
        <w:t>th</w:t>
      </w:r>
      <w:r>
        <w:t xml:space="preserve"> 2018. Text available at </w:t>
      </w:r>
      <w:hyperlink r:id="rId2" w:history="1">
        <w:r w:rsidRPr="00C20C14">
          <w:rPr>
            <w:rStyle w:val="Hyperlink"/>
          </w:rPr>
          <w:t>https://www.gov.uk/government/speeches/farming-for-the-next-generation</w:t>
        </w:r>
      </w:hyperlink>
      <w:r>
        <w:t xml:space="preserve"> </w:t>
      </w:r>
    </w:p>
  </w:footnote>
  <w:footnote w:id="3">
    <w:p w14:paraId="6EF03625" w14:textId="77777777" w:rsidR="00607F20" w:rsidRDefault="00607F20">
      <w:pPr>
        <w:pStyle w:val="FootnoteText"/>
      </w:pPr>
      <w:r>
        <w:rPr>
          <w:rStyle w:val="FootnoteReference"/>
        </w:rPr>
        <w:footnoteRef/>
      </w:r>
      <w:r>
        <w:t xml:space="preserve"> </w:t>
      </w:r>
      <w:hyperlink r:id="rId3" w:history="1">
        <w:r w:rsidRPr="00C20C14">
          <w:rPr>
            <w:rStyle w:val="Hyperlink"/>
          </w:rPr>
          <w:t>https://www.instituteforgovernment.org.uk/blog/brexit-continuing-ramp-civil-service-workforce</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41"/>
    <w:rsid w:val="000209EE"/>
    <w:rsid w:val="0004388B"/>
    <w:rsid w:val="00044B76"/>
    <w:rsid w:val="000461C1"/>
    <w:rsid w:val="000547A7"/>
    <w:rsid w:val="00060BC5"/>
    <w:rsid w:val="00073435"/>
    <w:rsid w:val="000763B6"/>
    <w:rsid w:val="000C3E78"/>
    <w:rsid w:val="000C64E8"/>
    <w:rsid w:val="00131D83"/>
    <w:rsid w:val="00155DAB"/>
    <w:rsid w:val="00181459"/>
    <w:rsid w:val="00182E18"/>
    <w:rsid w:val="00185B95"/>
    <w:rsid w:val="00187FEB"/>
    <w:rsid w:val="00191D58"/>
    <w:rsid w:val="001B1F56"/>
    <w:rsid w:val="001B73F9"/>
    <w:rsid w:val="001E18F3"/>
    <w:rsid w:val="00207076"/>
    <w:rsid w:val="00214159"/>
    <w:rsid w:val="002A37BD"/>
    <w:rsid w:val="002C764C"/>
    <w:rsid w:val="00315BC0"/>
    <w:rsid w:val="004137A3"/>
    <w:rsid w:val="00420F9D"/>
    <w:rsid w:val="00432B08"/>
    <w:rsid w:val="00485FEF"/>
    <w:rsid w:val="00492F84"/>
    <w:rsid w:val="004A22FF"/>
    <w:rsid w:val="004B54D9"/>
    <w:rsid w:val="004B5E07"/>
    <w:rsid w:val="004C0742"/>
    <w:rsid w:val="004E5F03"/>
    <w:rsid w:val="0051407B"/>
    <w:rsid w:val="0051492A"/>
    <w:rsid w:val="00587B0A"/>
    <w:rsid w:val="005A19E5"/>
    <w:rsid w:val="005A307B"/>
    <w:rsid w:val="005D2FCA"/>
    <w:rsid w:val="00607F20"/>
    <w:rsid w:val="006656EF"/>
    <w:rsid w:val="006C5201"/>
    <w:rsid w:val="0074211A"/>
    <w:rsid w:val="0076476A"/>
    <w:rsid w:val="00786C77"/>
    <w:rsid w:val="007965DE"/>
    <w:rsid w:val="008103A0"/>
    <w:rsid w:val="00820484"/>
    <w:rsid w:val="00830A3B"/>
    <w:rsid w:val="00844359"/>
    <w:rsid w:val="008B057B"/>
    <w:rsid w:val="008C34C2"/>
    <w:rsid w:val="008D6D43"/>
    <w:rsid w:val="009250A7"/>
    <w:rsid w:val="0093240A"/>
    <w:rsid w:val="00940F93"/>
    <w:rsid w:val="00997695"/>
    <w:rsid w:val="009B7A4B"/>
    <w:rsid w:val="009D0CF0"/>
    <w:rsid w:val="009F35A7"/>
    <w:rsid w:val="00A15996"/>
    <w:rsid w:val="00A62A6D"/>
    <w:rsid w:val="00AA4428"/>
    <w:rsid w:val="00AC54FA"/>
    <w:rsid w:val="00AE79D9"/>
    <w:rsid w:val="00B06D70"/>
    <w:rsid w:val="00BB1053"/>
    <w:rsid w:val="00BB555F"/>
    <w:rsid w:val="00BC0E30"/>
    <w:rsid w:val="00BC11EC"/>
    <w:rsid w:val="00BD2966"/>
    <w:rsid w:val="00BE0B05"/>
    <w:rsid w:val="00BF68B7"/>
    <w:rsid w:val="00C017FF"/>
    <w:rsid w:val="00C87BAB"/>
    <w:rsid w:val="00C94910"/>
    <w:rsid w:val="00CB1E0D"/>
    <w:rsid w:val="00CE7D62"/>
    <w:rsid w:val="00D00235"/>
    <w:rsid w:val="00D2196F"/>
    <w:rsid w:val="00D607AC"/>
    <w:rsid w:val="00D61D86"/>
    <w:rsid w:val="00DA2341"/>
    <w:rsid w:val="00DB43D9"/>
    <w:rsid w:val="00DE7F45"/>
    <w:rsid w:val="00E148EC"/>
    <w:rsid w:val="00E24A18"/>
    <w:rsid w:val="00E7530E"/>
    <w:rsid w:val="00EE2BDA"/>
    <w:rsid w:val="00F248A6"/>
    <w:rsid w:val="00F539AC"/>
    <w:rsid w:val="00F61ECD"/>
    <w:rsid w:val="00F82963"/>
    <w:rsid w:val="00F86272"/>
    <w:rsid w:val="00FE7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5463"/>
  <w15:docId w15:val="{F1400143-2611-4239-9D1E-CF1EFA1C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7695"/>
    <w:rPr>
      <w:sz w:val="20"/>
      <w:szCs w:val="20"/>
    </w:rPr>
  </w:style>
  <w:style w:type="character" w:customStyle="1" w:styleId="FootnoteTextChar">
    <w:name w:val="Footnote Text Char"/>
    <w:basedOn w:val="DefaultParagraphFont"/>
    <w:link w:val="FootnoteText"/>
    <w:uiPriority w:val="99"/>
    <w:rsid w:val="00997695"/>
    <w:rPr>
      <w:sz w:val="20"/>
      <w:szCs w:val="20"/>
    </w:rPr>
  </w:style>
  <w:style w:type="character" w:styleId="FootnoteReference">
    <w:name w:val="footnote reference"/>
    <w:basedOn w:val="DefaultParagraphFont"/>
    <w:uiPriority w:val="99"/>
    <w:semiHidden/>
    <w:unhideWhenUsed/>
    <w:rsid w:val="00997695"/>
    <w:rPr>
      <w:vertAlign w:val="superscript"/>
    </w:rPr>
  </w:style>
  <w:style w:type="character" w:styleId="Hyperlink">
    <w:name w:val="Hyperlink"/>
    <w:basedOn w:val="DefaultParagraphFont"/>
    <w:uiPriority w:val="99"/>
    <w:unhideWhenUsed/>
    <w:rsid w:val="00997695"/>
    <w:rPr>
      <w:color w:val="0000FF" w:themeColor="hyperlink"/>
      <w:u w:val="single"/>
    </w:rPr>
  </w:style>
  <w:style w:type="character" w:customStyle="1" w:styleId="UnresolvedMention">
    <w:name w:val="Unresolved Mention"/>
    <w:basedOn w:val="DefaultParagraphFont"/>
    <w:uiPriority w:val="99"/>
    <w:semiHidden/>
    <w:unhideWhenUsed/>
    <w:rsid w:val="00997695"/>
    <w:rPr>
      <w:color w:val="808080"/>
      <w:shd w:val="clear" w:color="auto" w:fill="E6E6E6"/>
    </w:rPr>
  </w:style>
  <w:style w:type="character" w:styleId="CommentReference">
    <w:name w:val="annotation reference"/>
    <w:basedOn w:val="DefaultParagraphFont"/>
    <w:uiPriority w:val="99"/>
    <w:semiHidden/>
    <w:unhideWhenUsed/>
    <w:rsid w:val="00D61D86"/>
    <w:rPr>
      <w:sz w:val="16"/>
      <w:szCs w:val="16"/>
    </w:rPr>
  </w:style>
  <w:style w:type="paragraph" w:styleId="CommentText">
    <w:name w:val="annotation text"/>
    <w:basedOn w:val="Normal"/>
    <w:link w:val="CommentTextChar"/>
    <w:uiPriority w:val="99"/>
    <w:semiHidden/>
    <w:unhideWhenUsed/>
    <w:rsid w:val="00D61D86"/>
    <w:rPr>
      <w:sz w:val="20"/>
      <w:szCs w:val="20"/>
    </w:rPr>
  </w:style>
  <w:style w:type="character" w:customStyle="1" w:styleId="CommentTextChar">
    <w:name w:val="Comment Text Char"/>
    <w:basedOn w:val="DefaultParagraphFont"/>
    <w:link w:val="CommentText"/>
    <w:uiPriority w:val="99"/>
    <w:semiHidden/>
    <w:rsid w:val="00D61D86"/>
    <w:rPr>
      <w:sz w:val="20"/>
      <w:szCs w:val="20"/>
    </w:rPr>
  </w:style>
  <w:style w:type="paragraph" w:styleId="CommentSubject">
    <w:name w:val="annotation subject"/>
    <w:basedOn w:val="CommentText"/>
    <w:next w:val="CommentText"/>
    <w:link w:val="CommentSubjectChar"/>
    <w:uiPriority w:val="99"/>
    <w:semiHidden/>
    <w:unhideWhenUsed/>
    <w:rsid w:val="00D61D86"/>
    <w:rPr>
      <w:b/>
      <w:bCs/>
    </w:rPr>
  </w:style>
  <w:style w:type="character" w:customStyle="1" w:styleId="CommentSubjectChar">
    <w:name w:val="Comment Subject Char"/>
    <w:basedOn w:val="CommentTextChar"/>
    <w:link w:val="CommentSubject"/>
    <w:uiPriority w:val="99"/>
    <w:semiHidden/>
    <w:rsid w:val="00D61D86"/>
    <w:rPr>
      <w:b/>
      <w:bCs/>
      <w:sz w:val="20"/>
      <w:szCs w:val="20"/>
    </w:rPr>
  </w:style>
  <w:style w:type="paragraph" w:styleId="BalloonText">
    <w:name w:val="Balloon Text"/>
    <w:basedOn w:val="Normal"/>
    <w:link w:val="BalloonTextChar"/>
    <w:uiPriority w:val="99"/>
    <w:semiHidden/>
    <w:unhideWhenUsed/>
    <w:rsid w:val="00D61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D86"/>
    <w:rPr>
      <w:rFonts w:ascii="Segoe UI" w:hAnsi="Segoe UI" w:cs="Segoe UI"/>
      <w:sz w:val="18"/>
      <w:szCs w:val="18"/>
    </w:rPr>
  </w:style>
  <w:style w:type="paragraph" w:customStyle="1" w:styleId="Default">
    <w:name w:val="Default"/>
    <w:rsid w:val="00182E1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instituteforgovernment.org.uk/blog/brexit-continuing-ramp-civil-service-workforce" TargetMode="External"/><Relationship Id="rId2" Type="http://schemas.openxmlformats.org/officeDocument/2006/relationships/hyperlink" Target="https://www.gov.uk/government/speeches/farming-for-the-next-generation" TargetMode="External"/><Relationship Id="rId1" Type="http://schemas.openxmlformats.org/officeDocument/2006/relationships/hyperlink" Target="http://www.itv.com/news/wales/2018-07-26/theresa-may-visits-royal-welsh-show-to-set-out-post-brexit-farming-pl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Dandy, Norman</dc:creator>
  <cp:lastModifiedBy>Norman Dandy</cp:lastModifiedBy>
  <cp:revision>2</cp:revision>
  <cp:lastPrinted>2018-08-13T12:02:00Z</cp:lastPrinted>
  <dcterms:created xsi:type="dcterms:W3CDTF">2018-08-13T14:31:00Z</dcterms:created>
  <dcterms:modified xsi:type="dcterms:W3CDTF">2018-08-13T14:31:00Z</dcterms:modified>
</cp:coreProperties>
</file>