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2B7CF" w14:textId="3046085A" w:rsidR="0001738F" w:rsidRDefault="00283439" w:rsidP="001F01C9">
      <w:pPr>
        <w:jc w:val="both"/>
        <w:rPr>
          <w:b/>
          <w:sz w:val="36"/>
        </w:rPr>
      </w:pPr>
      <w:r>
        <w:rPr>
          <w:b/>
          <w:sz w:val="36"/>
        </w:rPr>
        <w:t xml:space="preserve">Mapping </w:t>
      </w:r>
      <w:r w:rsidRPr="004E68C7">
        <w:rPr>
          <w:b/>
          <w:sz w:val="36"/>
        </w:rPr>
        <w:t>the</w:t>
      </w:r>
      <w:r w:rsidR="001F01C9" w:rsidRPr="004E68C7">
        <w:rPr>
          <w:b/>
          <w:sz w:val="36"/>
        </w:rPr>
        <w:t xml:space="preserve"> Effects of Brexit on Legal Education in Wales:</w:t>
      </w:r>
      <w:r w:rsidR="0001738F">
        <w:rPr>
          <w:b/>
          <w:sz w:val="36"/>
        </w:rPr>
        <w:t xml:space="preserve"> </w:t>
      </w:r>
    </w:p>
    <w:p w14:paraId="627D3FBE" w14:textId="7A034B10" w:rsidR="007935BD" w:rsidRPr="004E68C7" w:rsidRDefault="00283439" w:rsidP="001F01C9">
      <w:pPr>
        <w:jc w:val="both"/>
        <w:rPr>
          <w:b/>
          <w:sz w:val="36"/>
        </w:rPr>
      </w:pPr>
      <w:r>
        <w:rPr>
          <w:b/>
          <w:sz w:val="36"/>
        </w:rPr>
        <w:t xml:space="preserve">Proposals for </w:t>
      </w:r>
      <w:r w:rsidR="001F01C9" w:rsidRPr="004E68C7">
        <w:rPr>
          <w:b/>
          <w:sz w:val="36"/>
        </w:rPr>
        <w:t>Addressing Students’ Concerns</w:t>
      </w:r>
    </w:p>
    <w:p w14:paraId="04C95765" w14:textId="1AA0C419" w:rsidR="00273316" w:rsidRDefault="001F01C9" w:rsidP="00943898">
      <w:pPr>
        <w:jc w:val="right"/>
        <w:rPr>
          <w:sz w:val="18"/>
        </w:rPr>
      </w:pPr>
      <w:r w:rsidRPr="0001738F">
        <w:rPr>
          <w:sz w:val="18"/>
        </w:rPr>
        <w:t>STEPHEN CLEAR, DERMOT CAHILL AND GARY CLIFFORD</w:t>
      </w:r>
      <w:r w:rsidRPr="0001738F">
        <w:rPr>
          <w:rStyle w:val="FootnoteReference"/>
          <w:sz w:val="18"/>
        </w:rPr>
        <w:footnoteReference w:id="1"/>
      </w:r>
    </w:p>
    <w:p w14:paraId="248FBED6" w14:textId="77777777" w:rsidR="00943898" w:rsidRPr="00DE4164" w:rsidRDefault="00943898" w:rsidP="00943898">
      <w:pPr>
        <w:jc w:val="right"/>
        <w:rPr>
          <w:sz w:val="18"/>
        </w:rPr>
      </w:pPr>
    </w:p>
    <w:p w14:paraId="176BEBAC" w14:textId="43261522" w:rsidR="007935BD" w:rsidRDefault="00101FF3" w:rsidP="00943898">
      <w:pPr>
        <w:pStyle w:val="NoSpacing"/>
        <w:ind w:left="567" w:right="567"/>
        <w:jc w:val="both"/>
      </w:pPr>
      <w:r w:rsidRPr="00A56951">
        <w:t>Whilst the future for UK-EU relations remain</w:t>
      </w:r>
      <w:r w:rsidR="000B251E">
        <w:t>s</w:t>
      </w:r>
      <w:r w:rsidRPr="00A56951">
        <w:t xml:space="preserve"> to be realised,</w:t>
      </w:r>
      <w:r w:rsidR="00CF27C1">
        <w:t xml:space="preserve"> </w:t>
      </w:r>
      <w:r w:rsidR="00CF27C1" w:rsidRPr="00CF27C1">
        <w:t>Brexit</w:t>
      </w:r>
      <w:r w:rsidR="00AB2427">
        <w:t xml:space="preserve"> will have</w:t>
      </w:r>
      <w:r w:rsidR="00CF27C1" w:rsidRPr="00CF27C1">
        <w:t xml:space="preserve"> consequences for legal education</w:t>
      </w:r>
      <w:r w:rsidR="0009302F">
        <w:t xml:space="preserve">. </w:t>
      </w:r>
      <w:r w:rsidR="000B251E">
        <w:t>However, t</w:t>
      </w:r>
      <w:r w:rsidR="00CE03B0">
        <w:t>o</w:t>
      </w:r>
      <w:r w:rsidR="00450F8A" w:rsidRPr="00A56951">
        <w:t xml:space="preserve"> date, </w:t>
      </w:r>
      <w:r w:rsidR="00DE4164" w:rsidRPr="00A56951">
        <w:t>neither the UK nor</w:t>
      </w:r>
      <w:r w:rsidR="00450F8A" w:rsidRPr="00A56951">
        <w:t xml:space="preserve"> Welsh Governments have sufficiently addressed </w:t>
      </w:r>
      <w:r w:rsidR="007E36BF">
        <w:t>what those</w:t>
      </w:r>
      <w:r w:rsidR="00450F8A" w:rsidRPr="00A56951">
        <w:t xml:space="preserve"> consequences </w:t>
      </w:r>
      <w:r w:rsidR="007E36BF">
        <w:t>will be</w:t>
      </w:r>
      <w:r w:rsidR="00450F8A" w:rsidRPr="00A56951">
        <w:t xml:space="preserve"> for </w:t>
      </w:r>
      <w:r w:rsidR="0021275E">
        <w:t>H</w:t>
      </w:r>
      <w:r w:rsidR="00450F8A" w:rsidRPr="00A56951">
        <w:t xml:space="preserve">igher </w:t>
      </w:r>
      <w:r w:rsidR="0021275E">
        <w:t>E</w:t>
      </w:r>
      <w:r w:rsidR="00450F8A" w:rsidRPr="00A56951">
        <w:t xml:space="preserve">ducation. </w:t>
      </w:r>
      <w:r w:rsidR="006425A0">
        <w:t>T</w:t>
      </w:r>
      <w:r w:rsidRPr="00A56951">
        <w:t xml:space="preserve">his </w:t>
      </w:r>
      <w:r w:rsidR="000B251E">
        <w:t>paper</w:t>
      </w:r>
      <w:r w:rsidR="00B43161">
        <w:t xml:space="preserve">, which documents </w:t>
      </w:r>
      <w:r w:rsidR="0021275E">
        <w:t>the r</w:t>
      </w:r>
      <w:r w:rsidR="00B43161" w:rsidRPr="00A56951">
        <w:t>esults</w:t>
      </w:r>
      <w:r w:rsidR="00B43161">
        <w:t xml:space="preserve"> of</w:t>
      </w:r>
      <w:r w:rsidR="00B43161" w:rsidRPr="00A56951">
        <w:t xml:space="preserve"> 336 student </w:t>
      </w:r>
      <w:r w:rsidR="00B43161">
        <w:t>questionnaires</w:t>
      </w:r>
      <w:r w:rsidR="00CA21B1">
        <w:t xml:space="preserve"> received from law students surveyed</w:t>
      </w:r>
      <w:r w:rsidR="00B43161" w:rsidRPr="00A56951">
        <w:t xml:space="preserve"> from every </w:t>
      </w:r>
      <w:r w:rsidR="00B43161">
        <w:t>l</w:t>
      </w:r>
      <w:r w:rsidR="00B43161" w:rsidRPr="00A56951">
        <w:t xml:space="preserve">aw </w:t>
      </w:r>
      <w:r w:rsidR="00B43161">
        <w:t>s</w:t>
      </w:r>
      <w:r w:rsidR="00B43161" w:rsidRPr="00A56951">
        <w:t>chool in Wales</w:t>
      </w:r>
      <w:r w:rsidR="00B43161">
        <w:t>,</w:t>
      </w:r>
      <w:r w:rsidR="00B43161" w:rsidRPr="00A56951">
        <w:rPr>
          <w:rStyle w:val="FootnoteReference"/>
        </w:rPr>
        <w:footnoteReference w:id="2"/>
      </w:r>
      <w:r w:rsidR="00B9788A">
        <w:t xml:space="preserve"> evidences that learners have already started to decide what they believe Brexit means for them</w:t>
      </w:r>
      <w:r w:rsidRPr="00A56951">
        <w:t xml:space="preserve">. </w:t>
      </w:r>
      <w:r w:rsidR="00D12013" w:rsidRPr="00A56951">
        <w:t xml:space="preserve">Amongst the numerous challenges for Welsh </w:t>
      </w:r>
      <w:r w:rsidR="00B9788A">
        <w:t>l</w:t>
      </w:r>
      <w:r w:rsidR="00D12013" w:rsidRPr="00A56951">
        <w:t xml:space="preserve">aw </w:t>
      </w:r>
      <w:r w:rsidR="00B9788A">
        <w:t>s</w:t>
      </w:r>
      <w:r w:rsidR="00D12013" w:rsidRPr="00A56951">
        <w:t xml:space="preserve">chools is the </w:t>
      </w:r>
      <w:r w:rsidR="0001738F" w:rsidRPr="00A56951">
        <w:t>opinion</w:t>
      </w:r>
      <w:r w:rsidR="00D12013" w:rsidRPr="00A56951">
        <w:t xml:space="preserve"> of </w:t>
      </w:r>
      <w:r w:rsidR="0001738F" w:rsidRPr="00A56951">
        <w:t>current</w:t>
      </w:r>
      <w:r w:rsidR="00D12013" w:rsidRPr="00A56951">
        <w:t xml:space="preserve"> students that Brexit makes Wales a less attractive </w:t>
      </w:r>
      <w:r w:rsidR="0021275E">
        <w:t>place</w:t>
      </w:r>
      <w:r w:rsidR="00D12013" w:rsidRPr="00A56951">
        <w:t xml:space="preserve"> for </w:t>
      </w:r>
      <w:r w:rsidR="00B9788A">
        <w:t>overseas</w:t>
      </w:r>
      <w:r w:rsidR="0021275E">
        <w:t xml:space="preserve"> students and lecturers,</w:t>
      </w:r>
      <w:r w:rsidR="00B43161">
        <w:t xml:space="preserve"> both EU and other international</w:t>
      </w:r>
      <w:r w:rsidR="0021275E">
        <w:t>s, to study and work.</w:t>
      </w:r>
      <w:r w:rsidR="00A56951" w:rsidRPr="00A56951">
        <w:rPr>
          <w:rStyle w:val="FootnoteReference"/>
        </w:rPr>
        <w:footnoteReference w:id="3"/>
      </w:r>
      <w:r w:rsidR="0021275E" w:rsidRPr="00A56951">
        <w:t xml:space="preserve"> </w:t>
      </w:r>
      <w:r w:rsidR="00D12013" w:rsidRPr="00A56951">
        <w:t>Meanwhile UK students</w:t>
      </w:r>
      <w:r w:rsidR="00A964CC">
        <w:t xml:space="preserve"> studying in Wales</w:t>
      </w:r>
      <w:r w:rsidR="00D12013" w:rsidRPr="00A56951">
        <w:t xml:space="preserve"> are questioning the relevance of EU </w:t>
      </w:r>
      <w:r w:rsidR="00273316">
        <w:t>l</w:t>
      </w:r>
      <w:r w:rsidR="00D12013" w:rsidRPr="00A56951">
        <w:t>aw module</w:t>
      </w:r>
      <w:r w:rsidR="00DE4164" w:rsidRPr="00A56951">
        <w:t>s</w:t>
      </w:r>
      <w:r w:rsidR="00450F8A" w:rsidRPr="00A56951">
        <w:t>;</w:t>
      </w:r>
      <w:r w:rsidR="00D12013" w:rsidRPr="00A56951">
        <w:t xml:space="preserve"> and are viewing </w:t>
      </w:r>
      <w:r w:rsidR="00450F8A" w:rsidRPr="00A56951">
        <w:t>aspirational</w:t>
      </w:r>
      <w:r w:rsidR="00D12013" w:rsidRPr="00A56951">
        <w:t xml:space="preserve"> careers within EU institutions as </w:t>
      </w:r>
      <w:r w:rsidR="00450F8A" w:rsidRPr="00A56951">
        <w:t xml:space="preserve">now being </w:t>
      </w:r>
      <w:r w:rsidR="00D12013" w:rsidRPr="00A56951">
        <w:t>‘closed door</w:t>
      </w:r>
      <w:r w:rsidR="00F912CF">
        <w:t>s</w:t>
      </w:r>
      <w:r w:rsidR="000B251E">
        <w:t>.</w:t>
      </w:r>
      <w:r w:rsidR="00C0322F">
        <w:t>’</w:t>
      </w:r>
      <w:r w:rsidR="000B251E">
        <w:t xml:space="preserve"> </w:t>
      </w:r>
      <w:r w:rsidR="00236C00">
        <w:t xml:space="preserve">By drawing upon </w:t>
      </w:r>
      <w:r w:rsidR="00CA21B1">
        <w:t>our</w:t>
      </w:r>
      <w:r w:rsidR="00076A85">
        <w:t xml:space="preserve"> findings, as well as comparisons with other EU Member States</w:t>
      </w:r>
      <w:r w:rsidR="00236C00">
        <w:t>, t</w:t>
      </w:r>
      <w:r w:rsidR="00AB2427">
        <w:t xml:space="preserve">his paper proposes </w:t>
      </w:r>
      <w:r w:rsidR="00145444">
        <w:t>six areas</w:t>
      </w:r>
      <w:r w:rsidR="00AB2427">
        <w:t xml:space="preserve"> where urgent collabo</w:t>
      </w:r>
      <w:r w:rsidR="00236C00">
        <w:t>ration between Governments and u</w:t>
      </w:r>
      <w:r w:rsidR="00AB2427">
        <w:t>niversities are needed. F</w:t>
      </w:r>
      <w:r w:rsidRPr="00A56951">
        <w:t>ailing to address t</w:t>
      </w:r>
      <w:r w:rsidR="00DE4164" w:rsidRPr="00A56951">
        <w:t xml:space="preserve">he concerns </w:t>
      </w:r>
      <w:r w:rsidR="00AB2427">
        <w:t xml:space="preserve">identified by this research has the potential to further threaten the internationalised education model that UK students benefit from by studying law at Welsh </w:t>
      </w:r>
      <w:r w:rsidR="002364D5">
        <w:t>u</w:t>
      </w:r>
      <w:r w:rsidR="00AB2427">
        <w:t>niversities</w:t>
      </w:r>
      <w:r w:rsidR="00076A85">
        <w:t>.</w:t>
      </w:r>
    </w:p>
    <w:p w14:paraId="4B3C6D2F" w14:textId="40FB4862" w:rsidR="00943898" w:rsidRPr="00492B99" w:rsidRDefault="00943898" w:rsidP="00943898">
      <w:pPr>
        <w:pStyle w:val="NoSpacing"/>
        <w:ind w:left="567" w:right="567"/>
        <w:jc w:val="both"/>
      </w:pPr>
    </w:p>
    <w:p w14:paraId="2423AEFC" w14:textId="3FAD417C" w:rsidR="00936BDB" w:rsidRPr="00936BDB" w:rsidRDefault="00936BDB" w:rsidP="0029523C">
      <w:pPr>
        <w:jc w:val="both"/>
        <w:rPr>
          <w:b/>
          <w:sz w:val="28"/>
        </w:rPr>
      </w:pPr>
      <w:r w:rsidRPr="00936BDB">
        <w:rPr>
          <w:b/>
          <w:sz w:val="28"/>
        </w:rPr>
        <w:t xml:space="preserve">1. </w:t>
      </w:r>
      <w:r>
        <w:rPr>
          <w:b/>
          <w:sz w:val="28"/>
        </w:rPr>
        <w:t xml:space="preserve">Introduction: </w:t>
      </w:r>
      <w:r w:rsidR="00236C00">
        <w:rPr>
          <w:b/>
          <w:sz w:val="28"/>
        </w:rPr>
        <w:t>Issues</w:t>
      </w:r>
      <w:r w:rsidR="00682691">
        <w:rPr>
          <w:b/>
          <w:sz w:val="28"/>
        </w:rPr>
        <w:t xml:space="preserve"> Surrounding </w:t>
      </w:r>
      <w:r w:rsidR="00236C00">
        <w:rPr>
          <w:b/>
          <w:sz w:val="28"/>
        </w:rPr>
        <w:t xml:space="preserve">Brexit and </w:t>
      </w:r>
      <w:r w:rsidR="00682691">
        <w:rPr>
          <w:b/>
          <w:sz w:val="28"/>
        </w:rPr>
        <w:t>the Future of Legal Education</w:t>
      </w:r>
    </w:p>
    <w:p w14:paraId="5CC0F9AB" w14:textId="2BD0C2E3" w:rsidR="00936BDB" w:rsidRDefault="00B2411D" w:rsidP="00936BDB">
      <w:pPr>
        <w:jc w:val="both"/>
        <w:rPr>
          <w:sz w:val="24"/>
        </w:rPr>
      </w:pPr>
      <w:r>
        <w:rPr>
          <w:sz w:val="24"/>
        </w:rPr>
        <w:t>Within the context of the UK’s legal system,</w:t>
      </w:r>
      <w:r w:rsidR="000B251E">
        <w:rPr>
          <w:sz w:val="24"/>
        </w:rPr>
        <w:t xml:space="preserve"> </w:t>
      </w:r>
      <w:r w:rsidR="006917DF">
        <w:rPr>
          <w:sz w:val="24"/>
        </w:rPr>
        <w:t xml:space="preserve">Brexit has been </w:t>
      </w:r>
      <w:r>
        <w:rPr>
          <w:sz w:val="24"/>
        </w:rPr>
        <w:t>re</w:t>
      </w:r>
      <w:r w:rsidR="00236C00">
        <w:rPr>
          <w:sz w:val="24"/>
        </w:rPr>
        <w:t>ferred to</w:t>
      </w:r>
      <w:r>
        <w:rPr>
          <w:sz w:val="24"/>
        </w:rPr>
        <w:t xml:space="preserve"> as the</w:t>
      </w:r>
      <w:r w:rsidR="00A20C5A">
        <w:rPr>
          <w:sz w:val="24"/>
        </w:rPr>
        <w:t xml:space="preserve"> </w:t>
      </w:r>
      <w:r>
        <w:rPr>
          <w:sz w:val="24"/>
        </w:rPr>
        <w:t>most significant</w:t>
      </w:r>
      <w:r w:rsidR="00A20C5A">
        <w:rPr>
          <w:sz w:val="24"/>
        </w:rPr>
        <w:t xml:space="preserve"> constitutional change since the war.</w:t>
      </w:r>
      <w:r w:rsidR="00A20C5A">
        <w:rPr>
          <w:rStyle w:val="FootnoteReference"/>
          <w:sz w:val="24"/>
        </w:rPr>
        <w:footnoteReference w:id="4"/>
      </w:r>
      <w:r w:rsidR="00A20C5A">
        <w:rPr>
          <w:sz w:val="24"/>
        </w:rPr>
        <w:t xml:space="preserve"> </w:t>
      </w:r>
      <w:r w:rsidR="0029523C">
        <w:rPr>
          <w:sz w:val="24"/>
        </w:rPr>
        <w:t xml:space="preserve">The Legal Education Foundation predicts that </w:t>
      </w:r>
      <w:r>
        <w:rPr>
          <w:sz w:val="24"/>
        </w:rPr>
        <w:t>there will</w:t>
      </w:r>
      <w:r w:rsidR="0029523C">
        <w:rPr>
          <w:sz w:val="24"/>
        </w:rPr>
        <w:t xml:space="preserve"> be unprecedented</w:t>
      </w:r>
      <w:r>
        <w:rPr>
          <w:sz w:val="24"/>
        </w:rPr>
        <w:t xml:space="preserve"> legislative change</w:t>
      </w:r>
      <w:r w:rsidR="00CA21B1">
        <w:rPr>
          <w:sz w:val="24"/>
        </w:rPr>
        <w:t>,</w:t>
      </w:r>
      <w:r w:rsidR="0029523C">
        <w:rPr>
          <w:sz w:val="24"/>
        </w:rPr>
        <w:t xml:space="preserve"> </w:t>
      </w:r>
      <w:r>
        <w:rPr>
          <w:sz w:val="24"/>
        </w:rPr>
        <w:t>with</w:t>
      </w:r>
      <w:r w:rsidR="0029523C">
        <w:rPr>
          <w:sz w:val="24"/>
        </w:rPr>
        <w:t xml:space="preserve"> law</w:t>
      </w:r>
      <w:r w:rsidR="00164858">
        <w:rPr>
          <w:sz w:val="24"/>
        </w:rPr>
        <w:t xml:space="preserve"> and policy</w:t>
      </w:r>
      <w:r w:rsidR="0029523C">
        <w:rPr>
          <w:sz w:val="24"/>
        </w:rPr>
        <w:t xml:space="preserve"> reform</w:t>
      </w:r>
      <w:r w:rsidR="007E36BF">
        <w:rPr>
          <w:sz w:val="24"/>
        </w:rPr>
        <w:t xml:space="preserve"> expected to continue</w:t>
      </w:r>
      <w:r>
        <w:rPr>
          <w:sz w:val="24"/>
        </w:rPr>
        <w:t xml:space="preserve"> for a further </w:t>
      </w:r>
      <w:r w:rsidR="00D6090C">
        <w:rPr>
          <w:sz w:val="24"/>
        </w:rPr>
        <w:t>20 years</w:t>
      </w:r>
      <w:r w:rsidR="0029523C">
        <w:rPr>
          <w:sz w:val="24"/>
        </w:rPr>
        <w:t>.</w:t>
      </w:r>
      <w:r w:rsidR="0029523C">
        <w:rPr>
          <w:rStyle w:val="FootnoteReference"/>
          <w:sz w:val="24"/>
        </w:rPr>
        <w:footnoteReference w:id="5"/>
      </w:r>
      <w:r w:rsidR="0029523C">
        <w:rPr>
          <w:sz w:val="24"/>
        </w:rPr>
        <w:t xml:space="preserve"> </w:t>
      </w:r>
      <w:r w:rsidR="00A20C5A">
        <w:rPr>
          <w:sz w:val="24"/>
        </w:rPr>
        <w:t>To respond to these challenges</w:t>
      </w:r>
      <w:r w:rsidR="00164858">
        <w:rPr>
          <w:sz w:val="24"/>
        </w:rPr>
        <w:t>,</w:t>
      </w:r>
      <w:r w:rsidR="00936BDB">
        <w:rPr>
          <w:sz w:val="24"/>
        </w:rPr>
        <w:t xml:space="preserve"> award bodies across the UK have </w:t>
      </w:r>
      <w:r w:rsidR="00936BDB">
        <w:rPr>
          <w:sz w:val="24"/>
        </w:rPr>
        <w:lastRenderedPageBreak/>
        <w:t>commissioned research by universities</w:t>
      </w:r>
      <w:r w:rsidR="00D6090C">
        <w:rPr>
          <w:sz w:val="24"/>
        </w:rPr>
        <w:t xml:space="preserve"> and</w:t>
      </w:r>
      <w:r w:rsidR="00936BDB">
        <w:rPr>
          <w:sz w:val="24"/>
        </w:rPr>
        <w:t xml:space="preserve"> think tanks; in order to map the effects of Brexit.</w:t>
      </w:r>
      <w:r w:rsidR="00936BDB">
        <w:rPr>
          <w:rStyle w:val="FootnoteReference"/>
          <w:sz w:val="24"/>
        </w:rPr>
        <w:footnoteReference w:id="6"/>
      </w:r>
      <w:r w:rsidR="00936BDB">
        <w:rPr>
          <w:sz w:val="24"/>
        </w:rPr>
        <w:t xml:space="preserve"> This demand for </w:t>
      </w:r>
      <w:r w:rsidR="002802BA">
        <w:rPr>
          <w:sz w:val="24"/>
        </w:rPr>
        <w:t xml:space="preserve">evidence based research and </w:t>
      </w:r>
      <w:r w:rsidR="00936BDB">
        <w:rPr>
          <w:sz w:val="24"/>
        </w:rPr>
        <w:t>new expertise can be seen in Wales, as</w:t>
      </w:r>
      <w:r w:rsidR="00164858">
        <w:rPr>
          <w:sz w:val="24"/>
        </w:rPr>
        <w:t>, post December 2017,</w:t>
      </w:r>
      <w:r w:rsidR="00936BDB">
        <w:rPr>
          <w:sz w:val="24"/>
        </w:rPr>
        <w:t xml:space="preserve"> the Welsh Government, </w:t>
      </w:r>
      <w:r w:rsidR="00021211">
        <w:rPr>
          <w:sz w:val="24"/>
        </w:rPr>
        <w:t>as well as</w:t>
      </w:r>
      <w:r w:rsidR="00936BDB">
        <w:rPr>
          <w:sz w:val="24"/>
        </w:rPr>
        <w:t xml:space="preserve"> many </w:t>
      </w:r>
      <w:r w:rsidR="00480B17">
        <w:rPr>
          <w:sz w:val="24"/>
        </w:rPr>
        <w:t xml:space="preserve">other </w:t>
      </w:r>
      <w:r w:rsidR="00936BDB">
        <w:rPr>
          <w:sz w:val="24"/>
        </w:rPr>
        <w:t xml:space="preserve">public sector organisations, adopted an intensive recruitment drive to enhance their constitutional law expertise. For example, several new </w:t>
      </w:r>
      <w:r w:rsidR="00A20C5A">
        <w:rPr>
          <w:sz w:val="24"/>
        </w:rPr>
        <w:t>p</w:t>
      </w:r>
      <w:r w:rsidR="00936BDB">
        <w:rPr>
          <w:sz w:val="24"/>
        </w:rPr>
        <w:t xml:space="preserve">ublic </w:t>
      </w:r>
      <w:r w:rsidR="00A20C5A">
        <w:rPr>
          <w:sz w:val="24"/>
        </w:rPr>
        <w:t>l</w:t>
      </w:r>
      <w:r w:rsidR="00936BDB">
        <w:rPr>
          <w:sz w:val="24"/>
        </w:rPr>
        <w:t>awyers were</w:t>
      </w:r>
      <w:r w:rsidR="00CF27C1">
        <w:rPr>
          <w:sz w:val="24"/>
        </w:rPr>
        <w:t xml:space="preserve"> sought</w:t>
      </w:r>
      <w:r w:rsidR="00936BDB">
        <w:rPr>
          <w:sz w:val="24"/>
        </w:rPr>
        <w:t xml:space="preserve"> to join the</w:t>
      </w:r>
      <w:r w:rsidR="00CF27C1">
        <w:rPr>
          <w:sz w:val="24"/>
        </w:rPr>
        <w:t xml:space="preserve"> Welsh Government</w:t>
      </w:r>
      <w:r w:rsidR="00CA21B1">
        <w:rPr>
          <w:sz w:val="24"/>
        </w:rPr>
        <w:t xml:space="preserve"> Legal Services Departments,</w:t>
      </w:r>
      <w:r w:rsidR="00936BDB">
        <w:rPr>
          <w:rStyle w:val="FootnoteReference"/>
          <w:sz w:val="24"/>
        </w:rPr>
        <w:footnoteReference w:id="7"/>
      </w:r>
      <w:r w:rsidR="00936BDB">
        <w:rPr>
          <w:sz w:val="24"/>
        </w:rPr>
        <w:t xml:space="preserve"> as well as 20 new vacancies for Brexit Policy Advisors and Interns to join the Government’s Energy, Planning and Rural Affairs Branch.</w:t>
      </w:r>
      <w:r w:rsidR="00936BDB">
        <w:rPr>
          <w:rStyle w:val="FootnoteReference"/>
          <w:sz w:val="24"/>
        </w:rPr>
        <w:footnoteReference w:id="8"/>
      </w:r>
      <w:r w:rsidR="00936BDB">
        <w:rPr>
          <w:sz w:val="24"/>
        </w:rPr>
        <w:t xml:space="preserve"> </w:t>
      </w:r>
    </w:p>
    <w:p w14:paraId="79F92ACD" w14:textId="44998A48" w:rsidR="00D47457" w:rsidRDefault="00936BDB" w:rsidP="00936BDB">
      <w:pPr>
        <w:jc w:val="both"/>
        <w:rPr>
          <w:sz w:val="24"/>
        </w:rPr>
      </w:pPr>
      <w:r>
        <w:rPr>
          <w:sz w:val="24"/>
        </w:rPr>
        <w:t xml:space="preserve">Nonetheless, at the time of writing, beyond the </w:t>
      </w:r>
      <w:r w:rsidR="00164858">
        <w:rPr>
          <w:sz w:val="24"/>
        </w:rPr>
        <w:t>c</w:t>
      </w:r>
      <w:r>
        <w:rPr>
          <w:sz w:val="24"/>
        </w:rPr>
        <w:t xml:space="preserve">onstitutional and European Union </w:t>
      </w:r>
      <w:r w:rsidR="00236C00">
        <w:rPr>
          <w:sz w:val="24"/>
        </w:rPr>
        <w:t>l</w:t>
      </w:r>
      <w:r>
        <w:rPr>
          <w:sz w:val="24"/>
        </w:rPr>
        <w:t xml:space="preserve">aw complexities surrounding the UK and EU’s </w:t>
      </w:r>
      <w:r w:rsidR="00CA21B1">
        <w:rPr>
          <w:sz w:val="24"/>
        </w:rPr>
        <w:t xml:space="preserve">impending </w:t>
      </w:r>
      <w:r>
        <w:rPr>
          <w:sz w:val="24"/>
        </w:rPr>
        <w:t>divorce</w:t>
      </w:r>
      <w:r w:rsidR="00CF27C1">
        <w:rPr>
          <w:sz w:val="24"/>
        </w:rPr>
        <w:t>,</w:t>
      </w:r>
      <w:r>
        <w:rPr>
          <w:sz w:val="24"/>
        </w:rPr>
        <w:t xml:space="preserve"> </w:t>
      </w:r>
      <w:r w:rsidR="00CA21B1">
        <w:rPr>
          <w:sz w:val="24"/>
        </w:rPr>
        <w:t>Parliament(s)’</w:t>
      </w:r>
      <w:r>
        <w:rPr>
          <w:sz w:val="24"/>
        </w:rPr>
        <w:t xml:space="preserve"> focus o</w:t>
      </w:r>
      <w:r w:rsidR="00DE196E">
        <w:rPr>
          <w:sz w:val="24"/>
        </w:rPr>
        <w:t>n</w:t>
      </w:r>
      <w:r>
        <w:rPr>
          <w:sz w:val="24"/>
        </w:rPr>
        <w:t xml:space="preserve"> trade negotiations and the economy has only made minimal references to the consequences of Brexit </w:t>
      </w:r>
      <w:r w:rsidR="00DE196E">
        <w:rPr>
          <w:sz w:val="24"/>
        </w:rPr>
        <w:t>on</w:t>
      </w:r>
      <w:r>
        <w:rPr>
          <w:sz w:val="24"/>
        </w:rPr>
        <w:t xml:space="preserve"> Higher Education</w:t>
      </w:r>
      <w:r w:rsidR="00B2411D">
        <w:rPr>
          <w:sz w:val="24"/>
        </w:rPr>
        <w:t>,</w:t>
      </w:r>
      <w:r w:rsidR="00F24ADF">
        <w:rPr>
          <w:sz w:val="24"/>
        </w:rPr>
        <w:t xml:space="preserve"> and the preparations that </w:t>
      </w:r>
      <w:r w:rsidR="00B2411D">
        <w:rPr>
          <w:sz w:val="24"/>
        </w:rPr>
        <w:t>are needed</w:t>
      </w:r>
      <w:r w:rsidR="007921F6">
        <w:rPr>
          <w:sz w:val="24"/>
        </w:rPr>
        <w:t>.</w:t>
      </w:r>
      <w:r w:rsidR="00B2411D">
        <w:rPr>
          <w:rStyle w:val="FootnoteReference"/>
          <w:sz w:val="24"/>
        </w:rPr>
        <w:footnoteReference w:id="9"/>
      </w:r>
      <w:r w:rsidR="007921F6">
        <w:rPr>
          <w:sz w:val="24"/>
        </w:rPr>
        <w:t xml:space="preserve"> This is </w:t>
      </w:r>
      <w:r w:rsidR="00164858">
        <w:rPr>
          <w:sz w:val="24"/>
        </w:rPr>
        <w:t>despite it being</w:t>
      </w:r>
      <w:r>
        <w:rPr>
          <w:sz w:val="24"/>
        </w:rPr>
        <w:t xml:space="preserve"> a valuable sector for </w:t>
      </w:r>
      <w:r w:rsidR="00480B17">
        <w:rPr>
          <w:sz w:val="24"/>
        </w:rPr>
        <w:t xml:space="preserve">the </w:t>
      </w:r>
      <w:r>
        <w:rPr>
          <w:sz w:val="24"/>
        </w:rPr>
        <w:t>UK</w:t>
      </w:r>
      <w:r w:rsidR="00CA21B1">
        <w:rPr>
          <w:sz w:val="24"/>
        </w:rPr>
        <w:t>, generating</w:t>
      </w:r>
      <w:r w:rsidR="00460329">
        <w:rPr>
          <w:sz w:val="24"/>
        </w:rPr>
        <w:t xml:space="preserve"> </w:t>
      </w:r>
      <w:r w:rsidR="00931500">
        <w:rPr>
          <w:sz w:val="24"/>
        </w:rPr>
        <w:t>1.2% of GDP</w:t>
      </w:r>
      <w:r>
        <w:rPr>
          <w:sz w:val="24"/>
        </w:rPr>
        <w:t>.</w:t>
      </w:r>
      <w:r w:rsidR="00CF27C1">
        <w:rPr>
          <w:rStyle w:val="FootnoteReference"/>
          <w:sz w:val="24"/>
        </w:rPr>
        <w:footnoteReference w:id="10"/>
      </w:r>
      <w:r w:rsidR="006E7E0F">
        <w:rPr>
          <w:sz w:val="24"/>
        </w:rPr>
        <w:t xml:space="preserve"> F</w:t>
      </w:r>
      <w:r w:rsidR="007921F6">
        <w:rPr>
          <w:sz w:val="24"/>
        </w:rPr>
        <w:t xml:space="preserve">urthermore, </w:t>
      </w:r>
      <w:r w:rsidR="00236C00">
        <w:rPr>
          <w:sz w:val="24"/>
        </w:rPr>
        <w:t xml:space="preserve">at the time of writing, relatively </w:t>
      </w:r>
      <w:r w:rsidR="007921F6">
        <w:rPr>
          <w:sz w:val="24"/>
        </w:rPr>
        <w:t>f</w:t>
      </w:r>
      <w:r w:rsidR="006E7E0F">
        <w:rPr>
          <w:sz w:val="24"/>
        </w:rPr>
        <w:t xml:space="preserve">ew studies have sought to map the impact of Brexit on the future of </w:t>
      </w:r>
      <w:r w:rsidR="00480B17">
        <w:rPr>
          <w:sz w:val="24"/>
        </w:rPr>
        <w:t>H</w:t>
      </w:r>
      <w:r w:rsidR="006E7E0F">
        <w:rPr>
          <w:sz w:val="24"/>
        </w:rPr>
        <w:t xml:space="preserve">igher </w:t>
      </w:r>
      <w:r w:rsidR="00480B17">
        <w:rPr>
          <w:sz w:val="24"/>
        </w:rPr>
        <w:t>E</w:t>
      </w:r>
      <w:r w:rsidR="00CA21B1">
        <w:rPr>
          <w:sz w:val="24"/>
        </w:rPr>
        <w:t>ducation,</w:t>
      </w:r>
      <w:r w:rsidR="00271EBF">
        <w:rPr>
          <w:rStyle w:val="FootnoteReference"/>
          <w:sz w:val="24"/>
        </w:rPr>
        <w:footnoteReference w:id="11"/>
      </w:r>
      <w:r w:rsidR="006E7E0F">
        <w:rPr>
          <w:sz w:val="24"/>
        </w:rPr>
        <w:t xml:space="preserve"> not least in terms of whether UK </w:t>
      </w:r>
      <w:r w:rsidR="00236C00">
        <w:rPr>
          <w:sz w:val="24"/>
        </w:rPr>
        <w:t>u</w:t>
      </w:r>
      <w:r w:rsidR="006E7E0F">
        <w:rPr>
          <w:sz w:val="24"/>
        </w:rPr>
        <w:t xml:space="preserve">niversities will be able to continue to attract </w:t>
      </w:r>
      <w:r w:rsidR="00CF27C1">
        <w:rPr>
          <w:sz w:val="24"/>
        </w:rPr>
        <w:t>significant</w:t>
      </w:r>
      <w:r w:rsidR="006E7E0F">
        <w:rPr>
          <w:sz w:val="24"/>
        </w:rPr>
        <w:t xml:space="preserve"> numbers of EU and international students</w:t>
      </w:r>
      <w:r w:rsidR="00F24ADF">
        <w:rPr>
          <w:sz w:val="24"/>
        </w:rPr>
        <w:t>.</w:t>
      </w:r>
      <w:r w:rsidR="00CF27C1">
        <w:rPr>
          <w:rStyle w:val="FootnoteReference"/>
          <w:sz w:val="24"/>
        </w:rPr>
        <w:footnoteReference w:id="12"/>
      </w:r>
      <w:r w:rsidR="00F24ADF">
        <w:rPr>
          <w:sz w:val="24"/>
        </w:rPr>
        <w:t xml:space="preserve"> N</w:t>
      </w:r>
      <w:r w:rsidR="006E7E0F">
        <w:rPr>
          <w:sz w:val="24"/>
        </w:rPr>
        <w:t xml:space="preserve">o </w:t>
      </w:r>
      <w:r w:rsidR="00F24ADF">
        <w:rPr>
          <w:sz w:val="24"/>
        </w:rPr>
        <w:t xml:space="preserve">known </w:t>
      </w:r>
      <w:r w:rsidR="006E7E0F">
        <w:rPr>
          <w:sz w:val="24"/>
        </w:rPr>
        <w:t>studies have</w:t>
      </w:r>
      <w:r w:rsidR="00271EBF">
        <w:rPr>
          <w:sz w:val="24"/>
        </w:rPr>
        <w:t xml:space="preserve"> </w:t>
      </w:r>
      <w:r w:rsidR="00F24ADF">
        <w:rPr>
          <w:sz w:val="24"/>
        </w:rPr>
        <w:t>conducted</w:t>
      </w:r>
      <w:r w:rsidR="00271EBF">
        <w:rPr>
          <w:sz w:val="24"/>
        </w:rPr>
        <w:t xml:space="preserve"> </w:t>
      </w:r>
      <w:r w:rsidR="00271EBF">
        <w:rPr>
          <w:sz w:val="24"/>
        </w:rPr>
        <w:lastRenderedPageBreak/>
        <w:t xml:space="preserve">empirical </w:t>
      </w:r>
      <w:r w:rsidR="00B64B89">
        <w:rPr>
          <w:sz w:val="24"/>
        </w:rPr>
        <w:t>research</w:t>
      </w:r>
      <w:r w:rsidR="00271EBF">
        <w:rPr>
          <w:sz w:val="24"/>
        </w:rPr>
        <w:t xml:space="preserve"> with current </w:t>
      </w:r>
      <w:r w:rsidR="00236C00">
        <w:rPr>
          <w:sz w:val="24"/>
        </w:rPr>
        <w:t>l</w:t>
      </w:r>
      <w:r w:rsidR="00DE196E">
        <w:rPr>
          <w:sz w:val="24"/>
        </w:rPr>
        <w:t xml:space="preserve">aw </w:t>
      </w:r>
      <w:r w:rsidR="00271EBF">
        <w:rPr>
          <w:sz w:val="24"/>
        </w:rPr>
        <w:t>students</w:t>
      </w:r>
      <w:r w:rsidR="00F2745C">
        <w:rPr>
          <w:sz w:val="24"/>
        </w:rPr>
        <w:t xml:space="preserve"> as to their perceptions</w:t>
      </w:r>
      <w:r w:rsidR="007921F6">
        <w:rPr>
          <w:sz w:val="24"/>
        </w:rPr>
        <w:t xml:space="preserve"> of Brexit;</w:t>
      </w:r>
      <w:r w:rsidR="00271EBF">
        <w:rPr>
          <w:sz w:val="24"/>
        </w:rPr>
        <w:t xml:space="preserve"> </w:t>
      </w:r>
      <w:r w:rsidR="00DE196E">
        <w:rPr>
          <w:sz w:val="24"/>
        </w:rPr>
        <w:t>nor focused on Wales as a case study.</w:t>
      </w:r>
      <w:r w:rsidR="00236C00">
        <w:rPr>
          <w:rStyle w:val="FootnoteReference"/>
          <w:sz w:val="24"/>
        </w:rPr>
        <w:footnoteReference w:id="13"/>
      </w:r>
      <w:r w:rsidR="00DE196E">
        <w:rPr>
          <w:sz w:val="24"/>
        </w:rPr>
        <w:t xml:space="preserve"> </w:t>
      </w:r>
    </w:p>
    <w:p w14:paraId="75D1D7DF" w14:textId="1B62029C" w:rsidR="0023273C" w:rsidRPr="00236C00" w:rsidRDefault="0023273C" w:rsidP="00936BDB">
      <w:pPr>
        <w:jc w:val="both"/>
        <w:rPr>
          <w:sz w:val="24"/>
        </w:rPr>
      </w:pPr>
      <w:r>
        <w:rPr>
          <w:sz w:val="24"/>
        </w:rPr>
        <w:t xml:space="preserve">This article seeks to fill this gap by surveying current UK, EU and international students as to their perceptions </w:t>
      </w:r>
      <w:r w:rsidR="00C57F2D">
        <w:rPr>
          <w:sz w:val="24"/>
        </w:rPr>
        <w:t>of</w:t>
      </w:r>
      <w:r w:rsidR="00CA21B1">
        <w:rPr>
          <w:sz w:val="24"/>
        </w:rPr>
        <w:t xml:space="preserve"> what Brexit could mean</w:t>
      </w:r>
      <w:r>
        <w:rPr>
          <w:sz w:val="24"/>
        </w:rPr>
        <w:t xml:space="preserve"> for them. In doing</w:t>
      </w:r>
      <w:r w:rsidR="00C57F2D">
        <w:rPr>
          <w:sz w:val="24"/>
        </w:rPr>
        <w:t xml:space="preserve"> so</w:t>
      </w:r>
      <w:r w:rsidR="00072422">
        <w:rPr>
          <w:sz w:val="24"/>
        </w:rPr>
        <w:t>,</w:t>
      </w:r>
      <w:r>
        <w:rPr>
          <w:sz w:val="24"/>
        </w:rPr>
        <w:t xml:space="preserve"> questions w</w:t>
      </w:r>
      <w:r w:rsidR="00C57F2D">
        <w:rPr>
          <w:sz w:val="24"/>
        </w:rPr>
        <w:t>ere</w:t>
      </w:r>
      <w:r>
        <w:rPr>
          <w:sz w:val="24"/>
        </w:rPr>
        <w:t xml:space="preserve"> posed in order to gauge</w:t>
      </w:r>
      <w:r w:rsidR="00CA21B1">
        <w:rPr>
          <w:sz w:val="24"/>
        </w:rPr>
        <w:t xml:space="preserve"> students’</w:t>
      </w:r>
      <w:r>
        <w:rPr>
          <w:sz w:val="24"/>
        </w:rPr>
        <w:t xml:space="preserve"> thoughts as to: </w:t>
      </w:r>
      <w:r w:rsidR="00CA21B1">
        <w:rPr>
          <w:sz w:val="24"/>
        </w:rPr>
        <w:t>their</w:t>
      </w:r>
      <w:r>
        <w:rPr>
          <w:sz w:val="24"/>
        </w:rPr>
        <w:t xml:space="preserve"> personal </w:t>
      </w:r>
      <w:r w:rsidR="00C57F2D">
        <w:rPr>
          <w:sz w:val="24"/>
        </w:rPr>
        <w:t>opinions of the Brexit negotiations that are taking place</w:t>
      </w:r>
      <w:r>
        <w:rPr>
          <w:sz w:val="24"/>
        </w:rPr>
        <w:t>; possible consequences for attracting overseas students</w:t>
      </w:r>
      <w:r w:rsidR="00C57F2D">
        <w:rPr>
          <w:sz w:val="24"/>
        </w:rPr>
        <w:t xml:space="preserve"> to legal education</w:t>
      </w:r>
      <w:r>
        <w:rPr>
          <w:sz w:val="24"/>
        </w:rPr>
        <w:t xml:space="preserve"> in</w:t>
      </w:r>
      <w:r w:rsidR="00C57F2D">
        <w:rPr>
          <w:sz w:val="24"/>
        </w:rPr>
        <w:t xml:space="preserve"> the UK and Wales in</w:t>
      </w:r>
      <w:r>
        <w:rPr>
          <w:sz w:val="24"/>
        </w:rPr>
        <w:t xml:space="preserve"> the future; </w:t>
      </w:r>
      <w:r w:rsidR="00C57F2D">
        <w:rPr>
          <w:sz w:val="24"/>
        </w:rPr>
        <w:t xml:space="preserve">the effect upon their </w:t>
      </w:r>
      <w:r>
        <w:rPr>
          <w:sz w:val="24"/>
        </w:rPr>
        <w:t>employability</w:t>
      </w:r>
      <w:r w:rsidR="00C57F2D">
        <w:rPr>
          <w:sz w:val="24"/>
        </w:rPr>
        <w:t>,</w:t>
      </w:r>
      <w:r>
        <w:rPr>
          <w:sz w:val="24"/>
        </w:rPr>
        <w:t xml:space="preserve"> career prospects</w:t>
      </w:r>
      <w:r w:rsidR="00C57F2D">
        <w:rPr>
          <w:sz w:val="24"/>
        </w:rPr>
        <w:t xml:space="preserve"> and economic prosperity</w:t>
      </w:r>
      <w:r>
        <w:rPr>
          <w:sz w:val="24"/>
        </w:rPr>
        <w:t xml:space="preserve">; student experience; potential staffing issues; </w:t>
      </w:r>
      <w:r w:rsidR="00C57F2D">
        <w:rPr>
          <w:sz w:val="24"/>
        </w:rPr>
        <w:t xml:space="preserve">and </w:t>
      </w:r>
      <w:r>
        <w:rPr>
          <w:sz w:val="24"/>
        </w:rPr>
        <w:t>curriculum design</w:t>
      </w:r>
      <w:r w:rsidR="00C57F2D">
        <w:rPr>
          <w:sz w:val="24"/>
        </w:rPr>
        <w:t>.</w:t>
      </w:r>
      <w:r w:rsidR="00C57F2D">
        <w:rPr>
          <w:rStyle w:val="FootnoteReference"/>
          <w:sz w:val="24"/>
        </w:rPr>
        <w:footnoteReference w:id="14"/>
      </w:r>
      <w:r>
        <w:rPr>
          <w:sz w:val="24"/>
        </w:rPr>
        <w:t xml:space="preserve"> </w:t>
      </w:r>
      <w:r w:rsidR="00C57F2D">
        <w:rPr>
          <w:sz w:val="24"/>
        </w:rPr>
        <w:t>Though the topics covered are wide ranging, they are inter-connected to the wider theme of the potential repercussions for legal education within Wales</w:t>
      </w:r>
      <w:r w:rsidR="00072422">
        <w:rPr>
          <w:sz w:val="24"/>
        </w:rPr>
        <w:t>,</w:t>
      </w:r>
      <w:r w:rsidR="00C57F2D">
        <w:rPr>
          <w:sz w:val="24"/>
        </w:rPr>
        <w:t xml:space="preserve"> from the focal point of what learners feel about Brexit. </w:t>
      </w:r>
    </w:p>
    <w:p w14:paraId="4CFE4872" w14:textId="508E30F6" w:rsidR="00D6090C" w:rsidRPr="00D6090C" w:rsidRDefault="00D6090C" w:rsidP="00936BDB">
      <w:pPr>
        <w:jc w:val="both"/>
        <w:rPr>
          <w:b/>
          <w:sz w:val="24"/>
        </w:rPr>
      </w:pPr>
      <w:r>
        <w:rPr>
          <w:b/>
          <w:sz w:val="24"/>
        </w:rPr>
        <w:t xml:space="preserve">1.1 Why Wales </w:t>
      </w:r>
      <w:r w:rsidR="00D47457">
        <w:rPr>
          <w:b/>
          <w:sz w:val="24"/>
        </w:rPr>
        <w:t>as</w:t>
      </w:r>
      <w:r>
        <w:rPr>
          <w:b/>
          <w:sz w:val="24"/>
        </w:rPr>
        <w:t xml:space="preserve"> a Case Study?</w:t>
      </w:r>
    </w:p>
    <w:p w14:paraId="604BDF75" w14:textId="69EB37BC" w:rsidR="00D47457" w:rsidRPr="00D47457" w:rsidRDefault="00355D43" w:rsidP="00D47457">
      <w:pPr>
        <w:jc w:val="both"/>
        <w:rPr>
          <w:sz w:val="24"/>
        </w:rPr>
      </w:pPr>
      <w:r>
        <w:rPr>
          <w:sz w:val="24"/>
        </w:rPr>
        <w:t>Wales’ legal system, and corresponding legal education needs, are idiosyncratic within the UK.</w:t>
      </w:r>
      <w:r w:rsidR="00BA1DC9">
        <w:rPr>
          <w:rStyle w:val="FootnoteReference"/>
          <w:sz w:val="24"/>
        </w:rPr>
        <w:footnoteReference w:id="15"/>
      </w:r>
      <w:r>
        <w:rPr>
          <w:sz w:val="24"/>
        </w:rPr>
        <w:t xml:space="preserve"> Wales is the only country to have a devolved legislature, </w:t>
      </w:r>
      <w:r w:rsidR="00072422">
        <w:rPr>
          <w:sz w:val="24"/>
        </w:rPr>
        <w:t>while at the same time it continues to</w:t>
      </w:r>
      <w:r>
        <w:rPr>
          <w:sz w:val="24"/>
        </w:rPr>
        <w:t xml:space="preserve"> share relative regulatory alignment in many areas</w:t>
      </w:r>
      <w:r w:rsidR="00072422">
        <w:rPr>
          <w:sz w:val="24"/>
        </w:rPr>
        <w:t xml:space="preserve"> with England</w:t>
      </w:r>
      <w:r>
        <w:rPr>
          <w:sz w:val="24"/>
        </w:rPr>
        <w:t xml:space="preserve">, </w:t>
      </w:r>
      <w:r w:rsidR="00BA1DC9">
        <w:rPr>
          <w:sz w:val="24"/>
        </w:rPr>
        <w:t xml:space="preserve">by virtue of the joint jurisdiction of </w:t>
      </w:r>
      <w:r>
        <w:rPr>
          <w:sz w:val="24"/>
        </w:rPr>
        <w:t>England</w:t>
      </w:r>
      <w:r w:rsidR="00BA1DC9">
        <w:rPr>
          <w:sz w:val="24"/>
        </w:rPr>
        <w:t xml:space="preserve"> and Wales</w:t>
      </w:r>
      <w:r>
        <w:rPr>
          <w:sz w:val="24"/>
        </w:rPr>
        <w:t>.</w:t>
      </w:r>
      <w:r>
        <w:rPr>
          <w:rStyle w:val="FootnoteReference"/>
          <w:sz w:val="24"/>
        </w:rPr>
        <w:footnoteReference w:id="16"/>
      </w:r>
      <w:r>
        <w:rPr>
          <w:sz w:val="24"/>
        </w:rPr>
        <w:t xml:space="preserve"> </w:t>
      </w:r>
      <w:r w:rsidR="00BA1DC9">
        <w:rPr>
          <w:sz w:val="24"/>
        </w:rPr>
        <w:t>Consequently those training and educating Wales’ lawyers need to be both inward looking (in terms of the specialist needs of the Welsh community) and outward looking, in terms of the international role Welsh law schools can play on the world stage.</w:t>
      </w:r>
      <w:r w:rsidR="00BA1DC9">
        <w:rPr>
          <w:rStyle w:val="FootnoteReference"/>
          <w:sz w:val="24"/>
        </w:rPr>
        <w:footnoteReference w:id="17"/>
      </w:r>
      <w:r w:rsidR="00BA1DC9">
        <w:rPr>
          <w:sz w:val="24"/>
        </w:rPr>
        <w:t xml:space="preserve"> Ho</w:t>
      </w:r>
      <w:r w:rsidR="00C72FB2">
        <w:rPr>
          <w:sz w:val="24"/>
        </w:rPr>
        <w:t xml:space="preserve">wever historically, compared to the rest of the other devolved </w:t>
      </w:r>
      <w:r w:rsidR="007E36BF">
        <w:rPr>
          <w:sz w:val="24"/>
        </w:rPr>
        <w:t>nations</w:t>
      </w:r>
      <w:r w:rsidR="00C72FB2">
        <w:rPr>
          <w:sz w:val="24"/>
        </w:rPr>
        <w:t xml:space="preserve">, addressing the limits to </w:t>
      </w:r>
      <w:r w:rsidR="005438A0">
        <w:rPr>
          <w:sz w:val="24"/>
        </w:rPr>
        <w:t>Wales’s</w:t>
      </w:r>
      <w:r w:rsidR="00C72FB2">
        <w:rPr>
          <w:sz w:val="24"/>
        </w:rPr>
        <w:t xml:space="preserve"> legal competences </w:t>
      </w:r>
      <w:r w:rsidR="00BA1DC9">
        <w:rPr>
          <w:sz w:val="24"/>
        </w:rPr>
        <w:t>took longer.</w:t>
      </w:r>
      <w:r w:rsidR="00C72FB2">
        <w:rPr>
          <w:rStyle w:val="FootnoteReference"/>
          <w:sz w:val="24"/>
        </w:rPr>
        <w:footnoteReference w:id="18"/>
      </w:r>
      <w:r w:rsidR="00BA1DC9">
        <w:rPr>
          <w:sz w:val="24"/>
        </w:rPr>
        <w:t xml:space="preserve"> As </w:t>
      </w:r>
      <w:r w:rsidR="00D47457" w:rsidRPr="00D47457">
        <w:rPr>
          <w:sz w:val="24"/>
        </w:rPr>
        <w:t xml:space="preserve">Watkins </w:t>
      </w:r>
      <w:r w:rsidR="00D47457">
        <w:rPr>
          <w:sz w:val="24"/>
        </w:rPr>
        <w:t>states</w:t>
      </w:r>
      <w:r w:rsidR="00B53D57">
        <w:rPr>
          <w:sz w:val="24"/>
        </w:rPr>
        <w:t>,</w:t>
      </w:r>
      <w:r w:rsidR="00D47457" w:rsidRPr="00D47457">
        <w:rPr>
          <w:sz w:val="24"/>
        </w:rPr>
        <w:t xml:space="preserve"> the unique needs of the Welsh legal community were not fully recognised until the foundation of the University of Wales</w:t>
      </w:r>
      <w:r w:rsidR="00BA1DC9">
        <w:rPr>
          <w:sz w:val="24"/>
        </w:rPr>
        <w:t>, w</w:t>
      </w:r>
      <w:r w:rsidR="00072422">
        <w:rPr>
          <w:sz w:val="24"/>
        </w:rPr>
        <w:t>ith law degrees being offered at Aberystwyth only since</w:t>
      </w:r>
      <w:r w:rsidR="00BA1DC9">
        <w:rPr>
          <w:sz w:val="24"/>
        </w:rPr>
        <w:t xml:space="preserve"> 1901</w:t>
      </w:r>
      <w:r w:rsidR="00D47457" w:rsidRPr="00D47457">
        <w:rPr>
          <w:sz w:val="24"/>
        </w:rPr>
        <w:t>.</w:t>
      </w:r>
      <w:r w:rsidR="00D47457" w:rsidRPr="00D47457">
        <w:rPr>
          <w:sz w:val="24"/>
          <w:vertAlign w:val="superscript"/>
        </w:rPr>
        <w:footnoteReference w:id="19"/>
      </w:r>
      <w:r w:rsidR="00D47457" w:rsidRPr="00D47457">
        <w:rPr>
          <w:sz w:val="24"/>
        </w:rPr>
        <w:t xml:space="preserve"> Only then was Wales, for the first time, able to internally provide modern legal education to its aspiring lawyers within the country</w:t>
      </w:r>
      <w:r w:rsidR="007E36BF">
        <w:rPr>
          <w:sz w:val="24"/>
        </w:rPr>
        <w:t xml:space="preserve">. Despite this rich history, it took approximately 80 years </w:t>
      </w:r>
      <w:r w:rsidR="007E36BF">
        <w:rPr>
          <w:sz w:val="24"/>
        </w:rPr>
        <w:lastRenderedPageBreak/>
        <w:t>for Welsh universities to thereafter start to attract significant numbers of international learners</w:t>
      </w:r>
      <w:r w:rsidR="00D47457" w:rsidRPr="00D47457">
        <w:rPr>
          <w:sz w:val="24"/>
        </w:rPr>
        <w:t>.</w:t>
      </w:r>
      <w:r w:rsidR="00B53D57" w:rsidRPr="00D47457">
        <w:rPr>
          <w:sz w:val="24"/>
          <w:vertAlign w:val="superscript"/>
        </w:rPr>
        <w:footnoteReference w:id="20"/>
      </w:r>
      <w:r w:rsidR="00D47457" w:rsidRPr="00D47457">
        <w:rPr>
          <w:sz w:val="24"/>
        </w:rPr>
        <w:t xml:space="preserve"> </w:t>
      </w:r>
    </w:p>
    <w:p w14:paraId="00045C7C" w14:textId="5830E8A2" w:rsidR="00D6090C" w:rsidRDefault="00B53D57" w:rsidP="00A23988">
      <w:pPr>
        <w:jc w:val="both"/>
        <w:rPr>
          <w:sz w:val="24"/>
        </w:rPr>
      </w:pPr>
      <w:r>
        <w:rPr>
          <w:sz w:val="24"/>
        </w:rPr>
        <w:t xml:space="preserve">Today, </w:t>
      </w:r>
      <w:r w:rsidR="00A23988">
        <w:rPr>
          <w:sz w:val="24"/>
        </w:rPr>
        <w:t xml:space="preserve">Welsh </w:t>
      </w:r>
      <w:r w:rsidR="00D6090C">
        <w:rPr>
          <w:sz w:val="24"/>
        </w:rPr>
        <w:t>u</w:t>
      </w:r>
      <w:r w:rsidR="00A23988">
        <w:rPr>
          <w:sz w:val="24"/>
        </w:rPr>
        <w:t>niversities have 21.5% non-UK students directly contributing to their income (a figure which is higher than the overall UK average).</w:t>
      </w:r>
      <w:r w:rsidR="0011364C">
        <w:rPr>
          <w:rStyle w:val="FootnoteReference"/>
          <w:sz w:val="24"/>
        </w:rPr>
        <w:footnoteReference w:id="21"/>
      </w:r>
      <w:r w:rsidR="00A23988">
        <w:rPr>
          <w:sz w:val="24"/>
        </w:rPr>
        <w:t xml:space="preserve"> Amongst these numbers, </w:t>
      </w:r>
      <w:r w:rsidR="00D6090C">
        <w:rPr>
          <w:sz w:val="24"/>
        </w:rPr>
        <w:t>l</w:t>
      </w:r>
      <w:r w:rsidR="00A23988">
        <w:rPr>
          <w:sz w:val="24"/>
        </w:rPr>
        <w:t xml:space="preserve">aw, and law related studies, are consistently acknowledged as one of the top ten subjects to study at </w:t>
      </w:r>
      <w:r w:rsidR="00D6090C">
        <w:rPr>
          <w:sz w:val="24"/>
        </w:rPr>
        <w:t>u</w:t>
      </w:r>
      <w:r w:rsidR="00A23988">
        <w:rPr>
          <w:sz w:val="24"/>
        </w:rPr>
        <w:t xml:space="preserve">niversity in the UK (collectively by </w:t>
      </w:r>
      <w:r w:rsidR="00CF27C1">
        <w:rPr>
          <w:sz w:val="24"/>
        </w:rPr>
        <w:t>UK</w:t>
      </w:r>
      <w:r w:rsidR="00A23988">
        <w:rPr>
          <w:sz w:val="24"/>
        </w:rPr>
        <w:t>, EU</w:t>
      </w:r>
      <w:r w:rsidR="00B64B89">
        <w:rPr>
          <w:sz w:val="24"/>
        </w:rPr>
        <w:t>,</w:t>
      </w:r>
      <w:r w:rsidR="00A23988">
        <w:rPr>
          <w:sz w:val="24"/>
        </w:rPr>
        <w:t xml:space="preserve"> and international learners). In Wales, </w:t>
      </w:r>
      <w:r w:rsidR="00D6090C">
        <w:rPr>
          <w:sz w:val="24"/>
        </w:rPr>
        <w:t>l</w:t>
      </w:r>
      <w:r w:rsidR="00A23988">
        <w:rPr>
          <w:sz w:val="24"/>
        </w:rPr>
        <w:t>aw is often ranked the second most popular choice for school leavers (second only to medical sciences).</w:t>
      </w:r>
      <w:r w:rsidR="00A23988">
        <w:rPr>
          <w:rStyle w:val="FootnoteReference"/>
          <w:sz w:val="24"/>
        </w:rPr>
        <w:footnoteReference w:id="22"/>
      </w:r>
      <w:r w:rsidR="00A23988">
        <w:rPr>
          <w:sz w:val="24"/>
        </w:rPr>
        <w:t xml:space="preserve"> </w:t>
      </w:r>
      <w:r w:rsidR="00D47457">
        <w:rPr>
          <w:sz w:val="24"/>
        </w:rPr>
        <w:t xml:space="preserve">Therefore, given Welsh institutions higher reliance on non-native learners, as well as the </w:t>
      </w:r>
      <w:r w:rsidR="005438A0">
        <w:rPr>
          <w:sz w:val="24"/>
        </w:rPr>
        <w:t xml:space="preserve">international </w:t>
      </w:r>
      <w:r w:rsidR="00D47457">
        <w:rPr>
          <w:sz w:val="24"/>
        </w:rPr>
        <w:t>popularity</w:t>
      </w:r>
      <w:r w:rsidR="00072422">
        <w:rPr>
          <w:sz w:val="24"/>
        </w:rPr>
        <w:t xml:space="preserve"> of their law programmes,</w:t>
      </w:r>
      <w:r w:rsidR="00D47457">
        <w:rPr>
          <w:sz w:val="24"/>
        </w:rPr>
        <w:t xml:space="preserve"> legal studies within Wales should be considered amongst the subject disciplines that </w:t>
      </w:r>
      <w:r w:rsidR="007E36BF">
        <w:rPr>
          <w:sz w:val="24"/>
        </w:rPr>
        <w:t xml:space="preserve">is amongst those most likely to </w:t>
      </w:r>
      <w:r w:rsidR="00D47457">
        <w:rPr>
          <w:sz w:val="24"/>
        </w:rPr>
        <w:t>be affected by Brexit.</w:t>
      </w:r>
      <w:r w:rsidR="002540FF">
        <w:rPr>
          <w:rStyle w:val="FootnoteReference"/>
          <w:sz w:val="24"/>
        </w:rPr>
        <w:footnoteReference w:id="23"/>
      </w:r>
      <w:r w:rsidR="00D47457">
        <w:rPr>
          <w:sz w:val="24"/>
        </w:rPr>
        <w:t xml:space="preserve">  </w:t>
      </w:r>
    </w:p>
    <w:p w14:paraId="65F868F7" w14:textId="77777777" w:rsidR="00072422" w:rsidRDefault="00A23988" w:rsidP="00A23988">
      <w:pPr>
        <w:jc w:val="both"/>
        <w:rPr>
          <w:sz w:val="24"/>
        </w:rPr>
      </w:pPr>
      <w:r>
        <w:rPr>
          <w:sz w:val="24"/>
        </w:rPr>
        <w:t xml:space="preserve">Whilst the study of </w:t>
      </w:r>
      <w:r w:rsidR="00D47457">
        <w:rPr>
          <w:sz w:val="24"/>
        </w:rPr>
        <w:t>l</w:t>
      </w:r>
      <w:r>
        <w:rPr>
          <w:sz w:val="24"/>
        </w:rPr>
        <w:t xml:space="preserve">aw is often assumed to be jurisdiction specific; there are significant reasons why Wales should, and has, taken an internationalised approach to the delivery of legal education. All </w:t>
      </w:r>
      <w:r w:rsidR="00D47457">
        <w:rPr>
          <w:sz w:val="24"/>
        </w:rPr>
        <w:t>l</w:t>
      </w:r>
      <w:r>
        <w:rPr>
          <w:sz w:val="24"/>
        </w:rPr>
        <w:t xml:space="preserve">aw </w:t>
      </w:r>
      <w:r w:rsidR="00D47457">
        <w:rPr>
          <w:sz w:val="24"/>
        </w:rPr>
        <w:t>s</w:t>
      </w:r>
      <w:r>
        <w:rPr>
          <w:sz w:val="24"/>
        </w:rPr>
        <w:t xml:space="preserve">chools in Wales offer a variety of electives, both at undergraduate and postgraduate level, beyond just the qualifying law degree foundation subjects. Subjects such as international </w:t>
      </w:r>
      <w:r w:rsidR="00D47457">
        <w:rPr>
          <w:sz w:val="24"/>
        </w:rPr>
        <w:t>p</w:t>
      </w:r>
      <w:r>
        <w:rPr>
          <w:sz w:val="24"/>
        </w:rPr>
        <w:t xml:space="preserve">ublic and </w:t>
      </w:r>
      <w:r w:rsidR="00D47457">
        <w:rPr>
          <w:sz w:val="24"/>
        </w:rPr>
        <w:t>p</w:t>
      </w:r>
      <w:r>
        <w:rPr>
          <w:sz w:val="24"/>
        </w:rPr>
        <w:t xml:space="preserve">rivate </w:t>
      </w:r>
      <w:r w:rsidR="00D47457">
        <w:rPr>
          <w:sz w:val="24"/>
        </w:rPr>
        <w:t>l</w:t>
      </w:r>
      <w:r>
        <w:rPr>
          <w:sz w:val="24"/>
        </w:rPr>
        <w:t xml:space="preserve">aw; as well as emerging specialist centres within </w:t>
      </w:r>
      <w:r w:rsidR="00D47457">
        <w:rPr>
          <w:sz w:val="24"/>
        </w:rPr>
        <w:t>l</w:t>
      </w:r>
      <w:r>
        <w:rPr>
          <w:sz w:val="24"/>
        </w:rPr>
        <w:t xml:space="preserve">aw </w:t>
      </w:r>
      <w:r w:rsidR="00D47457">
        <w:rPr>
          <w:sz w:val="24"/>
        </w:rPr>
        <w:t>s</w:t>
      </w:r>
      <w:r>
        <w:rPr>
          <w:sz w:val="24"/>
        </w:rPr>
        <w:t xml:space="preserve">chools, covering areas such as international </w:t>
      </w:r>
      <w:r w:rsidR="00D47457">
        <w:rPr>
          <w:sz w:val="24"/>
        </w:rPr>
        <w:t>p</w:t>
      </w:r>
      <w:r>
        <w:rPr>
          <w:sz w:val="24"/>
        </w:rPr>
        <w:t xml:space="preserve">ublic </w:t>
      </w:r>
      <w:r w:rsidR="00D47457">
        <w:rPr>
          <w:sz w:val="24"/>
        </w:rPr>
        <w:t>p</w:t>
      </w:r>
      <w:r>
        <w:rPr>
          <w:sz w:val="24"/>
        </w:rPr>
        <w:t xml:space="preserve">rocurement </w:t>
      </w:r>
      <w:r w:rsidR="00D47457">
        <w:rPr>
          <w:sz w:val="24"/>
        </w:rPr>
        <w:t>l</w:t>
      </w:r>
      <w:r w:rsidR="00072422">
        <w:rPr>
          <w:sz w:val="24"/>
        </w:rPr>
        <w:t>aw,</w:t>
      </w:r>
      <w:r>
        <w:rPr>
          <w:rStyle w:val="FootnoteReference"/>
          <w:sz w:val="24"/>
        </w:rPr>
        <w:footnoteReference w:id="24"/>
      </w:r>
      <w:r>
        <w:rPr>
          <w:sz w:val="24"/>
        </w:rPr>
        <w:t xml:space="preserve"> </w:t>
      </w:r>
      <w:r w:rsidR="00072422">
        <w:rPr>
          <w:sz w:val="24"/>
        </w:rPr>
        <w:t>and</w:t>
      </w:r>
      <w:r>
        <w:rPr>
          <w:sz w:val="24"/>
        </w:rPr>
        <w:t xml:space="preserve"> strategic partnerships with leading EU </w:t>
      </w:r>
      <w:r w:rsidR="00D47457">
        <w:rPr>
          <w:sz w:val="24"/>
        </w:rPr>
        <w:t>l</w:t>
      </w:r>
      <w:r>
        <w:rPr>
          <w:sz w:val="24"/>
        </w:rPr>
        <w:t xml:space="preserve">aw </w:t>
      </w:r>
      <w:r w:rsidR="00D47457">
        <w:rPr>
          <w:sz w:val="24"/>
        </w:rPr>
        <w:t>s</w:t>
      </w:r>
      <w:r w:rsidR="00072422">
        <w:rPr>
          <w:sz w:val="24"/>
        </w:rPr>
        <w:t>chools,</w:t>
      </w:r>
      <w:r>
        <w:rPr>
          <w:rStyle w:val="FootnoteReference"/>
          <w:sz w:val="24"/>
        </w:rPr>
        <w:footnoteReference w:id="25"/>
      </w:r>
      <w:r>
        <w:rPr>
          <w:sz w:val="24"/>
        </w:rPr>
        <w:t xml:space="preserve"> are widening the appeal and reputation of Wales’ </w:t>
      </w:r>
      <w:r w:rsidR="00D47457">
        <w:rPr>
          <w:sz w:val="24"/>
        </w:rPr>
        <w:t>l</w:t>
      </w:r>
      <w:r>
        <w:rPr>
          <w:sz w:val="24"/>
        </w:rPr>
        <w:t xml:space="preserve">aw </w:t>
      </w:r>
      <w:r w:rsidR="00D47457">
        <w:rPr>
          <w:sz w:val="24"/>
        </w:rPr>
        <w:t>s</w:t>
      </w:r>
      <w:r>
        <w:rPr>
          <w:sz w:val="24"/>
        </w:rPr>
        <w:t xml:space="preserve">chools as centres of excellence. In doing so, they have attracted more EU and international </w:t>
      </w:r>
      <w:r w:rsidR="00D47457">
        <w:rPr>
          <w:sz w:val="24"/>
        </w:rPr>
        <w:t>l</w:t>
      </w:r>
      <w:r>
        <w:rPr>
          <w:sz w:val="24"/>
        </w:rPr>
        <w:t>aw students.</w:t>
      </w:r>
      <w:r w:rsidR="00B64B89">
        <w:rPr>
          <w:sz w:val="24"/>
        </w:rPr>
        <w:t xml:space="preserve"> The delivery of such international specialisms in Wales is part</w:t>
      </w:r>
      <w:r w:rsidR="00D47457">
        <w:rPr>
          <w:sz w:val="24"/>
        </w:rPr>
        <w:t>ly</w:t>
      </w:r>
      <w:r w:rsidR="00B64B89">
        <w:rPr>
          <w:sz w:val="24"/>
        </w:rPr>
        <w:t xml:space="preserve"> </w:t>
      </w:r>
      <w:r w:rsidR="00480B17">
        <w:rPr>
          <w:sz w:val="24"/>
        </w:rPr>
        <w:t>attributable to</w:t>
      </w:r>
      <w:r w:rsidR="00B64B89">
        <w:rPr>
          <w:sz w:val="24"/>
        </w:rPr>
        <w:t xml:space="preserve"> the assiduousness of Wales’ non</w:t>
      </w:r>
      <w:r w:rsidR="00901EE0">
        <w:rPr>
          <w:sz w:val="24"/>
        </w:rPr>
        <w:t>-</w:t>
      </w:r>
      <w:r w:rsidR="00B64B89">
        <w:rPr>
          <w:sz w:val="24"/>
        </w:rPr>
        <w:t xml:space="preserve">UK, EU and international </w:t>
      </w:r>
      <w:r w:rsidR="00D47457">
        <w:rPr>
          <w:sz w:val="24"/>
        </w:rPr>
        <w:t>l</w:t>
      </w:r>
      <w:r w:rsidR="00B64B89">
        <w:rPr>
          <w:sz w:val="24"/>
        </w:rPr>
        <w:t xml:space="preserve">aw </w:t>
      </w:r>
      <w:r w:rsidR="00D47457">
        <w:rPr>
          <w:sz w:val="24"/>
        </w:rPr>
        <w:t>l</w:t>
      </w:r>
      <w:r w:rsidR="00B64B89">
        <w:rPr>
          <w:sz w:val="24"/>
        </w:rPr>
        <w:t>ecturers.</w:t>
      </w:r>
      <w:r w:rsidR="008149B2">
        <w:rPr>
          <w:rStyle w:val="FootnoteReference"/>
          <w:sz w:val="24"/>
        </w:rPr>
        <w:footnoteReference w:id="26"/>
      </w:r>
      <w:r>
        <w:rPr>
          <w:sz w:val="24"/>
        </w:rPr>
        <w:t xml:space="preserve"> In return</w:t>
      </w:r>
      <w:r w:rsidR="00CF27C1">
        <w:rPr>
          <w:sz w:val="24"/>
        </w:rPr>
        <w:t>,</w:t>
      </w:r>
      <w:r>
        <w:rPr>
          <w:sz w:val="24"/>
        </w:rPr>
        <w:t xml:space="preserve"> </w:t>
      </w:r>
      <w:r w:rsidR="00CF27C1">
        <w:rPr>
          <w:sz w:val="24"/>
        </w:rPr>
        <w:t>UK and Welsh</w:t>
      </w:r>
      <w:r w:rsidR="00072422">
        <w:rPr>
          <w:sz w:val="24"/>
        </w:rPr>
        <w:t xml:space="preserve"> students benefit from</w:t>
      </w:r>
      <w:r>
        <w:rPr>
          <w:sz w:val="24"/>
        </w:rPr>
        <w:t xml:space="preserve"> an ‘internationalised outlook’ through opportunities to mix with a more diverse group of peers; a wider </w:t>
      </w:r>
      <w:r w:rsidR="00CF27C1">
        <w:rPr>
          <w:sz w:val="24"/>
        </w:rPr>
        <w:t xml:space="preserve">international </w:t>
      </w:r>
      <w:r>
        <w:rPr>
          <w:sz w:val="24"/>
        </w:rPr>
        <w:t xml:space="preserve">mix of </w:t>
      </w:r>
      <w:r w:rsidR="00D47457">
        <w:rPr>
          <w:sz w:val="24"/>
        </w:rPr>
        <w:t>l</w:t>
      </w:r>
      <w:r>
        <w:rPr>
          <w:sz w:val="24"/>
        </w:rPr>
        <w:t xml:space="preserve">ecturers, teaching a vast array of specialisms and international subjects; greater opportunities to travel abroad as part of their degree, including via the Erasmus </w:t>
      </w:r>
      <w:r w:rsidR="00D47457">
        <w:rPr>
          <w:sz w:val="24"/>
        </w:rPr>
        <w:t>p</w:t>
      </w:r>
      <w:r>
        <w:rPr>
          <w:sz w:val="24"/>
        </w:rPr>
        <w:t xml:space="preserve">lus exchange </w:t>
      </w:r>
      <w:r>
        <w:rPr>
          <w:sz w:val="24"/>
        </w:rPr>
        <w:lastRenderedPageBreak/>
        <w:t>programme; as well as enhanced employability skills and career prospects post-graduation (with a greater awareness of the opportunities available for Welsh law students both at home</w:t>
      </w:r>
      <w:r w:rsidR="00482901">
        <w:rPr>
          <w:sz w:val="24"/>
        </w:rPr>
        <w:t xml:space="preserve"> and overseas</w:t>
      </w:r>
      <w:r>
        <w:rPr>
          <w:sz w:val="24"/>
        </w:rPr>
        <w:t xml:space="preserve">). </w:t>
      </w:r>
    </w:p>
    <w:p w14:paraId="765C774F" w14:textId="08EF78C2" w:rsidR="00A23988" w:rsidRDefault="00A23988" w:rsidP="00A23988">
      <w:pPr>
        <w:jc w:val="both"/>
        <w:rPr>
          <w:sz w:val="24"/>
        </w:rPr>
      </w:pPr>
      <w:r>
        <w:rPr>
          <w:sz w:val="24"/>
        </w:rPr>
        <w:t>However in the coming years, Wales’ internationalised legal education is set to face significant challenges, including (but not limited to): threats to the current qualifying law degree LLB programme (in a move towards the SQE model, which does not place s</w:t>
      </w:r>
      <w:r w:rsidR="00CF27C1">
        <w:rPr>
          <w:sz w:val="24"/>
        </w:rPr>
        <w:t>ignificant</w:t>
      </w:r>
      <w:r>
        <w:rPr>
          <w:sz w:val="24"/>
        </w:rPr>
        <w:t xml:space="preserve"> value on knowledge of European Union law);</w:t>
      </w:r>
      <w:r w:rsidR="00CF27C1">
        <w:rPr>
          <w:rStyle w:val="FootnoteReference"/>
          <w:sz w:val="24"/>
        </w:rPr>
        <w:footnoteReference w:id="27"/>
      </w:r>
      <w:r>
        <w:rPr>
          <w:sz w:val="24"/>
        </w:rPr>
        <w:t xml:space="preserve"> the marketisation of </w:t>
      </w:r>
      <w:r w:rsidR="00480B17">
        <w:rPr>
          <w:sz w:val="24"/>
        </w:rPr>
        <w:t>H</w:t>
      </w:r>
      <w:r>
        <w:rPr>
          <w:sz w:val="24"/>
        </w:rPr>
        <w:t xml:space="preserve">igher </w:t>
      </w:r>
      <w:r w:rsidR="00480B17">
        <w:rPr>
          <w:sz w:val="24"/>
        </w:rPr>
        <w:t>E</w:t>
      </w:r>
      <w:r>
        <w:rPr>
          <w:sz w:val="24"/>
        </w:rPr>
        <w:t>ducation which ranks pass rates, retention and progression above other traditional University values (via Teaching Excellence Framework (TEF) metrics); as well as the current</w:t>
      </w:r>
      <w:r w:rsidR="001F3195">
        <w:rPr>
          <w:sz w:val="24"/>
        </w:rPr>
        <w:t xml:space="preserve"> ‘immigrant unfriendly’</w:t>
      </w:r>
      <w:r>
        <w:rPr>
          <w:sz w:val="24"/>
        </w:rPr>
        <w:t xml:space="preserve"> political climate of Brexit.</w:t>
      </w:r>
      <w:r w:rsidR="00CE03B0">
        <w:rPr>
          <w:rStyle w:val="FootnoteReference"/>
          <w:sz w:val="24"/>
        </w:rPr>
        <w:footnoteReference w:id="28"/>
      </w:r>
      <w:r>
        <w:rPr>
          <w:sz w:val="24"/>
        </w:rPr>
        <w:t xml:space="preserve"> Under such pressures, the benefits and value of an internationalised</w:t>
      </w:r>
      <w:r w:rsidR="00480B17">
        <w:rPr>
          <w:sz w:val="24"/>
        </w:rPr>
        <w:t xml:space="preserve"> </w:t>
      </w:r>
      <w:r>
        <w:rPr>
          <w:sz w:val="24"/>
        </w:rPr>
        <w:t>legal education to the future generation of lawyers in Wales is under threat.</w:t>
      </w:r>
      <w:r>
        <w:rPr>
          <w:rStyle w:val="FootnoteReference"/>
          <w:sz w:val="24"/>
        </w:rPr>
        <w:footnoteReference w:id="29"/>
      </w:r>
      <w:r>
        <w:rPr>
          <w:sz w:val="24"/>
        </w:rPr>
        <w:t xml:space="preserve"> </w:t>
      </w:r>
    </w:p>
    <w:p w14:paraId="0A372A97" w14:textId="250CD23C" w:rsidR="00F2745C" w:rsidRDefault="00620B25" w:rsidP="00620B25">
      <w:pPr>
        <w:jc w:val="both"/>
        <w:rPr>
          <w:sz w:val="24"/>
        </w:rPr>
      </w:pPr>
      <w:r>
        <w:rPr>
          <w:sz w:val="24"/>
        </w:rPr>
        <w:t>Of these, Brexit is perhaps the most imminent and uncertain threat</w:t>
      </w:r>
      <w:r w:rsidR="007E36BF">
        <w:rPr>
          <w:sz w:val="24"/>
        </w:rPr>
        <w:t>,</w:t>
      </w:r>
      <w:r>
        <w:rPr>
          <w:sz w:val="24"/>
        </w:rPr>
        <w:t xml:space="preserve"> which will have both a direct and indirect impact on the future of Wales’ </w:t>
      </w:r>
      <w:r w:rsidR="009A19E3">
        <w:rPr>
          <w:sz w:val="24"/>
        </w:rPr>
        <w:t>l</w:t>
      </w:r>
      <w:r>
        <w:rPr>
          <w:sz w:val="24"/>
        </w:rPr>
        <w:t xml:space="preserve">aw </w:t>
      </w:r>
      <w:r w:rsidR="009A19E3">
        <w:rPr>
          <w:sz w:val="24"/>
        </w:rPr>
        <w:t>s</w:t>
      </w:r>
      <w:r>
        <w:rPr>
          <w:sz w:val="24"/>
        </w:rPr>
        <w:t xml:space="preserve">chools. In order to assess what that impact might be, we sought to understand the thoughts and views of Wales’ current </w:t>
      </w:r>
      <w:r w:rsidR="009A19E3">
        <w:rPr>
          <w:sz w:val="24"/>
        </w:rPr>
        <w:t>l</w:t>
      </w:r>
      <w:r>
        <w:rPr>
          <w:sz w:val="24"/>
        </w:rPr>
        <w:t>aw students. In doing so</w:t>
      </w:r>
      <w:r w:rsidR="001F3195">
        <w:rPr>
          <w:sz w:val="24"/>
        </w:rPr>
        <w:t>,</w:t>
      </w:r>
      <w:r>
        <w:rPr>
          <w:sz w:val="24"/>
        </w:rPr>
        <w:t xml:space="preserve"> it is believed that the 336 students that were surveyed are currently the best gauge we have </w:t>
      </w:r>
      <w:r w:rsidR="001F3195">
        <w:rPr>
          <w:sz w:val="24"/>
        </w:rPr>
        <w:t>to allow for some</w:t>
      </w:r>
      <w:r>
        <w:rPr>
          <w:sz w:val="24"/>
        </w:rPr>
        <w:t xml:space="preserve"> quantitative and qualitative</w:t>
      </w:r>
      <w:r w:rsidR="001F3195">
        <w:rPr>
          <w:sz w:val="24"/>
        </w:rPr>
        <w:t xml:space="preserve"> insights into</w:t>
      </w:r>
      <w:r>
        <w:rPr>
          <w:sz w:val="24"/>
        </w:rPr>
        <w:t xml:space="preserve"> what the future generation perceive to be the effects of Brexit. Such students (from the UK, EU and international jurisdictions) are best placed to reflect their respective domestic and international views</w:t>
      </w:r>
      <w:r w:rsidR="001F3195">
        <w:rPr>
          <w:sz w:val="24"/>
        </w:rPr>
        <w:t>,</w:t>
      </w:r>
      <w:r>
        <w:rPr>
          <w:sz w:val="24"/>
        </w:rPr>
        <w:t xml:space="preserve"> and concerns</w:t>
      </w:r>
      <w:r w:rsidR="001F3195">
        <w:rPr>
          <w:sz w:val="24"/>
        </w:rPr>
        <w:t>,</w:t>
      </w:r>
      <w:r>
        <w:rPr>
          <w:sz w:val="24"/>
        </w:rPr>
        <w:t xml:space="preserve"> as to what the future could look like for legal education</w:t>
      </w:r>
      <w:r w:rsidR="0011364C">
        <w:rPr>
          <w:sz w:val="24"/>
        </w:rPr>
        <w:t xml:space="preserve"> in the UK</w:t>
      </w:r>
      <w:r>
        <w:rPr>
          <w:sz w:val="24"/>
        </w:rPr>
        <w:t>. They are also more likely to understand what their respective com</w:t>
      </w:r>
      <w:r w:rsidR="00072422">
        <w:rPr>
          <w:sz w:val="24"/>
        </w:rPr>
        <w:t>munities back home are thinking,</w:t>
      </w:r>
      <w:r>
        <w:rPr>
          <w:sz w:val="24"/>
        </w:rPr>
        <w:t xml:space="preserve"> so as to provide some indication as to whether Wales </w:t>
      </w:r>
      <w:r w:rsidR="0011364C">
        <w:rPr>
          <w:sz w:val="24"/>
        </w:rPr>
        <w:t xml:space="preserve">and the UK </w:t>
      </w:r>
      <w:r>
        <w:rPr>
          <w:sz w:val="24"/>
        </w:rPr>
        <w:t xml:space="preserve">will continue to be an attractive place for learners, academics and researcher to come to study and work. </w:t>
      </w:r>
    </w:p>
    <w:p w14:paraId="5801BC7F" w14:textId="0146ABF0" w:rsidR="009A19E3" w:rsidRDefault="009A19E3" w:rsidP="00620B25">
      <w:pPr>
        <w:jc w:val="both"/>
        <w:rPr>
          <w:sz w:val="24"/>
        </w:rPr>
      </w:pPr>
      <w:r>
        <w:rPr>
          <w:sz w:val="24"/>
        </w:rPr>
        <w:t xml:space="preserve">It is </w:t>
      </w:r>
      <w:r w:rsidR="00072422">
        <w:rPr>
          <w:sz w:val="24"/>
        </w:rPr>
        <w:t xml:space="preserve">therefore a confirmation of </w:t>
      </w:r>
      <w:r>
        <w:rPr>
          <w:sz w:val="24"/>
        </w:rPr>
        <w:t xml:space="preserve">Wales’ unique constitutional position; historical legal education evolution; as well as its higher than average reliance on overseas students; that makes it a worthy case study for sampling students’ views as to the effects of Brexit on legal education.  </w:t>
      </w:r>
    </w:p>
    <w:p w14:paraId="5CAB4122" w14:textId="77777777" w:rsidR="00072422" w:rsidRDefault="00072422" w:rsidP="0029523C">
      <w:pPr>
        <w:jc w:val="both"/>
        <w:rPr>
          <w:b/>
          <w:sz w:val="24"/>
        </w:rPr>
      </w:pPr>
      <w:bookmarkStart w:id="1" w:name="_Hlk516234985"/>
      <w:bookmarkStart w:id="2" w:name="_Hlk514775634"/>
    </w:p>
    <w:p w14:paraId="37303506" w14:textId="44250E88" w:rsidR="00936BDB" w:rsidRPr="00DE4164" w:rsidRDefault="00A20C5A" w:rsidP="0029523C">
      <w:pPr>
        <w:jc w:val="both"/>
        <w:rPr>
          <w:b/>
          <w:sz w:val="24"/>
        </w:rPr>
      </w:pPr>
      <w:r w:rsidRPr="00DE4164">
        <w:rPr>
          <w:b/>
          <w:sz w:val="24"/>
        </w:rPr>
        <w:lastRenderedPageBreak/>
        <w:t>1.</w:t>
      </w:r>
      <w:r w:rsidR="00B53D57">
        <w:rPr>
          <w:b/>
          <w:sz w:val="24"/>
        </w:rPr>
        <w:t>2</w:t>
      </w:r>
      <w:r w:rsidR="00936BDB" w:rsidRPr="00DE4164">
        <w:rPr>
          <w:b/>
          <w:sz w:val="24"/>
        </w:rPr>
        <w:t xml:space="preserve"> Mapping the Contribution of Non-UK Students to the UK and Wales</w:t>
      </w:r>
    </w:p>
    <w:bookmarkEnd w:id="1"/>
    <w:p w14:paraId="4F89C3AE" w14:textId="34EFD4D6" w:rsidR="007921F6" w:rsidRDefault="00164858" w:rsidP="00142303">
      <w:pPr>
        <w:jc w:val="both"/>
        <w:rPr>
          <w:sz w:val="24"/>
        </w:rPr>
      </w:pPr>
      <w:r>
        <w:rPr>
          <w:sz w:val="24"/>
        </w:rPr>
        <w:t>Whilst talking about the marketisation of Higher Education presents its own difficulties</w:t>
      </w:r>
      <w:r w:rsidR="00072422">
        <w:rPr>
          <w:sz w:val="24"/>
        </w:rPr>
        <w:t>,</w:t>
      </w:r>
      <w:r>
        <w:rPr>
          <w:rStyle w:val="FootnoteReference"/>
          <w:sz w:val="24"/>
        </w:rPr>
        <w:footnoteReference w:id="30"/>
      </w:r>
      <w:r>
        <w:rPr>
          <w:sz w:val="24"/>
        </w:rPr>
        <w:t xml:space="preserve"> given the </w:t>
      </w:r>
      <w:r w:rsidR="007921F6">
        <w:rPr>
          <w:sz w:val="24"/>
        </w:rPr>
        <w:t xml:space="preserve">current </w:t>
      </w:r>
      <w:r>
        <w:rPr>
          <w:sz w:val="24"/>
        </w:rPr>
        <w:t>focus of Brexit</w:t>
      </w:r>
      <w:r w:rsidR="007921F6">
        <w:rPr>
          <w:sz w:val="24"/>
        </w:rPr>
        <w:t xml:space="preserve"> trade</w:t>
      </w:r>
      <w:r>
        <w:rPr>
          <w:sz w:val="24"/>
        </w:rPr>
        <w:t xml:space="preserve"> negotiations on </w:t>
      </w:r>
      <w:r w:rsidR="00072422">
        <w:rPr>
          <w:sz w:val="24"/>
        </w:rPr>
        <w:t>the economy,</w:t>
      </w:r>
      <w:r w:rsidR="007921F6">
        <w:rPr>
          <w:sz w:val="24"/>
        </w:rPr>
        <w:t xml:space="preserve"> it is significant to </w:t>
      </w:r>
      <w:r w:rsidR="0011364C">
        <w:rPr>
          <w:sz w:val="24"/>
        </w:rPr>
        <w:t>understand</w:t>
      </w:r>
      <w:r>
        <w:rPr>
          <w:sz w:val="24"/>
        </w:rPr>
        <w:t xml:space="preserve"> the important financial contributions of </w:t>
      </w:r>
      <w:r w:rsidR="007921F6">
        <w:rPr>
          <w:sz w:val="24"/>
        </w:rPr>
        <w:t xml:space="preserve">UK </w:t>
      </w:r>
      <w:r w:rsidR="008149B2">
        <w:rPr>
          <w:sz w:val="24"/>
        </w:rPr>
        <w:t>u</w:t>
      </w:r>
      <w:r>
        <w:rPr>
          <w:sz w:val="24"/>
        </w:rPr>
        <w:t xml:space="preserve">niversities and </w:t>
      </w:r>
      <w:r w:rsidR="008149B2">
        <w:rPr>
          <w:sz w:val="24"/>
        </w:rPr>
        <w:t>c</w:t>
      </w:r>
      <w:r>
        <w:rPr>
          <w:sz w:val="24"/>
        </w:rPr>
        <w:t>olleges</w:t>
      </w:r>
      <w:r w:rsidR="00F24ADF">
        <w:rPr>
          <w:sz w:val="24"/>
        </w:rPr>
        <w:t xml:space="preserve"> to G</w:t>
      </w:r>
      <w:r w:rsidR="001F3195">
        <w:rPr>
          <w:sz w:val="24"/>
        </w:rPr>
        <w:t>DP</w:t>
      </w:r>
      <w:r>
        <w:rPr>
          <w:sz w:val="24"/>
        </w:rPr>
        <w:t xml:space="preserve">. </w:t>
      </w:r>
      <w:r w:rsidR="00E62CD9">
        <w:rPr>
          <w:sz w:val="24"/>
        </w:rPr>
        <w:t>Recent commissioned work by Universities</w:t>
      </w:r>
      <w:r w:rsidR="0029523C">
        <w:rPr>
          <w:sz w:val="24"/>
        </w:rPr>
        <w:t xml:space="preserve"> </w:t>
      </w:r>
      <w:r w:rsidR="00E62CD9">
        <w:rPr>
          <w:sz w:val="24"/>
        </w:rPr>
        <w:t>UK</w:t>
      </w:r>
      <w:r w:rsidR="00C649D6">
        <w:rPr>
          <w:sz w:val="24"/>
        </w:rPr>
        <w:t xml:space="preserve"> indicates that </w:t>
      </w:r>
      <w:r w:rsidR="008149B2">
        <w:rPr>
          <w:sz w:val="24"/>
        </w:rPr>
        <w:t>u</w:t>
      </w:r>
      <w:r w:rsidR="00E62CD9">
        <w:rPr>
          <w:sz w:val="24"/>
        </w:rPr>
        <w:t xml:space="preserve">niversities generate approximately £95 billion </w:t>
      </w:r>
      <w:r w:rsidR="00F2745C">
        <w:rPr>
          <w:sz w:val="24"/>
        </w:rPr>
        <w:t>towards</w:t>
      </w:r>
      <w:r w:rsidR="00E62CD9">
        <w:rPr>
          <w:sz w:val="24"/>
        </w:rPr>
        <w:t xml:space="preserve"> the country’s </w:t>
      </w:r>
      <w:r w:rsidR="00374220">
        <w:rPr>
          <w:sz w:val="24"/>
        </w:rPr>
        <w:t>economy</w:t>
      </w:r>
      <w:r w:rsidR="007921F6">
        <w:rPr>
          <w:sz w:val="24"/>
        </w:rPr>
        <w:t>,</w:t>
      </w:r>
      <w:r w:rsidR="00374220">
        <w:rPr>
          <w:sz w:val="24"/>
        </w:rPr>
        <w:t xml:space="preserve"> and</w:t>
      </w:r>
      <w:r w:rsidR="00E62CD9">
        <w:rPr>
          <w:sz w:val="24"/>
        </w:rPr>
        <w:t xml:space="preserve"> support</w:t>
      </w:r>
      <w:r w:rsidR="0029523C">
        <w:rPr>
          <w:sz w:val="24"/>
        </w:rPr>
        <w:t>s</w:t>
      </w:r>
      <w:r w:rsidR="00E62CD9">
        <w:rPr>
          <w:sz w:val="24"/>
        </w:rPr>
        <w:t xml:space="preserve"> more than 940,000 jobs across the nation</w:t>
      </w:r>
      <w:r w:rsidR="003031D1">
        <w:rPr>
          <w:sz w:val="24"/>
        </w:rPr>
        <w:t xml:space="preserve"> (both directly and indirectly)</w:t>
      </w:r>
      <w:r w:rsidR="00E62CD9">
        <w:rPr>
          <w:sz w:val="24"/>
        </w:rPr>
        <w:t>.</w:t>
      </w:r>
      <w:r w:rsidR="00E62CD9">
        <w:rPr>
          <w:rStyle w:val="FootnoteReference"/>
          <w:sz w:val="24"/>
        </w:rPr>
        <w:footnoteReference w:id="31"/>
      </w:r>
      <w:r w:rsidR="00E62CD9">
        <w:rPr>
          <w:sz w:val="24"/>
        </w:rPr>
        <w:t xml:space="preserve"> </w:t>
      </w:r>
      <w:r w:rsidR="00F303DA">
        <w:rPr>
          <w:sz w:val="24"/>
        </w:rPr>
        <w:t>I</w:t>
      </w:r>
      <w:r w:rsidR="00E62CD9">
        <w:rPr>
          <w:sz w:val="24"/>
        </w:rPr>
        <w:t xml:space="preserve">t is estimated that </w:t>
      </w:r>
      <w:r w:rsidR="00F303DA">
        <w:rPr>
          <w:sz w:val="24"/>
        </w:rPr>
        <w:t xml:space="preserve">gross contributions </w:t>
      </w:r>
      <w:r w:rsidR="003031D1">
        <w:rPr>
          <w:sz w:val="24"/>
        </w:rPr>
        <w:t xml:space="preserve">directly </w:t>
      </w:r>
      <w:r w:rsidR="00E62CD9">
        <w:rPr>
          <w:sz w:val="24"/>
        </w:rPr>
        <w:t>account for £21.5 billion (or 1.2 percent of GDP)</w:t>
      </w:r>
      <w:r w:rsidR="00072422">
        <w:rPr>
          <w:sz w:val="24"/>
        </w:rPr>
        <w:t>.</w:t>
      </w:r>
      <w:r w:rsidR="00524578">
        <w:rPr>
          <w:sz w:val="24"/>
        </w:rPr>
        <w:t xml:space="preserve"> </w:t>
      </w:r>
      <w:r w:rsidR="00072422">
        <w:rPr>
          <w:sz w:val="24"/>
        </w:rPr>
        <w:t>Such</w:t>
      </w:r>
      <w:r w:rsidR="00374220">
        <w:rPr>
          <w:sz w:val="24"/>
        </w:rPr>
        <w:t xml:space="preserve"> </w:t>
      </w:r>
      <w:r w:rsidR="00271EBF">
        <w:rPr>
          <w:sz w:val="24"/>
        </w:rPr>
        <w:t>is</w:t>
      </w:r>
      <w:r w:rsidR="00E62CD9">
        <w:rPr>
          <w:sz w:val="24"/>
        </w:rPr>
        <w:t xml:space="preserve"> </w:t>
      </w:r>
      <w:r w:rsidR="00374220">
        <w:rPr>
          <w:sz w:val="24"/>
        </w:rPr>
        <w:t xml:space="preserve">a </w:t>
      </w:r>
      <w:r w:rsidR="00E62CD9">
        <w:rPr>
          <w:sz w:val="24"/>
        </w:rPr>
        <w:t>22 percent greater</w:t>
      </w:r>
      <w:r w:rsidR="00374220">
        <w:rPr>
          <w:sz w:val="24"/>
        </w:rPr>
        <w:t xml:space="preserve"> contribution</w:t>
      </w:r>
      <w:r w:rsidR="00E62CD9">
        <w:rPr>
          <w:sz w:val="24"/>
        </w:rPr>
        <w:t xml:space="preserve"> than that produced by the whole </w:t>
      </w:r>
      <w:r w:rsidR="00271EBF">
        <w:rPr>
          <w:sz w:val="24"/>
        </w:rPr>
        <w:t xml:space="preserve">UK </w:t>
      </w:r>
      <w:r w:rsidR="00E62CD9">
        <w:rPr>
          <w:sz w:val="24"/>
        </w:rPr>
        <w:t>accountancy sector, and almost 50 percent more than the contribution made by the advertising and marketing research industr</w:t>
      </w:r>
      <w:r w:rsidR="007921F6">
        <w:rPr>
          <w:sz w:val="24"/>
        </w:rPr>
        <w:t>ies</w:t>
      </w:r>
      <w:r w:rsidR="00E62CD9">
        <w:rPr>
          <w:sz w:val="24"/>
        </w:rPr>
        <w:t>.</w:t>
      </w:r>
      <w:r w:rsidR="00E62CD9">
        <w:rPr>
          <w:rStyle w:val="FootnoteReference"/>
          <w:sz w:val="24"/>
        </w:rPr>
        <w:footnoteReference w:id="32"/>
      </w:r>
      <w:r w:rsidR="00E62CD9">
        <w:rPr>
          <w:sz w:val="24"/>
        </w:rPr>
        <w:t xml:space="preserve"> </w:t>
      </w:r>
      <w:r w:rsidR="00CC11B0">
        <w:rPr>
          <w:sz w:val="24"/>
        </w:rPr>
        <w:t xml:space="preserve">Of this £95 billion, it is estimated that </w:t>
      </w:r>
      <w:r w:rsidR="00496223">
        <w:rPr>
          <w:sz w:val="24"/>
        </w:rPr>
        <w:t>£25 billion is directly attributable to international</w:t>
      </w:r>
      <w:r w:rsidR="00374220">
        <w:rPr>
          <w:sz w:val="24"/>
        </w:rPr>
        <w:t xml:space="preserve"> students, both</w:t>
      </w:r>
      <w:r w:rsidR="00496223">
        <w:rPr>
          <w:sz w:val="24"/>
        </w:rPr>
        <w:t xml:space="preserve"> EU, and </w:t>
      </w:r>
      <w:r w:rsidR="00271EBF">
        <w:rPr>
          <w:sz w:val="24"/>
        </w:rPr>
        <w:t>international (non-EU) learners</w:t>
      </w:r>
      <w:r w:rsidR="007921F6">
        <w:rPr>
          <w:sz w:val="24"/>
        </w:rPr>
        <w:t>.</w:t>
      </w:r>
      <w:r w:rsidR="00496223">
        <w:rPr>
          <w:rStyle w:val="FootnoteReference"/>
          <w:sz w:val="24"/>
        </w:rPr>
        <w:footnoteReference w:id="33"/>
      </w:r>
      <w:r w:rsidR="00496223">
        <w:rPr>
          <w:sz w:val="24"/>
        </w:rPr>
        <w:t xml:space="preserve"> </w:t>
      </w:r>
      <w:r w:rsidR="007921F6">
        <w:rPr>
          <w:sz w:val="24"/>
        </w:rPr>
        <w:t xml:space="preserve">Specifically, </w:t>
      </w:r>
      <w:r w:rsidR="008149B2">
        <w:rPr>
          <w:sz w:val="24"/>
        </w:rPr>
        <w:t>existing reports</w:t>
      </w:r>
      <w:r w:rsidR="00072422">
        <w:rPr>
          <w:sz w:val="24"/>
        </w:rPr>
        <w:t xml:space="preserve"> find</w:t>
      </w:r>
      <w:r w:rsidR="00F24ADF">
        <w:rPr>
          <w:sz w:val="24"/>
        </w:rPr>
        <w:t xml:space="preserve"> </w:t>
      </w:r>
      <w:r w:rsidR="00374220">
        <w:rPr>
          <w:sz w:val="24"/>
        </w:rPr>
        <w:t xml:space="preserve">that students from the rest of the EU, spend money and create jobs in all corners of the UK, generating an estimated </w:t>
      </w:r>
      <w:r w:rsidR="0011364C">
        <w:rPr>
          <w:sz w:val="24"/>
        </w:rPr>
        <w:t xml:space="preserve">additional </w:t>
      </w:r>
      <w:r w:rsidR="00374220">
        <w:rPr>
          <w:sz w:val="24"/>
        </w:rPr>
        <w:t>£3.7 billion.</w:t>
      </w:r>
      <w:r w:rsidR="00374220">
        <w:rPr>
          <w:rStyle w:val="FootnoteReference"/>
          <w:sz w:val="24"/>
        </w:rPr>
        <w:footnoteReference w:id="34"/>
      </w:r>
      <w:r w:rsidR="00374220">
        <w:rPr>
          <w:sz w:val="24"/>
        </w:rPr>
        <w:t xml:space="preserve"> This is in addition to the estimated £730 million a year of EU money that is spent on research and development</w:t>
      </w:r>
      <w:r w:rsidR="00271EBF">
        <w:rPr>
          <w:sz w:val="24"/>
        </w:rPr>
        <w:t xml:space="preserve"> via </w:t>
      </w:r>
      <w:r w:rsidR="008149B2">
        <w:rPr>
          <w:sz w:val="24"/>
        </w:rPr>
        <w:t>u</w:t>
      </w:r>
      <w:r w:rsidR="00271EBF">
        <w:rPr>
          <w:sz w:val="24"/>
        </w:rPr>
        <w:t>niversities</w:t>
      </w:r>
      <w:r w:rsidR="00374220">
        <w:rPr>
          <w:sz w:val="24"/>
        </w:rPr>
        <w:t>.</w:t>
      </w:r>
      <w:r w:rsidR="00374220">
        <w:rPr>
          <w:rStyle w:val="FootnoteReference"/>
          <w:sz w:val="24"/>
        </w:rPr>
        <w:footnoteReference w:id="35"/>
      </w:r>
      <w:r w:rsidR="00374220">
        <w:rPr>
          <w:sz w:val="24"/>
        </w:rPr>
        <w:t xml:space="preserve"> </w:t>
      </w:r>
    </w:p>
    <w:p w14:paraId="2158A526" w14:textId="2D2A7F35" w:rsidR="007E36BF" w:rsidRDefault="00374220" w:rsidP="00142303">
      <w:pPr>
        <w:jc w:val="both"/>
        <w:rPr>
          <w:sz w:val="24"/>
        </w:rPr>
      </w:pPr>
      <w:r>
        <w:rPr>
          <w:sz w:val="24"/>
        </w:rPr>
        <w:t xml:space="preserve">In quantifying such financial contributions, </w:t>
      </w:r>
      <w:r w:rsidR="009065E0">
        <w:rPr>
          <w:sz w:val="24"/>
        </w:rPr>
        <w:t>HESA statistics show that of the 2,317,800 students studying in the UK</w:t>
      </w:r>
      <w:r w:rsidR="007921F6">
        <w:rPr>
          <w:sz w:val="24"/>
        </w:rPr>
        <w:t>;</w:t>
      </w:r>
      <w:r w:rsidR="009065E0">
        <w:rPr>
          <w:sz w:val="24"/>
        </w:rPr>
        <w:t xml:space="preserve"> 134,835, or 6%, are from other European Union countries; with a further 307,540, or 13%, from elsewhere in the world.</w:t>
      </w:r>
      <w:r w:rsidR="009065E0">
        <w:rPr>
          <w:rStyle w:val="FootnoteReference"/>
          <w:sz w:val="24"/>
        </w:rPr>
        <w:footnoteReference w:id="36"/>
      </w:r>
      <w:r w:rsidR="009065E0">
        <w:rPr>
          <w:sz w:val="24"/>
        </w:rPr>
        <w:t xml:space="preserve"> </w:t>
      </w:r>
      <w:r w:rsidR="00767B8F">
        <w:rPr>
          <w:sz w:val="24"/>
        </w:rPr>
        <w:t>Specifically in Wales</w:t>
      </w:r>
      <w:r w:rsidR="00B0062C">
        <w:rPr>
          <w:sz w:val="24"/>
        </w:rPr>
        <w:t xml:space="preserve">, between 2012/13 and 2016/17 HE student enrolment has </w:t>
      </w:r>
      <w:r w:rsidR="0011364C">
        <w:rPr>
          <w:sz w:val="24"/>
        </w:rPr>
        <w:t xml:space="preserve">predominantly </w:t>
      </w:r>
      <w:r w:rsidR="00B0062C">
        <w:rPr>
          <w:sz w:val="24"/>
        </w:rPr>
        <w:t xml:space="preserve">fluctuated </w:t>
      </w:r>
      <w:r w:rsidR="00072422">
        <w:rPr>
          <w:sz w:val="24"/>
        </w:rPr>
        <w:t xml:space="preserve">at </w:t>
      </w:r>
      <w:r w:rsidR="00B0062C">
        <w:rPr>
          <w:sz w:val="24"/>
        </w:rPr>
        <w:t xml:space="preserve">around 100,000 students per year, with latest figures </w:t>
      </w:r>
      <w:r w:rsidR="00936BDB">
        <w:rPr>
          <w:sz w:val="24"/>
        </w:rPr>
        <w:t xml:space="preserve">totalling </w:t>
      </w:r>
      <w:r w:rsidR="00B0062C">
        <w:rPr>
          <w:sz w:val="24"/>
        </w:rPr>
        <w:t>98,485</w:t>
      </w:r>
      <w:r w:rsidR="00767B8F">
        <w:rPr>
          <w:sz w:val="24"/>
        </w:rPr>
        <w:t>.</w:t>
      </w:r>
      <w:r w:rsidR="00936BDB">
        <w:rPr>
          <w:rStyle w:val="FootnoteReference"/>
          <w:sz w:val="24"/>
        </w:rPr>
        <w:footnoteReference w:id="37"/>
      </w:r>
      <w:r w:rsidR="00072422">
        <w:rPr>
          <w:sz w:val="24"/>
        </w:rPr>
        <w:t xml:space="preserve"> Of this 6,235 (6.3%)</w:t>
      </w:r>
      <w:r w:rsidR="00936BDB">
        <w:rPr>
          <w:sz w:val="24"/>
        </w:rPr>
        <w:t xml:space="preserve"> are from other European Union </w:t>
      </w:r>
      <w:r w:rsidR="00D452F2">
        <w:rPr>
          <w:sz w:val="24"/>
        </w:rPr>
        <w:t>countries; and</w:t>
      </w:r>
      <w:r w:rsidR="00072422">
        <w:rPr>
          <w:sz w:val="24"/>
        </w:rPr>
        <w:t xml:space="preserve"> 14,970 (15.2%)</w:t>
      </w:r>
      <w:r w:rsidR="00936BDB">
        <w:rPr>
          <w:sz w:val="24"/>
        </w:rPr>
        <w:t xml:space="preserve"> from elsewhere worldwide.</w:t>
      </w:r>
      <w:r w:rsidR="00767B8F">
        <w:rPr>
          <w:sz w:val="24"/>
        </w:rPr>
        <w:t xml:space="preserve"> </w:t>
      </w:r>
    </w:p>
    <w:p w14:paraId="11845BCE" w14:textId="77777777" w:rsidR="00072422" w:rsidRDefault="00072422" w:rsidP="00142303">
      <w:pPr>
        <w:jc w:val="both"/>
        <w:rPr>
          <w:b/>
          <w:sz w:val="24"/>
        </w:rPr>
      </w:pPr>
    </w:p>
    <w:p w14:paraId="6ACF500E" w14:textId="2B630A06" w:rsidR="007E36BF" w:rsidRPr="007E36BF" w:rsidRDefault="007E36BF" w:rsidP="00142303">
      <w:pPr>
        <w:jc w:val="both"/>
        <w:rPr>
          <w:b/>
          <w:sz w:val="24"/>
        </w:rPr>
      </w:pPr>
      <w:r w:rsidRPr="00DE4164">
        <w:rPr>
          <w:b/>
          <w:sz w:val="24"/>
        </w:rPr>
        <w:lastRenderedPageBreak/>
        <w:t>1.</w:t>
      </w:r>
      <w:r>
        <w:rPr>
          <w:b/>
          <w:sz w:val="24"/>
        </w:rPr>
        <w:t>3</w:t>
      </w:r>
      <w:r w:rsidRPr="00DE4164">
        <w:rPr>
          <w:b/>
          <w:sz w:val="24"/>
        </w:rPr>
        <w:t xml:space="preserve"> </w:t>
      </w:r>
      <w:r>
        <w:rPr>
          <w:b/>
          <w:sz w:val="24"/>
        </w:rPr>
        <w:t>The Inadequacy of Wales’ Current Response</w:t>
      </w:r>
    </w:p>
    <w:p w14:paraId="164390D3" w14:textId="5815F2CF" w:rsidR="00781F66" w:rsidRDefault="00936BDB" w:rsidP="00142303">
      <w:pPr>
        <w:jc w:val="both"/>
        <w:rPr>
          <w:sz w:val="24"/>
        </w:rPr>
      </w:pPr>
      <w:r>
        <w:rPr>
          <w:sz w:val="24"/>
        </w:rPr>
        <w:t xml:space="preserve">Given that Welsh </w:t>
      </w:r>
      <w:r w:rsidR="008149B2">
        <w:rPr>
          <w:sz w:val="24"/>
        </w:rPr>
        <w:t>u</w:t>
      </w:r>
      <w:r>
        <w:rPr>
          <w:sz w:val="24"/>
        </w:rPr>
        <w:t xml:space="preserve">niversities have 21.5% non-UK students directly contributing to their income (a figure which is </w:t>
      </w:r>
      <w:r w:rsidR="00482901">
        <w:rPr>
          <w:sz w:val="24"/>
        </w:rPr>
        <w:t xml:space="preserve">2.5% </w:t>
      </w:r>
      <w:r>
        <w:rPr>
          <w:sz w:val="24"/>
        </w:rPr>
        <w:t>higher than the overall UK average), it is somewhat surprising that</w:t>
      </w:r>
      <w:r w:rsidR="00781F66">
        <w:rPr>
          <w:sz w:val="24"/>
        </w:rPr>
        <w:t xml:space="preserve"> in the Welsh Government’s </w:t>
      </w:r>
      <w:r w:rsidR="00781F66">
        <w:rPr>
          <w:i/>
          <w:sz w:val="24"/>
        </w:rPr>
        <w:t xml:space="preserve">Trade Policy: The Issues for Wales, Securing Wales’ Future </w:t>
      </w:r>
      <w:r w:rsidR="00781F66">
        <w:rPr>
          <w:sz w:val="24"/>
        </w:rPr>
        <w:t>there is only one reference to Higher Education across the 4</w:t>
      </w:r>
      <w:r w:rsidR="00767B8F">
        <w:rPr>
          <w:sz w:val="24"/>
        </w:rPr>
        <w:t>2</w:t>
      </w:r>
      <w:r w:rsidR="00781F66">
        <w:rPr>
          <w:sz w:val="24"/>
        </w:rPr>
        <w:t>-page document. Specifically</w:t>
      </w:r>
      <w:r w:rsidR="00767B8F">
        <w:rPr>
          <w:sz w:val="24"/>
        </w:rPr>
        <w:t>,</w:t>
      </w:r>
      <w:r w:rsidR="003C7FF2">
        <w:rPr>
          <w:sz w:val="24"/>
        </w:rPr>
        <w:t xml:space="preserve"> it</w:t>
      </w:r>
      <w:r w:rsidR="00781F66">
        <w:rPr>
          <w:sz w:val="24"/>
        </w:rPr>
        <w:t xml:space="preserve"> state</w:t>
      </w:r>
      <w:r w:rsidR="003C7FF2">
        <w:rPr>
          <w:sz w:val="24"/>
        </w:rPr>
        <w:t>s</w:t>
      </w:r>
      <w:r w:rsidR="00781F66">
        <w:rPr>
          <w:sz w:val="24"/>
        </w:rPr>
        <w:t xml:space="preserve">: </w:t>
      </w:r>
    </w:p>
    <w:p w14:paraId="253AD015" w14:textId="41416549" w:rsidR="00781F66" w:rsidRDefault="00441C36" w:rsidP="00767B8F">
      <w:pPr>
        <w:ind w:left="567" w:right="567"/>
        <w:jc w:val="both"/>
        <w:rPr>
          <w:sz w:val="24"/>
        </w:rPr>
      </w:pPr>
      <w:r>
        <w:rPr>
          <w:sz w:val="24"/>
        </w:rPr>
        <w:t>“</w:t>
      </w:r>
      <w:r w:rsidR="00781F66">
        <w:rPr>
          <w:sz w:val="24"/>
        </w:rPr>
        <w:t>The consequence of leaving the EU (particularly in a ‘no deal’ scenario</w:t>
      </w:r>
      <w:r w:rsidR="00271EBF">
        <w:rPr>
          <w:sz w:val="24"/>
        </w:rPr>
        <w:t>)</w:t>
      </w:r>
      <w:r w:rsidR="00781F66">
        <w:rPr>
          <w:sz w:val="24"/>
        </w:rPr>
        <w:t xml:space="preserve"> for higher education in Wales could have a significant impact on the Welsh economy. This could materialise as the direct impacts of reduced spending on research and development make their way through the economy and have a negative impact on </w:t>
      </w:r>
      <w:r w:rsidR="00767B8F">
        <w:rPr>
          <w:sz w:val="24"/>
        </w:rPr>
        <w:t>investment</w:t>
      </w:r>
      <w:r w:rsidR="00781F66">
        <w:rPr>
          <w:sz w:val="24"/>
        </w:rPr>
        <w:t xml:space="preserve"> and productivity more generally. Wales’ higher education institutions benefit from th</w:t>
      </w:r>
      <w:r w:rsidR="00767B8F">
        <w:rPr>
          <w:sz w:val="24"/>
        </w:rPr>
        <w:t>e</w:t>
      </w:r>
      <w:r w:rsidR="00781F66">
        <w:rPr>
          <w:sz w:val="24"/>
        </w:rPr>
        <w:t xml:space="preserve"> research funds they have access to as a result of our membership of the EU, Horizon 2020 being the most significant. Exclusion from this collaborative research could impact directly on Wales; ability to maintain and attract new companies and to develop new industries…</w:t>
      </w:r>
      <w:r w:rsidR="00767B8F">
        <w:rPr>
          <w:sz w:val="24"/>
        </w:rPr>
        <w:t>Withdrawal from the European Union may also affect the ability of Welsh universities and colleges to attract staff and students from other member states…In combination these changes could limit the availability of highly skilled staff working in the UK and have a negative impact on growth and living standards.</w:t>
      </w:r>
      <w:r>
        <w:rPr>
          <w:sz w:val="24"/>
        </w:rPr>
        <w:t>”</w:t>
      </w:r>
      <w:r w:rsidR="00767B8F">
        <w:rPr>
          <w:rStyle w:val="FootnoteReference"/>
          <w:sz w:val="24"/>
        </w:rPr>
        <w:footnoteReference w:id="38"/>
      </w:r>
    </w:p>
    <w:p w14:paraId="00347B74" w14:textId="76954205" w:rsidR="00767B8F" w:rsidRDefault="007E3525" w:rsidP="00B0062C">
      <w:pPr>
        <w:jc w:val="both"/>
        <w:rPr>
          <w:sz w:val="24"/>
        </w:rPr>
      </w:pPr>
      <w:r>
        <w:rPr>
          <w:sz w:val="24"/>
        </w:rPr>
        <w:t xml:space="preserve">However, to date, these predictions are </w:t>
      </w:r>
      <w:r w:rsidR="0011364C">
        <w:rPr>
          <w:sz w:val="24"/>
        </w:rPr>
        <w:t xml:space="preserve">largely </w:t>
      </w:r>
      <w:r>
        <w:rPr>
          <w:sz w:val="24"/>
        </w:rPr>
        <w:t xml:space="preserve">speculative and not </w:t>
      </w:r>
      <w:r w:rsidR="00B57301">
        <w:rPr>
          <w:sz w:val="24"/>
        </w:rPr>
        <w:t>founded</w:t>
      </w:r>
      <w:r>
        <w:rPr>
          <w:sz w:val="24"/>
        </w:rPr>
        <w:t xml:space="preserve"> on evidence based empirical research that clarifies whether Wales will </w:t>
      </w:r>
      <w:r w:rsidR="0011364C">
        <w:rPr>
          <w:sz w:val="24"/>
        </w:rPr>
        <w:t xml:space="preserve">indeed </w:t>
      </w:r>
      <w:r>
        <w:rPr>
          <w:sz w:val="24"/>
        </w:rPr>
        <w:t>continue to attract staff and students from the rest of the EU. Furthermore, u</w:t>
      </w:r>
      <w:r w:rsidR="00767B8F">
        <w:rPr>
          <w:sz w:val="24"/>
        </w:rPr>
        <w:t>nlike othe</w:t>
      </w:r>
      <w:r w:rsidR="0011364C">
        <w:rPr>
          <w:sz w:val="24"/>
        </w:rPr>
        <w:t>r</w:t>
      </w:r>
      <w:r w:rsidR="00B0062C">
        <w:rPr>
          <w:sz w:val="24"/>
        </w:rPr>
        <w:t xml:space="preserve"> </w:t>
      </w:r>
      <w:r w:rsidR="00482901">
        <w:rPr>
          <w:sz w:val="24"/>
        </w:rPr>
        <w:t xml:space="preserve">service </w:t>
      </w:r>
      <w:r w:rsidR="00B0062C">
        <w:rPr>
          <w:sz w:val="24"/>
        </w:rPr>
        <w:t>industries</w:t>
      </w:r>
      <w:r w:rsidR="0011364C">
        <w:rPr>
          <w:sz w:val="24"/>
        </w:rPr>
        <w:t xml:space="preserve"> areas</w:t>
      </w:r>
      <w:r w:rsidR="00B0062C">
        <w:rPr>
          <w:sz w:val="24"/>
        </w:rPr>
        <w:t xml:space="preserve"> (</w:t>
      </w:r>
      <w:r w:rsidR="00482901">
        <w:rPr>
          <w:sz w:val="24"/>
        </w:rPr>
        <w:t xml:space="preserve">such as </w:t>
      </w:r>
      <w:r w:rsidR="00B0062C">
        <w:rPr>
          <w:sz w:val="24"/>
        </w:rPr>
        <w:t>healthcare professionals, financial services</w:t>
      </w:r>
      <w:r w:rsidR="003C7FF2">
        <w:rPr>
          <w:sz w:val="24"/>
        </w:rPr>
        <w:t xml:space="preserve"> and the construction industry). I</w:t>
      </w:r>
      <w:r>
        <w:rPr>
          <w:sz w:val="24"/>
        </w:rPr>
        <w:t>n their report,</w:t>
      </w:r>
      <w:r w:rsidR="00B0062C">
        <w:rPr>
          <w:sz w:val="24"/>
        </w:rPr>
        <w:t xml:space="preserve"> the</w:t>
      </w:r>
      <w:r>
        <w:rPr>
          <w:sz w:val="24"/>
        </w:rPr>
        <w:t xml:space="preserve"> Welsh Government does</w:t>
      </w:r>
      <w:r w:rsidR="00271EBF">
        <w:rPr>
          <w:sz w:val="24"/>
        </w:rPr>
        <w:t xml:space="preserve"> </w:t>
      </w:r>
      <w:r w:rsidR="00B0062C">
        <w:rPr>
          <w:sz w:val="24"/>
        </w:rPr>
        <w:t>no</w:t>
      </w:r>
      <w:r>
        <w:rPr>
          <w:sz w:val="24"/>
        </w:rPr>
        <w:t>t</w:t>
      </w:r>
      <w:r w:rsidR="00B0062C">
        <w:rPr>
          <w:sz w:val="24"/>
        </w:rPr>
        <w:t xml:space="preserve"> </w:t>
      </w:r>
      <w:r w:rsidR="00271EBF">
        <w:rPr>
          <w:sz w:val="24"/>
        </w:rPr>
        <w:t xml:space="preserve">attempt to </w:t>
      </w:r>
      <w:r w:rsidR="00B0062C">
        <w:rPr>
          <w:sz w:val="24"/>
        </w:rPr>
        <w:t xml:space="preserve">quantify (neither in terms of financial contribution </w:t>
      </w:r>
      <w:r w:rsidR="003C7FF2">
        <w:rPr>
          <w:sz w:val="24"/>
        </w:rPr>
        <w:t>n</w:t>
      </w:r>
      <w:r w:rsidR="00B0062C">
        <w:rPr>
          <w:sz w:val="24"/>
        </w:rPr>
        <w:t>or number of people) either the potential direct</w:t>
      </w:r>
      <w:r w:rsidR="001F3195">
        <w:rPr>
          <w:sz w:val="24"/>
        </w:rPr>
        <w:t>,</w:t>
      </w:r>
      <w:r w:rsidR="00B0062C">
        <w:rPr>
          <w:sz w:val="24"/>
        </w:rPr>
        <w:t xml:space="preserve"> or indirect impact</w:t>
      </w:r>
      <w:r w:rsidR="001F3195">
        <w:rPr>
          <w:sz w:val="24"/>
        </w:rPr>
        <w:t>,</w:t>
      </w:r>
      <w:r w:rsidR="00B0062C">
        <w:rPr>
          <w:sz w:val="24"/>
        </w:rPr>
        <w:t xml:space="preserve"> of Brexit on Higher Education in Wales.  </w:t>
      </w:r>
    </w:p>
    <w:bookmarkEnd w:id="2"/>
    <w:p w14:paraId="5ED49D7D" w14:textId="30FD689E" w:rsidR="000554B7" w:rsidRDefault="007921F6" w:rsidP="000554B7">
      <w:pPr>
        <w:jc w:val="both"/>
        <w:rPr>
          <w:sz w:val="24"/>
        </w:rPr>
      </w:pPr>
      <w:r>
        <w:rPr>
          <w:sz w:val="24"/>
        </w:rPr>
        <w:t>I</w:t>
      </w:r>
      <w:r w:rsidR="003C7FF2">
        <w:rPr>
          <w:sz w:val="24"/>
        </w:rPr>
        <w:t>t should be noted that</w:t>
      </w:r>
      <w:r w:rsidR="007E3525">
        <w:rPr>
          <w:sz w:val="24"/>
        </w:rPr>
        <w:t xml:space="preserve"> in</w:t>
      </w:r>
      <w:r>
        <w:rPr>
          <w:sz w:val="24"/>
        </w:rPr>
        <w:t xml:space="preserve"> February 2018</w:t>
      </w:r>
      <w:r w:rsidR="007E3525">
        <w:rPr>
          <w:sz w:val="24"/>
        </w:rPr>
        <w:t>,</w:t>
      </w:r>
      <w:r>
        <w:rPr>
          <w:sz w:val="24"/>
        </w:rPr>
        <w:t xml:space="preserve"> it was reported that the number of EU students applying to UK </w:t>
      </w:r>
      <w:r w:rsidR="008149B2">
        <w:rPr>
          <w:sz w:val="24"/>
        </w:rPr>
        <w:t>u</w:t>
      </w:r>
      <w:r>
        <w:rPr>
          <w:sz w:val="24"/>
        </w:rPr>
        <w:t>niversities had increased, despite ‘Brexit’ fears.</w:t>
      </w:r>
      <w:r>
        <w:rPr>
          <w:rStyle w:val="FootnoteReference"/>
          <w:sz w:val="24"/>
        </w:rPr>
        <w:footnoteReference w:id="39"/>
      </w:r>
      <w:r w:rsidR="008149B2">
        <w:rPr>
          <w:sz w:val="24"/>
        </w:rPr>
        <w:t xml:space="preserve"> However such reports </w:t>
      </w:r>
      <w:r>
        <w:rPr>
          <w:sz w:val="24"/>
        </w:rPr>
        <w:t xml:space="preserve">came against the backdrop of a </w:t>
      </w:r>
      <w:r w:rsidR="001F3195">
        <w:rPr>
          <w:sz w:val="24"/>
        </w:rPr>
        <w:t>significant devaluation of sterling</w:t>
      </w:r>
      <w:r>
        <w:rPr>
          <w:sz w:val="24"/>
        </w:rPr>
        <w:t xml:space="preserve"> (making the UK a more </w:t>
      </w:r>
      <w:r w:rsidR="001F3195">
        <w:rPr>
          <w:sz w:val="24"/>
        </w:rPr>
        <w:t>attractive</w:t>
      </w:r>
      <w:r>
        <w:rPr>
          <w:sz w:val="24"/>
        </w:rPr>
        <w:t xml:space="preserve"> place to study</w:t>
      </w:r>
      <w:r w:rsidR="001F3195">
        <w:rPr>
          <w:sz w:val="24"/>
        </w:rPr>
        <w:t xml:space="preserve"> from a student cost of living and tuition fees perspective</w:t>
      </w:r>
      <w:r>
        <w:rPr>
          <w:sz w:val="24"/>
        </w:rPr>
        <w:t>).</w:t>
      </w:r>
      <w:r w:rsidR="0011364C">
        <w:rPr>
          <w:rStyle w:val="FootnoteReference"/>
          <w:sz w:val="24"/>
        </w:rPr>
        <w:footnoteReference w:id="40"/>
      </w:r>
      <w:r>
        <w:rPr>
          <w:sz w:val="24"/>
        </w:rPr>
        <w:t xml:space="preserve"> Furthermore, whilst it was reported that the number of EU students applying to UK </w:t>
      </w:r>
      <w:r w:rsidR="008149B2">
        <w:rPr>
          <w:sz w:val="24"/>
        </w:rPr>
        <w:t>u</w:t>
      </w:r>
      <w:r>
        <w:rPr>
          <w:sz w:val="24"/>
        </w:rPr>
        <w:t>niversities rose by 3.4 percent this year;</w:t>
      </w:r>
      <w:r>
        <w:rPr>
          <w:rStyle w:val="FootnoteReference"/>
          <w:sz w:val="24"/>
        </w:rPr>
        <w:footnoteReference w:id="41"/>
      </w:r>
      <w:r>
        <w:rPr>
          <w:sz w:val="24"/>
        </w:rPr>
        <w:t xml:space="preserve"> this was against the previous yea</w:t>
      </w:r>
      <w:r w:rsidR="003C7FF2">
        <w:rPr>
          <w:sz w:val="24"/>
        </w:rPr>
        <w:t>r’s figures, which saw a fall of</w:t>
      </w:r>
      <w:r>
        <w:rPr>
          <w:sz w:val="24"/>
        </w:rPr>
        <w:t xml:space="preserve"> 7 percent, </w:t>
      </w:r>
      <w:r>
        <w:rPr>
          <w:sz w:val="24"/>
        </w:rPr>
        <w:lastRenderedPageBreak/>
        <w:t>thereby leading to a</w:t>
      </w:r>
      <w:r w:rsidR="003C7FF2">
        <w:rPr>
          <w:sz w:val="24"/>
        </w:rPr>
        <w:t xml:space="preserve"> somewhat illusory </w:t>
      </w:r>
      <w:r>
        <w:rPr>
          <w:sz w:val="24"/>
        </w:rPr>
        <w:t>inflation in 2018</w:t>
      </w:r>
      <w:r w:rsidR="003C7FF2">
        <w:rPr>
          <w:sz w:val="24"/>
        </w:rPr>
        <w:t>,</w:t>
      </w:r>
      <w:r w:rsidR="007E3525">
        <w:rPr>
          <w:sz w:val="24"/>
        </w:rPr>
        <w:t xml:space="preserve"> compared to 2017. </w:t>
      </w:r>
      <w:r w:rsidR="002A153D">
        <w:rPr>
          <w:sz w:val="24"/>
        </w:rPr>
        <w:t>I</w:t>
      </w:r>
      <w:r w:rsidR="007E3525">
        <w:rPr>
          <w:sz w:val="24"/>
        </w:rPr>
        <w:t xml:space="preserve">t should also be </w:t>
      </w:r>
      <w:r w:rsidR="008149B2">
        <w:rPr>
          <w:sz w:val="24"/>
        </w:rPr>
        <w:t>appreciated</w:t>
      </w:r>
      <w:r w:rsidR="007E3525">
        <w:rPr>
          <w:sz w:val="24"/>
        </w:rPr>
        <w:t xml:space="preserve"> th</w:t>
      </w:r>
      <w:r w:rsidR="003C7FF2">
        <w:rPr>
          <w:sz w:val="24"/>
        </w:rPr>
        <w:t>at these figures are pre-Brexit,</w:t>
      </w:r>
      <w:r>
        <w:rPr>
          <w:sz w:val="24"/>
        </w:rPr>
        <w:t xml:space="preserve"> at a time when the UK remains a Member State and enjoys all EU freedoms.</w:t>
      </w:r>
      <w:r>
        <w:rPr>
          <w:rStyle w:val="FootnoteReference"/>
          <w:sz w:val="24"/>
        </w:rPr>
        <w:footnoteReference w:id="42"/>
      </w:r>
      <w:r>
        <w:rPr>
          <w:sz w:val="24"/>
        </w:rPr>
        <w:t xml:space="preserve"> </w:t>
      </w:r>
      <w:r w:rsidR="007E3525">
        <w:rPr>
          <w:sz w:val="24"/>
        </w:rPr>
        <w:t xml:space="preserve">In addition, </w:t>
      </w:r>
      <w:r w:rsidR="008149B2">
        <w:rPr>
          <w:sz w:val="24"/>
        </w:rPr>
        <w:t xml:space="preserve">more detailed analysis of </w:t>
      </w:r>
      <w:r w:rsidR="007E3525">
        <w:rPr>
          <w:sz w:val="24"/>
        </w:rPr>
        <w:t>HESA figures</w:t>
      </w:r>
      <w:r w:rsidR="008149B2">
        <w:rPr>
          <w:sz w:val="24"/>
        </w:rPr>
        <w:t xml:space="preserve"> indicate that, when</w:t>
      </w:r>
      <w:r w:rsidR="007E3525">
        <w:rPr>
          <w:sz w:val="24"/>
        </w:rPr>
        <w:t xml:space="preserve"> comparing data between 2012/13 and 2016/17</w:t>
      </w:r>
      <w:r>
        <w:rPr>
          <w:sz w:val="24"/>
        </w:rPr>
        <w:t>, students coming from</w:t>
      </w:r>
      <w:r w:rsidR="008149B2">
        <w:rPr>
          <w:sz w:val="24"/>
        </w:rPr>
        <w:t xml:space="preserve"> some specific Member States (such as</w:t>
      </w:r>
      <w:r>
        <w:rPr>
          <w:sz w:val="24"/>
        </w:rPr>
        <w:t xml:space="preserve"> Germany, Ireland, Greece, Cyprus and Bulgaria</w:t>
      </w:r>
      <w:r w:rsidR="008149B2">
        <w:rPr>
          <w:sz w:val="24"/>
        </w:rPr>
        <w:t>)</w:t>
      </w:r>
      <w:r>
        <w:rPr>
          <w:sz w:val="24"/>
        </w:rPr>
        <w:t xml:space="preserve"> to study in the UK ha</w:t>
      </w:r>
      <w:r w:rsidR="007E3525">
        <w:rPr>
          <w:sz w:val="24"/>
        </w:rPr>
        <w:t xml:space="preserve">ve </w:t>
      </w:r>
      <w:r>
        <w:rPr>
          <w:sz w:val="24"/>
        </w:rPr>
        <w:t>steadily decreased in recent years.</w:t>
      </w:r>
      <w:r>
        <w:rPr>
          <w:rStyle w:val="FootnoteReference"/>
          <w:sz w:val="24"/>
        </w:rPr>
        <w:footnoteReference w:id="43"/>
      </w:r>
      <w:r>
        <w:rPr>
          <w:sz w:val="24"/>
        </w:rPr>
        <w:t xml:space="preserve"> </w:t>
      </w:r>
      <w:r w:rsidR="000554B7">
        <w:rPr>
          <w:sz w:val="24"/>
        </w:rPr>
        <w:t>Whilst the U</w:t>
      </w:r>
      <w:r w:rsidR="008149B2">
        <w:rPr>
          <w:sz w:val="24"/>
        </w:rPr>
        <w:t xml:space="preserve">K Government has provided some </w:t>
      </w:r>
      <w:r w:rsidR="000554B7">
        <w:rPr>
          <w:sz w:val="24"/>
        </w:rPr>
        <w:t>reassurance</w:t>
      </w:r>
      <w:r w:rsidR="008149B2">
        <w:rPr>
          <w:sz w:val="24"/>
        </w:rPr>
        <w:t>s</w:t>
      </w:r>
      <w:r w:rsidR="000554B7">
        <w:rPr>
          <w:sz w:val="24"/>
        </w:rPr>
        <w:t xml:space="preserve"> for EU students, in terms of fees and access to loans in 2017/18 and 2018/19, there is a</w:t>
      </w:r>
      <w:r w:rsidR="008149B2">
        <w:rPr>
          <w:sz w:val="24"/>
        </w:rPr>
        <w:t xml:space="preserve"> need for </w:t>
      </w:r>
      <w:r w:rsidR="000554B7">
        <w:rPr>
          <w:sz w:val="24"/>
        </w:rPr>
        <w:t xml:space="preserve">clarity </w:t>
      </w:r>
      <w:r w:rsidR="008149B2">
        <w:rPr>
          <w:sz w:val="24"/>
        </w:rPr>
        <w:t xml:space="preserve">within and </w:t>
      </w:r>
      <w:r w:rsidR="000554B7">
        <w:rPr>
          <w:sz w:val="24"/>
        </w:rPr>
        <w:t>beyond the transition period.</w:t>
      </w:r>
      <w:r w:rsidR="000554B7">
        <w:rPr>
          <w:rStyle w:val="FootnoteReference"/>
          <w:sz w:val="24"/>
        </w:rPr>
        <w:footnoteReference w:id="44"/>
      </w:r>
      <w:r w:rsidR="000554B7">
        <w:rPr>
          <w:sz w:val="24"/>
        </w:rPr>
        <w:t xml:space="preserve"> </w:t>
      </w:r>
    </w:p>
    <w:p w14:paraId="7E73F65E" w14:textId="73D522D4" w:rsidR="000554B7" w:rsidRPr="00781F66" w:rsidRDefault="005C6943" w:rsidP="00B0062C">
      <w:pPr>
        <w:jc w:val="both"/>
        <w:rPr>
          <w:sz w:val="24"/>
        </w:rPr>
      </w:pPr>
      <w:r>
        <w:rPr>
          <w:sz w:val="24"/>
        </w:rPr>
        <w:t>In the absence of clarification as to the future working relationship between the EU and UK universities</w:t>
      </w:r>
      <w:r w:rsidR="000554B7">
        <w:rPr>
          <w:sz w:val="24"/>
        </w:rPr>
        <w:t xml:space="preserve">, legal education, not least in Wales, stands to </w:t>
      </w:r>
      <w:r>
        <w:rPr>
          <w:sz w:val="24"/>
        </w:rPr>
        <w:t xml:space="preserve">also </w:t>
      </w:r>
      <w:r w:rsidR="000554B7">
        <w:rPr>
          <w:sz w:val="24"/>
        </w:rPr>
        <w:t>be amongst one of the worst affected disciplines post-Brexit</w:t>
      </w:r>
      <w:r>
        <w:rPr>
          <w:sz w:val="24"/>
        </w:rPr>
        <w:t xml:space="preserve"> for research grants and funding</w:t>
      </w:r>
      <w:r w:rsidR="000554B7">
        <w:rPr>
          <w:sz w:val="24"/>
        </w:rPr>
        <w:t xml:space="preserve">. HESA statistics indicate that 26% of </w:t>
      </w:r>
      <w:r w:rsidR="001F3195">
        <w:rPr>
          <w:sz w:val="24"/>
        </w:rPr>
        <w:t>L</w:t>
      </w:r>
      <w:r w:rsidR="000554B7">
        <w:rPr>
          <w:sz w:val="24"/>
        </w:rPr>
        <w:t>aw research centres</w:t>
      </w:r>
      <w:r w:rsidR="00EF18A8">
        <w:rPr>
          <w:sz w:val="24"/>
        </w:rPr>
        <w:t>’</w:t>
      </w:r>
      <w:r w:rsidR="000554B7">
        <w:rPr>
          <w:sz w:val="24"/>
        </w:rPr>
        <w:t xml:space="preserve"> funding comes from EU </w:t>
      </w:r>
      <w:r w:rsidR="00EF18A8">
        <w:rPr>
          <w:sz w:val="24"/>
        </w:rPr>
        <w:t>G</w:t>
      </w:r>
      <w:r w:rsidR="000554B7">
        <w:rPr>
          <w:sz w:val="24"/>
        </w:rPr>
        <w:t xml:space="preserve">overnment bodies (placing </w:t>
      </w:r>
      <w:r>
        <w:rPr>
          <w:sz w:val="24"/>
        </w:rPr>
        <w:t>l</w:t>
      </w:r>
      <w:r w:rsidR="000554B7">
        <w:rPr>
          <w:sz w:val="24"/>
        </w:rPr>
        <w:t xml:space="preserve">aw as </w:t>
      </w:r>
      <w:r>
        <w:rPr>
          <w:sz w:val="24"/>
        </w:rPr>
        <w:t>the</w:t>
      </w:r>
      <w:r w:rsidR="000554B7">
        <w:rPr>
          <w:sz w:val="24"/>
        </w:rPr>
        <w:t xml:space="preserve"> fifth ‘worse off’ discipline in the UK to be financially affected by Brexit).</w:t>
      </w:r>
      <w:r w:rsidR="000554B7">
        <w:rPr>
          <w:rStyle w:val="FootnoteReference"/>
          <w:sz w:val="24"/>
        </w:rPr>
        <w:footnoteReference w:id="45"/>
      </w:r>
      <w:r w:rsidR="000554B7">
        <w:rPr>
          <w:sz w:val="24"/>
        </w:rPr>
        <w:t xml:space="preserve"> Furthermore </w:t>
      </w:r>
      <w:r>
        <w:rPr>
          <w:sz w:val="24"/>
        </w:rPr>
        <w:t>l</w:t>
      </w:r>
      <w:r w:rsidR="000554B7">
        <w:rPr>
          <w:sz w:val="24"/>
        </w:rPr>
        <w:t xml:space="preserve">aw is consistently ranked within the top ten disciplines that are seeing the </w:t>
      </w:r>
      <w:r w:rsidR="000554B7" w:rsidRPr="001F3195">
        <w:rPr>
          <w:i/>
          <w:sz w:val="24"/>
        </w:rPr>
        <w:t>highest number</w:t>
      </w:r>
      <w:r w:rsidR="000554B7">
        <w:rPr>
          <w:sz w:val="24"/>
        </w:rPr>
        <w:t xml:space="preserve"> of EU </w:t>
      </w:r>
      <w:r>
        <w:rPr>
          <w:sz w:val="24"/>
        </w:rPr>
        <w:t>l</w:t>
      </w:r>
      <w:r w:rsidR="000554B7">
        <w:rPr>
          <w:sz w:val="24"/>
        </w:rPr>
        <w:t>ecturers leave following the Brexit referendum.</w:t>
      </w:r>
      <w:r w:rsidR="000554B7">
        <w:rPr>
          <w:rStyle w:val="FootnoteReference"/>
          <w:sz w:val="24"/>
        </w:rPr>
        <w:footnoteReference w:id="46"/>
      </w:r>
      <w:r w:rsidR="000554B7">
        <w:rPr>
          <w:sz w:val="24"/>
        </w:rPr>
        <w:t xml:space="preserve"> Given that Wales is recognised as a net beneficiary of EU funds, as well as a region that relies </w:t>
      </w:r>
      <w:r w:rsidR="000554B7" w:rsidRPr="001F3195">
        <w:rPr>
          <w:i/>
          <w:sz w:val="24"/>
        </w:rPr>
        <w:t>more heavily</w:t>
      </w:r>
      <w:r w:rsidR="000554B7">
        <w:rPr>
          <w:sz w:val="24"/>
        </w:rPr>
        <w:t xml:space="preserve"> on EU and international student income than other regions of the UK, more empirical research is needed to understand </w:t>
      </w:r>
      <w:r w:rsidR="007D568C">
        <w:rPr>
          <w:sz w:val="24"/>
        </w:rPr>
        <w:t>UK</w:t>
      </w:r>
      <w:r w:rsidR="000554B7">
        <w:rPr>
          <w:sz w:val="24"/>
        </w:rPr>
        <w:t>, EU and international students perceptions as to the effects of Brexit on their legal education</w:t>
      </w:r>
      <w:r w:rsidR="007E36BF">
        <w:rPr>
          <w:sz w:val="24"/>
        </w:rPr>
        <w:t xml:space="preserve"> </w:t>
      </w:r>
      <w:r w:rsidR="000554B7">
        <w:rPr>
          <w:sz w:val="24"/>
        </w:rPr>
        <w:t>(notably, against a backdrop of less research funding</w:t>
      </w:r>
      <w:r w:rsidR="003C7FF2">
        <w:rPr>
          <w:sz w:val="24"/>
        </w:rPr>
        <w:t xml:space="preserve"> coming</w:t>
      </w:r>
      <w:r w:rsidR="000554B7">
        <w:rPr>
          <w:sz w:val="24"/>
        </w:rPr>
        <w:t xml:space="preserve"> from EU sources).  </w:t>
      </w:r>
    </w:p>
    <w:p w14:paraId="573F8FC1" w14:textId="60EC1ACC" w:rsidR="006E63FF" w:rsidRDefault="00007A31" w:rsidP="00936BDB">
      <w:pPr>
        <w:jc w:val="both"/>
        <w:rPr>
          <w:b/>
          <w:sz w:val="28"/>
        </w:rPr>
      </w:pPr>
      <w:r>
        <w:rPr>
          <w:b/>
          <w:sz w:val="28"/>
        </w:rPr>
        <w:lastRenderedPageBreak/>
        <w:t>2</w:t>
      </w:r>
      <w:r w:rsidR="00936BDB" w:rsidRPr="00936BDB">
        <w:rPr>
          <w:b/>
          <w:sz w:val="28"/>
        </w:rPr>
        <w:t xml:space="preserve">. </w:t>
      </w:r>
      <w:r w:rsidR="006E63FF">
        <w:rPr>
          <w:b/>
          <w:sz w:val="28"/>
        </w:rPr>
        <w:t xml:space="preserve">The </w:t>
      </w:r>
      <w:r w:rsidR="00936BDB">
        <w:rPr>
          <w:b/>
          <w:sz w:val="28"/>
        </w:rPr>
        <w:t>Empirical Study: S</w:t>
      </w:r>
      <w:r w:rsidR="006E63FF">
        <w:rPr>
          <w:b/>
          <w:sz w:val="28"/>
        </w:rPr>
        <w:t>urveying Students</w:t>
      </w:r>
    </w:p>
    <w:p w14:paraId="3FDB2B9F" w14:textId="3D150DEE" w:rsidR="00BF5102" w:rsidRDefault="002A153D" w:rsidP="00BF5102">
      <w:pPr>
        <w:jc w:val="both"/>
        <w:rPr>
          <w:sz w:val="24"/>
        </w:rPr>
      </w:pPr>
      <w:r>
        <w:rPr>
          <w:sz w:val="24"/>
        </w:rPr>
        <w:t>Motivated by the need to advance</w:t>
      </w:r>
      <w:r w:rsidR="00B57301">
        <w:rPr>
          <w:sz w:val="24"/>
        </w:rPr>
        <w:t xml:space="preserve"> discussions</w:t>
      </w:r>
      <w:r>
        <w:rPr>
          <w:sz w:val="24"/>
        </w:rPr>
        <w:t xml:space="preserve"> beyond trad</w:t>
      </w:r>
      <w:r w:rsidR="00620ED1">
        <w:rPr>
          <w:sz w:val="24"/>
        </w:rPr>
        <w:t>e and financial statistics</w:t>
      </w:r>
      <w:r w:rsidR="007E36BF">
        <w:rPr>
          <w:sz w:val="24"/>
        </w:rPr>
        <w:t>,</w:t>
      </w:r>
      <w:r>
        <w:rPr>
          <w:sz w:val="24"/>
        </w:rPr>
        <w:t xml:space="preserve"> this research sought to </w:t>
      </w:r>
      <w:r w:rsidR="00000611">
        <w:rPr>
          <w:sz w:val="24"/>
        </w:rPr>
        <w:t xml:space="preserve">understand </w:t>
      </w:r>
      <w:r>
        <w:rPr>
          <w:sz w:val="24"/>
        </w:rPr>
        <w:t>the human aspect</w:t>
      </w:r>
      <w:r w:rsidR="00276DA3">
        <w:rPr>
          <w:sz w:val="24"/>
        </w:rPr>
        <w:t>s</w:t>
      </w:r>
      <w:r>
        <w:rPr>
          <w:sz w:val="24"/>
        </w:rPr>
        <w:t xml:space="preserve"> of Brexit</w:t>
      </w:r>
      <w:r w:rsidR="00620ED1">
        <w:rPr>
          <w:sz w:val="24"/>
        </w:rPr>
        <w:t xml:space="preserve"> in providing a first-hand account of what current learners perceive to be the consequences for the future of legal education in Wales. In total</w:t>
      </w:r>
      <w:r w:rsidR="00276DA3">
        <w:rPr>
          <w:sz w:val="24"/>
        </w:rPr>
        <w:t>,</w:t>
      </w:r>
      <w:r w:rsidR="00620ED1">
        <w:rPr>
          <w:sz w:val="24"/>
        </w:rPr>
        <w:t xml:space="preserve"> 336 students from all </w:t>
      </w:r>
      <w:r w:rsidR="00CA4C04">
        <w:rPr>
          <w:sz w:val="24"/>
        </w:rPr>
        <w:t>l</w:t>
      </w:r>
      <w:r w:rsidR="00620ED1">
        <w:rPr>
          <w:sz w:val="24"/>
        </w:rPr>
        <w:t xml:space="preserve">aw </w:t>
      </w:r>
      <w:r w:rsidR="00CA4C04">
        <w:rPr>
          <w:sz w:val="24"/>
        </w:rPr>
        <w:t>s</w:t>
      </w:r>
      <w:r w:rsidR="00620ED1">
        <w:rPr>
          <w:sz w:val="24"/>
        </w:rPr>
        <w:t xml:space="preserve">chools in Wales, at the </w:t>
      </w:r>
      <w:r w:rsidR="00CA4C04">
        <w:rPr>
          <w:sz w:val="24"/>
        </w:rPr>
        <w:t>u</w:t>
      </w:r>
      <w:r w:rsidR="00620ED1">
        <w:rPr>
          <w:sz w:val="24"/>
        </w:rPr>
        <w:t xml:space="preserve">niversities of </w:t>
      </w:r>
      <w:r w:rsidR="000554B7">
        <w:rPr>
          <w:sz w:val="24"/>
        </w:rPr>
        <w:t>Aberystwyth, Bangor, Cardiff, South Wales and Swansea</w:t>
      </w:r>
      <w:r w:rsidR="00620ED1">
        <w:rPr>
          <w:sz w:val="24"/>
        </w:rPr>
        <w:t>;</w:t>
      </w:r>
      <w:r w:rsidR="000554B7">
        <w:rPr>
          <w:sz w:val="24"/>
        </w:rPr>
        <w:t xml:space="preserve"> </w:t>
      </w:r>
      <w:r w:rsidR="00620ED1">
        <w:rPr>
          <w:sz w:val="24"/>
        </w:rPr>
        <w:t xml:space="preserve">were surveyed. </w:t>
      </w:r>
      <w:r w:rsidR="0077776F">
        <w:rPr>
          <w:sz w:val="24"/>
        </w:rPr>
        <w:t xml:space="preserve">In order to gauge this group’s opinions, an online survey was distributed with a total of 12 questions, </w:t>
      </w:r>
      <w:r w:rsidR="00B57301">
        <w:rPr>
          <w:sz w:val="24"/>
        </w:rPr>
        <w:t>containing</w:t>
      </w:r>
      <w:r w:rsidR="0077776F">
        <w:rPr>
          <w:sz w:val="24"/>
        </w:rPr>
        <w:t xml:space="preserve"> a combination of both fixed-end and open</w:t>
      </w:r>
      <w:r w:rsidR="00B57301">
        <w:rPr>
          <w:sz w:val="24"/>
        </w:rPr>
        <w:t>-end</w:t>
      </w:r>
      <w:r w:rsidR="00276DA3">
        <w:rPr>
          <w:sz w:val="24"/>
        </w:rPr>
        <w:t>ed</w:t>
      </w:r>
      <w:r w:rsidR="0077776F">
        <w:rPr>
          <w:sz w:val="24"/>
        </w:rPr>
        <w:t xml:space="preserve"> text comment responses. The survey invited participants to comment on a range of topics, including: whether they wer</w:t>
      </w:r>
      <w:r w:rsidR="001F3195">
        <w:rPr>
          <w:sz w:val="24"/>
        </w:rPr>
        <w:t>e for</w:t>
      </w:r>
      <w:r w:rsidR="0077776F">
        <w:rPr>
          <w:sz w:val="24"/>
        </w:rPr>
        <w:t xml:space="preserve"> or against Brexit; whether they felt Wales would become a </w:t>
      </w:r>
      <w:r w:rsidR="0077776F" w:rsidRPr="00901EE0">
        <w:rPr>
          <w:i/>
          <w:sz w:val="24"/>
        </w:rPr>
        <w:t>less</w:t>
      </w:r>
      <w:r w:rsidR="0077776F">
        <w:rPr>
          <w:sz w:val="24"/>
        </w:rPr>
        <w:t xml:space="preserve"> or </w:t>
      </w:r>
      <w:r w:rsidR="0077776F" w:rsidRPr="00901EE0">
        <w:rPr>
          <w:i/>
          <w:sz w:val="24"/>
        </w:rPr>
        <w:t>more</w:t>
      </w:r>
      <w:r w:rsidR="0077776F">
        <w:rPr>
          <w:sz w:val="24"/>
        </w:rPr>
        <w:t xml:space="preserve"> attractive place for EU and international students to come and study, and</w:t>
      </w:r>
      <w:r w:rsidR="00276DA3">
        <w:rPr>
          <w:sz w:val="24"/>
        </w:rPr>
        <w:t xml:space="preserve"> for</w:t>
      </w:r>
      <w:r w:rsidR="00B57301">
        <w:rPr>
          <w:sz w:val="24"/>
        </w:rPr>
        <w:t xml:space="preserve"> </w:t>
      </w:r>
      <w:r w:rsidR="00CA4C04">
        <w:rPr>
          <w:sz w:val="24"/>
        </w:rPr>
        <w:t>l</w:t>
      </w:r>
      <w:r w:rsidR="00B57301">
        <w:rPr>
          <w:sz w:val="24"/>
        </w:rPr>
        <w:t>ecturers and</w:t>
      </w:r>
      <w:r w:rsidR="0077776F">
        <w:rPr>
          <w:sz w:val="24"/>
        </w:rPr>
        <w:t xml:space="preserve"> researchers to come and work; whether they felt their</w:t>
      </w:r>
      <w:r w:rsidR="00CA4C04">
        <w:rPr>
          <w:sz w:val="24"/>
        </w:rPr>
        <w:t xml:space="preserve"> l</w:t>
      </w:r>
      <w:r w:rsidR="0077776F">
        <w:rPr>
          <w:sz w:val="24"/>
        </w:rPr>
        <w:t xml:space="preserve">aw degree would be </w:t>
      </w:r>
      <w:r w:rsidR="00901EE0">
        <w:rPr>
          <w:sz w:val="24"/>
        </w:rPr>
        <w:t>affected</w:t>
      </w:r>
      <w:r w:rsidR="0077776F">
        <w:rPr>
          <w:sz w:val="24"/>
        </w:rPr>
        <w:t xml:space="preserve"> as a result of Brexit; and whether their opinions of EU </w:t>
      </w:r>
      <w:r w:rsidR="00CA4C04">
        <w:rPr>
          <w:sz w:val="24"/>
        </w:rPr>
        <w:t>l</w:t>
      </w:r>
      <w:r w:rsidR="0077776F">
        <w:rPr>
          <w:sz w:val="24"/>
        </w:rPr>
        <w:t>aw ha</w:t>
      </w:r>
      <w:r w:rsidR="00B57301">
        <w:rPr>
          <w:sz w:val="24"/>
        </w:rPr>
        <w:t>d</w:t>
      </w:r>
      <w:r w:rsidR="00BF5102">
        <w:rPr>
          <w:sz w:val="24"/>
        </w:rPr>
        <w:t xml:space="preserve"> changed as a result of Brexit.</w:t>
      </w:r>
    </w:p>
    <w:p w14:paraId="024804C2" w14:textId="4AE0617F" w:rsidR="00BF5102" w:rsidRPr="00BF5102" w:rsidRDefault="00BF5102" w:rsidP="00BF5102">
      <w:pPr>
        <w:jc w:val="both"/>
        <w:rPr>
          <w:b/>
          <w:sz w:val="24"/>
        </w:rPr>
      </w:pPr>
      <w:r w:rsidRPr="00DE4164">
        <w:rPr>
          <w:b/>
          <w:sz w:val="24"/>
        </w:rPr>
        <w:t>2.</w:t>
      </w:r>
      <w:r>
        <w:rPr>
          <w:b/>
          <w:sz w:val="24"/>
        </w:rPr>
        <w:t>1</w:t>
      </w:r>
      <w:r w:rsidRPr="00DE4164">
        <w:rPr>
          <w:b/>
          <w:sz w:val="24"/>
        </w:rPr>
        <w:t xml:space="preserve"> </w:t>
      </w:r>
      <w:r>
        <w:rPr>
          <w:b/>
          <w:sz w:val="24"/>
        </w:rPr>
        <w:t>Study Methodology</w:t>
      </w:r>
    </w:p>
    <w:p w14:paraId="2B4FD227" w14:textId="2EABF3BE" w:rsidR="009911C6" w:rsidRDefault="009911C6" w:rsidP="00BF5102">
      <w:pPr>
        <w:jc w:val="both"/>
        <w:rPr>
          <w:sz w:val="24"/>
        </w:rPr>
      </w:pPr>
      <w:r>
        <w:rPr>
          <w:sz w:val="24"/>
        </w:rPr>
        <w:t xml:space="preserve">In order to capture students’ views, </w:t>
      </w:r>
      <w:r w:rsidR="00000611">
        <w:rPr>
          <w:sz w:val="24"/>
        </w:rPr>
        <w:t>the</w:t>
      </w:r>
      <w:r>
        <w:rPr>
          <w:sz w:val="24"/>
        </w:rPr>
        <w:t xml:space="preserve"> online survey</w:t>
      </w:r>
      <w:r w:rsidR="00075736">
        <w:rPr>
          <w:sz w:val="24"/>
        </w:rPr>
        <w:t xml:space="preserve"> consisted of</w:t>
      </w:r>
      <w:r>
        <w:rPr>
          <w:sz w:val="24"/>
        </w:rPr>
        <w:t xml:space="preserve"> </w:t>
      </w:r>
      <w:r w:rsidR="00000611">
        <w:rPr>
          <w:sz w:val="24"/>
        </w:rPr>
        <w:t xml:space="preserve">ten </w:t>
      </w:r>
      <w:r w:rsidR="00075736">
        <w:rPr>
          <w:sz w:val="24"/>
        </w:rPr>
        <w:t>questions</w:t>
      </w:r>
      <w:r w:rsidR="00000611">
        <w:rPr>
          <w:sz w:val="24"/>
        </w:rPr>
        <w:t xml:space="preserve"> </w:t>
      </w:r>
      <w:r w:rsidR="00075736">
        <w:rPr>
          <w:sz w:val="24"/>
        </w:rPr>
        <w:t xml:space="preserve">warranting ‘fixed end’ responses, so as to produce </w:t>
      </w:r>
      <w:r>
        <w:rPr>
          <w:sz w:val="24"/>
        </w:rPr>
        <w:t>quantitative</w:t>
      </w:r>
      <w:r w:rsidR="00CA4C04">
        <w:rPr>
          <w:sz w:val="24"/>
        </w:rPr>
        <w:t xml:space="preserve"> data</w:t>
      </w:r>
      <w:r w:rsidR="00932B84">
        <w:rPr>
          <w:sz w:val="24"/>
        </w:rPr>
        <w:t xml:space="preserve"> for </w:t>
      </w:r>
      <w:r w:rsidR="00932B84" w:rsidRPr="00AE5188">
        <w:rPr>
          <w:sz w:val="24"/>
          <w:szCs w:val="24"/>
        </w:rPr>
        <w:t>ANOVA and post-hoc Tukey statistical tests</w:t>
      </w:r>
      <w:r w:rsidR="00CA4C04">
        <w:rPr>
          <w:sz w:val="24"/>
        </w:rPr>
        <w:t>.</w:t>
      </w:r>
      <w:r w:rsidR="00075736">
        <w:rPr>
          <w:rStyle w:val="FootnoteReference"/>
          <w:sz w:val="24"/>
        </w:rPr>
        <w:footnoteReference w:id="47"/>
      </w:r>
      <w:r>
        <w:rPr>
          <w:sz w:val="24"/>
        </w:rPr>
        <w:t xml:space="preserve"> </w:t>
      </w:r>
      <w:r w:rsidR="00CA4C04">
        <w:rPr>
          <w:sz w:val="24"/>
        </w:rPr>
        <w:t>A</w:t>
      </w:r>
      <w:r w:rsidR="00000611">
        <w:rPr>
          <w:sz w:val="24"/>
        </w:rPr>
        <w:t xml:space="preserve"> further two </w:t>
      </w:r>
      <w:r>
        <w:rPr>
          <w:sz w:val="24"/>
        </w:rPr>
        <w:t>open ended</w:t>
      </w:r>
      <w:r w:rsidR="00075736">
        <w:rPr>
          <w:sz w:val="24"/>
        </w:rPr>
        <w:t>, free text</w:t>
      </w:r>
      <w:r>
        <w:rPr>
          <w:sz w:val="24"/>
        </w:rPr>
        <w:t xml:space="preserve"> questions</w:t>
      </w:r>
      <w:r w:rsidR="00075736">
        <w:rPr>
          <w:sz w:val="24"/>
        </w:rPr>
        <w:t>,</w:t>
      </w:r>
      <w:r w:rsidR="00CA4C04">
        <w:rPr>
          <w:sz w:val="24"/>
        </w:rPr>
        <w:t xml:space="preserve"> were included</w:t>
      </w:r>
      <w:r w:rsidR="00075736">
        <w:rPr>
          <w:sz w:val="24"/>
        </w:rPr>
        <w:t xml:space="preserve"> so as</w:t>
      </w:r>
      <w:r>
        <w:rPr>
          <w:sz w:val="24"/>
        </w:rPr>
        <w:t xml:space="preserve"> to facilitate qualitative analysis to confirm</w:t>
      </w:r>
      <w:r w:rsidR="00075736">
        <w:rPr>
          <w:sz w:val="24"/>
        </w:rPr>
        <w:t xml:space="preserve"> and explain the reasons for the quantitative statistical trends.</w:t>
      </w:r>
      <w:r w:rsidR="00000611">
        <w:rPr>
          <w:rStyle w:val="FootnoteReference"/>
          <w:sz w:val="24"/>
        </w:rPr>
        <w:footnoteReference w:id="48"/>
      </w:r>
      <w:r w:rsidR="00000611">
        <w:rPr>
          <w:sz w:val="24"/>
        </w:rPr>
        <w:t xml:space="preserve"> </w:t>
      </w:r>
      <w:r w:rsidR="00CA4C04">
        <w:rPr>
          <w:sz w:val="24"/>
        </w:rPr>
        <w:t xml:space="preserve">The authors were minded to keep the level of questioning short and concise, so as to identify key themes and concerns held by respondents, whilst also keeping the time to complete the survey short (so as to encourage higher levels of participation). </w:t>
      </w:r>
    </w:p>
    <w:p w14:paraId="5B8E0736" w14:textId="4108E6D4" w:rsidR="00C57F2D" w:rsidRPr="00276DA3" w:rsidRDefault="009A19E3" w:rsidP="00936BDB">
      <w:pPr>
        <w:jc w:val="both"/>
        <w:rPr>
          <w:sz w:val="24"/>
        </w:rPr>
      </w:pPr>
      <w:r w:rsidRPr="0015190F">
        <w:rPr>
          <w:sz w:val="24"/>
        </w:rPr>
        <w:t>A response rate of 336 students is estimated to represent</w:t>
      </w:r>
      <w:r w:rsidR="009911C6" w:rsidRPr="0015190F">
        <w:rPr>
          <w:sz w:val="24"/>
        </w:rPr>
        <w:t xml:space="preserve"> </w:t>
      </w:r>
      <w:r w:rsidRPr="0015190F">
        <w:rPr>
          <w:sz w:val="24"/>
        </w:rPr>
        <w:t>23% of the total number of law students studying in Wales</w:t>
      </w:r>
      <w:r w:rsidR="00BF5102" w:rsidRPr="0015190F">
        <w:rPr>
          <w:sz w:val="24"/>
        </w:rPr>
        <w:t>, which surpasses the response requirements to validate an empirical study</w:t>
      </w:r>
      <w:r w:rsidR="009911C6" w:rsidRPr="0015190F">
        <w:rPr>
          <w:sz w:val="24"/>
        </w:rPr>
        <w:t>,</w:t>
      </w:r>
      <w:r w:rsidR="00BF5102" w:rsidRPr="0015190F">
        <w:rPr>
          <w:sz w:val="24"/>
          <w:vertAlign w:val="superscript"/>
        </w:rPr>
        <w:footnoteReference w:id="49"/>
      </w:r>
      <w:r w:rsidR="009911C6" w:rsidRPr="0015190F">
        <w:rPr>
          <w:sz w:val="24"/>
        </w:rPr>
        <w:t xml:space="preserve"> and is stati</w:t>
      </w:r>
      <w:r w:rsidR="00CA4C04">
        <w:rPr>
          <w:sz w:val="24"/>
        </w:rPr>
        <w:t>sti</w:t>
      </w:r>
      <w:r w:rsidR="009911C6" w:rsidRPr="0015190F">
        <w:rPr>
          <w:sz w:val="24"/>
        </w:rPr>
        <w:t>cally higher than other legal education empirical</w:t>
      </w:r>
      <w:r w:rsidR="009E1B8E" w:rsidRPr="0015190F">
        <w:rPr>
          <w:sz w:val="24"/>
        </w:rPr>
        <w:t xml:space="preserve"> investigations</w:t>
      </w:r>
      <w:r w:rsidR="009911C6" w:rsidRPr="0015190F">
        <w:rPr>
          <w:sz w:val="24"/>
        </w:rPr>
        <w:t>,</w:t>
      </w:r>
      <w:r w:rsidR="002B5066" w:rsidRPr="0015190F">
        <w:rPr>
          <w:rStyle w:val="FootnoteReference"/>
          <w:sz w:val="24"/>
        </w:rPr>
        <w:footnoteReference w:id="50"/>
      </w:r>
      <w:r w:rsidR="009911C6" w:rsidRPr="0015190F">
        <w:rPr>
          <w:sz w:val="24"/>
        </w:rPr>
        <w:t xml:space="preserve"> including those pertaining to Welsh universities.</w:t>
      </w:r>
      <w:r w:rsidR="009911C6" w:rsidRPr="0015190F">
        <w:rPr>
          <w:rStyle w:val="FootnoteReference"/>
          <w:sz w:val="24"/>
        </w:rPr>
        <w:footnoteReference w:id="51"/>
      </w:r>
      <w:r w:rsidR="009911C6" w:rsidRPr="0015190F">
        <w:rPr>
          <w:sz w:val="24"/>
        </w:rPr>
        <w:t xml:space="preserve"> </w:t>
      </w:r>
      <w:r w:rsidR="009E1B8E">
        <w:rPr>
          <w:sz w:val="24"/>
        </w:rPr>
        <w:t>This higher response rate was achieved by utilising three approaches to disseminating the invitation</w:t>
      </w:r>
      <w:r w:rsidR="00CA4C04">
        <w:rPr>
          <w:sz w:val="24"/>
        </w:rPr>
        <w:t>s</w:t>
      </w:r>
      <w:r w:rsidR="009E1B8E">
        <w:rPr>
          <w:sz w:val="24"/>
        </w:rPr>
        <w:t xml:space="preserve"> to participate. First, as is custom, a request to disseminate the information was sent to all administrators within the respective </w:t>
      </w:r>
      <w:r w:rsidR="00CA4C04">
        <w:rPr>
          <w:sz w:val="24"/>
        </w:rPr>
        <w:t xml:space="preserve">university </w:t>
      </w:r>
      <w:r w:rsidR="009E1B8E">
        <w:rPr>
          <w:sz w:val="24"/>
        </w:rPr>
        <w:t xml:space="preserve">faculties. Second existing networks amongst Welsh law school were utilised so as to help promote participation in the survey (for example </w:t>
      </w:r>
      <w:r w:rsidR="00B834E8">
        <w:rPr>
          <w:sz w:val="24"/>
        </w:rPr>
        <w:t>via staff</w:t>
      </w:r>
      <w:r w:rsidR="00CA4C04">
        <w:rPr>
          <w:sz w:val="24"/>
        </w:rPr>
        <w:t xml:space="preserve"> and student </w:t>
      </w:r>
      <w:r w:rsidR="009E1B8E">
        <w:rPr>
          <w:sz w:val="24"/>
        </w:rPr>
        <w:t>mooting networks). Finally, adopting a pedagogically informed approach to collating data</w:t>
      </w:r>
      <w:r w:rsidR="0015190F">
        <w:rPr>
          <w:sz w:val="24"/>
        </w:rPr>
        <w:t xml:space="preserve"> and in viewing students as par</w:t>
      </w:r>
      <w:r w:rsidR="00276DA3">
        <w:rPr>
          <w:sz w:val="24"/>
        </w:rPr>
        <w:t>tners in this investigation,</w:t>
      </w:r>
      <w:r w:rsidR="0015190F">
        <w:rPr>
          <w:sz w:val="24"/>
        </w:rPr>
        <w:t xml:space="preserve"> student societies were </w:t>
      </w:r>
      <w:r w:rsidR="0015190F">
        <w:rPr>
          <w:sz w:val="24"/>
        </w:rPr>
        <w:lastRenderedPageBreak/>
        <w:t>instrumental in promoting awareness of the survey via social media, and encouraging participation from their peers at the other Welsh universities.</w:t>
      </w:r>
      <w:r w:rsidR="0015190F">
        <w:rPr>
          <w:rStyle w:val="FootnoteReference"/>
          <w:sz w:val="24"/>
        </w:rPr>
        <w:footnoteReference w:id="52"/>
      </w:r>
      <w:r w:rsidR="0015190F">
        <w:rPr>
          <w:sz w:val="24"/>
        </w:rPr>
        <w:t xml:space="preserve">  </w:t>
      </w:r>
    </w:p>
    <w:p w14:paraId="64542415" w14:textId="6E76B86C" w:rsidR="006E63FF" w:rsidRPr="00DE4164" w:rsidRDefault="00007A31" w:rsidP="00936BDB">
      <w:pPr>
        <w:jc w:val="both"/>
        <w:rPr>
          <w:b/>
          <w:sz w:val="24"/>
        </w:rPr>
      </w:pPr>
      <w:r w:rsidRPr="00DE4164">
        <w:rPr>
          <w:b/>
          <w:sz w:val="24"/>
        </w:rPr>
        <w:t>2</w:t>
      </w:r>
      <w:r w:rsidR="006E63FF" w:rsidRPr="00DE4164">
        <w:rPr>
          <w:b/>
          <w:sz w:val="24"/>
        </w:rPr>
        <w:t>.</w:t>
      </w:r>
      <w:r w:rsidR="00BF5102">
        <w:rPr>
          <w:b/>
          <w:sz w:val="24"/>
        </w:rPr>
        <w:t>2</w:t>
      </w:r>
      <w:r w:rsidR="006E63FF" w:rsidRPr="00DE4164">
        <w:rPr>
          <w:b/>
          <w:sz w:val="24"/>
        </w:rPr>
        <w:t xml:space="preserve"> Demographic</w:t>
      </w:r>
      <w:r w:rsidR="0077776F" w:rsidRPr="00DE4164">
        <w:rPr>
          <w:b/>
          <w:sz w:val="24"/>
        </w:rPr>
        <w:t xml:space="preserve"> of </w:t>
      </w:r>
      <w:r w:rsidR="006E63FF" w:rsidRPr="00DE4164">
        <w:rPr>
          <w:b/>
          <w:sz w:val="24"/>
        </w:rPr>
        <w:t>Respondents</w:t>
      </w:r>
    </w:p>
    <w:p w14:paraId="593BFE54" w14:textId="2B3ED90A" w:rsidR="00FA0C40" w:rsidRDefault="0077776F" w:rsidP="0077776F">
      <w:pPr>
        <w:jc w:val="both"/>
        <w:rPr>
          <w:sz w:val="24"/>
        </w:rPr>
      </w:pPr>
      <w:r>
        <w:rPr>
          <w:sz w:val="24"/>
        </w:rPr>
        <w:t>Of the 336 students surveyed, students categorised themselves as: 37% UK (English); 18% UK (Welsh); 3% UK (Northern Irish); 28% EU (Non-UK); and 15% International (Non-EU).</w:t>
      </w:r>
      <w:r w:rsidR="000E3F5C">
        <w:rPr>
          <w:rStyle w:val="FootnoteReference"/>
          <w:sz w:val="24"/>
        </w:rPr>
        <w:footnoteReference w:id="53"/>
      </w:r>
      <w:r w:rsidR="00460329">
        <w:rPr>
          <w:sz w:val="24"/>
        </w:rPr>
        <w:t xml:space="preserve"> </w:t>
      </w:r>
      <w:r w:rsidR="008A2C71">
        <w:rPr>
          <w:sz w:val="24"/>
        </w:rPr>
        <w:t xml:space="preserve">84% of respondents were studying on undergraduate </w:t>
      </w:r>
      <w:r w:rsidR="00182DA4">
        <w:rPr>
          <w:sz w:val="24"/>
        </w:rPr>
        <w:t>degree</w:t>
      </w:r>
      <w:r w:rsidR="00BE099D">
        <w:rPr>
          <w:sz w:val="24"/>
        </w:rPr>
        <w:t>s</w:t>
      </w:r>
      <w:r w:rsidR="008A2C71">
        <w:rPr>
          <w:sz w:val="24"/>
        </w:rPr>
        <w:t>, with the remaining 16% studying at postgraduate level (on either a postgraduate taught, or postgraduate research</w:t>
      </w:r>
      <w:r w:rsidR="00276DA3">
        <w:rPr>
          <w:sz w:val="24"/>
        </w:rPr>
        <w:t>,</w:t>
      </w:r>
      <w:r w:rsidR="008A2C71">
        <w:rPr>
          <w:sz w:val="24"/>
        </w:rPr>
        <w:t xml:space="preserve"> programme). </w:t>
      </w:r>
    </w:p>
    <w:p w14:paraId="796D121B" w14:textId="1679EBC1" w:rsidR="007748D6" w:rsidRDefault="008A2C71" w:rsidP="0077776F">
      <w:pPr>
        <w:jc w:val="both"/>
        <w:rPr>
          <w:sz w:val="24"/>
        </w:rPr>
      </w:pPr>
      <w:r>
        <w:rPr>
          <w:sz w:val="24"/>
        </w:rPr>
        <w:t xml:space="preserve">So as to understand </w:t>
      </w:r>
      <w:r w:rsidR="008D63C5">
        <w:rPr>
          <w:sz w:val="24"/>
        </w:rPr>
        <w:t>l</w:t>
      </w:r>
      <w:r>
        <w:rPr>
          <w:sz w:val="24"/>
        </w:rPr>
        <w:t>aw students’ stance on the topic, respondents were</w:t>
      </w:r>
      <w:r w:rsidR="00B57301">
        <w:rPr>
          <w:sz w:val="24"/>
        </w:rPr>
        <w:t xml:space="preserve"> firstly</w:t>
      </w:r>
      <w:r w:rsidR="00FA0C40">
        <w:rPr>
          <w:sz w:val="24"/>
        </w:rPr>
        <w:t xml:space="preserve"> </w:t>
      </w:r>
      <w:r>
        <w:rPr>
          <w:sz w:val="24"/>
        </w:rPr>
        <w:t>asked</w:t>
      </w:r>
      <w:r w:rsidR="00FA0C40">
        <w:rPr>
          <w:sz w:val="24"/>
        </w:rPr>
        <w:t xml:space="preserve"> a series of statements based on whether they were</w:t>
      </w:r>
      <w:r w:rsidR="00B57301">
        <w:rPr>
          <w:sz w:val="24"/>
        </w:rPr>
        <w:t>:</w:t>
      </w:r>
      <w:r w:rsidR="00FA0C40">
        <w:rPr>
          <w:sz w:val="24"/>
        </w:rPr>
        <w:t xml:space="preserve"> i) eligible to vote in the referendum; ii) </w:t>
      </w:r>
      <w:r w:rsidR="00B57301">
        <w:rPr>
          <w:sz w:val="24"/>
        </w:rPr>
        <w:t xml:space="preserve">and if so, </w:t>
      </w:r>
      <w:r w:rsidR="00FA0C40">
        <w:rPr>
          <w:sz w:val="24"/>
        </w:rPr>
        <w:t>whether they did vote; and iii) how they did/</w:t>
      </w:r>
      <w:r w:rsidR="00B57301">
        <w:rPr>
          <w:sz w:val="24"/>
        </w:rPr>
        <w:t xml:space="preserve">or </w:t>
      </w:r>
      <w:r w:rsidR="00FA0C40">
        <w:rPr>
          <w:sz w:val="24"/>
        </w:rPr>
        <w:t>would have voted. 40% stated that they were eligible to vote, and voted to remain in the EU; 9% stated that they were eligible to vote, and voted to leave the EU; a further 5% stated that they were eligible to vote</w:t>
      </w:r>
      <w:r w:rsidR="00B57301">
        <w:rPr>
          <w:sz w:val="24"/>
        </w:rPr>
        <w:t>,</w:t>
      </w:r>
      <w:r w:rsidR="00FA0C40">
        <w:rPr>
          <w:sz w:val="24"/>
        </w:rPr>
        <w:t xml:space="preserve"> but did not vote.</w:t>
      </w:r>
      <w:r w:rsidR="007748D6">
        <w:rPr>
          <w:sz w:val="24"/>
        </w:rPr>
        <w:t xml:space="preserve"> 12% of respondents indicated that they were UK citizens and would have voted to remain</w:t>
      </w:r>
      <w:r w:rsidR="00B57301">
        <w:rPr>
          <w:sz w:val="24"/>
        </w:rPr>
        <w:t>, but</w:t>
      </w:r>
      <w:r w:rsidR="007748D6">
        <w:rPr>
          <w:sz w:val="24"/>
        </w:rPr>
        <w:t xml:space="preserve"> were not eligible to vote in the referendum in 2016 (owing to age restrictions). By contrast only 3% of the respondents stated that they were UK citizens</w:t>
      </w:r>
      <w:r w:rsidR="00B57301">
        <w:rPr>
          <w:sz w:val="24"/>
        </w:rPr>
        <w:t>,</w:t>
      </w:r>
      <w:r w:rsidR="007748D6">
        <w:rPr>
          <w:sz w:val="24"/>
        </w:rPr>
        <w:t xml:space="preserve"> and would have voted to leave, if they were eligible to vote in the referendum in 2016. The remainder of the responses came from non-UK students, accounting for</w:t>
      </w:r>
      <w:r w:rsidR="004E68C7">
        <w:rPr>
          <w:sz w:val="24"/>
        </w:rPr>
        <w:t xml:space="preserve"> a further</w:t>
      </w:r>
      <w:r w:rsidR="007748D6">
        <w:rPr>
          <w:sz w:val="24"/>
        </w:rPr>
        <w:t xml:space="preserve"> 29% saying they would have voted to remain, and only a further 3% </w:t>
      </w:r>
      <w:r w:rsidR="00E7555F">
        <w:rPr>
          <w:sz w:val="24"/>
        </w:rPr>
        <w:t>indicated</w:t>
      </w:r>
      <w:r w:rsidR="007748D6">
        <w:rPr>
          <w:sz w:val="24"/>
        </w:rPr>
        <w:t xml:space="preserve"> they would have voted to leave. Interestingly no non-UK</w:t>
      </w:r>
      <w:r w:rsidR="00B57301">
        <w:rPr>
          <w:sz w:val="24"/>
        </w:rPr>
        <w:t>,</w:t>
      </w:r>
      <w:r w:rsidR="007748D6">
        <w:rPr>
          <w:sz w:val="24"/>
        </w:rPr>
        <w:t xml:space="preserve"> or UK voter under the age required to vote at the time of the referendum</w:t>
      </w:r>
      <w:r w:rsidR="00B57301">
        <w:rPr>
          <w:sz w:val="24"/>
        </w:rPr>
        <w:t>,</w:t>
      </w:r>
      <w:r w:rsidR="007748D6">
        <w:rPr>
          <w:sz w:val="24"/>
        </w:rPr>
        <w:t xml:space="preserve"> said they would not have been interested in voting in the referendum </w:t>
      </w:r>
      <w:r w:rsidR="001F3195">
        <w:rPr>
          <w:sz w:val="24"/>
        </w:rPr>
        <w:t>(</w:t>
      </w:r>
      <w:r w:rsidR="007748D6">
        <w:rPr>
          <w:sz w:val="24"/>
        </w:rPr>
        <w:t>had they been eligible</w:t>
      </w:r>
      <w:r w:rsidR="001F3195">
        <w:rPr>
          <w:sz w:val="24"/>
        </w:rPr>
        <w:t>)</w:t>
      </w:r>
      <w:r w:rsidR="007748D6">
        <w:rPr>
          <w:sz w:val="24"/>
        </w:rPr>
        <w:t xml:space="preserve">. </w:t>
      </w:r>
    </w:p>
    <w:p w14:paraId="30D37066" w14:textId="797B4C39" w:rsidR="008A2C71" w:rsidRDefault="00FA0C40" w:rsidP="0077776F">
      <w:pPr>
        <w:jc w:val="both"/>
        <w:rPr>
          <w:sz w:val="24"/>
        </w:rPr>
      </w:pPr>
      <w:r>
        <w:rPr>
          <w:sz w:val="24"/>
        </w:rPr>
        <w:t>S</w:t>
      </w:r>
      <w:r w:rsidR="00B57301">
        <w:rPr>
          <w:sz w:val="24"/>
        </w:rPr>
        <w:t>o as to map how students</w:t>
      </w:r>
      <w:r w:rsidR="004E68C7">
        <w:rPr>
          <w:sz w:val="24"/>
        </w:rPr>
        <w:t>’</w:t>
      </w:r>
      <w:r w:rsidR="00B57301">
        <w:rPr>
          <w:sz w:val="24"/>
        </w:rPr>
        <w:t xml:space="preserve"> opinions may be different now, in 2018, compared to their thoughts in </w:t>
      </w:r>
      <w:r w:rsidR="008211DB">
        <w:rPr>
          <w:sz w:val="24"/>
        </w:rPr>
        <w:t>2016, respondents</w:t>
      </w:r>
      <w:r>
        <w:rPr>
          <w:sz w:val="24"/>
        </w:rPr>
        <w:t xml:space="preserve"> were asked,</w:t>
      </w:r>
      <w:r w:rsidR="008A2C71">
        <w:rPr>
          <w:sz w:val="24"/>
        </w:rPr>
        <w:t xml:space="preserve"> based on their opinion at the time of referendum on the 23</w:t>
      </w:r>
      <w:r w:rsidR="008A2C71" w:rsidRPr="008A2C71">
        <w:rPr>
          <w:sz w:val="24"/>
          <w:vertAlign w:val="superscript"/>
        </w:rPr>
        <w:t>rd</w:t>
      </w:r>
      <w:r w:rsidR="008A2C71">
        <w:rPr>
          <w:sz w:val="24"/>
        </w:rPr>
        <w:t xml:space="preserve"> June 2016, </w:t>
      </w:r>
      <w:r>
        <w:rPr>
          <w:sz w:val="24"/>
        </w:rPr>
        <w:t xml:space="preserve">whether </w:t>
      </w:r>
      <w:r w:rsidR="008A2C71">
        <w:rPr>
          <w:sz w:val="24"/>
        </w:rPr>
        <w:t>they consider</w:t>
      </w:r>
      <w:r w:rsidR="00EF18A8">
        <w:rPr>
          <w:sz w:val="24"/>
        </w:rPr>
        <w:t>ed</w:t>
      </w:r>
      <w:r w:rsidR="008A2C71">
        <w:rPr>
          <w:sz w:val="24"/>
        </w:rPr>
        <w:t xml:space="preserve"> themselves </w:t>
      </w:r>
      <w:r w:rsidR="001F3195">
        <w:rPr>
          <w:sz w:val="24"/>
        </w:rPr>
        <w:t>for</w:t>
      </w:r>
      <w:r w:rsidR="008A2C71">
        <w:rPr>
          <w:sz w:val="24"/>
        </w:rPr>
        <w:t xml:space="preserve"> or against Brexit. They were thereafter asked whether their opinions had changed today in 2018. </w:t>
      </w:r>
      <w:r>
        <w:rPr>
          <w:sz w:val="24"/>
        </w:rPr>
        <w:t>The results are as follow:</w:t>
      </w:r>
    </w:p>
    <w:p w14:paraId="0D0EC913" w14:textId="77777777" w:rsidR="00276DA3" w:rsidRDefault="00276DA3" w:rsidP="0077776F">
      <w:pPr>
        <w:jc w:val="both"/>
        <w:rPr>
          <w:b/>
          <w:sz w:val="24"/>
          <w:szCs w:val="24"/>
        </w:rPr>
      </w:pPr>
    </w:p>
    <w:p w14:paraId="28267298" w14:textId="77777777" w:rsidR="00276DA3" w:rsidRDefault="00276DA3" w:rsidP="0077776F">
      <w:pPr>
        <w:jc w:val="both"/>
        <w:rPr>
          <w:b/>
          <w:sz w:val="24"/>
          <w:szCs w:val="24"/>
        </w:rPr>
      </w:pPr>
    </w:p>
    <w:p w14:paraId="0543AEA3" w14:textId="77777777" w:rsidR="00276DA3" w:rsidRDefault="00276DA3" w:rsidP="0077776F">
      <w:pPr>
        <w:jc w:val="both"/>
        <w:rPr>
          <w:b/>
          <w:sz w:val="24"/>
          <w:szCs w:val="24"/>
        </w:rPr>
      </w:pPr>
    </w:p>
    <w:p w14:paraId="17125C02" w14:textId="77777777" w:rsidR="00276DA3" w:rsidRDefault="00276DA3" w:rsidP="0077776F">
      <w:pPr>
        <w:jc w:val="both"/>
        <w:rPr>
          <w:b/>
          <w:sz w:val="24"/>
          <w:szCs w:val="24"/>
        </w:rPr>
      </w:pPr>
    </w:p>
    <w:p w14:paraId="25F91B85" w14:textId="77777777" w:rsidR="00276DA3" w:rsidRDefault="00276DA3" w:rsidP="0077776F">
      <w:pPr>
        <w:jc w:val="both"/>
        <w:rPr>
          <w:b/>
          <w:sz w:val="24"/>
          <w:szCs w:val="24"/>
        </w:rPr>
      </w:pPr>
    </w:p>
    <w:p w14:paraId="6DCEE02F" w14:textId="77777777" w:rsidR="00276DA3" w:rsidRDefault="00276DA3" w:rsidP="0077776F">
      <w:pPr>
        <w:jc w:val="both"/>
        <w:rPr>
          <w:b/>
          <w:sz w:val="24"/>
          <w:szCs w:val="24"/>
        </w:rPr>
      </w:pPr>
    </w:p>
    <w:p w14:paraId="6E762288" w14:textId="77777777" w:rsidR="00276DA3" w:rsidRDefault="00276DA3" w:rsidP="0077776F">
      <w:pPr>
        <w:jc w:val="both"/>
        <w:rPr>
          <w:b/>
          <w:sz w:val="24"/>
          <w:szCs w:val="24"/>
        </w:rPr>
      </w:pPr>
    </w:p>
    <w:p w14:paraId="078CF155" w14:textId="754EE362" w:rsidR="00782281" w:rsidRPr="00782281" w:rsidRDefault="00782281" w:rsidP="0077776F">
      <w:pPr>
        <w:jc w:val="both"/>
        <w:rPr>
          <w:b/>
          <w:sz w:val="24"/>
          <w:szCs w:val="24"/>
        </w:rPr>
      </w:pPr>
      <w:r>
        <w:rPr>
          <w:b/>
          <w:sz w:val="24"/>
          <w:szCs w:val="24"/>
        </w:rPr>
        <w:lastRenderedPageBreak/>
        <w:t>Chart 1: Changes in Students’ Views</w:t>
      </w:r>
      <w:r w:rsidR="00F54FDF">
        <w:rPr>
          <w:b/>
          <w:sz w:val="24"/>
          <w:szCs w:val="24"/>
        </w:rPr>
        <w:t xml:space="preserve"> </w:t>
      </w:r>
      <w:proofErr w:type="gramStart"/>
      <w:r w:rsidR="00F54FDF">
        <w:rPr>
          <w:b/>
          <w:sz w:val="24"/>
          <w:szCs w:val="24"/>
        </w:rPr>
        <w:t>Within</w:t>
      </w:r>
      <w:proofErr w:type="gramEnd"/>
      <w:r w:rsidR="00F54FDF">
        <w:rPr>
          <w:b/>
          <w:sz w:val="24"/>
          <w:szCs w:val="24"/>
        </w:rPr>
        <w:t xml:space="preserve"> Wales’ Law Schools</w:t>
      </w:r>
    </w:p>
    <w:p w14:paraId="33D63B26" w14:textId="487AAAA7" w:rsidR="008A2C71" w:rsidRDefault="008A2C71" w:rsidP="0077776F">
      <w:pPr>
        <w:jc w:val="both"/>
        <w:rPr>
          <w:sz w:val="24"/>
        </w:rPr>
      </w:pPr>
      <w:r>
        <w:rPr>
          <w:noProof/>
          <w:sz w:val="24"/>
          <w:lang w:eastAsia="en-GB"/>
        </w:rPr>
        <w:drawing>
          <wp:inline distT="0" distB="0" distL="0" distR="0" wp14:anchorId="7F0FBE6A" wp14:editId="7FDDE5F4">
            <wp:extent cx="2790701" cy="2422566"/>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noProof/>
          <w:sz w:val="24"/>
          <w:lang w:eastAsia="en-GB"/>
        </w:rPr>
        <w:drawing>
          <wp:inline distT="0" distB="0" distL="0" distR="0" wp14:anchorId="24F19984" wp14:editId="05A8CA03">
            <wp:extent cx="2790701" cy="2422566"/>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C155ED7" w14:textId="0FE8B8C1" w:rsidR="00F54FDF" w:rsidRDefault="007748D6" w:rsidP="00F54FDF">
      <w:pPr>
        <w:jc w:val="both"/>
        <w:rPr>
          <w:sz w:val="24"/>
        </w:rPr>
      </w:pPr>
      <w:r>
        <w:rPr>
          <w:sz w:val="24"/>
        </w:rPr>
        <w:t xml:space="preserve">It is clear from the initial results of the survey that </w:t>
      </w:r>
      <w:r w:rsidR="00C97205">
        <w:rPr>
          <w:sz w:val="24"/>
        </w:rPr>
        <w:t>l</w:t>
      </w:r>
      <w:r>
        <w:rPr>
          <w:sz w:val="24"/>
        </w:rPr>
        <w:t xml:space="preserve">aw students studying </w:t>
      </w:r>
      <w:r w:rsidR="00932D42">
        <w:rPr>
          <w:sz w:val="24"/>
        </w:rPr>
        <w:t>at</w:t>
      </w:r>
      <w:r>
        <w:rPr>
          <w:sz w:val="24"/>
        </w:rPr>
        <w:t xml:space="preserve"> Welsh </w:t>
      </w:r>
      <w:r w:rsidR="00C97205">
        <w:rPr>
          <w:sz w:val="24"/>
        </w:rPr>
        <w:t>u</w:t>
      </w:r>
      <w:r w:rsidR="00932D42">
        <w:rPr>
          <w:sz w:val="24"/>
        </w:rPr>
        <w:t>niversities</w:t>
      </w:r>
      <w:r>
        <w:rPr>
          <w:sz w:val="24"/>
        </w:rPr>
        <w:t xml:space="preserve"> are</w:t>
      </w:r>
      <w:r w:rsidR="00C97205">
        <w:rPr>
          <w:sz w:val="24"/>
        </w:rPr>
        <w:t xml:space="preserve"> </w:t>
      </w:r>
      <w:r>
        <w:rPr>
          <w:sz w:val="24"/>
        </w:rPr>
        <w:t>against Brexit (particularly when compar</w:t>
      </w:r>
      <w:r w:rsidR="008211DB">
        <w:rPr>
          <w:sz w:val="24"/>
        </w:rPr>
        <w:t>ing this survey’s result</w:t>
      </w:r>
      <w:r>
        <w:rPr>
          <w:sz w:val="24"/>
        </w:rPr>
        <w:t xml:space="preserve"> with</w:t>
      </w:r>
      <w:r w:rsidR="00276DA3">
        <w:rPr>
          <w:sz w:val="24"/>
        </w:rPr>
        <w:t xml:space="preserve"> the</w:t>
      </w:r>
      <w:r>
        <w:rPr>
          <w:sz w:val="24"/>
        </w:rPr>
        <w:t xml:space="preserve"> 48</w:t>
      </w:r>
      <w:r w:rsidR="002932CB">
        <w:rPr>
          <w:sz w:val="24"/>
        </w:rPr>
        <w:t>.</w:t>
      </w:r>
      <w:r>
        <w:rPr>
          <w:sz w:val="24"/>
        </w:rPr>
        <w:t>1%</w:t>
      </w:r>
      <w:r w:rsidR="00782281">
        <w:rPr>
          <w:sz w:val="24"/>
        </w:rPr>
        <w:t xml:space="preserve"> </w:t>
      </w:r>
      <w:r w:rsidR="00276DA3">
        <w:rPr>
          <w:sz w:val="24"/>
        </w:rPr>
        <w:t>“</w:t>
      </w:r>
      <w:r w:rsidR="00782281">
        <w:rPr>
          <w:sz w:val="24"/>
        </w:rPr>
        <w:t>remain</w:t>
      </w:r>
      <w:r w:rsidR="00276DA3">
        <w:rPr>
          <w:sz w:val="24"/>
        </w:rPr>
        <w:t>”</w:t>
      </w:r>
      <w:r w:rsidR="00782281">
        <w:rPr>
          <w:sz w:val="24"/>
        </w:rPr>
        <w:t xml:space="preserve"> v</w:t>
      </w:r>
      <w:r w:rsidR="00EF18A8">
        <w:rPr>
          <w:sz w:val="24"/>
        </w:rPr>
        <w:t>ersus</w:t>
      </w:r>
      <w:r w:rsidR="00782281">
        <w:rPr>
          <w:sz w:val="24"/>
        </w:rPr>
        <w:t xml:space="preserve"> </w:t>
      </w:r>
      <w:r>
        <w:rPr>
          <w:sz w:val="24"/>
        </w:rPr>
        <w:t xml:space="preserve">51.9% </w:t>
      </w:r>
      <w:r w:rsidR="00276DA3">
        <w:rPr>
          <w:sz w:val="24"/>
        </w:rPr>
        <w:t>“</w:t>
      </w:r>
      <w:r>
        <w:rPr>
          <w:sz w:val="24"/>
        </w:rPr>
        <w:t>leave</w:t>
      </w:r>
      <w:r w:rsidR="00276DA3">
        <w:rPr>
          <w:sz w:val="24"/>
        </w:rPr>
        <w:t>”</w:t>
      </w:r>
      <w:r>
        <w:rPr>
          <w:sz w:val="24"/>
        </w:rPr>
        <w:t xml:space="preserve"> split in the </w:t>
      </w:r>
      <w:r w:rsidR="004E68C7">
        <w:rPr>
          <w:sz w:val="24"/>
        </w:rPr>
        <w:t>national</w:t>
      </w:r>
      <w:r w:rsidR="00276DA3">
        <w:rPr>
          <w:sz w:val="24"/>
        </w:rPr>
        <w:t xml:space="preserve"> 2016 Brexit</w:t>
      </w:r>
      <w:r>
        <w:rPr>
          <w:sz w:val="24"/>
        </w:rPr>
        <w:t xml:space="preserve"> </w:t>
      </w:r>
      <w:r w:rsidR="00C97205">
        <w:rPr>
          <w:sz w:val="24"/>
        </w:rPr>
        <w:t>r</w:t>
      </w:r>
      <w:r>
        <w:rPr>
          <w:sz w:val="24"/>
        </w:rPr>
        <w:t xml:space="preserve">eferendum). </w:t>
      </w:r>
      <w:r w:rsidR="001117D7">
        <w:rPr>
          <w:sz w:val="24"/>
        </w:rPr>
        <w:t>Interestingly</w:t>
      </w:r>
      <w:r w:rsidR="00782281">
        <w:rPr>
          <w:sz w:val="24"/>
        </w:rPr>
        <w:t xml:space="preserve"> whilst the views of respondents stayed largely the same</w:t>
      </w:r>
      <w:r w:rsidR="00DA09E6">
        <w:rPr>
          <w:sz w:val="24"/>
        </w:rPr>
        <w:t>,</w:t>
      </w:r>
      <w:r w:rsidR="00782281">
        <w:rPr>
          <w:sz w:val="24"/>
        </w:rPr>
        <w:t xml:space="preserve"> when comparing views at the time of the </w:t>
      </w:r>
      <w:r w:rsidR="00C97205">
        <w:rPr>
          <w:sz w:val="24"/>
        </w:rPr>
        <w:t>r</w:t>
      </w:r>
      <w:r w:rsidR="00782281">
        <w:rPr>
          <w:sz w:val="24"/>
        </w:rPr>
        <w:t>eferendum to what they are now</w:t>
      </w:r>
      <w:r w:rsidR="001117D7">
        <w:rPr>
          <w:sz w:val="24"/>
        </w:rPr>
        <w:t>, 7 Pro-Brexit students</w:t>
      </w:r>
      <w:r w:rsidR="00782281">
        <w:rPr>
          <w:sz w:val="24"/>
        </w:rPr>
        <w:t xml:space="preserve"> </w:t>
      </w:r>
      <w:r w:rsidR="001117D7">
        <w:rPr>
          <w:sz w:val="24"/>
        </w:rPr>
        <w:t xml:space="preserve">changed their mind and held anti-Brexit sentiments </w:t>
      </w:r>
      <w:r w:rsidR="00E448A7">
        <w:rPr>
          <w:sz w:val="24"/>
        </w:rPr>
        <w:t xml:space="preserve">by </w:t>
      </w:r>
      <w:r w:rsidR="001117D7">
        <w:rPr>
          <w:sz w:val="24"/>
        </w:rPr>
        <w:t xml:space="preserve">2018. </w:t>
      </w:r>
      <w:r w:rsidR="00782281">
        <w:rPr>
          <w:sz w:val="24"/>
        </w:rPr>
        <w:t>This 2% change of view in 2016, compared to 2018, whilst prima facie may appear m</w:t>
      </w:r>
      <w:r w:rsidR="00EF18A8">
        <w:rPr>
          <w:sz w:val="24"/>
        </w:rPr>
        <w:t>inute</w:t>
      </w:r>
      <w:r w:rsidR="00782281">
        <w:rPr>
          <w:sz w:val="24"/>
        </w:rPr>
        <w:t>, is statistically significant given the marginality of the</w:t>
      </w:r>
      <w:r w:rsidR="00E448A7">
        <w:rPr>
          <w:sz w:val="24"/>
        </w:rPr>
        <w:t xml:space="preserve"> national</w:t>
      </w:r>
      <w:r w:rsidR="00782281">
        <w:rPr>
          <w:sz w:val="24"/>
        </w:rPr>
        <w:t xml:space="preserve"> leave result. </w:t>
      </w:r>
      <w:r w:rsidR="00931500">
        <w:rPr>
          <w:sz w:val="24"/>
        </w:rPr>
        <w:t xml:space="preserve">If this </w:t>
      </w:r>
      <w:r w:rsidR="00C97205">
        <w:rPr>
          <w:sz w:val="24"/>
        </w:rPr>
        <w:t xml:space="preserve">change </w:t>
      </w:r>
      <w:r w:rsidR="00931500">
        <w:rPr>
          <w:sz w:val="24"/>
        </w:rPr>
        <w:t>in opinion was reflected more widely on a national scale</w:t>
      </w:r>
      <w:r w:rsidR="00276DA3">
        <w:rPr>
          <w:sz w:val="24"/>
        </w:rPr>
        <w:t>,</w:t>
      </w:r>
      <w:r w:rsidR="00C97205">
        <w:rPr>
          <w:sz w:val="24"/>
        </w:rPr>
        <w:t xml:space="preserve"> such could</w:t>
      </w:r>
      <w:r w:rsidR="00931500">
        <w:rPr>
          <w:sz w:val="24"/>
        </w:rPr>
        <w:t xml:space="preserve"> lead to a</w:t>
      </w:r>
      <w:r w:rsidR="00C97205">
        <w:rPr>
          <w:sz w:val="24"/>
        </w:rPr>
        <w:t xml:space="preserve"> majority in favour of remaining within the EU</w:t>
      </w:r>
      <w:r w:rsidR="00931500">
        <w:rPr>
          <w:sz w:val="24"/>
        </w:rPr>
        <w:t xml:space="preserve">. </w:t>
      </w:r>
    </w:p>
    <w:p w14:paraId="0D893022" w14:textId="51601A6A" w:rsidR="00F54FDF" w:rsidRPr="00C57F2D" w:rsidRDefault="00F54FDF" w:rsidP="00F54FDF">
      <w:pPr>
        <w:jc w:val="both"/>
        <w:rPr>
          <w:sz w:val="24"/>
        </w:rPr>
      </w:pPr>
      <w:r>
        <w:rPr>
          <w:sz w:val="24"/>
        </w:rPr>
        <w:t xml:space="preserve">Owing </w:t>
      </w:r>
      <w:r w:rsidR="00276DA3">
        <w:rPr>
          <w:sz w:val="24"/>
        </w:rPr>
        <w:t>t</w:t>
      </w:r>
      <w:r>
        <w:rPr>
          <w:sz w:val="24"/>
        </w:rPr>
        <w:t>o attempts to keep the number of questions contained within this survey to a minimum, information was not collated in such a way so as to draw conclusions as to socio-demographic differences (such as those pertaining to the respondents’ age, background or wealth). However national statistics for the UK as a whole, as collated by the You Gov, indicate that citizens aged 50 and over</w:t>
      </w:r>
      <w:r w:rsidR="00276DA3">
        <w:rPr>
          <w:sz w:val="24"/>
        </w:rPr>
        <w:t>,</w:t>
      </w:r>
      <w:r>
        <w:rPr>
          <w:sz w:val="24"/>
        </w:rPr>
        <w:t xml:space="preserve"> were most in favour of leaving the EU. By contrast, the younger generations were more likely to vote remain. </w:t>
      </w:r>
    </w:p>
    <w:p w14:paraId="736F2D08" w14:textId="628F8D39" w:rsidR="00F54FDF" w:rsidRPr="00F54FDF" w:rsidRDefault="00F54FDF" w:rsidP="00F54FDF">
      <w:pPr>
        <w:jc w:val="both"/>
        <w:rPr>
          <w:b/>
          <w:sz w:val="24"/>
          <w:szCs w:val="24"/>
        </w:rPr>
      </w:pPr>
      <w:r>
        <w:rPr>
          <w:b/>
          <w:sz w:val="24"/>
          <w:szCs w:val="24"/>
        </w:rPr>
        <w:t>Chart 2: National Views by Age Demographic</w:t>
      </w:r>
    </w:p>
    <w:p w14:paraId="33888477" w14:textId="77777777" w:rsidR="00F54FDF" w:rsidRDefault="00F54FDF" w:rsidP="00F54FDF">
      <w:pPr>
        <w:jc w:val="center"/>
        <w:rPr>
          <w:sz w:val="24"/>
        </w:rPr>
      </w:pPr>
      <w:r>
        <w:rPr>
          <w:noProof/>
          <w:sz w:val="24"/>
          <w:lang w:eastAsia="en-GB"/>
        </w:rPr>
        <w:drawing>
          <wp:inline distT="0" distB="0" distL="0" distR="0" wp14:anchorId="3AE78859" wp14:editId="5F66842A">
            <wp:extent cx="4067116" cy="2120510"/>
            <wp:effectExtent l="0" t="0" r="10160" b="133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B412F92" w14:textId="201573C1" w:rsidR="00932D42" w:rsidRDefault="00F54FDF" w:rsidP="0077776F">
      <w:pPr>
        <w:jc w:val="both"/>
        <w:rPr>
          <w:sz w:val="24"/>
        </w:rPr>
      </w:pPr>
      <w:r>
        <w:rPr>
          <w:sz w:val="24"/>
        </w:rPr>
        <w:lastRenderedPageBreak/>
        <w:t>The same survey also found that there was a positive correlation between lower levels of education, household income, and attention to politics and the likelihood of voting to leave the EU.</w:t>
      </w:r>
      <w:r>
        <w:rPr>
          <w:rStyle w:val="FootnoteReference"/>
          <w:sz w:val="24"/>
        </w:rPr>
        <w:footnoteReference w:id="54"/>
      </w:r>
      <w:r>
        <w:rPr>
          <w:sz w:val="24"/>
        </w:rPr>
        <w:t xml:space="preserve"> </w:t>
      </w:r>
      <w:r w:rsidR="00931500">
        <w:rPr>
          <w:sz w:val="24"/>
        </w:rPr>
        <w:t>This slight change in opinion, mostly coming from a generation and sector that is recognised as traditionally being against Brexit</w:t>
      </w:r>
      <w:r w:rsidR="00F1047A">
        <w:rPr>
          <w:sz w:val="24"/>
        </w:rPr>
        <w:t xml:space="preserve">, </w:t>
      </w:r>
      <w:r w:rsidR="00931500">
        <w:rPr>
          <w:sz w:val="24"/>
        </w:rPr>
        <w:t xml:space="preserve">poses two </w:t>
      </w:r>
      <w:r w:rsidR="00C97205">
        <w:rPr>
          <w:sz w:val="24"/>
        </w:rPr>
        <w:t>issues</w:t>
      </w:r>
      <w:r w:rsidR="00931500">
        <w:rPr>
          <w:sz w:val="24"/>
        </w:rPr>
        <w:t xml:space="preserve"> that warrant further investigation. First, if there ha</w:t>
      </w:r>
      <w:r w:rsidR="00C97205">
        <w:rPr>
          <w:sz w:val="24"/>
        </w:rPr>
        <w:t>s</w:t>
      </w:r>
      <w:r w:rsidR="00931500">
        <w:rPr>
          <w:sz w:val="24"/>
        </w:rPr>
        <w:t xml:space="preserve"> been </w:t>
      </w:r>
      <w:r w:rsidR="00C97205">
        <w:rPr>
          <w:sz w:val="24"/>
        </w:rPr>
        <w:t xml:space="preserve">a </w:t>
      </w:r>
      <w:r w:rsidR="00931500">
        <w:rPr>
          <w:sz w:val="24"/>
        </w:rPr>
        <w:t xml:space="preserve">change in opinion amongst the younger generation, </w:t>
      </w:r>
      <w:r w:rsidR="00C97205">
        <w:rPr>
          <w:sz w:val="24"/>
        </w:rPr>
        <w:t xml:space="preserve">there could also be a </w:t>
      </w:r>
      <w:r w:rsidR="00931500">
        <w:rPr>
          <w:sz w:val="24"/>
        </w:rPr>
        <w:t xml:space="preserve">change in opinion amongst older demographic voters (where the views are </w:t>
      </w:r>
      <w:r w:rsidR="00276DA3">
        <w:rPr>
          <w:sz w:val="24"/>
        </w:rPr>
        <w:t>generally accepted</w:t>
      </w:r>
      <w:r w:rsidR="00931500">
        <w:rPr>
          <w:sz w:val="24"/>
        </w:rPr>
        <w:t xml:space="preserve"> to be more in favour of Brexit).</w:t>
      </w:r>
      <w:r w:rsidR="00DA09E6">
        <w:rPr>
          <w:rStyle w:val="FootnoteReference"/>
          <w:sz w:val="24"/>
        </w:rPr>
        <w:footnoteReference w:id="55"/>
      </w:r>
      <w:r w:rsidR="00931500">
        <w:rPr>
          <w:sz w:val="24"/>
        </w:rPr>
        <w:t xml:space="preserve"> Second, given the change in demographic over the course of the past two years, as evidenced by this study, there has been a slight generational shift, with greater numbers of now voting age citizens</w:t>
      </w:r>
      <w:r w:rsidR="00DA09E6">
        <w:rPr>
          <w:sz w:val="24"/>
        </w:rPr>
        <w:t>,</w:t>
      </w:r>
      <w:r w:rsidR="00931500">
        <w:rPr>
          <w:sz w:val="24"/>
        </w:rPr>
        <w:t xml:space="preserve"> who hold anti-Brexit sentiments</w:t>
      </w:r>
      <w:r w:rsidR="00DA09E6">
        <w:rPr>
          <w:sz w:val="24"/>
        </w:rPr>
        <w:t>, becoming eligible to cast their vote</w:t>
      </w:r>
      <w:r w:rsidR="00931500">
        <w:rPr>
          <w:sz w:val="24"/>
        </w:rPr>
        <w:t xml:space="preserve"> (which could </w:t>
      </w:r>
      <w:r w:rsidR="00C97205">
        <w:rPr>
          <w:sz w:val="24"/>
        </w:rPr>
        <w:t>lead to a different outcome</w:t>
      </w:r>
      <w:r w:rsidR="00931500">
        <w:rPr>
          <w:sz w:val="24"/>
        </w:rPr>
        <w:t xml:space="preserve"> should there be a second Brexit </w:t>
      </w:r>
      <w:r w:rsidR="00C97205">
        <w:rPr>
          <w:sz w:val="24"/>
        </w:rPr>
        <w:t>r</w:t>
      </w:r>
      <w:r w:rsidR="00931500">
        <w:rPr>
          <w:sz w:val="24"/>
        </w:rPr>
        <w:t>eferendum).</w:t>
      </w:r>
      <w:r w:rsidR="00DA09E6">
        <w:rPr>
          <w:rStyle w:val="FootnoteReference"/>
          <w:sz w:val="24"/>
        </w:rPr>
        <w:footnoteReference w:id="56"/>
      </w:r>
    </w:p>
    <w:p w14:paraId="122C7500" w14:textId="433ACE41" w:rsidR="008A2C71" w:rsidRDefault="00782281" w:rsidP="0077776F">
      <w:pPr>
        <w:jc w:val="both"/>
        <w:rPr>
          <w:sz w:val="24"/>
        </w:rPr>
      </w:pPr>
      <w:r>
        <w:rPr>
          <w:sz w:val="24"/>
        </w:rPr>
        <w:t>Possible reasons for this changing stance towards Brexit could be evidenced within the free-text comments attributable to this question. 32 student responses referred to the feeling that future generation</w:t>
      </w:r>
      <w:r w:rsidR="00E448A7">
        <w:rPr>
          <w:sz w:val="24"/>
        </w:rPr>
        <w:t>s</w:t>
      </w:r>
      <w:r>
        <w:rPr>
          <w:sz w:val="24"/>
        </w:rPr>
        <w:t xml:space="preserve">, and in particular students, have been </w:t>
      </w:r>
      <w:r w:rsidR="00E448A7">
        <w:rPr>
          <w:sz w:val="24"/>
        </w:rPr>
        <w:t>‘</w:t>
      </w:r>
      <w:r>
        <w:rPr>
          <w:sz w:val="24"/>
        </w:rPr>
        <w:t xml:space="preserve">left out of the Brexit </w:t>
      </w:r>
      <w:r w:rsidR="00C97205">
        <w:rPr>
          <w:sz w:val="24"/>
        </w:rPr>
        <w:t xml:space="preserve">negotiations,’ coupled with a sense of not feeling </w:t>
      </w:r>
      <w:r w:rsidR="00631BBD">
        <w:rPr>
          <w:sz w:val="24"/>
        </w:rPr>
        <w:t>‘</w:t>
      </w:r>
      <w:r w:rsidR="00C97205">
        <w:rPr>
          <w:sz w:val="24"/>
        </w:rPr>
        <w:t xml:space="preserve">represented in </w:t>
      </w:r>
      <w:r w:rsidR="00631BBD">
        <w:rPr>
          <w:sz w:val="24"/>
        </w:rPr>
        <w:t xml:space="preserve">the Governments’ planning.’ </w:t>
      </w:r>
      <w:r w:rsidR="00E448A7">
        <w:rPr>
          <w:sz w:val="24"/>
        </w:rPr>
        <w:t xml:space="preserve">Passionate and angry </w:t>
      </w:r>
      <w:r w:rsidR="00C97205">
        <w:rPr>
          <w:sz w:val="24"/>
        </w:rPr>
        <w:t>views</w:t>
      </w:r>
      <w:r w:rsidR="00E448A7">
        <w:rPr>
          <w:sz w:val="24"/>
        </w:rPr>
        <w:t xml:space="preserve"> were expressed pertaining to how the focus on economics and trade</w:t>
      </w:r>
      <w:r w:rsidR="00932D42">
        <w:rPr>
          <w:sz w:val="24"/>
        </w:rPr>
        <w:t xml:space="preserve"> (</w:t>
      </w:r>
      <w:r w:rsidR="00F1047A">
        <w:rPr>
          <w:sz w:val="24"/>
        </w:rPr>
        <w:t xml:space="preserve">in particular, </w:t>
      </w:r>
      <w:r w:rsidR="00932D42">
        <w:rPr>
          <w:sz w:val="24"/>
        </w:rPr>
        <w:t>the idea that once liberated from the EU, the UK could pursue its own unilateral international trade negotiations with non-EU states)</w:t>
      </w:r>
      <w:r w:rsidR="00E448A7">
        <w:rPr>
          <w:sz w:val="24"/>
        </w:rPr>
        <w:t xml:space="preserve"> has led to politicians forgetting the consequences of their decisions for ‘real people.’ In particular</w:t>
      </w:r>
      <w:r w:rsidR="00932D42">
        <w:rPr>
          <w:sz w:val="24"/>
        </w:rPr>
        <w:t>,</w:t>
      </w:r>
      <w:r w:rsidR="00E448A7">
        <w:rPr>
          <w:sz w:val="24"/>
        </w:rPr>
        <w:t xml:space="preserve"> there was a strong sentiment that none of the UK politicians or political leaders were representing their views in the discussions, or speaking up in the interests of </w:t>
      </w:r>
      <w:r w:rsidR="00932D42">
        <w:rPr>
          <w:sz w:val="24"/>
        </w:rPr>
        <w:t xml:space="preserve">future </w:t>
      </w:r>
      <w:r w:rsidR="00E448A7">
        <w:rPr>
          <w:sz w:val="24"/>
        </w:rPr>
        <w:t>young professionals.</w:t>
      </w:r>
      <w:r w:rsidR="00932D42">
        <w:rPr>
          <w:rStyle w:val="FootnoteReference"/>
          <w:sz w:val="24"/>
        </w:rPr>
        <w:footnoteReference w:id="57"/>
      </w:r>
      <w:r w:rsidR="00E448A7">
        <w:rPr>
          <w:sz w:val="24"/>
        </w:rPr>
        <w:t xml:space="preserve"> </w:t>
      </w:r>
    </w:p>
    <w:p w14:paraId="5F1326C7" w14:textId="7CC37CE7" w:rsidR="00007A31" w:rsidRPr="00007A31" w:rsidRDefault="00007A31" w:rsidP="0077776F">
      <w:pPr>
        <w:jc w:val="both"/>
        <w:rPr>
          <w:b/>
          <w:sz w:val="28"/>
        </w:rPr>
      </w:pPr>
      <w:r>
        <w:rPr>
          <w:b/>
          <w:sz w:val="28"/>
        </w:rPr>
        <w:lastRenderedPageBreak/>
        <w:t>3. Student Perceptions’ of How their Studies will be Affected</w:t>
      </w:r>
    </w:p>
    <w:p w14:paraId="137BEAB6" w14:textId="4D98095A" w:rsidR="00DF6D2B" w:rsidRDefault="00132AE4" w:rsidP="0077776F">
      <w:pPr>
        <w:jc w:val="both"/>
        <w:rPr>
          <w:sz w:val="24"/>
        </w:rPr>
      </w:pPr>
      <w:r>
        <w:rPr>
          <w:sz w:val="24"/>
        </w:rPr>
        <w:t xml:space="preserve">From the outset it was necessary to understand whether </w:t>
      </w:r>
      <w:r w:rsidR="00631BBD">
        <w:rPr>
          <w:sz w:val="24"/>
        </w:rPr>
        <w:t>l</w:t>
      </w:r>
      <w:r>
        <w:rPr>
          <w:sz w:val="24"/>
        </w:rPr>
        <w:t>aw students in Wales</w:t>
      </w:r>
      <w:r w:rsidR="008211DB">
        <w:rPr>
          <w:sz w:val="24"/>
        </w:rPr>
        <w:t>, in their own opinion,</w:t>
      </w:r>
      <w:r>
        <w:rPr>
          <w:sz w:val="24"/>
        </w:rPr>
        <w:t xml:space="preserve"> were concerned that Brexit would have</w:t>
      </w:r>
      <w:r w:rsidR="00631BBD">
        <w:rPr>
          <w:sz w:val="24"/>
        </w:rPr>
        <w:t xml:space="preserve"> consequences for them</w:t>
      </w:r>
      <w:r w:rsidR="008211DB">
        <w:rPr>
          <w:sz w:val="24"/>
        </w:rPr>
        <w:t>, if any at all</w:t>
      </w:r>
      <w:r>
        <w:rPr>
          <w:sz w:val="24"/>
        </w:rPr>
        <w:t xml:space="preserve">. In order to measure such </w:t>
      </w:r>
      <w:r w:rsidR="008211DB">
        <w:rPr>
          <w:sz w:val="24"/>
        </w:rPr>
        <w:t>thoughts</w:t>
      </w:r>
      <w:r w:rsidR="003A6C06">
        <w:rPr>
          <w:sz w:val="24"/>
        </w:rPr>
        <w:t xml:space="preserve">, a question was posed </w:t>
      </w:r>
      <w:r w:rsidR="00DF6D2B">
        <w:rPr>
          <w:sz w:val="24"/>
        </w:rPr>
        <w:t>on</w:t>
      </w:r>
      <w:r w:rsidR="003A6C06">
        <w:rPr>
          <w:sz w:val="24"/>
        </w:rPr>
        <w:t xml:space="preserve"> </w:t>
      </w:r>
      <w:r>
        <w:rPr>
          <w:sz w:val="24"/>
        </w:rPr>
        <w:t xml:space="preserve">a sliding scale </w:t>
      </w:r>
      <w:r w:rsidR="003A6C06">
        <w:rPr>
          <w:sz w:val="24"/>
        </w:rPr>
        <w:t xml:space="preserve">from </w:t>
      </w:r>
      <w:r>
        <w:rPr>
          <w:sz w:val="24"/>
        </w:rPr>
        <w:t xml:space="preserve">1 to 100, </w:t>
      </w:r>
      <w:r w:rsidR="003A6C06">
        <w:rPr>
          <w:sz w:val="24"/>
        </w:rPr>
        <w:t>inviting</w:t>
      </w:r>
      <w:r>
        <w:rPr>
          <w:sz w:val="24"/>
        </w:rPr>
        <w:t xml:space="preserve"> students to position how worried they </w:t>
      </w:r>
      <w:r w:rsidR="003A6C06">
        <w:rPr>
          <w:sz w:val="24"/>
        </w:rPr>
        <w:t>were</w:t>
      </w:r>
      <w:r>
        <w:rPr>
          <w:sz w:val="24"/>
        </w:rPr>
        <w:t xml:space="preserve"> along the scale (with 1 being </w:t>
      </w:r>
      <w:r w:rsidR="00DF6D2B">
        <w:rPr>
          <w:sz w:val="24"/>
        </w:rPr>
        <w:t>“</w:t>
      </w:r>
      <w:r>
        <w:rPr>
          <w:sz w:val="24"/>
        </w:rPr>
        <w:t>not worried at all</w:t>
      </w:r>
      <w:r w:rsidR="00DF6D2B">
        <w:rPr>
          <w:sz w:val="24"/>
        </w:rPr>
        <w:t>”</w:t>
      </w:r>
      <w:r>
        <w:rPr>
          <w:sz w:val="24"/>
        </w:rPr>
        <w:t xml:space="preserve">, and 100 being </w:t>
      </w:r>
      <w:r w:rsidR="00DF6D2B">
        <w:rPr>
          <w:sz w:val="24"/>
        </w:rPr>
        <w:t>“</w:t>
      </w:r>
      <w:r>
        <w:rPr>
          <w:sz w:val="24"/>
        </w:rPr>
        <w:t>very worried</w:t>
      </w:r>
      <w:r w:rsidR="00DF6D2B">
        <w:rPr>
          <w:sz w:val="24"/>
        </w:rPr>
        <w:t>”</w:t>
      </w:r>
      <w:r>
        <w:rPr>
          <w:sz w:val="24"/>
        </w:rPr>
        <w:t>). Ac</w:t>
      </w:r>
      <w:r w:rsidR="00E448A7">
        <w:rPr>
          <w:sz w:val="24"/>
        </w:rPr>
        <w:t>counting for all responses</w:t>
      </w:r>
      <w:r>
        <w:rPr>
          <w:sz w:val="24"/>
        </w:rPr>
        <w:t xml:space="preserve">, the average rating </w:t>
      </w:r>
      <w:r w:rsidR="003A6C06">
        <w:rPr>
          <w:sz w:val="24"/>
        </w:rPr>
        <w:t>of concern was</w:t>
      </w:r>
      <w:r>
        <w:rPr>
          <w:sz w:val="24"/>
        </w:rPr>
        <w:t xml:space="preserve"> 58/100 (</w:t>
      </w:r>
      <w:r w:rsidR="00DF6D2B">
        <w:rPr>
          <w:sz w:val="24"/>
        </w:rPr>
        <w:t xml:space="preserve">i.e. </w:t>
      </w:r>
      <w:r>
        <w:rPr>
          <w:sz w:val="24"/>
        </w:rPr>
        <w:t>the sample being more concerned than not)</w:t>
      </w:r>
      <w:r w:rsidR="008211DB">
        <w:rPr>
          <w:sz w:val="24"/>
        </w:rPr>
        <w:t>,</w:t>
      </w:r>
      <w:r w:rsidR="003A6C06">
        <w:rPr>
          <w:sz w:val="24"/>
        </w:rPr>
        <w:t xml:space="preserve"> with 32% rating their concern as 70 or more out of 100; and 8% giving a full 100/100 concern</w:t>
      </w:r>
      <w:r>
        <w:rPr>
          <w:sz w:val="24"/>
        </w:rPr>
        <w:t>.</w:t>
      </w:r>
      <w:r w:rsidR="008211DB">
        <w:rPr>
          <w:sz w:val="24"/>
        </w:rPr>
        <w:t xml:space="preserve"> By contrast only 2% rated their concerns as being less than 10/100, and no respondent indicated a response of 0/100</w:t>
      </w:r>
      <w:r w:rsidR="00DF6D2B">
        <w:rPr>
          <w:sz w:val="24"/>
        </w:rPr>
        <w:t xml:space="preserve"> (</w:t>
      </w:r>
      <w:r w:rsidR="00F1047A">
        <w:rPr>
          <w:sz w:val="24"/>
        </w:rPr>
        <w:t>i.e. “</w:t>
      </w:r>
      <w:r w:rsidR="00DF6D2B">
        <w:rPr>
          <w:sz w:val="24"/>
        </w:rPr>
        <w:t>not worried at all”)</w:t>
      </w:r>
      <w:r w:rsidR="008211DB">
        <w:rPr>
          <w:sz w:val="24"/>
        </w:rPr>
        <w:t>.</w:t>
      </w:r>
      <w:r>
        <w:rPr>
          <w:sz w:val="24"/>
        </w:rPr>
        <w:t xml:space="preserve"> </w:t>
      </w:r>
    </w:p>
    <w:p w14:paraId="4FCE30D5" w14:textId="2B039C4C" w:rsidR="0063132A" w:rsidRDefault="00007A31" w:rsidP="0077776F">
      <w:pPr>
        <w:jc w:val="both"/>
        <w:rPr>
          <w:sz w:val="24"/>
        </w:rPr>
      </w:pPr>
      <w:r>
        <w:rPr>
          <w:sz w:val="24"/>
        </w:rPr>
        <w:t xml:space="preserve">Before posing more specific questions, students were </w:t>
      </w:r>
      <w:r w:rsidR="003A6C06">
        <w:rPr>
          <w:sz w:val="24"/>
        </w:rPr>
        <w:t xml:space="preserve">also </w:t>
      </w:r>
      <w:r>
        <w:rPr>
          <w:sz w:val="24"/>
        </w:rPr>
        <w:t xml:space="preserve">asked the broad question of whether they felt their </w:t>
      </w:r>
      <w:r w:rsidR="00631BBD">
        <w:rPr>
          <w:sz w:val="24"/>
        </w:rPr>
        <w:t>l</w:t>
      </w:r>
      <w:r>
        <w:rPr>
          <w:sz w:val="24"/>
        </w:rPr>
        <w:t>aw degree would change as a result of the UK’s decision to withdraw from the European Union, and if so</w:t>
      </w:r>
      <w:r w:rsidR="008211DB">
        <w:rPr>
          <w:sz w:val="24"/>
        </w:rPr>
        <w:t>, in their opinion,</w:t>
      </w:r>
      <w:r w:rsidR="00E448A7">
        <w:rPr>
          <w:sz w:val="24"/>
        </w:rPr>
        <w:t xml:space="preserve"> how</w:t>
      </w:r>
      <w:r w:rsidR="008211DB">
        <w:rPr>
          <w:sz w:val="24"/>
        </w:rPr>
        <w:t xml:space="preserve"> they </w:t>
      </w:r>
      <w:r w:rsidR="00631BBD">
        <w:rPr>
          <w:sz w:val="24"/>
        </w:rPr>
        <w:t>believed</w:t>
      </w:r>
      <w:r w:rsidR="008211DB">
        <w:rPr>
          <w:sz w:val="24"/>
        </w:rPr>
        <w:t xml:space="preserve"> it could change.</w:t>
      </w:r>
      <w:r>
        <w:rPr>
          <w:sz w:val="24"/>
        </w:rPr>
        <w:t xml:space="preserve"> 55% of respondents felt it would change, with 45% believing it would not. From the text comments received there were f</w:t>
      </w:r>
      <w:r w:rsidR="0063132A">
        <w:rPr>
          <w:sz w:val="24"/>
        </w:rPr>
        <w:t>our</w:t>
      </w:r>
      <w:r>
        <w:rPr>
          <w:sz w:val="24"/>
        </w:rPr>
        <w:t xml:space="preserve"> broad themes </w:t>
      </w:r>
      <w:r w:rsidR="00631BBD">
        <w:rPr>
          <w:sz w:val="24"/>
        </w:rPr>
        <w:t xml:space="preserve">as to what students felt could happen in the coming years. </w:t>
      </w:r>
    </w:p>
    <w:p w14:paraId="567F6E4E" w14:textId="56DA7E0F" w:rsidR="00441C36" w:rsidRDefault="0063132A" w:rsidP="00036D62">
      <w:pPr>
        <w:jc w:val="both"/>
        <w:rPr>
          <w:sz w:val="24"/>
        </w:rPr>
      </w:pPr>
      <w:r>
        <w:rPr>
          <w:sz w:val="24"/>
        </w:rPr>
        <w:t xml:space="preserve">Firstly, a </w:t>
      </w:r>
      <w:r w:rsidRPr="00DF6D2B">
        <w:rPr>
          <w:i/>
          <w:sz w:val="24"/>
        </w:rPr>
        <w:t>prevalent</w:t>
      </w:r>
      <w:r>
        <w:rPr>
          <w:sz w:val="24"/>
        </w:rPr>
        <w:t xml:space="preserve"> theme coming from the responses of EU and international law students was that of the </w:t>
      </w:r>
      <w:r w:rsidR="006A24BC" w:rsidRPr="00DF6D2B">
        <w:rPr>
          <w:i/>
          <w:sz w:val="24"/>
        </w:rPr>
        <w:t xml:space="preserve">perceived </w:t>
      </w:r>
      <w:r w:rsidRPr="00DF6D2B">
        <w:rPr>
          <w:i/>
          <w:sz w:val="24"/>
        </w:rPr>
        <w:t>de</w:t>
      </w:r>
      <w:r w:rsidR="008211DB" w:rsidRPr="00DF6D2B">
        <w:rPr>
          <w:i/>
          <w:sz w:val="24"/>
        </w:rPr>
        <w:t>-</w:t>
      </w:r>
      <w:r w:rsidRPr="00DF6D2B">
        <w:rPr>
          <w:i/>
          <w:sz w:val="24"/>
        </w:rPr>
        <w:t>valu</w:t>
      </w:r>
      <w:r w:rsidR="008211DB" w:rsidRPr="00DF6D2B">
        <w:rPr>
          <w:i/>
          <w:sz w:val="24"/>
        </w:rPr>
        <w:t>ing</w:t>
      </w:r>
      <w:r>
        <w:rPr>
          <w:sz w:val="24"/>
        </w:rPr>
        <w:t xml:space="preserve"> of a UK </w:t>
      </w:r>
      <w:r w:rsidR="00460A49">
        <w:rPr>
          <w:sz w:val="24"/>
        </w:rPr>
        <w:t>l</w:t>
      </w:r>
      <w:r>
        <w:rPr>
          <w:sz w:val="24"/>
        </w:rPr>
        <w:t xml:space="preserve">aw degree, and the feeling that it would no longer carry the same </w:t>
      </w:r>
      <w:r w:rsidR="00901EE0">
        <w:rPr>
          <w:sz w:val="24"/>
        </w:rPr>
        <w:t>prestige</w:t>
      </w:r>
      <w:r>
        <w:rPr>
          <w:sz w:val="24"/>
        </w:rPr>
        <w:t xml:space="preserve"> that it once did. Six text comments </w:t>
      </w:r>
      <w:r w:rsidR="008211DB">
        <w:rPr>
          <w:sz w:val="24"/>
        </w:rPr>
        <w:t xml:space="preserve">from EU students specifically </w:t>
      </w:r>
      <w:r>
        <w:rPr>
          <w:sz w:val="24"/>
        </w:rPr>
        <w:t xml:space="preserve">referred to how they were aware that their continental European </w:t>
      </w:r>
      <w:r w:rsidR="00901EE0">
        <w:rPr>
          <w:sz w:val="24"/>
        </w:rPr>
        <w:t>P</w:t>
      </w:r>
      <w:r>
        <w:rPr>
          <w:sz w:val="24"/>
        </w:rPr>
        <w:t xml:space="preserve">rofessors had already actively discouraged future Erasmus and joint degree students from coming to study </w:t>
      </w:r>
      <w:r w:rsidR="00460A49">
        <w:rPr>
          <w:sz w:val="24"/>
        </w:rPr>
        <w:t>l</w:t>
      </w:r>
      <w:r>
        <w:rPr>
          <w:sz w:val="24"/>
        </w:rPr>
        <w:t xml:space="preserve">aw in the UK and Wales; with some citing that the future partnership agreements between UK and EU </w:t>
      </w:r>
      <w:r w:rsidR="00460A49">
        <w:rPr>
          <w:sz w:val="24"/>
        </w:rPr>
        <w:t>l</w:t>
      </w:r>
      <w:r>
        <w:rPr>
          <w:sz w:val="24"/>
        </w:rPr>
        <w:t xml:space="preserve">aw </w:t>
      </w:r>
      <w:r w:rsidR="00460A49">
        <w:rPr>
          <w:sz w:val="24"/>
        </w:rPr>
        <w:t>s</w:t>
      </w:r>
      <w:r>
        <w:rPr>
          <w:sz w:val="24"/>
        </w:rPr>
        <w:t>chools would have to be revised or changed. The justification for such was often cited as bei</w:t>
      </w:r>
      <w:r w:rsidR="00326CE1">
        <w:rPr>
          <w:sz w:val="24"/>
        </w:rPr>
        <w:t>ng the</w:t>
      </w:r>
      <w:r>
        <w:rPr>
          <w:sz w:val="24"/>
        </w:rPr>
        <w:t xml:space="preserve"> uncertain future</w:t>
      </w:r>
      <w:r w:rsidR="006A24BC">
        <w:rPr>
          <w:sz w:val="24"/>
        </w:rPr>
        <w:t xml:space="preserve"> for EU citizens wishing to study in Wales</w:t>
      </w:r>
      <w:r w:rsidR="00326CE1">
        <w:rPr>
          <w:sz w:val="24"/>
        </w:rPr>
        <w:t>;</w:t>
      </w:r>
      <w:r>
        <w:rPr>
          <w:sz w:val="24"/>
        </w:rPr>
        <w:t xml:space="preserve"> and UK citizens no longer wanting to welcome EU students to its </w:t>
      </w:r>
      <w:r w:rsidR="00F1047A">
        <w:rPr>
          <w:sz w:val="24"/>
        </w:rPr>
        <w:t>c</w:t>
      </w:r>
      <w:r>
        <w:rPr>
          <w:sz w:val="24"/>
        </w:rPr>
        <w:t>ities.</w:t>
      </w:r>
      <w:r w:rsidR="00326CE1">
        <w:rPr>
          <w:rStyle w:val="FootnoteReference"/>
          <w:sz w:val="24"/>
        </w:rPr>
        <w:footnoteReference w:id="58"/>
      </w:r>
      <w:r>
        <w:rPr>
          <w:sz w:val="24"/>
        </w:rPr>
        <w:t xml:space="preserve"> </w:t>
      </w:r>
      <w:r w:rsidR="00036D62">
        <w:rPr>
          <w:sz w:val="24"/>
        </w:rPr>
        <w:t>The view</w:t>
      </w:r>
      <w:r w:rsidR="008211DB">
        <w:rPr>
          <w:sz w:val="24"/>
        </w:rPr>
        <w:t xml:space="preserve"> of one</w:t>
      </w:r>
      <w:r w:rsidR="00036D62">
        <w:rPr>
          <w:sz w:val="24"/>
        </w:rPr>
        <w:t xml:space="preserve"> EU student</w:t>
      </w:r>
      <w:r w:rsidR="008211DB">
        <w:rPr>
          <w:sz w:val="24"/>
        </w:rPr>
        <w:t xml:space="preserve"> </w:t>
      </w:r>
      <w:r w:rsidR="00276DA3">
        <w:rPr>
          <w:sz w:val="24"/>
        </w:rPr>
        <w:t>summarises</w:t>
      </w:r>
      <w:r w:rsidR="008211DB">
        <w:rPr>
          <w:sz w:val="24"/>
        </w:rPr>
        <w:t xml:space="preserve"> the</w:t>
      </w:r>
      <w:r w:rsidR="00460A49">
        <w:rPr>
          <w:sz w:val="24"/>
        </w:rPr>
        <w:t>se</w:t>
      </w:r>
      <w:r w:rsidR="008211DB">
        <w:rPr>
          <w:sz w:val="24"/>
        </w:rPr>
        <w:t xml:space="preserve"> thoughts</w:t>
      </w:r>
      <w:r w:rsidR="00036D62">
        <w:rPr>
          <w:sz w:val="24"/>
        </w:rPr>
        <w:t xml:space="preserve">: </w:t>
      </w:r>
    </w:p>
    <w:p w14:paraId="281ECBA0" w14:textId="77777777" w:rsidR="00441C36" w:rsidRDefault="00036D62" w:rsidP="00441C36">
      <w:pPr>
        <w:ind w:left="567" w:right="567"/>
        <w:jc w:val="both"/>
        <w:rPr>
          <w:sz w:val="24"/>
        </w:rPr>
      </w:pPr>
      <w:r>
        <w:rPr>
          <w:sz w:val="24"/>
        </w:rPr>
        <w:t xml:space="preserve">“I’m a French citizen…I thought that I was going to live in the UK after graduating, but I now think that I will move back to mainland Europe as the UK has become more racist and open about discriminating against EU citizens. Our human rights and freedoms are not guaranteed here.” </w:t>
      </w:r>
    </w:p>
    <w:p w14:paraId="71047A93" w14:textId="3D0602A8" w:rsidR="00036D62" w:rsidRDefault="00460A49" w:rsidP="00036D62">
      <w:pPr>
        <w:jc w:val="both"/>
        <w:rPr>
          <w:sz w:val="24"/>
        </w:rPr>
      </w:pPr>
      <w:r>
        <w:rPr>
          <w:sz w:val="24"/>
        </w:rPr>
        <w:t>C</w:t>
      </w:r>
      <w:r w:rsidR="006A24BC">
        <w:rPr>
          <w:sz w:val="24"/>
        </w:rPr>
        <w:t xml:space="preserve">omments of this nature related to how, upon leaving the EU, EU students felt they might lose their EU </w:t>
      </w:r>
      <w:r>
        <w:rPr>
          <w:sz w:val="24"/>
        </w:rPr>
        <w:t xml:space="preserve">guaranteed </w:t>
      </w:r>
      <w:r w:rsidR="00DF6D2B">
        <w:rPr>
          <w:sz w:val="24"/>
        </w:rPr>
        <w:t xml:space="preserve">rights (i.e. the right </w:t>
      </w:r>
      <w:r w:rsidR="00DF6D2B" w:rsidRPr="00460A49">
        <w:rPr>
          <w:sz w:val="24"/>
        </w:rPr>
        <w:t>not</w:t>
      </w:r>
      <w:r w:rsidR="00DF6D2B">
        <w:rPr>
          <w:sz w:val="24"/>
        </w:rPr>
        <w:t xml:space="preserve"> to be discriminated against owing to not being a UK national)</w:t>
      </w:r>
      <w:r w:rsidR="00F1047A">
        <w:rPr>
          <w:sz w:val="24"/>
        </w:rPr>
        <w:t>.</w:t>
      </w:r>
      <w:r w:rsidR="006A24BC">
        <w:rPr>
          <w:sz w:val="24"/>
        </w:rPr>
        <w:t xml:space="preserve"> </w:t>
      </w:r>
      <w:r w:rsidR="00F1047A">
        <w:rPr>
          <w:sz w:val="24"/>
        </w:rPr>
        <w:t>Pertinently fears were expressed by EU students</w:t>
      </w:r>
      <w:r w:rsidR="006A24BC">
        <w:rPr>
          <w:sz w:val="24"/>
        </w:rPr>
        <w:t xml:space="preserve"> that the UK Government could take a radical and unstable approach in flexing its “high</w:t>
      </w:r>
      <w:r w:rsidR="008211DB">
        <w:rPr>
          <w:sz w:val="24"/>
        </w:rPr>
        <w:t>ly</w:t>
      </w:r>
      <w:r w:rsidR="006A24BC">
        <w:rPr>
          <w:sz w:val="24"/>
        </w:rPr>
        <w:t xml:space="preserve"> prized sovereignty</w:t>
      </w:r>
      <w:r w:rsidR="008211DB">
        <w:rPr>
          <w:sz w:val="24"/>
        </w:rPr>
        <w:t xml:space="preserve"> rights</w:t>
      </w:r>
      <w:r w:rsidR="006A24BC">
        <w:rPr>
          <w:sz w:val="24"/>
        </w:rPr>
        <w:t>”</w:t>
      </w:r>
      <w:r w:rsidR="00DF6D2B">
        <w:rPr>
          <w:rStyle w:val="FootnoteReference"/>
          <w:sz w:val="24"/>
        </w:rPr>
        <w:footnoteReference w:id="59"/>
      </w:r>
      <w:r w:rsidR="006A24BC">
        <w:rPr>
          <w:sz w:val="24"/>
        </w:rPr>
        <w:t xml:space="preserve"> and no longer abid</w:t>
      </w:r>
      <w:r w:rsidR="008211DB">
        <w:rPr>
          <w:sz w:val="24"/>
        </w:rPr>
        <w:t>e</w:t>
      </w:r>
      <w:r w:rsidR="006A24BC">
        <w:rPr>
          <w:sz w:val="24"/>
        </w:rPr>
        <w:t xml:space="preserve"> by the tenets of “EU Directives; and instead seek to </w:t>
      </w:r>
      <w:r w:rsidR="006A24BC">
        <w:rPr>
          <w:sz w:val="24"/>
        </w:rPr>
        <w:lastRenderedPageBreak/>
        <w:t>diverge from the EU position, rather than maintain regulatory alignment.”</w:t>
      </w:r>
      <w:r w:rsidR="007B38E1">
        <w:rPr>
          <w:rStyle w:val="FootnoteReference"/>
          <w:sz w:val="24"/>
        </w:rPr>
        <w:footnoteReference w:id="60"/>
      </w:r>
      <w:r w:rsidR="006A24BC">
        <w:rPr>
          <w:sz w:val="24"/>
        </w:rPr>
        <w:t xml:space="preserve"> </w:t>
      </w:r>
      <w:r w:rsidR="0063132A" w:rsidRPr="00460A49">
        <w:rPr>
          <w:sz w:val="24"/>
        </w:rPr>
        <w:t>Interestingly</w:t>
      </w:r>
      <w:r w:rsidR="0063132A">
        <w:rPr>
          <w:sz w:val="24"/>
        </w:rPr>
        <w:t xml:space="preserve">, </w:t>
      </w:r>
      <w:r w:rsidR="006A24BC">
        <w:rPr>
          <w:sz w:val="24"/>
        </w:rPr>
        <w:t xml:space="preserve">in some instances, </w:t>
      </w:r>
      <w:r w:rsidR="0063132A">
        <w:rPr>
          <w:sz w:val="24"/>
        </w:rPr>
        <w:t>these views were similarly held by international students, who felt that Brexit evidenced a will by the “British people not…(wanting)…foreigners studying on their shores.”</w:t>
      </w:r>
      <w:r w:rsidR="00DF6D2B">
        <w:rPr>
          <w:rStyle w:val="FootnoteReference"/>
          <w:sz w:val="24"/>
        </w:rPr>
        <w:footnoteReference w:id="61"/>
      </w:r>
      <w:r w:rsidR="006A24BC">
        <w:rPr>
          <w:sz w:val="24"/>
        </w:rPr>
        <w:t xml:space="preserve"> Such reaffirms the urgent need for the UK and Welsh Governments to address the concerns of EU and international </w:t>
      </w:r>
      <w:r>
        <w:rPr>
          <w:sz w:val="24"/>
        </w:rPr>
        <w:t>l</w:t>
      </w:r>
      <w:r w:rsidR="006A24BC">
        <w:rPr>
          <w:sz w:val="24"/>
        </w:rPr>
        <w:t>aw students</w:t>
      </w:r>
      <w:r w:rsidR="007B38E1">
        <w:rPr>
          <w:sz w:val="24"/>
        </w:rPr>
        <w:t>, to take</w:t>
      </w:r>
      <w:r w:rsidR="006A24BC">
        <w:rPr>
          <w:sz w:val="24"/>
        </w:rPr>
        <w:t xml:space="preserve"> </w:t>
      </w:r>
      <w:r w:rsidR="006433AB">
        <w:rPr>
          <w:sz w:val="24"/>
        </w:rPr>
        <w:t>action that</w:t>
      </w:r>
      <w:r w:rsidR="007B38E1">
        <w:rPr>
          <w:sz w:val="24"/>
        </w:rPr>
        <w:t xml:space="preserve"> will</w:t>
      </w:r>
      <w:r w:rsidR="006433AB">
        <w:rPr>
          <w:sz w:val="24"/>
        </w:rPr>
        <w:t xml:space="preserve"> continue to incentivise studying </w:t>
      </w:r>
      <w:r>
        <w:rPr>
          <w:sz w:val="24"/>
        </w:rPr>
        <w:t>l</w:t>
      </w:r>
      <w:r w:rsidR="006433AB">
        <w:rPr>
          <w:sz w:val="24"/>
        </w:rPr>
        <w:t>aw</w:t>
      </w:r>
      <w:r w:rsidR="007B38E1">
        <w:rPr>
          <w:sz w:val="24"/>
        </w:rPr>
        <w:t xml:space="preserve"> at UK </w:t>
      </w:r>
      <w:r>
        <w:rPr>
          <w:sz w:val="24"/>
        </w:rPr>
        <w:t>u</w:t>
      </w:r>
      <w:r w:rsidR="008211DB">
        <w:rPr>
          <w:sz w:val="24"/>
        </w:rPr>
        <w:t>niversities</w:t>
      </w:r>
      <w:r w:rsidR="006433AB">
        <w:rPr>
          <w:sz w:val="24"/>
        </w:rPr>
        <w:t xml:space="preserve">; </w:t>
      </w:r>
      <w:r w:rsidR="007B38E1">
        <w:rPr>
          <w:sz w:val="24"/>
        </w:rPr>
        <w:t>and</w:t>
      </w:r>
      <w:r w:rsidR="006433AB">
        <w:rPr>
          <w:sz w:val="24"/>
        </w:rPr>
        <w:t xml:space="preserve"> also reassert the message that such learners are welcome</w:t>
      </w:r>
      <w:r w:rsidR="007B38E1">
        <w:rPr>
          <w:sz w:val="24"/>
        </w:rPr>
        <w:t xml:space="preserve"> to the UK</w:t>
      </w:r>
      <w:r w:rsidR="006433AB">
        <w:rPr>
          <w:sz w:val="24"/>
        </w:rPr>
        <w:t xml:space="preserve">.  </w:t>
      </w:r>
    </w:p>
    <w:p w14:paraId="4081FED7" w14:textId="77777777" w:rsidR="00460A49" w:rsidRDefault="00036D62" w:rsidP="00036D62">
      <w:pPr>
        <w:jc w:val="both"/>
        <w:rPr>
          <w:sz w:val="24"/>
        </w:rPr>
      </w:pPr>
      <w:r>
        <w:rPr>
          <w:sz w:val="24"/>
        </w:rPr>
        <w:t xml:space="preserve">The </w:t>
      </w:r>
      <w:r w:rsidRPr="007B38E1">
        <w:rPr>
          <w:i/>
          <w:sz w:val="24"/>
        </w:rPr>
        <w:t>second theme</w:t>
      </w:r>
      <w:r>
        <w:rPr>
          <w:sz w:val="24"/>
        </w:rPr>
        <w:t xml:space="preserve"> coming from the initial text comments pertained to concerns about </w:t>
      </w:r>
      <w:r w:rsidRPr="007B38E1">
        <w:rPr>
          <w:i/>
          <w:sz w:val="24"/>
        </w:rPr>
        <w:t>fewer employment opportunities in Europe for</w:t>
      </w:r>
      <w:r w:rsidR="007D568C">
        <w:rPr>
          <w:i/>
          <w:sz w:val="24"/>
        </w:rPr>
        <w:t xml:space="preserve"> UK</w:t>
      </w:r>
      <w:r w:rsidRPr="007B38E1">
        <w:rPr>
          <w:i/>
          <w:sz w:val="24"/>
        </w:rPr>
        <w:t xml:space="preserve"> students</w:t>
      </w:r>
      <w:r>
        <w:rPr>
          <w:sz w:val="24"/>
        </w:rPr>
        <w:t xml:space="preserve">. </w:t>
      </w:r>
      <w:r w:rsidR="006A24BC">
        <w:rPr>
          <w:sz w:val="24"/>
        </w:rPr>
        <w:t>Specifically</w:t>
      </w:r>
      <w:r w:rsidR="006433AB">
        <w:rPr>
          <w:sz w:val="24"/>
        </w:rPr>
        <w:t>,</w:t>
      </w:r>
      <w:r w:rsidR="006A24BC">
        <w:rPr>
          <w:sz w:val="24"/>
        </w:rPr>
        <w:t xml:space="preserve"> </w:t>
      </w:r>
      <w:r>
        <w:rPr>
          <w:sz w:val="24"/>
        </w:rPr>
        <w:t xml:space="preserve">concerns were raised that their career ambitions, </w:t>
      </w:r>
      <w:r w:rsidR="007B38E1">
        <w:rPr>
          <w:sz w:val="24"/>
        </w:rPr>
        <w:t xml:space="preserve">e.g. </w:t>
      </w:r>
      <w:r>
        <w:rPr>
          <w:sz w:val="24"/>
        </w:rPr>
        <w:t xml:space="preserve">working </w:t>
      </w:r>
      <w:r w:rsidR="008211DB">
        <w:rPr>
          <w:sz w:val="24"/>
        </w:rPr>
        <w:t>in</w:t>
      </w:r>
      <w:r>
        <w:rPr>
          <w:sz w:val="24"/>
        </w:rPr>
        <w:t xml:space="preserve"> the EU institutions, could no longer be realised</w:t>
      </w:r>
      <w:r w:rsidR="008211DB">
        <w:rPr>
          <w:sz w:val="24"/>
        </w:rPr>
        <w:t>.</w:t>
      </w:r>
      <w:r>
        <w:rPr>
          <w:sz w:val="24"/>
        </w:rPr>
        <w:t xml:space="preserve"> </w:t>
      </w:r>
      <w:r w:rsidR="008211DB">
        <w:rPr>
          <w:sz w:val="24"/>
        </w:rPr>
        <w:t>This was coupled with a strong feeling that</w:t>
      </w:r>
      <w:r>
        <w:rPr>
          <w:sz w:val="24"/>
        </w:rPr>
        <w:t xml:space="preserve"> </w:t>
      </w:r>
      <w:r w:rsidR="007B38E1">
        <w:rPr>
          <w:sz w:val="24"/>
        </w:rPr>
        <w:t xml:space="preserve">(because of Brexit) </w:t>
      </w:r>
      <w:r w:rsidR="006433AB">
        <w:rPr>
          <w:sz w:val="24"/>
        </w:rPr>
        <w:t>they</w:t>
      </w:r>
      <w:r>
        <w:rPr>
          <w:sz w:val="24"/>
        </w:rPr>
        <w:t xml:space="preserve"> had “wasted” time in trying to develop legal knowledge, expertise and specialisms in the field of European Union </w:t>
      </w:r>
      <w:r w:rsidR="00F1047A">
        <w:rPr>
          <w:sz w:val="24"/>
        </w:rPr>
        <w:t>L</w:t>
      </w:r>
      <w:r>
        <w:rPr>
          <w:sz w:val="24"/>
        </w:rPr>
        <w:t xml:space="preserve">aw. </w:t>
      </w:r>
      <w:r w:rsidR="006A24BC">
        <w:rPr>
          <w:sz w:val="24"/>
        </w:rPr>
        <w:t>Such indicates that, even though it is highly probable the UK will maintain regulatory alignment with EU rules</w:t>
      </w:r>
      <w:r w:rsidR="007B38E1">
        <w:rPr>
          <w:sz w:val="24"/>
        </w:rPr>
        <w:t>,</w:t>
      </w:r>
      <w:r w:rsidR="006A24BC">
        <w:rPr>
          <w:sz w:val="24"/>
        </w:rPr>
        <w:t xml:space="preserve"> the future generation of </w:t>
      </w:r>
      <w:r w:rsidR="00460A49">
        <w:rPr>
          <w:sz w:val="24"/>
        </w:rPr>
        <w:t>l</w:t>
      </w:r>
      <w:r w:rsidR="006A24BC">
        <w:rPr>
          <w:sz w:val="24"/>
        </w:rPr>
        <w:t xml:space="preserve">aw students in Wales are, on the whole, already starting to see EU </w:t>
      </w:r>
      <w:r w:rsidR="00460A49">
        <w:rPr>
          <w:sz w:val="24"/>
        </w:rPr>
        <w:t>l</w:t>
      </w:r>
      <w:r w:rsidR="006A24BC">
        <w:rPr>
          <w:sz w:val="24"/>
        </w:rPr>
        <w:t>aw as a relatively closed off future career path for them to research</w:t>
      </w:r>
      <w:r w:rsidR="008211DB">
        <w:rPr>
          <w:sz w:val="24"/>
        </w:rPr>
        <w:t xml:space="preserve">, </w:t>
      </w:r>
      <w:r w:rsidR="006A24BC">
        <w:rPr>
          <w:sz w:val="24"/>
        </w:rPr>
        <w:t>specialise</w:t>
      </w:r>
      <w:r w:rsidR="008211DB">
        <w:rPr>
          <w:sz w:val="24"/>
        </w:rPr>
        <w:t xml:space="preserve">, and </w:t>
      </w:r>
      <w:r w:rsidR="006A24BC">
        <w:rPr>
          <w:sz w:val="24"/>
        </w:rPr>
        <w:t>practice in.</w:t>
      </w:r>
      <w:r w:rsidR="006433AB">
        <w:rPr>
          <w:sz w:val="24"/>
        </w:rPr>
        <w:t xml:space="preserve"> </w:t>
      </w:r>
      <w:r w:rsidR="00B42E38">
        <w:rPr>
          <w:sz w:val="24"/>
        </w:rPr>
        <w:t>The reality is, p</w:t>
      </w:r>
      <w:r w:rsidR="006433AB">
        <w:rPr>
          <w:sz w:val="24"/>
        </w:rPr>
        <w:t>ost-Brexit</w:t>
      </w:r>
      <w:r w:rsidR="007B38E1">
        <w:rPr>
          <w:sz w:val="24"/>
        </w:rPr>
        <w:t xml:space="preserve"> (</w:t>
      </w:r>
      <w:r w:rsidR="006433AB">
        <w:rPr>
          <w:sz w:val="24"/>
        </w:rPr>
        <w:t>and without foresight of any firm agreement between the UK-EU on the free movement of workers</w:t>
      </w:r>
      <w:r w:rsidR="007B38E1">
        <w:rPr>
          <w:sz w:val="24"/>
        </w:rPr>
        <w:t>),</w:t>
      </w:r>
      <w:r w:rsidR="006433AB">
        <w:rPr>
          <w:sz w:val="24"/>
        </w:rPr>
        <w:t xml:space="preserve"> opportunities within the EU institutions for UK </w:t>
      </w:r>
      <w:r w:rsidR="00460A49">
        <w:rPr>
          <w:sz w:val="24"/>
        </w:rPr>
        <w:t>l</w:t>
      </w:r>
      <w:r w:rsidR="006433AB">
        <w:rPr>
          <w:sz w:val="24"/>
        </w:rPr>
        <w:t xml:space="preserve">aw students will inevitably be fewer. </w:t>
      </w:r>
      <w:r w:rsidR="00DB7917">
        <w:rPr>
          <w:sz w:val="24"/>
        </w:rPr>
        <w:t xml:space="preserve">Non-EU citizens cannot work as </w:t>
      </w:r>
      <w:r w:rsidR="007B38E1">
        <w:rPr>
          <w:sz w:val="24"/>
        </w:rPr>
        <w:t>officials</w:t>
      </w:r>
      <w:r w:rsidR="00DB7917">
        <w:rPr>
          <w:sz w:val="24"/>
        </w:rPr>
        <w:t xml:space="preserve"> </w:t>
      </w:r>
      <w:r w:rsidR="007B38E1">
        <w:rPr>
          <w:sz w:val="24"/>
        </w:rPr>
        <w:t>(</w:t>
      </w:r>
      <w:r w:rsidR="00DB7917">
        <w:rPr>
          <w:sz w:val="24"/>
        </w:rPr>
        <w:t>permanent officer</w:t>
      </w:r>
      <w:r w:rsidR="007B38E1">
        <w:rPr>
          <w:sz w:val="24"/>
        </w:rPr>
        <w:t>s)</w:t>
      </w:r>
      <w:r w:rsidR="00DB7917">
        <w:rPr>
          <w:sz w:val="24"/>
        </w:rPr>
        <w:t xml:space="preserve"> for any of the EU institutions, as one of the employment conditions is to hold an EU passport. </w:t>
      </w:r>
      <w:r w:rsidR="007B38E1">
        <w:rPr>
          <w:sz w:val="24"/>
        </w:rPr>
        <w:t>N</w:t>
      </w:r>
      <w:r w:rsidR="00DB7917">
        <w:rPr>
          <w:sz w:val="24"/>
        </w:rPr>
        <w:t xml:space="preserve">on-EU students can still apply for a </w:t>
      </w:r>
      <w:r w:rsidR="007B38E1">
        <w:rPr>
          <w:sz w:val="24"/>
        </w:rPr>
        <w:t>small number of internships</w:t>
      </w:r>
      <w:r w:rsidR="00B42E38">
        <w:rPr>
          <w:sz w:val="24"/>
        </w:rPr>
        <w:t>,</w:t>
      </w:r>
      <w:r w:rsidR="00DB7917">
        <w:rPr>
          <w:sz w:val="24"/>
        </w:rPr>
        <w:t xml:space="preserve"> whic</w:t>
      </w:r>
      <w:r w:rsidR="007B38E1">
        <w:rPr>
          <w:sz w:val="24"/>
        </w:rPr>
        <w:t>h</w:t>
      </w:r>
      <w:r w:rsidR="00DB7917">
        <w:rPr>
          <w:sz w:val="24"/>
        </w:rPr>
        <w:t xml:space="preserve"> last</w:t>
      </w:r>
      <w:r w:rsidR="007B38E1">
        <w:rPr>
          <w:sz w:val="24"/>
        </w:rPr>
        <w:t>s</w:t>
      </w:r>
      <w:r w:rsidR="00DB7917">
        <w:rPr>
          <w:sz w:val="24"/>
        </w:rPr>
        <w:t xml:space="preserve"> 5 months at the European Commission</w:t>
      </w:r>
      <w:r w:rsidR="007B38E1">
        <w:rPr>
          <w:sz w:val="24"/>
        </w:rPr>
        <w:t>, but this will not render them eligible to become EU officials</w:t>
      </w:r>
      <w:r w:rsidR="00DB7917">
        <w:rPr>
          <w:sz w:val="24"/>
        </w:rPr>
        <w:t xml:space="preserve">. In some </w:t>
      </w:r>
      <w:r w:rsidR="00B42E38">
        <w:rPr>
          <w:sz w:val="24"/>
        </w:rPr>
        <w:t>cases,</w:t>
      </w:r>
      <w:r w:rsidR="00DB7917">
        <w:rPr>
          <w:sz w:val="24"/>
        </w:rPr>
        <w:t xml:space="preserve"> non-EU/EEA nationals can also work as seconded experts in certain field</w:t>
      </w:r>
      <w:r w:rsidR="007B38E1">
        <w:rPr>
          <w:sz w:val="24"/>
        </w:rPr>
        <w:t>s</w:t>
      </w:r>
      <w:r w:rsidR="00DB7917">
        <w:rPr>
          <w:sz w:val="24"/>
        </w:rPr>
        <w:t xml:space="preserve"> (where there is a skills shortage in that specialism).</w:t>
      </w:r>
      <w:r w:rsidR="00DB7917">
        <w:rPr>
          <w:rStyle w:val="FootnoteReference"/>
          <w:sz w:val="24"/>
        </w:rPr>
        <w:footnoteReference w:id="62"/>
      </w:r>
      <w:r w:rsidR="00DB7917">
        <w:rPr>
          <w:sz w:val="24"/>
        </w:rPr>
        <w:t xml:space="preserve"> </w:t>
      </w:r>
      <w:r w:rsidR="007B38E1">
        <w:rPr>
          <w:sz w:val="24"/>
        </w:rPr>
        <w:t>After Brexit, t</w:t>
      </w:r>
      <w:r w:rsidR="00DB7917">
        <w:rPr>
          <w:sz w:val="24"/>
        </w:rPr>
        <w:t>here may also be scope, in absence of a working trade deal between the UK and EU, for highly skilled law</w:t>
      </w:r>
      <w:r w:rsidR="00CB5505">
        <w:rPr>
          <w:sz w:val="24"/>
        </w:rPr>
        <w:t xml:space="preserve">yers to </w:t>
      </w:r>
      <w:r w:rsidR="00CD0DE7">
        <w:rPr>
          <w:sz w:val="24"/>
        </w:rPr>
        <w:t xml:space="preserve">gain employment opportunities within EU Member States as part of the EU Blue Card </w:t>
      </w:r>
      <w:r w:rsidR="007B38E1">
        <w:rPr>
          <w:sz w:val="24"/>
        </w:rPr>
        <w:t>n</w:t>
      </w:r>
      <w:r w:rsidR="00CD0DE7">
        <w:rPr>
          <w:sz w:val="24"/>
        </w:rPr>
        <w:t>etwork (similar in fashion to the US Green Card scheme)</w:t>
      </w:r>
      <w:r w:rsidR="007B38E1">
        <w:rPr>
          <w:sz w:val="24"/>
        </w:rPr>
        <w:t xml:space="preserve">, however currently the UK, Ireland and Denmark do not subscribe to this </w:t>
      </w:r>
      <w:r w:rsidR="00460A49">
        <w:rPr>
          <w:sz w:val="24"/>
        </w:rPr>
        <w:t>initiative</w:t>
      </w:r>
      <w:r w:rsidR="00CD0DE7">
        <w:rPr>
          <w:sz w:val="24"/>
        </w:rPr>
        <w:t>.</w:t>
      </w:r>
      <w:r w:rsidR="00CD0DE7">
        <w:rPr>
          <w:rStyle w:val="FootnoteReference"/>
          <w:sz w:val="24"/>
        </w:rPr>
        <w:footnoteReference w:id="63"/>
      </w:r>
      <w:r w:rsidR="00CD0DE7">
        <w:rPr>
          <w:sz w:val="24"/>
        </w:rPr>
        <w:t xml:space="preserve"> </w:t>
      </w:r>
    </w:p>
    <w:p w14:paraId="6BACB959" w14:textId="6198982F" w:rsidR="00036D62" w:rsidRDefault="00CD0DE7" w:rsidP="00036D62">
      <w:pPr>
        <w:jc w:val="both"/>
        <w:rPr>
          <w:sz w:val="24"/>
        </w:rPr>
      </w:pPr>
      <w:r>
        <w:rPr>
          <w:sz w:val="24"/>
        </w:rPr>
        <w:t xml:space="preserve">Whilst the options for UK nationals to train and work within the EU institutions </w:t>
      </w:r>
      <w:r w:rsidR="00F7319C">
        <w:rPr>
          <w:sz w:val="24"/>
        </w:rPr>
        <w:t>will inevitably be</w:t>
      </w:r>
      <w:r>
        <w:rPr>
          <w:sz w:val="24"/>
        </w:rPr>
        <w:t xml:space="preserve"> reduced, conscious efforts need to be made both by Governments and </w:t>
      </w:r>
      <w:r w:rsidR="00460A49">
        <w:rPr>
          <w:sz w:val="24"/>
        </w:rPr>
        <w:t>l</w:t>
      </w:r>
      <w:r>
        <w:rPr>
          <w:sz w:val="24"/>
        </w:rPr>
        <w:t xml:space="preserve">aw </w:t>
      </w:r>
      <w:r w:rsidR="00460A49">
        <w:rPr>
          <w:sz w:val="24"/>
        </w:rPr>
        <w:t>s</w:t>
      </w:r>
      <w:r w:rsidR="00F7319C">
        <w:rPr>
          <w:sz w:val="24"/>
        </w:rPr>
        <w:t>c</w:t>
      </w:r>
      <w:r>
        <w:rPr>
          <w:sz w:val="24"/>
        </w:rPr>
        <w:t xml:space="preserve">hools, to </w:t>
      </w:r>
      <w:r w:rsidR="00B42E38">
        <w:rPr>
          <w:sz w:val="24"/>
        </w:rPr>
        <w:t>address</w:t>
      </w:r>
      <w:r w:rsidR="00F7319C">
        <w:rPr>
          <w:sz w:val="24"/>
        </w:rPr>
        <w:t xml:space="preserve"> current</w:t>
      </w:r>
      <w:r w:rsidR="00B42E38">
        <w:rPr>
          <w:sz w:val="24"/>
        </w:rPr>
        <w:t xml:space="preserve"> student employability concerns. It is documented within existing pedagogical studies that </w:t>
      </w:r>
      <w:r w:rsidR="00460A49">
        <w:rPr>
          <w:sz w:val="24"/>
        </w:rPr>
        <w:t>l</w:t>
      </w:r>
      <w:r w:rsidR="00B42E38">
        <w:rPr>
          <w:sz w:val="24"/>
        </w:rPr>
        <w:t>aw students have a favourable student experience</w:t>
      </w:r>
      <w:r w:rsidR="00BE4E2F">
        <w:rPr>
          <w:sz w:val="24"/>
        </w:rPr>
        <w:t>,</w:t>
      </w:r>
      <w:r w:rsidR="00B42E38">
        <w:rPr>
          <w:sz w:val="24"/>
        </w:rPr>
        <w:t xml:space="preserve"> and succeed best in terms of attainment when the gap between their study expectations and the reality of their experiences are narrowed, either via the </w:t>
      </w:r>
      <w:r w:rsidR="00460A49">
        <w:rPr>
          <w:sz w:val="24"/>
        </w:rPr>
        <w:t>l</w:t>
      </w:r>
      <w:r w:rsidR="00B42E38">
        <w:rPr>
          <w:sz w:val="24"/>
        </w:rPr>
        <w:t xml:space="preserve">ecturers directly addressing them in the classrooms, </w:t>
      </w:r>
      <w:r w:rsidR="00B42E38">
        <w:rPr>
          <w:sz w:val="24"/>
        </w:rPr>
        <w:lastRenderedPageBreak/>
        <w:t>or alternatively via interventions that respond more to what students</w:t>
      </w:r>
      <w:r w:rsidR="00BE4E2F">
        <w:rPr>
          <w:sz w:val="24"/>
        </w:rPr>
        <w:t>’</w:t>
      </w:r>
      <w:r w:rsidR="00B42E38">
        <w:rPr>
          <w:sz w:val="24"/>
        </w:rPr>
        <w:t xml:space="preserve"> expect.</w:t>
      </w:r>
      <w:r w:rsidR="00B42E38">
        <w:rPr>
          <w:rStyle w:val="FootnoteReference"/>
          <w:sz w:val="24"/>
        </w:rPr>
        <w:footnoteReference w:id="64"/>
      </w:r>
      <w:r w:rsidR="00B42E38">
        <w:rPr>
          <w:sz w:val="24"/>
        </w:rPr>
        <w:t xml:space="preserve"> It is for these reasons that apathy towards the study of EU </w:t>
      </w:r>
      <w:r w:rsidR="00460A49">
        <w:rPr>
          <w:sz w:val="24"/>
        </w:rPr>
        <w:t>l</w:t>
      </w:r>
      <w:r w:rsidR="00B42E38">
        <w:rPr>
          <w:sz w:val="24"/>
        </w:rPr>
        <w:t xml:space="preserve">aw, and the potential career options in its related fields, need to </w:t>
      </w:r>
      <w:r w:rsidR="00F7319C">
        <w:rPr>
          <w:sz w:val="24"/>
        </w:rPr>
        <w:t xml:space="preserve">be </w:t>
      </w:r>
      <w:r w:rsidR="00B42E38">
        <w:rPr>
          <w:sz w:val="24"/>
        </w:rPr>
        <w:t>collectively addressed</w:t>
      </w:r>
      <w:r w:rsidR="00BE4E2F">
        <w:rPr>
          <w:sz w:val="24"/>
        </w:rPr>
        <w:t xml:space="preserve"> within the context of Brexit (and not ignored). This is</w:t>
      </w:r>
      <w:r w:rsidR="00B42E38">
        <w:rPr>
          <w:sz w:val="24"/>
        </w:rPr>
        <w:t xml:space="preserve"> so as to assist with student motivation for the discipline</w:t>
      </w:r>
      <w:r w:rsidR="00171879">
        <w:rPr>
          <w:sz w:val="24"/>
        </w:rPr>
        <w:t xml:space="preserve"> and their career ambitions</w:t>
      </w:r>
      <w:r w:rsidR="00B42E38">
        <w:rPr>
          <w:sz w:val="24"/>
        </w:rPr>
        <w:t xml:space="preserve">, which, pedagogically speaking, is known to translate to their </w:t>
      </w:r>
      <w:r w:rsidR="00171879">
        <w:rPr>
          <w:sz w:val="24"/>
        </w:rPr>
        <w:t xml:space="preserve">motivation and </w:t>
      </w:r>
      <w:r w:rsidR="00B42E38">
        <w:rPr>
          <w:sz w:val="24"/>
        </w:rPr>
        <w:t xml:space="preserve">performance in </w:t>
      </w:r>
      <w:r w:rsidR="00BE4E2F">
        <w:rPr>
          <w:sz w:val="24"/>
        </w:rPr>
        <w:t xml:space="preserve">the </w:t>
      </w:r>
      <w:r w:rsidR="00B42E38">
        <w:rPr>
          <w:sz w:val="24"/>
        </w:rPr>
        <w:t xml:space="preserve">related modules. In this regard, Governments and Higher Educations institutions need to </w:t>
      </w:r>
      <w:r>
        <w:rPr>
          <w:sz w:val="24"/>
        </w:rPr>
        <w:t>promote alternative career opportunities, and not</w:t>
      </w:r>
      <w:r w:rsidR="00F7319C">
        <w:rPr>
          <w:sz w:val="24"/>
        </w:rPr>
        <w:t xml:space="preserve"> allow the current ‘atmosphere’</w:t>
      </w:r>
      <w:r w:rsidR="00460A49">
        <w:rPr>
          <w:sz w:val="24"/>
        </w:rPr>
        <w:t>,</w:t>
      </w:r>
      <w:r w:rsidR="00F7319C">
        <w:rPr>
          <w:sz w:val="24"/>
        </w:rPr>
        <w:t xml:space="preserve"> as highlighted by our study,</w:t>
      </w:r>
      <w:r>
        <w:rPr>
          <w:sz w:val="24"/>
        </w:rPr>
        <w:t xml:space="preserve"> discourage those who have an enthusiastic interest in studying and researching EU </w:t>
      </w:r>
      <w:r w:rsidR="00460A49">
        <w:rPr>
          <w:sz w:val="24"/>
        </w:rPr>
        <w:t>l</w:t>
      </w:r>
      <w:r>
        <w:rPr>
          <w:sz w:val="24"/>
        </w:rPr>
        <w:t>aw</w:t>
      </w:r>
      <w:r w:rsidR="00F7319C">
        <w:rPr>
          <w:sz w:val="24"/>
        </w:rPr>
        <w:t>,</w:t>
      </w:r>
      <w:r>
        <w:rPr>
          <w:sz w:val="24"/>
        </w:rPr>
        <w:t xml:space="preserve"> from doing so</w:t>
      </w:r>
      <w:r w:rsidR="00F7319C">
        <w:rPr>
          <w:sz w:val="24"/>
        </w:rPr>
        <w:t xml:space="preserve"> (n</w:t>
      </w:r>
      <w:r>
        <w:rPr>
          <w:sz w:val="24"/>
        </w:rPr>
        <w:t>ot least because the UK will continue to need EU law experts, even in the event of a no-deal scenario</w:t>
      </w:r>
      <w:r w:rsidR="00276DA3">
        <w:rPr>
          <w:sz w:val="24"/>
        </w:rPr>
        <w:t>)</w:t>
      </w:r>
      <w:r w:rsidR="00441C36">
        <w:rPr>
          <w:sz w:val="24"/>
        </w:rPr>
        <w:t>. S</w:t>
      </w:r>
      <w:r w:rsidR="00171879">
        <w:rPr>
          <w:sz w:val="24"/>
        </w:rPr>
        <w:t xml:space="preserve">uch specialists </w:t>
      </w:r>
      <w:r w:rsidR="00F7319C">
        <w:rPr>
          <w:sz w:val="24"/>
        </w:rPr>
        <w:t>will be</w:t>
      </w:r>
      <w:r w:rsidR="00171879">
        <w:rPr>
          <w:sz w:val="24"/>
        </w:rPr>
        <w:t xml:space="preserve"> needed</w:t>
      </w:r>
      <w:r>
        <w:rPr>
          <w:sz w:val="24"/>
        </w:rPr>
        <w:t xml:space="preserve"> in order to understand the</w:t>
      </w:r>
      <w:r w:rsidR="00171879">
        <w:rPr>
          <w:sz w:val="24"/>
        </w:rPr>
        <w:t xml:space="preserve"> historical basis for our own laws; as well as the</w:t>
      </w:r>
      <w:r>
        <w:rPr>
          <w:sz w:val="24"/>
        </w:rPr>
        <w:t xml:space="preserve"> infrastructure, </w:t>
      </w:r>
      <w:r w:rsidR="00460A49">
        <w:rPr>
          <w:sz w:val="24"/>
        </w:rPr>
        <w:t>l</w:t>
      </w:r>
      <w:r>
        <w:rPr>
          <w:sz w:val="24"/>
        </w:rPr>
        <w:t xml:space="preserve">aws and </w:t>
      </w:r>
      <w:r w:rsidR="00460A49">
        <w:rPr>
          <w:sz w:val="24"/>
        </w:rPr>
        <w:t>c</w:t>
      </w:r>
      <w:r>
        <w:rPr>
          <w:sz w:val="24"/>
        </w:rPr>
        <w:t>ustoms of the UK’s closest trading partner</w:t>
      </w:r>
      <w:r w:rsidR="00276DA3">
        <w:rPr>
          <w:sz w:val="24"/>
        </w:rPr>
        <w:t>s</w:t>
      </w:r>
      <w:r>
        <w:rPr>
          <w:sz w:val="24"/>
        </w:rPr>
        <w:t>; but also because of the need to intrinsically understand the rights, freedoms and liberties of the 1.3 million people born in the UK living in other EU countries; as well as the 2.9 million EU citizens</w:t>
      </w:r>
      <w:r w:rsidR="00F7319C">
        <w:rPr>
          <w:sz w:val="24"/>
        </w:rPr>
        <w:t xml:space="preserve"> already</w:t>
      </w:r>
      <w:r>
        <w:rPr>
          <w:sz w:val="24"/>
        </w:rPr>
        <w:t xml:space="preserve"> living in the UK (making up 5% of the </w:t>
      </w:r>
      <w:r w:rsidR="008D251A">
        <w:rPr>
          <w:sz w:val="24"/>
        </w:rPr>
        <w:t xml:space="preserve">total </w:t>
      </w:r>
      <w:r>
        <w:rPr>
          <w:sz w:val="24"/>
        </w:rPr>
        <w:t xml:space="preserve">63.7 million </w:t>
      </w:r>
      <w:r w:rsidR="008D251A">
        <w:rPr>
          <w:sz w:val="24"/>
        </w:rPr>
        <w:t xml:space="preserve">UK </w:t>
      </w:r>
      <w:r w:rsidR="00276DA3">
        <w:rPr>
          <w:sz w:val="24"/>
        </w:rPr>
        <w:t>population</w:t>
      </w:r>
      <w:r w:rsidR="00F7319C">
        <w:rPr>
          <w:sz w:val="24"/>
        </w:rPr>
        <w:t>)</w:t>
      </w:r>
      <w:r>
        <w:rPr>
          <w:sz w:val="24"/>
        </w:rPr>
        <w:t xml:space="preserve">. </w:t>
      </w:r>
    </w:p>
    <w:p w14:paraId="6C595945" w14:textId="6BCA836B" w:rsidR="0077776F" w:rsidRPr="008D251A" w:rsidRDefault="008D251A" w:rsidP="00936BDB">
      <w:pPr>
        <w:jc w:val="both"/>
        <w:rPr>
          <w:sz w:val="24"/>
        </w:rPr>
      </w:pPr>
      <w:r>
        <w:rPr>
          <w:sz w:val="24"/>
        </w:rPr>
        <w:t xml:space="preserve">The </w:t>
      </w:r>
      <w:r w:rsidRPr="00F7319C">
        <w:rPr>
          <w:i/>
          <w:sz w:val="24"/>
        </w:rPr>
        <w:t>third</w:t>
      </w:r>
      <w:r>
        <w:rPr>
          <w:sz w:val="24"/>
        </w:rPr>
        <w:t xml:space="preserve"> and </w:t>
      </w:r>
      <w:r w:rsidRPr="00F7319C">
        <w:rPr>
          <w:i/>
          <w:sz w:val="24"/>
        </w:rPr>
        <w:t xml:space="preserve">fourth </w:t>
      </w:r>
      <w:r w:rsidR="00F7319C" w:rsidRPr="00F7319C">
        <w:rPr>
          <w:i/>
          <w:sz w:val="24"/>
        </w:rPr>
        <w:t>themes</w:t>
      </w:r>
      <w:r>
        <w:rPr>
          <w:sz w:val="24"/>
        </w:rPr>
        <w:t xml:space="preserve"> more specifically pertained to the relevance of studying European Union </w:t>
      </w:r>
      <w:r w:rsidR="00460A49">
        <w:rPr>
          <w:sz w:val="24"/>
        </w:rPr>
        <w:t>l</w:t>
      </w:r>
      <w:r>
        <w:rPr>
          <w:sz w:val="24"/>
        </w:rPr>
        <w:t xml:space="preserve">aw; and whether there would be a need to re-train, following Brexit, in order to gain a more advanced understanding of UK constitutional principles and customs. Both of these themes are discussed more fully below. </w:t>
      </w:r>
    </w:p>
    <w:p w14:paraId="7AD6A119" w14:textId="55C3A553" w:rsidR="00AC54DA" w:rsidRDefault="00331E0A" w:rsidP="00936BDB">
      <w:pPr>
        <w:jc w:val="both"/>
        <w:rPr>
          <w:b/>
          <w:sz w:val="28"/>
        </w:rPr>
      </w:pPr>
      <w:r>
        <w:rPr>
          <w:b/>
          <w:sz w:val="28"/>
        </w:rPr>
        <w:t>4.</w:t>
      </w:r>
      <w:r w:rsidR="006E63FF">
        <w:rPr>
          <w:b/>
          <w:sz w:val="28"/>
        </w:rPr>
        <w:t xml:space="preserve"> </w:t>
      </w:r>
      <w:r w:rsidR="00132AE4">
        <w:rPr>
          <w:b/>
          <w:sz w:val="28"/>
        </w:rPr>
        <w:t xml:space="preserve">Students’ Perceptions </w:t>
      </w:r>
      <w:r w:rsidR="00B64B89">
        <w:rPr>
          <w:b/>
          <w:sz w:val="28"/>
        </w:rPr>
        <w:t xml:space="preserve">of </w:t>
      </w:r>
      <w:r w:rsidR="006E63FF">
        <w:rPr>
          <w:b/>
          <w:sz w:val="28"/>
        </w:rPr>
        <w:t>European Union Law</w:t>
      </w:r>
    </w:p>
    <w:p w14:paraId="15705C61" w14:textId="3599FBE5" w:rsidR="006462C2" w:rsidRDefault="006462C2" w:rsidP="006462C2">
      <w:pPr>
        <w:jc w:val="both"/>
        <w:rPr>
          <w:sz w:val="24"/>
        </w:rPr>
      </w:pPr>
      <w:r>
        <w:rPr>
          <w:sz w:val="24"/>
        </w:rPr>
        <w:t>In gauging students</w:t>
      </w:r>
      <w:r w:rsidR="00441C36">
        <w:rPr>
          <w:sz w:val="24"/>
        </w:rPr>
        <w:t>’</w:t>
      </w:r>
      <w:r>
        <w:rPr>
          <w:sz w:val="24"/>
        </w:rPr>
        <w:t xml:space="preserve"> views of European Union </w:t>
      </w:r>
      <w:r w:rsidR="00FB79E7">
        <w:rPr>
          <w:sz w:val="24"/>
        </w:rPr>
        <w:t>l</w:t>
      </w:r>
      <w:r>
        <w:rPr>
          <w:sz w:val="24"/>
        </w:rPr>
        <w:t xml:space="preserve">aw in light of Brexit, a specific question was asked as to whether learners’ perceptions of the module had changed following the UK’s decision to withdraw, and if yes, how? 36% of learners felt their perceptions of EU </w:t>
      </w:r>
      <w:r w:rsidR="00FB79E7">
        <w:rPr>
          <w:sz w:val="24"/>
        </w:rPr>
        <w:t>l</w:t>
      </w:r>
      <w:r>
        <w:rPr>
          <w:sz w:val="24"/>
        </w:rPr>
        <w:t xml:space="preserve">aw </w:t>
      </w:r>
      <w:r w:rsidR="00171879">
        <w:rPr>
          <w:sz w:val="24"/>
        </w:rPr>
        <w:t>ha</w:t>
      </w:r>
      <w:r w:rsidR="00FB79E7">
        <w:rPr>
          <w:sz w:val="24"/>
        </w:rPr>
        <w:t>d</w:t>
      </w:r>
      <w:r>
        <w:rPr>
          <w:sz w:val="24"/>
        </w:rPr>
        <w:t xml:space="preserve"> change</w:t>
      </w:r>
      <w:r w:rsidR="00171879">
        <w:rPr>
          <w:sz w:val="24"/>
        </w:rPr>
        <w:t>d</w:t>
      </w:r>
      <w:r>
        <w:rPr>
          <w:sz w:val="24"/>
        </w:rPr>
        <w:t xml:space="preserve">, with 64% </w:t>
      </w:r>
      <w:r w:rsidR="00FB79E7">
        <w:rPr>
          <w:sz w:val="24"/>
        </w:rPr>
        <w:t>indicating</w:t>
      </w:r>
      <w:r>
        <w:rPr>
          <w:sz w:val="24"/>
        </w:rPr>
        <w:t xml:space="preserve"> that their views of the subject would not change. Interestingly of the 36% </w:t>
      </w:r>
      <w:r w:rsidRPr="00F7319C">
        <w:rPr>
          <w:i/>
          <w:sz w:val="24"/>
        </w:rPr>
        <w:t>who indicated a change in opinion</w:t>
      </w:r>
      <w:r>
        <w:rPr>
          <w:sz w:val="24"/>
        </w:rPr>
        <w:t xml:space="preserve"> to the subject, </w:t>
      </w:r>
      <w:r w:rsidRPr="00F7319C">
        <w:rPr>
          <w:i/>
          <w:sz w:val="24"/>
        </w:rPr>
        <w:t>84% were UK nationals</w:t>
      </w:r>
      <w:r>
        <w:rPr>
          <w:sz w:val="24"/>
        </w:rPr>
        <w:t xml:space="preserve">. </w:t>
      </w:r>
    </w:p>
    <w:p w14:paraId="485E26B7" w14:textId="17CE9202" w:rsidR="00331E0A" w:rsidRDefault="006462C2" w:rsidP="008D251A">
      <w:pPr>
        <w:jc w:val="both"/>
        <w:rPr>
          <w:sz w:val="24"/>
        </w:rPr>
      </w:pPr>
      <w:r>
        <w:rPr>
          <w:sz w:val="24"/>
        </w:rPr>
        <w:t xml:space="preserve">When looking specifically at the text comments received by </w:t>
      </w:r>
      <w:r w:rsidR="007D568C">
        <w:rPr>
          <w:sz w:val="24"/>
        </w:rPr>
        <w:t>UK</w:t>
      </w:r>
      <w:r>
        <w:rPr>
          <w:sz w:val="24"/>
        </w:rPr>
        <w:t xml:space="preserve"> students in relation to this question</w:t>
      </w:r>
      <w:r w:rsidR="00331E0A">
        <w:rPr>
          <w:sz w:val="24"/>
        </w:rPr>
        <w:t xml:space="preserve">, across all </w:t>
      </w:r>
      <w:r>
        <w:rPr>
          <w:sz w:val="24"/>
        </w:rPr>
        <w:t>the open-end</w:t>
      </w:r>
      <w:r w:rsidR="00276DA3">
        <w:rPr>
          <w:sz w:val="24"/>
        </w:rPr>
        <w:t>ed</w:t>
      </w:r>
      <w:r>
        <w:rPr>
          <w:sz w:val="24"/>
        </w:rPr>
        <w:t xml:space="preserve"> responses</w:t>
      </w:r>
      <w:r w:rsidR="00331E0A">
        <w:rPr>
          <w:sz w:val="24"/>
        </w:rPr>
        <w:t xml:space="preserve">, </w:t>
      </w:r>
      <w:r w:rsidR="00BE4E2F">
        <w:rPr>
          <w:sz w:val="24"/>
        </w:rPr>
        <w:t>comments</w:t>
      </w:r>
      <w:r w:rsidR="00331E0A">
        <w:rPr>
          <w:sz w:val="24"/>
        </w:rPr>
        <w:t xml:space="preserve"> were </w:t>
      </w:r>
      <w:r w:rsidR="00BE4E2F">
        <w:rPr>
          <w:sz w:val="24"/>
        </w:rPr>
        <w:t>made relating</w:t>
      </w:r>
      <w:r w:rsidR="00331E0A">
        <w:rPr>
          <w:sz w:val="24"/>
        </w:rPr>
        <w:t xml:space="preserve"> to</w:t>
      </w:r>
      <w:r>
        <w:rPr>
          <w:sz w:val="24"/>
        </w:rPr>
        <w:t xml:space="preserve"> the</w:t>
      </w:r>
      <w:r w:rsidR="00331E0A">
        <w:rPr>
          <w:sz w:val="24"/>
        </w:rPr>
        <w:t xml:space="preserve"> future relevance of having European Union </w:t>
      </w:r>
      <w:r w:rsidR="00FB79E7">
        <w:rPr>
          <w:sz w:val="24"/>
        </w:rPr>
        <w:t>l</w:t>
      </w:r>
      <w:r w:rsidR="00331E0A">
        <w:rPr>
          <w:sz w:val="24"/>
        </w:rPr>
        <w:t xml:space="preserve">aw as a standalone </w:t>
      </w:r>
      <w:r w:rsidR="00441C36">
        <w:rPr>
          <w:sz w:val="24"/>
        </w:rPr>
        <w:t>Q</w:t>
      </w:r>
      <w:r w:rsidR="00331E0A">
        <w:rPr>
          <w:sz w:val="24"/>
        </w:rPr>
        <w:t xml:space="preserve">ualifying </w:t>
      </w:r>
      <w:r w:rsidR="00441C36">
        <w:rPr>
          <w:sz w:val="24"/>
        </w:rPr>
        <w:t>L</w:t>
      </w:r>
      <w:r w:rsidR="00331E0A">
        <w:rPr>
          <w:sz w:val="24"/>
        </w:rPr>
        <w:t xml:space="preserve">aw </w:t>
      </w:r>
      <w:r w:rsidR="00441C36">
        <w:rPr>
          <w:sz w:val="24"/>
        </w:rPr>
        <w:t>D</w:t>
      </w:r>
      <w:r w:rsidR="00331E0A">
        <w:rPr>
          <w:sz w:val="24"/>
        </w:rPr>
        <w:t>egree module</w:t>
      </w:r>
      <w:r>
        <w:rPr>
          <w:sz w:val="24"/>
        </w:rPr>
        <w:t xml:space="preserve"> in the UK</w:t>
      </w:r>
      <w:r w:rsidR="00331E0A">
        <w:rPr>
          <w:sz w:val="24"/>
        </w:rPr>
        <w:t xml:space="preserve">. Perhaps naively, </w:t>
      </w:r>
      <w:r w:rsidR="00F7319C">
        <w:rPr>
          <w:sz w:val="24"/>
        </w:rPr>
        <w:t>UK</w:t>
      </w:r>
      <w:r w:rsidR="00331E0A">
        <w:rPr>
          <w:sz w:val="24"/>
        </w:rPr>
        <w:t xml:space="preserve"> students </w:t>
      </w:r>
      <w:r w:rsidR="00BE4E2F">
        <w:rPr>
          <w:sz w:val="24"/>
        </w:rPr>
        <w:t>stated that</w:t>
      </w:r>
      <w:r w:rsidR="00171879">
        <w:rPr>
          <w:sz w:val="24"/>
        </w:rPr>
        <w:t xml:space="preserve"> the module should no longer be compulsory </w:t>
      </w:r>
      <w:r w:rsidR="00331E0A">
        <w:rPr>
          <w:sz w:val="24"/>
        </w:rPr>
        <w:t xml:space="preserve">when the UK leaves the EU. On the other hand, some respondents referred to how the historic and intrinsic links between UK and EU </w:t>
      </w:r>
      <w:r w:rsidR="00441C36">
        <w:rPr>
          <w:sz w:val="24"/>
        </w:rPr>
        <w:t>L</w:t>
      </w:r>
      <w:r w:rsidR="00331E0A">
        <w:rPr>
          <w:sz w:val="24"/>
        </w:rPr>
        <w:t xml:space="preserve">aw </w:t>
      </w:r>
      <w:r>
        <w:rPr>
          <w:sz w:val="24"/>
        </w:rPr>
        <w:t xml:space="preserve">is evidence </w:t>
      </w:r>
      <w:r w:rsidR="00331E0A">
        <w:rPr>
          <w:sz w:val="24"/>
        </w:rPr>
        <w:t xml:space="preserve">that greater emphasis should </w:t>
      </w:r>
      <w:r w:rsidR="00171879">
        <w:rPr>
          <w:sz w:val="24"/>
        </w:rPr>
        <w:t xml:space="preserve">now </w:t>
      </w:r>
      <w:r w:rsidR="00331E0A">
        <w:rPr>
          <w:sz w:val="24"/>
        </w:rPr>
        <w:t xml:space="preserve">be placed on </w:t>
      </w:r>
      <w:r w:rsidR="00FB79E7">
        <w:rPr>
          <w:sz w:val="24"/>
        </w:rPr>
        <w:t>p</w:t>
      </w:r>
      <w:r w:rsidR="00331E0A">
        <w:rPr>
          <w:sz w:val="24"/>
        </w:rPr>
        <w:t xml:space="preserve">ublic </w:t>
      </w:r>
      <w:r w:rsidR="00FB79E7">
        <w:rPr>
          <w:sz w:val="24"/>
        </w:rPr>
        <w:t>l</w:t>
      </w:r>
      <w:r w:rsidR="00331E0A">
        <w:rPr>
          <w:sz w:val="24"/>
        </w:rPr>
        <w:t>aw teaching in its broad</w:t>
      </w:r>
      <w:r w:rsidR="009B6DC8">
        <w:rPr>
          <w:sz w:val="24"/>
        </w:rPr>
        <w:t xml:space="preserve">er </w:t>
      </w:r>
      <w:r w:rsidR="00331E0A">
        <w:rPr>
          <w:sz w:val="24"/>
        </w:rPr>
        <w:t xml:space="preserve">sense; with the history of the European Union and UK membership featuring as a component of introductory </w:t>
      </w:r>
      <w:r w:rsidR="00FB79E7">
        <w:rPr>
          <w:sz w:val="24"/>
        </w:rPr>
        <w:t>c</w:t>
      </w:r>
      <w:r w:rsidR="00331E0A">
        <w:rPr>
          <w:sz w:val="24"/>
        </w:rPr>
        <w:t xml:space="preserve">onstitutional </w:t>
      </w:r>
      <w:r w:rsidR="00FB79E7">
        <w:rPr>
          <w:sz w:val="24"/>
        </w:rPr>
        <w:t>l</w:t>
      </w:r>
      <w:r w:rsidR="00331E0A">
        <w:rPr>
          <w:sz w:val="24"/>
        </w:rPr>
        <w:t xml:space="preserve">aw course (to understand the history of how the UK’s legal framework and </w:t>
      </w:r>
      <w:r w:rsidR="00FB79E7">
        <w:rPr>
          <w:sz w:val="24"/>
        </w:rPr>
        <w:t>c</w:t>
      </w:r>
      <w:r w:rsidR="00331E0A">
        <w:rPr>
          <w:sz w:val="24"/>
        </w:rPr>
        <w:t xml:space="preserve">onstitutional </w:t>
      </w:r>
      <w:r w:rsidR="00FB79E7">
        <w:rPr>
          <w:sz w:val="24"/>
        </w:rPr>
        <w:t>c</w:t>
      </w:r>
      <w:r w:rsidR="00331E0A">
        <w:rPr>
          <w:sz w:val="24"/>
        </w:rPr>
        <w:t xml:space="preserve">onventions have developed). As one respondent remarked: </w:t>
      </w:r>
    </w:p>
    <w:p w14:paraId="61D18225" w14:textId="1ED937B1" w:rsidR="00331E0A" w:rsidRDefault="00331E0A" w:rsidP="00C90E90">
      <w:pPr>
        <w:ind w:left="567" w:right="567"/>
        <w:jc w:val="both"/>
        <w:rPr>
          <w:sz w:val="24"/>
        </w:rPr>
      </w:pPr>
      <w:r>
        <w:rPr>
          <w:sz w:val="24"/>
        </w:rPr>
        <w:t xml:space="preserve">“I believe we need to more greatly understand EU </w:t>
      </w:r>
      <w:r w:rsidR="00FB79E7">
        <w:rPr>
          <w:sz w:val="24"/>
        </w:rPr>
        <w:t>l</w:t>
      </w:r>
      <w:r>
        <w:rPr>
          <w:sz w:val="24"/>
        </w:rPr>
        <w:t>aw, so as to understand what we are divorcing ourselves from. Also</w:t>
      </w:r>
      <w:r w:rsidR="00C90E90">
        <w:rPr>
          <w:sz w:val="24"/>
        </w:rPr>
        <w:t>,</w:t>
      </w:r>
      <w:r>
        <w:rPr>
          <w:sz w:val="24"/>
        </w:rPr>
        <w:t xml:space="preserve"> the ‘Great Repeal Bill’ has made it clear </w:t>
      </w:r>
      <w:r>
        <w:rPr>
          <w:sz w:val="24"/>
        </w:rPr>
        <w:lastRenderedPageBreak/>
        <w:t xml:space="preserve">that EU </w:t>
      </w:r>
      <w:r w:rsidR="00FB79E7">
        <w:rPr>
          <w:sz w:val="24"/>
        </w:rPr>
        <w:t>l</w:t>
      </w:r>
      <w:r>
        <w:rPr>
          <w:sz w:val="24"/>
        </w:rPr>
        <w:t xml:space="preserve">aw will now, for the foreseeable future, become UK </w:t>
      </w:r>
      <w:r w:rsidR="00FB79E7">
        <w:rPr>
          <w:sz w:val="24"/>
        </w:rPr>
        <w:t>l</w:t>
      </w:r>
      <w:r>
        <w:rPr>
          <w:sz w:val="24"/>
        </w:rPr>
        <w:t xml:space="preserve">aw. If we are to change UK </w:t>
      </w:r>
      <w:r w:rsidR="00FB79E7">
        <w:rPr>
          <w:sz w:val="24"/>
        </w:rPr>
        <w:t>l</w:t>
      </w:r>
      <w:r>
        <w:rPr>
          <w:sz w:val="24"/>
        </w:rPr>
        <w:t xml:space="preserve">aw, we need to more fully understand the reasons behind the original EU </w:t>
      </w:r>
      <w:r w:rsidR="00FB79E7">
        <w:rPr>
          <w:sz w:val="24"/>
        </w:rPr>
        <w:t>l</w:t>
      </w:r>
      <w:r>
        <w:rPr>
          <w:sz w:val="24"/>
        </w:rPr>
        <w:t>aw (in terms of understanding its origins, purpose and motivations). Our country needs us, as the future generation of lawyers, to understand this more than ever (given we stand to lose future EU oversight).</w:t>
      </w:r>
      <w:r w:rsidR="00C90E90">
        <w:rPr>
          <w:sz w:val="24"/>
        </w:rPr>
        <w:t>”</w:t>
      </w:r>
    </w:p>
    <w:p w14:paraId="52A6B440" w14:textId="1975D521" w:rsidR="00331E0A" w:rsidRDefault="009B6DC8" w:rsidP="008D251A">
      <w:pPr>
        <w:jc w:val="both"/>
        <w:rPr>
          <w:sz w:val="24"/>
        </w:rPr>
      </w:pPr>
      <w:r>
        <w:rPr>
          <w:sz w:val="24"/>
        </w:rPr>
        <w:t xml:space="preserve">Others referred to concerns that, in the absence of the EU </w:t>
      </w:r>
      <w:r w:rsidR="00FB79E7">
        <w:rPr>
          <w:sz w:val="24"/>
        </w:rPr>
        <w:t>f</w:t>
      </w:r>
      <w:r>
        <w:rPr>
          <w:sz w:val="24"/>
        </w:rPr>
        <w:t xml:space="preserve">reedoms, and </w:t>
      </w:r>
      <w:r w:rsidR="00171879">
        <w:rPr>
          <w:sz w:val="24"/>
        </w:rPr>
        <w:t>a result of no</w:t>
      </w:r>
      <w:r w:rsidR="00F7319C">
        <w:rPr>
          <w:sz w:val="24"/>
        </w:rPr>
        <w:t xml:space="preserve"> post-Brexit UK-</w:t>
      </w:r>
      <w:r>
        <w:rPr>
          <w:sz w:val="24"/>
        </w:rPr>
        <w:t>EU trade agreement</w:t>
      </w:r>
      <w:r w:rsidR="00276DA3">
        <w:rPr>
          <w:sz w:val="24"/>
        </w:rPr>
        <w:t xml:space="preserve"> being achieved, that</w:t>
      </w:r>
      <w:r w:rsidR="00171879">
        <w:rPr>
          <w:sz w:val="24"/>
        </w:rPr>
        <w:t xml:space="preserve"> instead studying World Trade Organization rules should instead be taught as a compulsory component of the </w:t>
      </w:r>
      <w:r w:rsidR="00F7319C">
        <w:rPr>
          <w:sz w:val="24"/>
        </w:rPr>
        <w:t>LLB</w:t>
      </w:r>
      <w:r w:rsidR="00171879">
        <w:rPr>
          <w:sz w:val="24"/>
        </w:rPr>
        <w:t xml:space="preserve">. </w:t>
      </w:r>
    </w:p>
    <w:p w14:paraId="5C7703F1" w14:textId="750D3AF6" w:rsidR="009B6DC8" w:rsidRDefault="009B6DC8" w:rsidP="008D251A">
      <w:pPr>
        <w:jc w:val="both"/>
        <w:rPr>
          <w:sz w:val="24"/>
        </w:rPr>
      </w:pPr>
      <w:r>
        <w:rPr>
          <w:sz w:val="24"/>
        </w:rPr>
        <w:t>It is perhaps not surprising</w:t>
      </w:r>
      <w:r w:rsidR="00171879">
        <w:rPr>
          <w:sz w:val="24"/>
        </w:rPr>
        <w:t xml:space="preserve"> that UK </w:t>
      </w:r>
      <w:r w:rsidR="00FB79E7">
        <w:rPr>
          <w:sz w:val="24"/>
        </w:rPr>
        <w:t>l</w:t>
      </w:r>
      <w:r w:rsidR="00171879">
        <w:rPr>
          <w:sz w:val="24"/>
        </w:rPr>
        <w:t xml:space="preserve">aw students in Wales have changed the way they view EU </w:t>
      </w:r>
      <w:r w:rsidR="00FB79E7">
        <w:rPr>
          <w:sz w:val="24"/>
        </w:rPr>
        <w:t>l</w:t>
      </w:r>
      <w:r w:rsidR="00171879">
        <w:rPr>
          <w:sz w:val="24"/>
        </w:rPr>
        <w:t xml:space="preserve">aw, and the career opportunities the discipline can </w:t>
      </w:r>
      <w:r w:rsidR="00BE4E2F">
        <w:rPr>
          <w:sz w:val="24"/>
        </w:rPr>
        <w:t xml:space="preserve">now </w:t>
      </w:r>
      <w:r w:rsidR="00171879">
        <w:rPr>
          <w:sz w:val="24"/>
        </w:rPr>
        <w:t xml:space="preserve">offer post-graduation, </w:t>
      </w:r>
      <w:r w:rsidR="00BE4E2F">
        <w:rPr>
          <w:sz w:val="24"/>
        </w:rPr>
        <w:t>particularly when accounting for the wider</w:t>
      </w:r>
      <w:r w:rsidR="00171879">
        <w:rPr>
          <w:sz w:val="24"/>
        </w:rPr>
        <w:t xml:space="preserve"> context of these perceptions. Given anti-EU domestic media coverage in the UK</w:t>
      </w:r>
      <w:r w:rsidR="00FB79E7">
        <w:rPr>
          <w:sz w:val="24"/>
        </w:rPr>
        <w:t>;</w:t>
      </w:r>
      <w:r w:rsidR="00F7319C">
        <w:rPr>
          <w:rStyle w:val="FootnoteReference"/>
          <w:sz w:val="24"/>
        </w:rPr>
        <w:footnoteReference w:id="65"/>
      </w:r>
      <w:r w:rsidR="00171879">
        <w:rPr>
          <w:sz w:val="24"/>
        </w:rPr>
        <w:t xml:space="preserve"> coupled with anti-E</w:t>
      </w:r>
      <w:r w:rsidR="00FB79E7">
        <w:rPr>
          <w:sz w:val="24"/>
        </w:rPr>
        <w:t>U</w:t>
      </w:r>
      <w:r w:rsidR="00171879">
        <w:rPr>
          <w:sz w:val="24"/>
        </w:rPr>
        <w:t xml:space="preserve"> </w:t>
      </w:r>
      <w:r w:rsidR="00FB79E7">
        <w:rPr>
          <w:sz w:val="24"/>
        </w:rPr>
        <w:t>l</w:t>
      </w:r>
      <w:r w:rsidR="00171879">
        <w:rPr>
          <w:sz w:val="24"/>
        </w:rPr>
        <w:t xml:space="preserve">aw stances </w:t>
      </w:r>
      <w:r w:rsidR="00F7319C">
        <w:rPr>
          <w:sz w:val="24"/>
        </w:rPr>
        <w:t xml:space="preserve">adopted </w:t>
      </w:r>
      <w:r w:rsidR="00171879">
        <w:rPr>
          <w:sz w:val="24"/>
        </w:rPr>
        <w:t>by some politicians and Cabinet ministers</w:t>
      </w:r>
      <w:r w:rsidR="00FB79E7">
        <w:rPr>
          <w:sz w:val="24"/>
        </w:rPr>
        <w:t>;</w:t>
      </w:r>
      <w:r w:rsidR="00F156A6">
        <w:rPr>
          <w:rStyle w:val="FootnoteReference"/>
          <w:sz w:val="24"/>
        </w:rPr>
        <w:footnoteReference w:id="66"/>
      </w:r>
      <w:r w:rsidR="00BE4E2F">
        <w:rPr>
          <w:sz w:val="24"/>
        </w:rPr>
        <w:t xml:space="preserve"> it is perhaps not surprising that students in Wales h</w:t>
      </w:r>
      <w:r w:rsidR="00FB79E7">
        <w:rPr>
          <w:sz w:val="24"/>
        </w:rPr>
        <w:t>old these views</w:t>
      </w:r>
      <w:r w:rsidR="00171879">
        <w:rPr>
          <w:sz w:val="24"/>
        </w:rPr>
        <w:t>.</w:t>
      </w:r>
      <w:r w:rsidR="0084121D">
        <w:rPr>
          <w:sz w:val="24"/>
        </w:rPr>
        <w:t xml:space="preserve"> </w:t>
      </w:r>
      <w:r w:rsidR="00171879">
        <w:rPr>
          <w:sz w:val="24"/>
        </w:rPr>
        <w:t>In order to respond to these students’ concerns</w:t>
      </w:r>
      <w:r w:rsidR="0084121D">
        <w:rPr>
          <w:sz w:val="24"/>
        </w:rPr>
        <w:t xml:space="preserve">, </w:t>
      </w:r>
      <w:r w:rsidR="00171879">
        <w:rPr>
          <w:sz w:val="24"/>
        </w:rPr>
        <w:t xml:space="preserve">which question the relevance of EU </w:t>
      </w:r>
      <w:r w:rsidR="0084121D">
        <w:rPr>
          <w:sz w:val="24"/>
        </w:rPr>
        <w:t>l</w:t>
      </w:r>
      <w:r w:rsidR="00171879">
        <w:rPr>
          <w:sz w:val="24"/>
        </w:rPr>
        <w:t xml:space="preserve">aw post-Brexit; greater emphasis is now needed on publicising and promoting awareness of the role and relevance of EU </w:t>
      </w:r>
      <w:r w:rsidR="0084121D">
        <w:rPr>
          <w:sz w:val="24"/>
        </w:rPr>
        <w:t>l</w:t>
      </w:r>
      <w:r w:rsidR="00171879">
        <w:rPr>
          <w:sz w:val="24"/>
        </w:rPr>
        <w:t>aw within the UK, irrespective of the outcome of the Brexit negotiations.</w:t>
      </w:r>
    </w:p>
    <w:p w14:paraId="5A0C642E" w14:textId="243F13E8" w:rsidR="006E63FF" w:rsidRDefault="009B6DC8" w:rsidP="00936BDB">
      <w:pPr>
        <w:jc w:val="both"/>
        <w:rPr>
          <w:b/>
          <w:sz w:val="28"/>
        </w:rPr>
      </w:pPr>
      <w:r>
        <w:rPr>
          <w:b/>
          <w:sz w:val="28"/>
        </w:rPr>
        <w:t>5</w:t>
      </w:r>
      <w:r w:rsidR="006E63FF">
        <w:rPr>
          <w:b/>
          <w:sz w:val="28"/>
        </w:rPr>
        <w:t>. Less Attractive Place</w:t>
      </w:r>
      <w:r w:rsidR="00DE4164">
        <w:rPr>
          <w:b/>
          <w:sz w:val="28"/>
        </w:rPr>
        <w:t>s</w:t>
      </w:r>
      <w:r w:rsidR="006E63FF">
        <w:rPr>
          <w:b/>
          <w:sz w:val="28"/>
        </w:rPr>
        <w:t xml:space="preserve"> to Study, Lecture and Research</w:t>
      </w:r>
    </w:p>
    <w:p w14:paraId="34696921" w14:textId="6547E399" w:rsidR="009B6DC8" w:rsidRDefault="009B6DC8" w:rsidP="008D251A">
      <w:pPr>
        <w:jc w:val="both"/>
        <w:rPr>
          <w:sz w:val="24"/>
        </w:rPr>
      </w:pPr>
      <w:r>
        <w:rPr>
          <w:sz w:val="24"/>
        </w:rPr>
        <w:t xml:space="preserve">One of the core concerns raised in the introduction to this paper was the question of whether the UK and Wales would be able to continue to attract high numbers of talented EU and international </w:t>
      </w:r>
      <w:r w:rsidR="0084121D">
        <w:rPr>
          <w:sz w:val="24"/>
        </w:rPr>
        <w:t>l</w:t>
      </w:r>
      <w:r>
        <w:rPr>
          <w:sz w:val="24"/>
        </w:rPr>
        <w:t xml:space="preserve">aw students, </w:t>
      </w:r>
      <w:r w:rsidR="0084121D">
        <w:rPr>
          <w:sz w:val="24"/>
        </w:rPr>
        <w:t>l</w:t>
      </w:r>
      <w:r>
        <w:rPr>
          <w:sz w:val="24"/>
        </w:rPr>
        <w:t>ecturers</w:t>
      </w:r>
      <w:r w:rsidR="00500776">
        <w:rPr>
          <w:sz w:val="24"/>
        </w:rPr>
        <w:t>,</w:t>
      </w:r>
      <w:r>
        <w:rPr>
          <w:sz w:val="24"/>
        </w:rPr>
        <w:t xml:space="preserve"> and researchers post Brexit. </w:t>
      </w:r>
      <w:r w:rsidR="0084121D">
        <w:rPr>
          <w:sz w:val="24"/>
        </w:rPr>
        <w:t>Consequently, a</w:t>
      </w:r>
      <w:r w:rsidR="00D66F34">
        <w:rPr>
          <w:sz w:val="24"/>
        </w:rPr>
        <w:t xml:space="preserve"> series of questions invit</w:t>
      </w:r>
      <w:r w:rsidR="00CB53AE">
        <w:rPr>
          <w:sz w:val="24"/>
        </w:rPr>
        <w:t>ed</w:t>
      </w:r>
      <w:r w:rsidR="00D66F34">
        <w:rPr>
          <w:sz w:val="24"/>
        </w:rPr>
        <w:t xml:space="preserve"> respondents to comment on whether they thought Brexit ma</w:t>
      </w:r>
      <w:r w:rsidR="006850A9">
        <w:rPr>
          <w:sz w:val="24"/>
        </w:rPr>
        <w:t>kes</w:t>
      </w:r>
      <w:r w:rsidR="00D66F34">
        <w:rPr>
          <w:sz w:val="24"/>
        </w:rPr>
        <w:t xml:space="preserve"> Wales a more or less attractive place for: i) other </w:t>
      </w:r>
      <w:r w:rsidR="001054BB">
        <w:rPr>
          <w:sz w:val="24"/>
        </w:rPr>
        <w:t xml:space="preserve">(non-UK) </w:t>
      </w:r>
      <w:r w:rsidR="00D66F34">
        <w:rPr>
          <w:sz w:val="24"/>
        </w:rPr>
        <w:t>EU students to come and study; ii) non-EU (international) students to come and study; iii) other</w:t>
      </w:r>
      <w:r w:rsidR="001054BB">
        <w:rPr>
          <w:sz w:val="24"/>
        </w:rPr>
        <w:t xml:space="preserve"> (non-UK)</w:t>
      </w:r>
      <w:r w:rsidR="00D66F34">
        <w:rPr>
          <w:sz w:val="24"/>
        </w:rPr>
        <w:t xml:space="preserve"> EU lecturers and researchers to come and work; or iv) non-EU (international) </w:t>
      </w:r>
      <w:r w:rsidR="0084121D">
        <w:rPr>
          <w:sz w:val="24"/>
        </w:rPr>
        <w:t>l</w:t>
      </w:r>
      <w:r w:rsidR="00D66F34">
        <w:rPr>
          <w:sz w:val="24"/>
        </w:rPr>
        <w:t xml:space="preserve">ecturers and researchers to come and work. </w:t>
      </w:r>
    </w:p>
    <w:p w14:paraId="56BB4E15" w14:textId="77777777" w:rsidR="00276DA3" w:rsidRDefault="00276DA3" w:rsidP="00584DD6">
      <w:pPr>
        <w:jc w:val="both"/>
        <w:rPr>
          <w:b/>
          <w:sz w:val="24"/>
        </w:rPr>
      </w:pPr>
    </w:p>
    <w:p w14:paraId="68E15840" w14:textId="77777777" w:rsidR="00276DA3" w:rsidRDefault="00276DA3" w:rsidP="00584DD6">
      <w:pPr>
        <w:jc w:val="both"/>
        <w:rPr>
          <w:b/>
          <w:sz w:val="24"/>
        </w:rPr>
      </w:pPr>
    </w:p>
    <w:p w14:paraId="4F099E25" w14:textId="13F2E900" w:rsidR="00584DD6" w:rsidRPr="00584DD6" w:rsidRDefault="00584DD6" w:rsidP="00584DD6">
      <w:pPr>
        <w:jc w:val="both"/>
        <w:rPr>
          <w:b/>
          <w:sz w:val="24"/>
        </w:rPr>
      </w:pPr>
      <w:r>
        <w:rPr>
          <w:b/>
          <w:sz w:val="24"/>
        </w:rPr>
        <w:lastRenderedPageBreak/>
        <w:t>5.1 A Less Attractive Place to Study for EU and International Law Students</w:t>
      </w:r>
    </w:p>
    <w:p w14:paraId="07D80F8B" w14:textId="6061214C" w:rsidR="00584DD6" w:rsidRDefault="00D66F34" w:rsidP="00584DD6">
      <w:pPr>
        <w:jc w:val="both"/>
        <w:rPr>
          <w:sz w:val="24"/>
        </w:rPr>
      </w:pPr>
      <w:r>
        <w:rPr>
          <w:sz w:val="24"/>
        </w:rPr>
        <w:t>Concerningly, the resul</w:t>
      </w:r>
      <w:r w:rsidR="001054BB">
        <w:rPr>
          <w:sz w:val="24"/>
        </w:rPr>
        <w:t>ts indicated</w:t>
      </w:r>
      <w:r>
        <w:rPr>
          <w:sz w:val="24"/>
        </w:rPr>
        <w:t xml:space="preserve"> that</w:t>
      </w:r>
      <w:r w:rsidR="008D251A">
        <w:rPr>
          <w:sz w:val="24"/>
        </w:rPr>
        <w:t xml:space="preserve"> 84% of </w:t>
      </w:r>
      <w:r>
        <w:rPr>
          <w:sz w:val="24"/>
        </w:rPr>
        <w:t>students</w:t>
      </w:r>
      <w:r w:rsidR="008D251A">
        <w:rPr>
          <w:sz w:val="24"/>
        </w:rPr>
        <w:t xml:space="preserve"> </w:t>
      </w:r>
      <w:r w:rsidR="00500776">
        <w:rPr>
          <w:sz w:val="24"/>
        </w:rPr>
        <w:t xml:space="preserve">surveyed </w:t>
      </w:r>
      <w:r w:rsidR="008D251A">
        <w:rPr>
          <w:sz w:val="24"/>
        </w:rPr>
        <w:t xml:space="preserve">believed that Wales would become a less attractive places for EU students to come and study </w:t>
      </w:r>
      <w:r w:rsidR="005D530E">
        <w:rPr>
          <w:sz w:val="24"/>
        </w:rPr>
        <w:t>l</w:t>
      </w:r>
      <w:r w:rsidR="008D251A">
        <w:rPr>
          <w:sz w:val="24"/>
        </w:rPr>
        <w:t>aw.</w:t>
      </w:r>
      <w:r w:rsidR="00901EE0">
        <w:rPr>
          <w:rStyle w:val="FootnoteReference"/>
          <w:sz w:val="24"/>
        </w:rPr>
        <w:footnoteReference w:id="67"/>
      </w:r>
      <w:r w:rsidR="008D251A">
        <w:rPr>
          <w:sz w:val="24"/>
        </w:rPr>
        <w:t xml:space="preserve"> </w:t>
      </w:r>
      <w:r w:rsidR="00584DD6">
        <w:rPr>
          <w:sz w:val="24"/>
        </w:rPr>
        <w:t xml:space="preserve">Whilst collectively the group felt that Brexit would have less of an impact on non-EU students (with 42% believing less non-EU students would come to study </w:t>
      </w:r>
      <w:r w:rsidR="005D530E">
        <w:rPr>
          <w:sz w:val="24"/>
        </w:rPr>
        <w:t>l</w:t>
      </w:r>
      <w:r w:rsidR="00584DD6">
        <w:rPr>
          <w:sz w:val="24"/>
        </w:rPr>
        <w:t>aw in Wales) interestingly the results found that, when focusing on just the responses of non-EU students, 9</w:t>
      </w:r>
      <w:r w:rsidR="007658E6">
        <w:rPr>
          <w:sz w:val="24"/>
        </w:rPr>
        <w:t>6</w:t>
      </w:r>
      <w:r w:rsidR="00584DD6">
        <w:rPr>
          <w:sz w:val="24"/>
        </w:rPr>
        <w:t xml:space="preserve">% of them felt that Wales was going to become a less attractive place to come and study </w:t>
      </w:r>
      <w:r w:rsidR="00605CCC">
        <w:rPr>
          <w:sz w:val="24"/>
        </w:rPr>
        <w:t>l</w:t>
      </w:r>
      <w:r w:rsidR="00584DD6">
        <w:rPr>
          <w:sz w:val="24"/>
        </w:rPr>
        <w:t xml:space="preserve">aw. </w:t>
      </w:r>
      <w:r w:rsidR="006850A9">
        <w:rPr>
          <w:sz w:val="24"/>
        </w:rPr>
        <w:t xml:space="preserve">Given Wales’ </w:t>
      </w:r>
      <w:r w:rsidR="00605CCC">
        <w:rPr>
          <w:sz w:val="24"/>
        </w:rPr>
        <w:t>l</w:t>
      </w:r>
      <w:r w:rsidR="006850A9">
        <w:rPr>
          <w:sz w:val="24"/>
        </w:rPr>
        <w:t xml:space="preserve">aw </w:t>
      </w:r>
      <w:r w:rsidR="00605CCC">
        <w:rPr>
          <w:sz w:val="24"/>
        </w:rPr>
        <w:t>s</w:t>
      </w:r>
      <w:r w:rsidR="006850A9">
        <w:rPr>
          <w:sz w:val="24"/>
        </w:rPr>
        <w:t xml:space="preserve">chools higher dependency on EU and international students; coupled with </w:t>
      </w:r>
      <w:r w:rsidR="00500776">
        <w:rPr>
          <w:sz w:val="24"/>
        </w:rPr>
        <w:t xml:space="preserve">Welsh </w:t>
      </w:r>
      <w:r w:rsidR="00605CCC">
        <w:rPr>
          <w:sz w:val="24"/>
        </w:rPr>
        <w:t>u</w:t>
      </w:r>
      <w:r w:rsidR="00500776">
        <w:rPr>
          <w:sz w:val="24"/>
        </w:rPr>
        <w:t>niversities</w:t>
      </w:r>
      <w:r w:rsidR="006850A9">
        <w:rPr>
          <w:sz w:val="24"/>
        </w:rPr>
        <w:t xml:space="preserve"> higher than average dependency on EU research funds; </w:t>
      </w:r>
      <w:r w:rsidR="00500776">
        <w:rPr>
          <w:sz w:val="24"/>
        </w:rPr>
        <w:t xml:space="preserve">it is therefore fair to assume that </w:t>
      </w:r>
      <w:r w:rsidR="006850A9">
        <w:rPr>
          <w:sz w:val="24"/>
        </w:rPr>
        <w:t>the financial viability of Wales</w:t>
      </w:r>
      <w:r w:rsidR="003D05CF">
        <w:rPr>
          <w:sz w:val="24"/>
        </w:rPr>
        <w:t>’</w:t>
      </w:r>
      <w:r w:rsidR="006850A9">
        <w:rPr>
          <w:sz w:val="24"/>
        </w:rPr>
        <w:t xml:space="preserve"> </w:t>
      </w:r>
      <w:r w:rsidR="00605CCC">
        <w:rPr>
          <w:sz w:val="24"/>
        </w:rPr>
        <w:t>l</w:t>
      </w:r>
      <w:r w:rsidR="006850A9">
        <w:rPr>
          <w:sz w:val="24"/>
        </w:rPr>
        <w:t xml:space="preserve">aw </w:t>
      </w:r>
      <w:r w:rsidR="00605CCC">
        <w:rPr>
          <w:sz w:val="24"/>
        </w:rPr>
        <w:t>s</w:t>
      </w:r>
      <w:r w:rsidR="006850A9">
        <w:rPr>
          <w:sz w:val="24"/>
        </w:rPr>
        <w:t xml:space="preserve">chools in future years </w:t>
      </w:r>
      <w:r w:rsidR="001054BB">
        <w:rPr>
          <w:sz w:val="24"/>
        </w:rPr>
        <w:t xml:space="preserve">is </w:t>
      </w:r>
      <w:r w:rsidR="006850A9">
        <w:rPr>
          <w:sz w:val="24"/>
        </w:rPr>
        <w:t xml:space="preserve">set to encounter </w:t>
      </w:r>
      <w:r w:rsidR="001054BB">
        <w:rPr>
          <w:sz w:val="24"/>
        </w:rPr>
        <w:t xml:space="preserve">further </w:t>
      </w:r>
      <w:r w:rsidR="006850A9">
        <w:rPr>
          <w:sz w:val="24"/>
        </w:rPr>
        <w:t>significant challenges. Such finding</w:t>
      </w:r>
      <w:r w:rsidR="001054BB">
        <w:rPr>
          <w:sz w:val="24"/>
        </w:rPr>
        <w:t>s</w:t>
      </w:r>
      <w:r w:rsidR="006850A9">
        <w:rPr>
          <w:sz w:val="24"/>
        </w:rPr>
        <w:t xml:space="preserve"> re-emphasise the need for the Welsh and UK Governments to work with Higher Education institutions to incentivise</w:t>
      </w:r>
      <w:r w:rsidR="00296A54">
        <w:rPr>
          <w:sz w:val="24"/>
        </w:rPr>
        <w:t xml:space="preserve"> international student study,</w:t>
      </w:r>
      <w:r w:rsidR="006850A9">
        <w:rPr>
          <w:sz w:val="24"/>
        </w:rPr>
        <w:t xml:space="preserve"> and reassert that overseas students are welcome. In a fiercely competitive international </w:t>
      </w:r>
      <w:r w:rsidR="00605CCC">
        <w:rPr>
          <w:sz w:val="24"/>
        </w:rPr>
        <w:t>l</w:t>
      </w:r>
      <w:r w:rsidR="00296A54">
        <w:rPr>
          <w:sz w:val="24"/>
        </w:rPr>
        <w:t xml:space="preserve">aw </w:t>
      </w:r>
      <w:r w:rsidR="006850A9">
        <w:rPr>
          <w:sz w:val="24"/>
        </w:rPr>
        <w:t xml:space="preserve">student environment, Higher Education </w:t>
      </w:r>
      <w:r w:rsidR="001054BB">
        <w:rPr>
          <w:sz w:val="24"/>
        </w:rPr>
        <w:t xml:space="preserve">establishments </w:t>
      </w:r>
      <w:r w:rsidR="006850A9">
        <w:rPr>
          <w:sz w:val="24"/>
        </w:rPr>
        <w:t>need such solutions and proposals promptly, so as to not hinder their ability to recruit</w:t>
      </w:r>
      <w:r w:rsidR="00296A54">
        <w:rPr>
          <w:sz w:val="24"/>
        </w:rPr>
        <w:t xml:space="preserve"> in markets where international competitors are waiting to capitalise on UK </w:t>
      </w:r>
      <w:r w:rsidR="00605CCC">
        <w:rPr>
          <w:sz w:val="24"/>
        </w:rPr>
        <w:t>u</w:t>
      </w:r>
      <w:r w:rsidR="00296A54">
        <w:rPr>
          <w:sz w:val="24"/>
        </w:rPr>
        <w:t>niversities’ uncertaint</w:t>
      </w:r>
      <w:r w:rsidR="001054BB">
        <w:rPr>
          <w:sz w:val="24"/>
        </w:rPr>
        <w:t>y</w:t>
      </w:r>
      <w:r w:rsidR="00296A54">
        <w:rPr>
          <w:sz w:val="24"/>
        </w:rPr>
        <w:t xml:space="preserve">. </w:t>
      </w:r>
      <w:r w:rsidR="006850A9">
        <w:rPr>
          <w:sz w:val="24"/>
        </w:rPr>
        <w:t xml:space="preserve"> </w:t>
      </w:r>
    </w:p>
    <w:p w14:paraId="5186AC0D" w14:textId="74BE9735" w:rsidR="007658E6" w:rsidRDefault="007658E6" w:rsidP="00584DD6">
      <w:pPr>
        <w:jc w:val="both"/>
        <w:rPr>
          <w:sz w:val="24"/>
        </w:rPr>
      </w:pPr>
      <w:r>
        <w:rPr>
          <w:sz w:val="24"/>
        </w:rPr>
        <w:t xml:space="preserve">Beyond these financial implications; fewer EU and </w:t>
      </w:r>
      <w:r w:rsidR="00500776">
        <w:rPr>
          <w:sz w:val="24"/>
        </w:rPr>
        <w:t>non-EU</w:t>
      </w:r>
      <w:r>
        <w:rPr>
          <w:sz w:val="24"/>
        </w:rPr>
        <w:t xml:space="preserve"> </w:t>
      </w:r>
      <w:r w:rsidR="00605CCC">
        <w:rPr>
          <w:sz w:val="24"/>
        </w:rPr>
        <w:t>l</w:t>
      </w:r>
      <w:r>
        <w:rPr>
          <w:sz w:val="24"/>
        </w:rPr>
        <w:t xml:space="preserve">aw students studying </w:t>
      </w:r>
      <w:r w:rsidR="00605CCC">
        <w:rPr>
          <w:sz w:val="24"/>
        </w:rPr>
        <w:t>at</w:t>
      </w:r>
      <w:r>
        <w:rPr>
          <w:sz w:val="24"/>
        </w:rPr>
        <w:t xml:space="preserve"> </w:t>
      </w:r>
      <w:r w:rsidR="00500776">
        <w:rPr>
          <w:sz w:val="24"/>
        </w:rPr>
        <w:t xml:space="preserve">Welsh </w:t>
      </w:r>
      <w:r w:rsidR="00605CCC">
        <w:rPr>
          <w:sz w:val="24"/>
        </w:rPr>
        <w:t>u</w:t>
      </w:r>
      <w:r>
        <w:rPr>
          <w:sz w:val="24"/>
        </w:rPr>
        <w:t xml:space="preserve">niversities could have damaging implications for the future generation of Welsh lawyers’ exposure to an international learning environment; their awareness of international career opportunities; as well as their international outlook.  </w:t>
      </w:r>
    </w:p>
    <w:p w14:paraId="4D855AAF" w14:textId="3C610FB9" w:rsidR="00584DD6" w:rsidRDefault="00584DD6" w:rsidP="008D251A">
      <w:pPr>
        <w:jc w:val="both"/>
        <w:rPr>
          <w:b/>
          <w:sz w:val="24"/>
        </w:rPr>
      </w:pPr>
      <w:r>
        <w:rPr>
          <w:b/>
          <w:sz w:val="24"/>
        </w:rPr>
        <w:t xml:space="preserve">5.2 A Less Attractive Place to Work for EU and </w:t>
      </w:r>
      <w:r w:rsidR="00500776">
        <w:rPr>
          <w:b/>
          <w:sz w:val="24"/>
        </w:rPr>
        <w:t>Non-EU</w:t>
      </w:r>
      <w:r>
        <w:rPr>
          <w:b/>
          <w:sz w:val="24"/>
        </w:rPr>
        <w:t xml:space="preserve"> Lecturers and Researchers</w:t>
      </w:r>
    </w:p>
    <w:p w14:paraId="5CC95AC1" w14:textId="45E56C9E" w:rsidR="008E139A" w:rsidRDefault="00296A54" w:rsidP="008D251A">
      <w:pPr>
        <w:jc w:val="both"/>
        <w:rPr>
          <w:sz w:val="24"/>
        </w:rPr>
      </w:pPr>
      <w:r>
        <w:rPr>
          <w:sz w:val="24"/>
        </w:rPr>
        <w:t xml:space="preserve">In assessing </w:t>
      </w:r>
      <w:r w:rsidR="00500776">
        <w:rPr>
          <w:sz w:val="24"/>
        </w:rPr>
        <w:t xml:space="preserve">the risk to </w:t>
      </w:r>
      <w:r>
        <w:rPr>
          <w:sz w:val="24"/>
        </w:rPr>
        <w:t xml:space="preserve">Welsh </w:t>
      </w:r>
      <w:r w:rsidR="00605CCC">
        <w:rPr>
          <w:sz w:val="24"/>
        </w:rPr>
        <w:t>l</w:t>
      </w:r>
      <w:r>
        <w:rPr>
          <w:sz w:val="24"/>
        </w:rPr>
        <w:t xml:space="preserve">aw </w:t>
      </w:r>
      <w:r w:rsidR="00605CCC">
        <w:rPr>
          <w:sz w:val="24"/>
        </w:rPr>
        <w:t>s</w:t>
      </w:r>
      <w:r>
        <w:rPr>
          <w:sz w:val="24"/>
        </w:rPr>
        <w:t>chool</w:t>
      </w:r>
      <w:r w:rsidR="001054BB">
        <w:rPr>
          <w:sz w:val="24"/>
        </w:rPr>
        <w:t>s’</w:t>
      </w:r>
      <w:r>
        <w:rPr>
          <w:sz w:val="24"/>
        </w:rPr>
        <w:t xml:space="preserve"> </w:t>
      </w:r>
      <w:r w:rsidR="00DB7565">
        <w:rPr>
          <w:sz w:val="24"/>
        </w:rPr>
        <w:t>employees</w:t>
      </w:r>
      <w:r w:rsidR="00500776">
        <w:rPr>
          <w:sz w:val="24"/>
        </w:rPr>
        <w:t>,</w:t>
      </w:r>
      <w:r w:rsidR="001054BB">
        <w:rPr>
          <w:sz w:val="24"/>
        </w:rPr>
        <w:t xml:space="preserve"> </w:t>
      </w:r>
      <w:r>
        <w:rPr>
          <w:sz w:val="24"/>
        </w:rPr>
        <w:t xml:space="preserve">current </w:t>
      </w:r>
      <w:r w:rsidR="00605CCC">
        <w:rPr>
          <w:sz w:val="24"/>
        </w:rPr>
        <w:t>online</w:t>
      </w:r>
      <w:r w:rsidR="00DB7565">
        <w:rPr>
          <w:sz w:val="24"/>
        </w:rPr>
        <w:t xml:space="preserve"> staff</w:t>
      </w:r>
      <w:r>
        <w:rPr>
          <w:sz w:val="24"/>
        </w:rPr>
        <w:t xml:space="preserve"> profiles</w:t>
      </w:r>
      <w:r w:rsidR="00DB7565">
        <w:rPr>
          <w:sz w:val="24"/>
        </w:rPr>
        <w:t>,</w:t>
      </w:r>
      <w:r>
        <w:rPr>
          <w:sz w:val="24"/>
        </w:rPr>
        <w:t xml:space="preserve"> on the respective </w:t>
      </w:r>
      <w:r w:rsidR="005F45F2">
        <w:rPr>
          <w:sz w:val="24"/>
        </w:rPr>
        <w:t>universities’</w:t>
      </w:r>
      <w:r>
        <w:rPr>
          <w:sz w:val="24"/>
        </w:rPr>
        <w:t xml:space="preserve"> websites</w:t>
      </w:r>
      <w:r w:rsidR="00DB7565">
        <w:rPr>
          <w:sz w:val="24"/>
        </w:rPr>
        <w:t>,</w:t>
      </w:r>
      <w:r>
        <w:rPr>
          <w:sz w:val="24"/>
        </w:rPr>
        <w:t xml:space="preserve"> indicate that</w:t>
      </w:r>
      <w:r w:rsidR="00605CCC">
        <w:rPr>
          <w:sz w:val="24"/>
        </w:rPr>
        <w:t>, prima-facie,</w:t>
      </w:r>
      <w:r>
        <w:rPr>
          <w:sz w:val="24"/>
        </w:rPr>
        <w:t xml:space="preserve"> there are</w:t>
      </w:r>
      <w:r w:rsidR="001054BB">
        <w:rPr>
          <w:sz w:val="24"/>
        </w:rPr>
        <w:t xml:space="preserve"> at</w:t>
      </w:r>
      <w:r>
        <w:rPr>
          <w:sz w:val="24"/>
        </w:rPr>
        <w:t xml:space="preserve"> least 165 full time </w:t>
      </w:r>
      <w:r w:rsidR="00605CCC">
        <w:rPr>
          <w:sz w:val="24"/>
        </w:rPr>
        <w:t>t</w:t>
      </w:r>
      <w:r>
        <w:rPr>
          <w:sz w:val="24"/>
        </w:rPr>
        <w:t xml:space="preserve">utors, </w:t>
      </w:r>
      <w:r w:rsidR="00605CCC">
        <w:rPr>
          <w:sz w:val="24"/>
        </w:rPr>
        <w:t>l</w:t>
      </w:r>
      <w:r w:rsidR="00CD319C">
        <w:rPr>
          <w:sz w:val="24"/>
        </w:rPr>
        <w:t xml:space="preserve">ecturers, </w:t>
      </w:r>
      <w:r w:rsidR="00605CCC">
        <w:rPr>
          <w:sz w:val="24"/>
        </w:rPr>
        <w:t>s</w:t>
      </w:r>
      <w:r>
        <w:rPr>
          <w:sz w:val="24"/>
        </w:rPr>
        <w:t xml:space="preserve">enior </w:t>
      </w:r>
      <w:r w:rsidR="00605CCC">
        <w:rPr>
          <w:sz w:val="24"/>
        </w:rPr>
        <w:t>l</w:t>
      </w:r>
      <w:r>
        <w:rPr>
          <w:sz w:val="24"/>
        </w:rPr>
        <w:t xml:space="preserve">ecturers, </w:t>
      </w:r>
      <w:r w:rsidR="00605CCC">
        <w:rPr>
          <w:sz w:val="24"/>
        </w:rPr>
        <w:t>r</w:t>
      </w:r>
      <w:r>
        <w:rPr>
          <w:sz w:val="24"/>
        </w:rPr>
        <w:t xml:space="preserve">eaders, </w:t>
      </w:r>
      <w:r w:rsidR="00605CCC">
        <w:rPr>
          <w:sz w:val="24"/>
        </w:rPr>
        <w:t>a</w:t>
      </w:r>
      <w:r>
        <w:rPr>
          <w:sz w:val="24"/>
        </w:rPr>
        <w:t xml:space="preserve">ssociate </w:t>
      </w:r>
      <w:r w:rsidR="00605CCC">
        <w:rPr>
          <w:sz w:val="24"/>
        </w:rPr>
        <w:t>p</w:t>
      </w:r>
      <w:r>
        <w:rPr>
          <w:sz w:val="24"/>
        </w:rPr>
        <w:t xml:space="preserve">rofessors, and </w:t>
      </w:r>
      <w:r w:rsidR="00605CCC">
        <w:rPr>
          <w:sz w:val="24"/>
        </w:rPr>
        <w:t>p</w:t>
      </w:r>
      <w:r>
        <w:rPr>
          <w:sz w:val="24"/>
        </w:rPr>
        <w:t>rofessors working within the</w:t>
      </w:r>
      <w:r w:rsidR="00605CCC">
        <w:rPr>
          <w:sz w:val="24"/>
        </w:rPr>
        <w:t xml:space="preserve"> law schools at the</w:t>
      </w:r>
      <w:r>
        <w:rPr>
          <w:sz w:val="24"/>
        </w:rPr>
        <w:t xml:space="preserve"> </w:t>
      </w:r>
      <w:r w:rsidR="00605CCC">
        <w:rPr>
          <w:sz w:val="24"/>
        </w:rPr>
        <w:t>u</w:t>
      </w:r>
      <w:r>
        <w:rPr>
          <w:sz w:val="24"/>
        </w:rPr>
        <w:t xml:space="preserve">niversities of Aberystwyth, Bangor, Cardiff, Swansea and South Wales. Of these, it is </w:t>
      </w:r>
      <w:r w:rsidR="00605CCC">
        <w:rPr>
          <w:sz w:val="24"/>
        </w:rPr>
        <w:t>suggested,</w:t>
      </w:r>
      <w:r>
        <w:rPr>
          <w:sz w:val="24"/>
        </w:rPr>
        <w:t xml:space="preserve"> </w:t>
      </w:r>
      <w:r w:rsidR="00605CCC">
        <w:rPr>
          <w:sz w:val="24"/>
        </w:rPr>
        <w:t>by the</w:t>
      </w:r>
      <w:r>
        <w:rPr>
          <w:sz w:val="24"/>
        </w:rPr>
        <w:t xml:space="preserve"> bio</w:t>
      </w:r>
      <w:r w:rsidR="00901EE0">
        <w:rPr>
          <w:sz w:val="24"/>
        </w:rPr>
        <w:t>graphical</w:t>
      </w:r>
      <w:r>
        <w:rPr>
          <w:sz w:val="24"/>
        </w:rPr>
        <w:t xml:space="preserve"> descriptions</w:t>
      </w:r>
      <w:r w:rsidR="001054BB">
        <w:rPr>
          <w:sz w:val="24"/>
        </w:rPr>
        <w:t>,</w:t>
      </w:r>
      <w:r>
        <w:rPr>
          <w:sz w:val="24"/>
        </w:rPr>
        <w:t xml:space="preserve"> that at least 53 are non-UK nationals (i.e. nationals of other-EU</w:t>
      </w:r>
      <w:r w:rsidR="001054BB">
        <w:rPr>
          <w:sz w:val="24"/>
        </w:rPr>
        <w:t xml:space="preserve"> or international</w:t>
      </w:r>
      <w:r>
        <w:rPr>
          <w:sz w:val="24"/>
        </w:rPr>
        <w:t xml:space="preserve"> countries).</w:t>
      </w:r>
      <w:r w:rsidR="00605CCC">
        <w:rPr>
          <w:rStyle w:val="FootnoteReference"/>
          <w:sz w:val="24"/>
        </w:rPr>
        <w:footnoteReference w:id="68"/>
      </w:r>
      <w:r>
        <w:rPr>
          <w:sz w:val="24"/>
        </w:rPr>
        <w:t xml:space="preserve"> Collectively such </w:t>
      </w:r>
      <w:r w:rsidR="005B033E">
        <w:rPr>
          <w:sz w:val="24"/>
        </w:rPr>
        <w:t xml:space="preserve">individuals </w:t>
      </w:r>
      <w:r>
        <w:rPr>
          <w:sz w:val="24"/>
        </w:rPr>
        <w:t xml:space="preserve">make up nearly a third, or 32% of Wales’ </w:t>
      </w:r>
      <w:r w:rsidR="00276DA3">
        <w:rPr>
          <w:sz w:val="24"/>
        </w:rPr>
        <w:t>l</w:t>
      </w:r>
      <w:r w:rsidR="001054BB">
        <w:rPr>
          <w:sz w:val="24"/>
        </w:rPr>
        <w:t>aw academics</w:t>
      </w:r>
      <w:r>
        <w:rPr>
          <w:sz w:val="24"/>
        </w:rPr>
        <w:t xml:space="preserve">. Noteworthy is how many of these 53 are holding the status of </w:t>
      </w:r>
      <w:r w:rsidR="00DB7565">
        <w:rPr>
          <w:sz w:val="24"/>
        </w:rPr>
        <w:t>s</w:t>
      </w:r>
      <w:r>
        <w:rPr>
          <w:sz w:val="24"/>
        </w:rPr>
        <w:t xml:space="preserve">enior </w:t>
      </w:r>
      <w:r w:rsidR="00DB7565">
        <w:rPr>
          <w:sz w:val="24"/>
        </w:rPr>
        <w:t>l</w:t>
      </w:r>
      <w:r>
        <w:rPr>
          <w:sz w:val="24"/>
        </w:rPr>
        <w:t xml:space="preserve">ecturers, </w:t>
      </w:r>
      <w:r w:rsidR="00DB7565">
        <w:rPr>
          <w:sz w:val="24"/>
        </w:rPr>
        <w:t>r</w:t>
      </w:r>
      <w:r>
        <w:rPr>
          <w:sz w:val="24"/>
        </w:rPr>
        <w:t xml:space="preserve">eaders, </w:t>
      </w:r>
      <w:r w:rsidR="00DB7565">
        <w:rPr>
          <w:sz w:val="24"/>
        </w:rPr>
        <w:t>a</w:t>
      </w:r>
      <w:r>
        <w:rPr>
          <w:sz w:val="24"/>
        </w:rPr>
        <w:t xml:space="preserve">ssociate </w:t>
      </w:r>
      <w:r w:rsidR="00DB7565">
        <w:rPr>
          <w:sz w:val="24"/>
        </w:rPr>
        <w:t>p</w:t>
      </w:r>
      <w:r>
        <w:rPr>
          <w:sz w:val="24"/>
        </w:rPr>
        <w:t xml:space="preserve">rofessors and </w:t>
      </w:r>
      <w:r w:rsidR="00DB7565">
        <w:rPr>
          <w:sz w:val="24"/>
        </w:rPr>
        <w:t>p</w:t>
      </w:r>
      <w:r>
        <w:rPr>
          <w:sz w:val="24"/>
        </w:rPr>
        <w:t xml:space="preserve">rofessors within our </w:t>
      </w:r>
      <w:r w:rsidR="00901EE0">
        <w:rPr>
          <w:sz w:val="24"/>
        </w:rPr>
        <w:t>U</w:t>
      </w:r>
      <w:r>
        <w:rPr>
          <w:sz w:val="24"/>
        </w:rPr>
        <w:t>niversities</w:t>
      </w:r>
      <w:r w:rsidR="00CD319C">
        <w:rPr>
          <w:sz w:val="24"/>
        </w:rPr>
        <w:t xml:space="preserve"> (with 29 out of the 53 holding positions with higher academic titles).</w:t>
      </w:r>
      <w:r>
        <w:rPr>
          <w:sz w:val="24"/>
        </w:rPr>
        <w:t xml:space="preserve"> </w:t>
      </w:r>
      <w:r w:rsidR="007658E6">
        <w:rPr>
          <w:sz w:val="24"/>
        </w:rPr>
        <w:t xml:space="preserve">When looking at online profile specialisms, </w:t>
      </w:r>
      <w:r>
        <w:rPr>
          <w:sz w:val="24"/>
        </w:rPr>
        <w:t>7</w:t>
      </w:r>
      <w:r w:rsidR="007658E6">
        <w:rPr>
          <w:sz w:val="24"/>
        </w:rPr>
        <w:t>7</w:t>
      </w:r>
      <w:r>
        <w:rPr>
          <w:sz w:val="24"/>
        </w:rPr>
        <w:t xml:space="preserve">% of the international and EU </w:t>
      </w:r>
      <w:r w:rsidR="00DB7565">
        <w:rPr>
          <w:sz w:val="24"/>
        </w:rPr>
        <w:t>academics</w:t>
      </w:r>
      <w:r w:rsidR="001054BB">
        <w:rPr>
          <w:sz w:val="24"/>
        </w:rPr>
        <w:t xml:space="preserve"> in W</w:t>
      </w:r>
      <w:r w:rsidR="00DB7565">
        <w:rPr>
          <w:sz w:val="24"/>
        </w:rPr>
        <w:t>elsh law schools</w:t>
      </w:r>
      <w:r w:rsidR="008E139A">
        <w:rPr>
          <w:sz w:val="24"/>
        </w:rPr>
        <w:t xml:space="preserve"> are recognised as specialists in subjects that traditionally </w:t>
      </w:r>
      <w:r w:rsidR="001054BB">
        <w:rPr>
          <w:sz w:val="24"/>
        </w:rPr>
        <w:t>attract</w:t>
      </w:r>
      <w:r w:rsidR="008E139A">
        <w:rPr>
          <w:sz w:val="24"/>
        </w:rPr>
        <w:t xml:space="preserve"> the </w:t>
      </w:r>
      <w:r w:rsidR="008E139A" w:rsidRPr="00500776">
        <w:rPr>
          <w:i/>
          <w:sz w:val="24"/>
        </w:rPr>
        <w:t>highest numbers</w:t>
      </w:r>
      <w:r w:rsidR="008E139A">
        <w:rPr>
          <w:sz w:val="24"/>
        </w:rPr>
        <w:t xml:space="preserve"> of international </w:t>
      </w:r>
      <w:r w:rsidR="00DB7565">
        <w:rPr>
          <w:sz w:val="24"/>
        </w:rPr>
        <w:t>l</w:t>
      </w:r>
      <w:r w:rsidR="008E139A">
        <w:rPr>
          <w:sz w:val="24"/>
        </w:rPr>
        <w:t xml:space="preserve">aw students, </w:t>
      </w:r>
      <w:r w:rsidR="001054BB">
        <w:rPr>
          <w:sz w:val="24"/>
        </w:rPr>
        <w:t>for example</w:t>
      </w:r>
      <w:r w:rsidR="008E139A">
        <w:rPr>
          <w:sz w:val="24"/>
        </w:rPr>
        <w:t xml:space="preserve">: </w:t>
      </w:r>
      <w:r w:rsidR="00DB7565">
        <w:rPr>
          <w:sz w:val="24"/>
        </w:rPr>
        <w:t>h</w:t>
      </w:r>
      <w:r w:rsidR="008E139A">
        <w:rPr>
          <w:sz w:val="24"/>
        </w:rPr>
        <w:t xml:space="preserve">uman </w:t>
      </w:r>
      <w:r w:rsidR="00DB7565">
        <w:rPr>
          <w:sz w:val="24"/>
        </w:rPr>
        <w:t>r</w:t>
      </w:r>
      <w:r w:rsidR="008E139A">
        <w:rPr>
          <w:sz w:val="24"/>
        </w:rPr>
        <w:t xml:space="preserve">ights </w:t>
      </w:r>
      <w:r w:rsidR="00DB7565">
        <w:rPr>
          <w:sz w:val="24"/>
        </w:rPr>
        <w:t>l</w:t>
      </w:r>
      <w:r w:rsidR="008E139A">
        <w:rPr>
          <w:sz w:val="24"/>
        </w:rPr>
        <w:t xml:space="preserve">aw; </w:t>
      </w:r>
      <w:r w:rsidR="00DB7565">
        <w:rPr>
          <w:sz w:val="24"/>
        </w:rPr>
        <w:t>h</w:t>
      </w:r>
      <w:r w:rsidR="008E139A">
        <w:rPr>
          <w:sz w:val="24"/>
        </w:rPr>
        <w:t xml:space="preserve">umanitarian </w:t>
      </w:r>
      <w:r w:rsidR="00DB7565">
        <w:rPr>
          <w:sz w:val="24"/>
        </w:rPr>
        <w:t>l</w:t>
      </w:r>
      <w:r w:rsidR="008E139A">
        <w:rPr>
          <w:sz w:val="24"/>
        </w:rPr>
        <w:t xml:space="preserve">aw; EU and </w:t>
      </w:r>
      <w:r w:rsidR="00DB7565">
        <w:rPr>
          <w:sz w:val="24"/>
        </w:rPr>
        <w:t>i</w:t>
      </w:r>
      <w:r w:rsidR="008E139A">
        <w:rPr>
          <w:sz w:val="24"/>
        </w:rPr>
        <w:t xml:space="preserve">nternational </w:t>
      </w:r>
      <w:r w:rsidR="00DB7565">
        <w:rPr>
          <w:sz w:val="24"/>
        </w:rPr>
        <w:t>t</w:t>
      </w:r>
      <w:r w:rsidR="008E139A">
        <w:rPr>
          <w:sz w:val="24"/>
        </w:rPr>
        <w:t xml:space="preserve">rade </w:t>
      </w:r>
      <w:r w:rsidR="00DB7565">
        <w:rPr>
          <w:sz w:val="24"/>
        </w:rPr>
        <w:t>l</w:t>
      </w:r>
      <w:r w:rsidR="008E139A">
        <w:rPr>
          <w:sz w:val="24"/>
        </w:rPr>
        <w:t xml:space="preserve">aw; </w:t>
      </w:r>
      <w:r w:rsidR="00DB7565">
        <w:rPr>
          <w:sz w:val="24"/>
        </w:rPr>
        <w:t>i</w:t>
      </w:r>
      <w:r w:rsidR="008E139A">
        <w:rPr>
          <w:sz w:val="24"/>
        </w:rPr>
        <w:t xml:space="preserve">nternational </w:t>
      </w:r>
      <w:r w:rsidR="00DB7565">
        <w:rPr>
          <w:sz w:val="24"/>
        </w:rPr>
        <w:t>p</w:t>
      </w:r>
      <w:r w:rsidR="008E139A">
        <w:rPr>
          <w:sz w:val="24"/>
        </w:rPr>
        <w:t xml:space="preserve">rocurement </w:t>
      </w:r>
      <w:r w:rsidR="00DB7565">
        <w:rPr>
          <w:sz w:val="24"/>
        </w:rPr>
        <w:t>l</w:t>
      </w:r>
      <w:r w:rsidR="008E139A">
        <w:rPr>
          <w:sz w:val="24"/>
        </w:rPr>
        <w:t xml:space="preserve">aw; and </w:t>
      </w:r>
      <w:r w:rsidR="00DB7565">
        <w:rPr>
          <w:sz w:val="24"/>
        </w:rPr>
        <w:t>i</w:t>
      </w:r>
      <w:r w:rsidR="008E139A">
        <w:rPr>
          <w:sz w:val="24"/>
        </w:rPr>
        <w:t xml:space="preserve">nternational </w:t>
      </w:r>
      <w:r w:rsidR="00DB7565">
        <w:rPr>
          <w:sz w:val="24"/>
        </w:rPr>
        <w:t>p</w:t>
      </w:r>
      <w:r w:rsidR="008E139A">
        <w:rPr>
          <w:sz w:val="24"/>
        </w:rPr>
        <w:t xml:space="preserve">ublic </w:t>
      </w:r>
      <w:r w:rsidR="00DB7565">
        <w:rPr>
          <w:sz w:val="24"/>
        </w:rPr>
        <w:t>l</w:t>
      </w:r>
      <w:r w:rsidR="008E139A">
        <w:rPr>
          <w:sz w:val="24"/>
        </w:rPr>
        <w:t xml:space="preserve">aw. </w:t>
      </w:r>
      <w:r w:rsidR="005B033E">
        <w:rPr>
          <w:sz w:val="24"/>
        </w:rPr>
        <w:t xml:space="preserve">If these </w:t>
      </w:r>
      <w:r w:rsidR="00DB7565">
        <w:rPr>
          <w:sz w:val="24"/>
        </w:rPr>
        <w:t>l</w:t>
      </w:r>
      <w:r w:rsidR="005B033E">
        <w:rPr>
          <w:sz w:val="24"/>
        </w:rPr>
        <w:t xml:space="preserve">ecturers were to collectively leave Wales’ </w:t>
      </w:r>
      <w:r w:rsidR="00DB7565">
        <w:rPr>
          <w:sz w:val="24"/>
        </w:rPr>
        <w:t>l</w:t>
      </w:r>
      <w:r w:rsidR="005B033E">
        <w:rPr>
          <w:sz w:val="24"/>
        </w:rPr>
        <w:t xml:space="preserve">aw </w:t>
      </w:r>
      <w:r w:rsidR="00DB7565">
        <w:rPr>
          <w:sz w:val="24"/>
        </w:rPr>
        <w:t>s</w:t>
      </w:r>
      <w:r w:rsidR="005B033E">
        <w:rPr>
          <w:sz w:val="24"/>
        </w:rPr>
        <w:t>chools</w:t>
      </w:r>
      <w:r w:rsidR="00276DA3">
        <w:rPr>
          <w:sz w:val="24"/>
        </w:rPr>
        <w:t>,</w:t>
      </w:r>
      <w:r w:rsidR="005B033E">
        <w:rPr>
          <w:sz w:val="24"/>
        </w:rPr>
        <w:t xml:space="preserve"> there would be </w:t>
      </w:r>
      <w:r w:rsidR="00DB7565">
        <w:rPr>
          <w:sz w:val="24"/>
        </w:rPr>
        <w:t>significant</w:t>
      </w:r>
      <w:r w:rsidR="005B033E">
        <w:rPr>
          <w:sz w:val="24"/>
        </w:rPr>
        <w:t xml:space="preserve"> </w:t>
      </w:r>
      <w:r w:rsidR="005B033E">
        <w:rPr>
          <w:sz w:val="24"/>
        </w:rPr>
        <w:lastRenderedPageBreak/>
        <w:t xml:space="preserve">consequences for Welsh </w:t>
      </w:r>
      <w:r w:rsidR="00DB7565">
        <w:rPr>
          <w:sz w:val="24"/>
        </w:rPr>
        <w:t>u</w:t>
      </w:r>
      <w:r w:rsidR="005B033E">
        <w:rPr>
          <w:sz w:val="24"/>
        </w:rPr>
        <w:t xml:space="preserve">niversities, in terms of limiting their capacity to be able to continue to offer an </w:t>
      </w:r>
      <w:r w:rsidR="005B033E" w:rsidRPr="00500776">
        <w:rPr>
          <w:i/>
          <w:sz w:val="24"/>
        </w:rPr>
        <w:t>attractive array of specialist programmes with an international student appeal</w:t>
      </w:r>
      <w:r w:rsidR="00CD319C">
        <w:rPr>
          <w:sz w:val="24"/>
        </w:rPr>
        <w:t xml:space="preserve">, mostly </w:t>
      </w:r>
      <w:r w:rsidR="005B033E">
        <w:rPr>
          <w:sz w:val="24"/>
        </w:rPr>
        <w:t>at postgraduate level</w:t>
      </w:r>
      <w:r w:rsidR="00DB7565">
        <w:rPr>
          <w:sz w:val="24"/>
        </w:rPr>
        <w:t xml:space="preserve"> (without replacement specialists)</w:t>
      </w:r>
      <w:r w:rsidR="005B033E">
        <w:rPr>
          <w:sz w:val="24"/>
        </w:rPr>
        <w:t xml:space="preserve">. These concerns are even more pertinent when it is already known that 2,300 EU </w:t>
      </w:r>
      <w:r w:rsidR="00DB7565">
        <w:rPr>
          <w:sz w:val="24"/>
        </w:rPr>
        <w:t>l</w:t>
      </w:r>
      <w:r w:rsidR="005B033E">
        <w:rPr>
          <w:sz w:val="24"/>
        </w:rPr>
        <w:t xml:space="preserve">ecturers have already left UK </w:t>
      </w:r>
      <w:r w:rsidR="00DB7565">
        <w:rPr>
          <w:sz w:val="24"/>
        </w:rPr>
        <w:t>u</w:t>
      </w:r>
      <w:r w:rsidR="005B033E">
        <w:rPr>
          <w:sz w:val="24"/>
        </w:rPr>
        <w:t>niversities.</w:t>
      </w:r>
      <w:r w:rsidR="005B033E">
        <w:rPr>
          <w:rStyle w:val="FootnoteReference"/>
          <w:sz w:val="24"/>
        </w:rPr>
        <w:footnoteReference w:id="69"/>
      </w:r>
      <w:r w:rsidR="005B033E">
        <w:rPr>
          <w:sz w:val="24"/>
        </w:rPr>
        <w:t xml:space="preserve"> </w:t>
      </w:r>
    </w:p>
    <w:p w14:paraId="75D588EE" w14:textId="11B254A1" w:rsidR="007658E6" w:rsidRDefault="008E139A" w:rsidP="008D251A">
      <w:pPr>
        <w:jc w:val="both"/>
        <w:rPr>
          <w:sz w:val="24"/>
        </w:rPr>
      </w:pPr>
      <w:r>
        <w:rPr>
          <w:sz w:val="24"/>
        </w:rPr>
        <w:t xml:space="preserve">However, these risks are </w:t>
      </w:r>
      <w:r w:rsidRPr="00500776">
        <w:rPr>
          <w:i/>
          <w:sz w:val="24"/>
        </w:rPr>
        <w:t>also prevalent</w:t>
      </w:r>
      <w:r>
        <w:rPr>
          <w:sz w:val="24"/>
        </w:rPr>
        <w:t xml:space="preserve"> amongst undergraduate </w:t>
      </w:r>
      <w:r w:rsidR="00DB7565">
        <w:rPr>
          <w:sz w:val="24"/>
        </w:rPr>
        <w:t>l</w:t>
      </w:r>
      <w:r>
        <w:rPr>
          <w:sz w:val="24"/>
        </w:rPr>
        <w:t xml:space="preserve">aw programmes, including Welsh </w:t>
      </w:r>
      <w:r w:rsidR="00DB7565">
        <w:rPr>
          <w:sz w:val="24"/>
        </w:rPr>
        <w:t>l</w:t>
      </w:r>
      <w:r>
        <w:rPr>
          <w:sz w:val="24"/>
        </w:rPr>
        <w:t xml:space="preserve">aw </w:t>
      </w:r>
      <w:r w:rsidR="00DB7565">
        <w:rPr>
          <w:sz w:val="24"/>
        </w:rPr>
        <w:t>s</w:t>
      </w:r>
      <w:r>
        <w:rPr>
          <w:sz w:val="24"/>
        </w:rPr>
        <w:t>chool</w:t>
      </w:r>
      <w:r w:rsidR="001054BB">
        <w:rPr>
          <w:sz w:val="24"/>
        </w:rPr>
        <w:t>s’</w:t>
      </w:r>
      <w:r>
        <w:rPr>
          <w:sz w:val="24"/>
        </w:rPr>
        <w:t xml:space="preserve"> abilities to deliver the core requirements of a QLD programme</w:t>
      </w:r>
      <w:r w:rsidR="00DB7565">
        <w:rPr>
          <w:sz w:val="24"/>
        </w:rPr>
        <w:t>.</w:t>
      </w:r>
      <w:r w:rsidR="00DB7565">
        <w:rPr>
          <w:rStyle w:val="FootnoteReference"/>
          <w:sz w:val="24"/>
        </w:rPr>
        <w:footnoteReference w:id="70"/>
      </w:r>
      <w:r>
        <w:rPr>
          <w:sz w:val="24"/>
        </w:rPr>
        <w:t xml:space="preserve"> For example, across all of Wales’ </w:t>
      </w:r>
      <w:r w:rsidR="00DB7565">
        <w:rPr>
          <w:sz w:val="24"/>
        </w:rPr>
        <w:t>l</w:t>
      </w:r>
      <w:r>
        <w:rPr>
          <w:sz w:val="24"/>
        </w:rPr>
        <w:t xml:space="preserve">aw </w:t>
      </w:r>
      <w:r w:rsidR="00DB7565">
        <w:rPr>
          <w:sz w:val="24"/>
        </w:rPr>
        <w:t>s</w:t>
      </w:r>
      <w:r>
        <w:rPr>
          <w:sz w:val="24"/>
        </w:rPr>
        <w:t xml:space="preserve">chools, there is currently </w:t>
      </w:r>
      <w:r w:rsidRPr="00500776">
        <w:rPr>
          <w:i/>
          <w:sz w:val="24"/>
        </w:rPr>
        <w:t>only one UK national</w:t>
      </w:r>
      <w:r>
        <w:rPr>
          <w:sz w:val="24"/>
        </w:rPr>
        <w:t xml:space="preserve"> teaching a compulsory EU </w:t>
      </w:r>
      <w:r w:rsidR="00CD319C">
        <w:rPr>
          <w:sz w:val="24"/>
        </w:rPr>
        <w:t>L</w:t>
      </w:r>
      <w:r>
        <w:rPr>
          <w:sz w:val="24"/>
        </w:rPr>
        <w:t xml:space="preserve">aw module, with the rest being led and taught by EU nationals. </w:t>
      </w:r>
      <w:r w:rsidR="001054BB">
        <w:rPr>
          <w:sz w:val="24"/>
        </w:rPr>
        <w:t>I</w:t>
      </w:r>
      <w:r>
        <w:rPr>
          <w:sz w:val="24"/>
        </w:rPr>
        <w:t xml:space="preserve">t is appreciated that should EU and international staff leave </w:t>
      </w:r>
      <w:r w:rsidR="007658E6">
        <w:rPr>
          <w:sz w:val="24"/>
        </w:rPr>
        <w:t xml:space="preserve">Wales’ </w:t>
      </w:r>
      <w:r w:rsidR="00DB7565">
        <w:rPr>
          <w:sz w:val="24"/>
        </w:rPr>
        <w:t>l</w:t>
      </w:r>
      <w:r w:rsidR="007658E6">
        <w:rPr>
          <w:sz w:val="24"/>
        </w:rPr>
        <w:t xml:space="preserve">aw </w:t>
      </w:r>
      <w:r w:rsidR="00DB7565">
        <w:rPr>
          <w:sz w:val="24"/>
        </w:rPr>
        <w:t>s</w:t>
      </w:r>
      <w:r w:rsidR="00CD319C">
        <w:rPr>
          <w:sz w:val="24"/>
        </w:rPr>
        <w:t>c</w:t>
      </w:r>
      <w:r w:rsidR="007658E6">
        <w:rPr>
          <w:sz w:val="24"/>
        </w:rPr>
        <w:t>hools</w:t>
      </w:r>
      <w:r w:rsidR="00DB7565">
        <w:rPr>
          <w:sz w:val="24"/>
        </w:rPr>
        <w:t xml:space="preserve"> in significant numbers</w:t>
      </w:r>
      <w:r w:rsidR="007658E6">
        <w:rPr>
          <w:sz w:val="24"/>
        </w:rPr>
        <w:t xml:space="preserve">, institutions could recruit expertise from elsewhere in the UK, or further afield. However, against the background of </w:t>
      </w:r>
      <w:r w:rsidR="00D67040">
        <w:rPr>
          <w:sz w:val="24"/>
        </w:rPr>
        <w:t xml:space="preserve">a potential reduced interest </w:t>
      </w:r>
      <w:r w:rsidR="007658E6">
        <w:rPr>
          <w:sz w:val="24"/>
        </w:rPr>
        <w:t xml:space="preserve">in coming to study </w:t>
      </w:r>
      <w:r w:rsidR="00DB7565">
        <w:rPr>
          <w:sz w:val="24"/>
        </w:rPr>
        <w:t>l</w:t>
      </w:r>
      <w:r w:rsidR="00D67040">
        <w:rPr>
          <w:sz w:val="24"/>
        </w:rPr>
        <w:t xml:space="preserve">aw </w:t>
      </w:r>
      <w:r w:rsidR="007658E6">
        <w:rPr>
          <w:sz w:val="24"/>
        </w:rPr>
        <w:t xml:space="preserve">in </w:t>
      </w:r>
      <w:r w:rsidR="00DB7565">
        <w:rPr>
          <w:sz w:val="24"/>
        </w:rPr>
        <w:t>Wales</w:t>
      </w:r>
      <w:r w:rsidR="007658E6">
        <w:rPr>
          <w:sz w:val="24"/>
        </w:rPr>
        <w:t xml:space="preserve"> (amounting to reduced financial income for </w:t>
      </w:r>
      <w:r w:rsidR="00DB7565">
        <w:rPr>
          <w:sz w:val="24"/>
        </w:rPr>
        <w:t>u</w:t>
      </w:r>
      <w:r w:rsidR="007658E6">
        <w:rPr>
          <w:sz w:val="24"/>
        </w:rPr>
        <w:t xml:space="preserve">niversities) as well as UK students not readily seeing EU </w:t>
      </w:r>
      <w:r w:rsidR="00DB7565">
        <w:rPr>
          <w:sz w:val="24"/>
        </w:rPr>
        <w:t>l</w:t>
      </w:r>
      <w:r w:rsidR="007658E6">
        <w:rPr>
          <w:sz w:val="24"/>
        </w:rPr>
        <w:t xml:space="preserve">aw as an attractive or viable career option for them post-graduation, Wales’ </w:t>
      </w:r>
      <w:r w:rsidR="00DB7565">
        <w:rPr>
          <w:sz w:val="24"/>
        </w:rPr>
        <w:t>l</w:t>
      </w:r>
      <w:r w:rsidR="007658E6">
        <w:rPr>
          <w:sz w:val="24"/>
        </w:rPr>
        <w:t xml:space="preserve">aw </w:t>
      </w:r>
      <w:r w:rsidR="00DB7565">
        <w:rPr>
          <w:sz w:val="24"/>
        </w:rPr>
        <w:t>s</w:t>
      </w:r>
      <w:r w:rsidR="007658E6">
        <w:rPr>
          <w:sz w:val="24"/>
        </w:rPr>
        <w:t>chools</w:t>
      </w:r>
      <w:r w:rsidR="004766FF">
        <w:rPr>
          <w:sz w:val="24"/>
        </w:rPr>
        <w:t xml:space="preserve"> (and indeed all those in the UK)</w:t>
      </w:r>
      <w:r w:rsidR="007658E6">
        <w:rPr>
          <w:sz w:val="24"/>
        </w:rPr>
        <w:t xml:space="preserve"> could</w:t>
      </w:r>
      <w:r w:rsidR="00DB7565">
        <w:rPr>
          <w:sz w:val="24"/>
        </w:rPr>
        <w:t>, in the future,</w:t>
      </w:r>
      <w:r w:rsidR="007658E6">
        <w:rPr>
          <w:sz w:val="24"/>
        </w:rPr>
        <w:t xml:space="preserve"> face </w:t>
      </w:r>
      <w:r w:rsidR="00DB7565">
        <w:rPr>
          <w:sz w:val="24"/>
        </w:rPr>
        <w:t xml:space="preserve">an </w:t>
      </w:r>
      <w:r w:rsidR="007658E6">
        <w:rPr>
          <w:sz w:val="24"/>
        </w:rPr>
        <w:t xml:space="preserve">EU </w:t>
      </w:r>
      <w:r w:rsidR="00DB7565">
        <w:rPr>
          <w:sz w:val="24"/>
        </w:rPr>
        <w:t>l</w:t>
      </w:r>
      <w:r w:rsidR="007658E6">
        <w:rPr>
          <w:sz w:val="24"/>
        </w:rPr>
        <w:t xml:space="preserve">aw expertise shortage post Brexit </w:t>
      </w:r>
      <w:r w:rsidR="00DB7565">
        <w:rPr>
          <w:sz w:val="24"/>
        </w:rPr>
        <w:t xml:space="preserve">if insufficient proposals to remedy existing concerns are not implemented. </w:t>
      </w:r>
    </w:p>
    <w:p w14:paraId="20C2C132" w14:textId="23FF9C98" w:rsidR="007658E6" w:rsidRDefault="007935BD" w:rsidP="008D251A">
      <w:pPr>
        <w:jc w:val="both"/>
        <w:rPr>
          <w:sz w:val="24"/>
        </w:rPr>
      </w:pPr>
      <w:r>
        <w:rPr>
          <w:sz w:val="24"/>
        </w:rPr>
        <w:t xml:space="preserve">Within this study, </w:t>
      </w:r>
      <w:r w:rsidR="007658E6">
        <w:rPr>
          <w:sz w:val="24"/>
        </w:rPr>
        <w:t xml:space="preserve">82% of students currently believed that Brexit made Wales a less attractive place for EU </w:t>
      </w:r>
      <w:r w:rsidR="00DB7565">
        <w:rPr>
          <w:sz w:val="24"/>
        </w:rPr>
        <w:t>l</w:t>
      </w:r>
      <w:r w:rsidR="007658E6">
        <w:rPr>
          <w:sz w:val="24"/>
        </w:rPr>
        <w:t>ecturers to teach and research.</w:t>
      </w:r>
      <w:r w:rsidR="00901EE0">
        <w:rPr>
          <w:rStyle w:val="FootnoteReference"/>
          <w:sz w:val="24"/>
        </w:rPr>
        <w:footnoteReference w:id="71"/>
      </w:r>
      <w:r w:rsidR="007658E6">
        <w:rPr>
          <w:sz w:val="24"/>
        </w:rPr>
        <w:t xml:space="preserve"> Again, collectively the group felt that Brexit would have less of an impact on non-EU </w:t>
      </w:r>
      <w:r w:rsidR="00DB7565">
        <w:rPr>
          <w:sz w:val="24"/>
        </w:rPr>
        <w:t>l</w:t>
      </w:r>
      <w:r w:rsidR="007658E6">
        <w:rPr>
          <w:sz w:val="24"/>
        </w:rPr>
        <w:t xml:space="preserve">ecturers, with 9% believing international </w:t>
      </w:r>
      <w:r w:rsidR="00DB7565">
        <w:rPr>
          <w:sz w:val="24"/>
        </w:rPr>
        <w:t>l</w:t>
      </w:r>
      <w:r w:rsidR="007658E6">
        <w:rPr>
          <w:sz w:val="24"/>
        </w:rPr>
        <w:t>ecturers would leave</w:t>
      </w:r>
      <w:r w:rsidR="00DB7565">
        <w:rPr>
          <w:sz w:val="24"/>
        </w:rPr>
        <w:t>.</w:t>
      </w:r>
      <w:r w:rsidR="007658E6">
        <w:rPr>
          <w:sz w:val="24"/>
        </w:rPr>
        <w:t xml:space="preserve"> </w:t>
      </w:r>
      <w:r w:rsidR="00DB7565">
        <w:rPr>
          <w:sz w:val="24"/>
        </w:rPr>
        <w:t>H</w:t>
      </w:r>
      <w:r w:rsidR="004766FF">
        <w:rPr>
          <w:sz w:val="24"/>
        </w:rPr>
        <w:t xml:space="preserve">owever, </w:t>
      </w:r>
      <w:r w:rsidR="007658E6">
        <w:rPr>
          <w:sz w:val="24"/>
        </w:rPr>
        <w:t xml:space="preserve">when focusing on just the responses of non-EU international students, 88% of them felt that the UK was going to become a less attractive place for </w:t>
      </w:r>
      <w:r>
        <w:rPr>
          <w:sz w:val="24"/>
        </w:rPr>
        <w:t>non-EU</w:t>
      </w:r>
      <w:r w:rsidR="007658E6">
        <w:rPr>
          <w:sz w:val="24"/>
        </w:rPr>
        <w:t xml:space="preserve"> specialists to come and work. </w:t>
      </w:r>
      <w:r w:rsidR="003A3A06">
        <w:rPr>
          <w:sz w:val="24"/>
        </w:rPr>
        <w:t xml:space="preserve">Concerningly, several text comments from one Welsh </w:t>
      </w:r>
      <w:r w:rsidR="00DB7565">
        <w:rPr>
          <w:sz w:val="24"/>
        </w:rPr>
        <w:t>u</w:t>
      </w:r>
      <w:r w:rsidR="004766FF">
        <w:rPr>
          <w:sz w:val="24"/>
        </w:rPr>
        <w:t xml:space="preserve">niversity’s </w:t>
      </w:r>
      <w:r w:rsidR="00D67040">
        <w:rPr>
          <w:sz w:val="24"/>
        </w:rPr>
        <w:t>students</w:t>
      </w:r>
      <w:r w:rsidR="003A3A06">
        <w:rPr>
          <w:sz w:val="24"/>
        </w:rPr>
        <w:t xml:space="preserve"> referred to how four </w:t>
      </w:r>
      <w:r w:rsidR="00D67040">
        <w:rPr>
          <w:sz w:val="24"/>
        </w:rPr>
        <w:t xml:space="preserve">non-UK </w:t>
      </w:r>
      <w:r w:rsidR="003A3A06">
        <w:rPr>
          <w:sz w:val="24"/>
        </w:rPr>
        <w:t xml:space="preserve">EU </w:t>
      </w:r>
      <w:r w:rsidR="00DB7565">
        <w:rPr>
          <w:sz w:val="24"/>
        </w:rPr>
        <w:t>l</w:t>
      </w:r>
      <w:r w:rsidR="003A3A06">
        <w:rPr>
          <w:sz w:val="24"/>
        </w:rPr>
        <w:t xml:space="preserve">ecturers had already left their </w:t>
      </w:r>
      <w:r w:rsidR="00DB7565">
        <w:rPr>
          <w:sz w:val="24"/>
        </w:rPr>
        <w:t>l</w:t>
      </w:r>
      <w:r w:rsidR="003A3A06">
        <w:rPr>
          <w:sz w:val="24"/>
        </w:rPr>
        <w:t xml:space="preserve">aw </w:t>
      </w:r>
      <w:r w:rsidR="00DB7565">
        <w:rPr>
          <w:sz w:val="24"/>
        </w:rPr>
        <w:t>s</w:t>
      </w:r>
      <w:r w:rsidR="003A3A06">
        <w:rPr>
          <w:sz w:val="24"/>
        </w:rPr>
        <w:t xml:space="preserve">chool, and they were aware that </w:t>
      </w:r>
      <w:r>
        <w:rPr>
          <w:sz w:val="24"/>
        </w:rPr>
        <w:t xml:space="preserve">other </w:t>
      </w:r>
      <w:r w:rsidR="003A3A06">
        <w:rPr>
          <w:sz w:val="24"/>
        </w:rPr>
        <w:t xml:space="preserve">non-UK </w:t>
      </w:r>
      <w:r w:rsidR="00DB7565">
        <w:rPr>
          <w:sz w:val="24"/>
        </w:rPr>
        <w:t>l</w:t>
      </w:r>
      <w:r w:rsidR="003A3A06">
        <w:rPr>
          <w:sz w:val="24"/>
        </w:rPr>
        <w:t xml:space="preserve">ecturers were similarly preparing to either leave academia, or further their </w:t>
      </w:r>
      <w:r w:rsidR="004766FF">
        <w:rPr>
          <w:sz w:val="24"/>
        </w:rPr>
        <w:t xml:space="preserve">academic </w:t>
      </w:r>
      <w:r w:rsidR="003A3A06">
        <w:rPr>
          <w:sz w:val="24"/>
        </w:rPr>
        <w:t xml:space="preserve">careers elsewhere in continental Europe. </w:t>
      </w:r>
    </w:p>
    <w:p w14:paraId="2D4FC462" w14:textId="2FAAB54F" w:rsidR="005B033E" w:rsidRDefault="005B033E" w:rsidP="008D251A">
      <w:pPr>
        <w:jc w:val="both"/>
        <w:rPr>
          <w:sz w:val="24"/>
        </w:rPr>
      </w:pPr>
      <w:r>
        <w:rPr>
          <w:sz w:val="24"/>
        </w:rPr>
        <w:t xml:space="preserve">In this regard comparatives can be drawn with other public </w:t>
      </w:r>
      <w:r w:rsidR="007935BD">
        <w:rPr>
          <w:sz w:val="24"/>
        </w:rPr>
        <w:t xml:space="preserve">sector </w:t>
      </w:r>
      <w:r>
        <w:rPr>
          <w:sz w:val="24"/>
        </w:rPr>
        <w:t>industries, for example the National Health Service. In recent months the British Medical Association has reported that almost one fifth (19%) of EU doctors have made plans to leave the UK following the Brexit vote.</w:t>
      </w:r>
      <w:r w:rsidR="00F62386">
        <w:rPr>
          <w:rStyle w:val="FootnoteReference"/>
          <w:sz w:val="24"/>
        </w:rPr>
        <w:footnoteReference w:id="72"/>
      </w:r>
      <w:r w:rsidR="00F62386">
        <w:rPr>
          <w:sz w:val="24"/>
        </w:rPr>
        <w:t xml:space="preserve"> If Higher Education in Wales follows a similar trend (of a fifth less EU academics) </w:t>
      </w:r>
      <w:r w:rsidR="00492B99">
        <w:rPr>
          <w:sz w:val="24"/>
        </w:rPr>
        <w:t xml:space="preserve">Welsh </w:t>
      </w:r>
      <w:r w:rsidR="00DB7565">
        <w:rPr>
          <w:sz w:val="24"/>
        </w:rPr>
        <w:t>u</w:t>
      </w:r>
      <w:r w:rsidR="00F62386">
        <w:rPr>
          <w:sz w:val="24"/>
        </w:rPr>
        <w:t>niversities</w:t>
      </w:r>
      <w:r w:rsidR="00492B99">
        <w:rPr>
          <w:sz w:val="24"/>
        </w:rPr>
        <w:t>’</w:t>
      </w:r>
      <w:r w:rsidR="00F62386">
        <w:rPr>
          <w:sz w:val="24"/>
        </w:rPr>
        <w:t xml:space="preserve"> abilities to deliver various specialist courses, as well as secure research grants</w:t>
      </w:r>
      <w:r w:rsidR="00492B99">
        <w:rPr>
          <w:sz w:val="24"/>
        </w:rPr>
        <w:t xml:space="preserve"> (by </w:t>
      </w:r>
      <w:r w:rsidR="00492B99">
        <w:rPr>
          <w:sz w:val="24"/>
        </w:rPr>
        <w:lastRenderedPageBreak/>
        <w:t>relying on overseas academics’ expertise)</w:t>
      </w:r>
      <w:r w:rsidR="00F62386">
        <w:rPr>
          <w:sz w:val="24"/>
        </w:rPr>
        <w:t xml:space="preserve"> will be hindered. Given that the UK could stand to become a less attractive place for EU </w:t>
      </w:r>
      <w:r w:rsidR="00DB7565">
        <w:rPr>
          <w:sz w:val="24"/>
        </w:rPr>
        <w:t>l</w:t>
      </w:r>
      <w:r w:rsidR="00F62386">
        <w:rPr>
          <w:sz w:val="24"/>
        </w:rPr>
        <w:t xml:space="preserve">ecturers to work, the UK might have to look internationally to fill its skills gaps within our </w:t>
      </w:r>
      <w:r w:rsidR="00492B99">
        <w:rPr>
          <w:sz w:val="24"/>
        </w:rPr>
        <w:t>lecture halls</w:t>
      </w:r>
      <w:r w:rsidR="00F62386">
        <w:rPr>
          <w:sz w:val="24"/>
        </w:rPr>
        <w:t xml:space="preserve">. Whilst this study found that international (non-EU) students view the UK and Wales as an unattractive place to further their academic career; even if Wales was able to attract talented candidates from outside the EU, artificial caps on the number of tier 2 visas being issued to non-EU workers are already causing substantial complexities for </w:t>
      </w:r>
      <w:r w:rsidR="00DB7565">
        <w:rPr>
          <w:sz w:val="24"/>
        </w:rPr>
        <w:t>other public sector industries</w:t>
      </w:r>
      <w:r w:rsidR="00F62386">
        <w:rPr>
          <w:sz w:val="24"/>
        </w:rPr>
        <w:t xml:space="preserve"> </w:t>
      </w:r>
      <w:r w:rsidR="00492B99">
        <w:rPr>
          <w:sz w:val="24"/>
        </w:rPr>
        <w:t>(</w:t>
      </w:r>
      <w:r w:rsidR="00F62386">
        <w:rPr>
          <w:sz w:val="24"/>
        </w:rPr>
        <w:t>in being unable to fill current vacancies</w:t>
      </w:r>
      <w:r w:rsidR="00492B99">
        <w:rPr>
          <w:sz w:val="24"/>
        </w:rPr>
        <w:t xml:space="preserve"> </w:t>
      </w:r>
      <w:r w:rsidR="00F62386">
        <w:rPr>
          <w:sz w:val="24"/>
        </w:rPr>
        <w:t>owing to targets to cut immigration</w:t>
      </w:r>
      <w:r w:rsidR="00492B99">
        <w:rPr>
          <w:sz w:val="24"/>
        </w:rPr>
        <w:t xml:space="preserve"> numbers from outside the EU</w:t>
      </w:r>
      <w:r w:rsidR="00F62386">
        <w:rPr>
          <w:sz w:val="24"/>
        </w:rPr>
        <w:t>).</w:t>
      </w:r>
      <w:r w:rsidR="00492B99">
        <w:rPr>
          <w:rStyle w:val="FootnoteReference"/>
          <w:sz w:val="24"/>
        </w:rPr>
        <w:footnoteReference w:id="73"/>
      </w:r>
      <w:r w:rsidR="00F62386">
        <w:rPr>
          <w:sz w:val="24"/>
        </w:rPr>
        <w:t xml:space="preserve"> If </w:t>
      </w:r>
      <w:r w:rsidR="00DB7565">
        <w:rPr>
          <w:sz w:val="24"/>
        </w:rPr>
        <w:t>u</w:t>
      </w:r>
      <w:r w:rsidR="00F62386">
        <w:rPr>
          <w:sz w:val="24"/>
        </w:rPr>
        <w:t xml:space="preserve">niversities follow a similar pattern, this could further exasperate pressures on immigration caps, and lead to </w:t>
      </w:r>
      <w:r w:rsidR="00492B99">
        <w:rPr>
          <w:sz w:val="24"/>
        </w:rPr>
        <w:t xml:space="preserve">Welsh </w:t>
      </w:r>
      <w:r w:rsidR="00DB7565">
        <w:rPr>
          <w:sz w:val="24"/>
        </w:rPr>
        <w:t>u</w:t>
      </w:r>
      <w:r w:rsidR="00F62386">
        <w:rPr>
          <w:sz w:val="24"/>
        </w:rPr>
        <w:t xml:space="preserve">niversities being unable to fill vacancies in subject areas that have traditionally had international appeal. </w:t>
      </w:r>
    </w:p>
    <w:p w14:paraId="12480C94" w14:textId="3CA90EC9" w:rsidR="00492B99" w:rsidRPr="0048660A" w:rsidRDefault="003A3A06" w:rsidP="00936BDB">
      <w:pPr>
        <w:jc w:val="both"/>
        <w:rPr>
          <w:sz w:val="24"/>
        </w:rPr>
      </w:pPr>
      <w:r>
        <w:rPr>
          <w:sz w:val="24"/>
        </w:rPr>
        <w:t xml:space="preserve">It is often said that </w:t>
      </w:r>
      <w:r w:rsidR="00DB7565">
        <w:rPr>
          <w:sz w:val="24"/>
        </w:rPr>
        <w:t>l</w:t>
      </w:r>
      <w:r>
        <w:rPr>
          <w:sz w:val="24"/>
        </w:rPr>
        <w:t xml:space="preserve">aw students are the best ambassadors for our UK </w:t>
      </w:r>
      <w:r w:rsidR="00D67040">
        <w:rPr>
          <w:sz w:val="24"/>
        </w:rPr>
        <w:t xml:space="preserve">and Welsh </w:t>
      </w:r>
      <w:r>
        <w:rPr>
          <w:sz w:val="24"/>
        </w:rPr>
        <w:t xml:space="preserve">universities. With far-reaching international impact, current and former </w:t>
      </w:r>
      <w:r w:rsidR="00DB7565">
        <w:rPr>
          <w:sz w:val="24"/>
        </w:rPr>
        <w:t>l</w:t>
      </w:r>
      <w:r>
        <w:rPr>
          <w:sz w:val="24"/>
        </w:rPr>
        <w:t xml:space="preserve">aw students </w:t>
      </w:r>
      <w:r w:rsidR="00492B99">
        <w:rPr>
          <w:sz w:val="24"/>
        </w:rPr>
        <w:t>can</w:t>
      </w:r>
      <w:r>
        <w:rPr>
          <w:sz w:val="24"/>
        </w:rPr>
        <w:t xml:space="preserve"> </w:t>
      </w:r>
      <w:r w:rsidR="00492B99">
        <w:rPr>
          <w:sz w:val="24"/>
        </w:rPr>
        <w:t>return</w:t>
      </w:r>
      <w:r>
        <w:rPr>
          <w:sz w:val="24"/>
        </w:rPr>
        <w:t xml:space="preserve"> to their home countries, reach the pinnacles of a distinguished legal career, and advocate the extensive benefits of studying </w:t>
      </w:r>
      <w:r w:rsidR="00DB7565">
        <w:rPr>
          <w:sz w:val="24"/>
        </w:rPr>
        <w:t>l</w:t>
      </w:r>
      <w:r>
        <w:rPr>
          <w:sz w:val="24"/>
        </w:rPr>
        <w:t xml:space="preserve">aw in Wales and the UK. However, if such groups are currently questioning how attractive the UK is, </w:t>
      </w:r>
      <w:r w:rsidR="00D67040">
        <w:rPr>
          <w:sz w:val="24"/>
        </w:rPr>
        <w:t xml:space="preserve">at a time when they are already internationally minded to reach out for opportunities in </w:t>
      </w:r>
      <w:r w:rsidR="00DB7565">
        <w:rPr>
          <w:sz w:val="24"/>
        </w:rPr>
        <w:t>Wales</w:t>
      </w:r>
      <w:r w:rsidR="00D67040">
        <w:rPr>
          <w:sz w:val="24"/>
        </w:rPr>
        <w:t xml:space="preserve">, by </w:t>
      </w:r>
      <w:r w:rsidR="00276DA3">
        <w:rPr>
          <w:sz w:val="24"/>
        </w:rPr>
        <w:t>virtue</w:t>
      </w:r>
      <w:r w:rsidR="00D67040">
        <w:rPr>
          <w:sz w:val="24"/>
        </w:rPr>
        <w:t xml:space="preserve"> of them already studying </w:t>
      </w:r>
      <w:r w:rsidR="00DB7565">
        <w:rPr>
          <w:sz w:val="24"/>
        </w:rPr>
        <w:t>l</w:t>
      </w:r>
      <w:r w:rsidR="00D67040">
        <w:rPr>
          <w:sz w:val="24"/>
        </w:rPr>
        <w:t xml:space="preserve">aw in </w:t>
      </w:r>
      <w:r w:rsidR="00DB7565">
        <w:rPr>
          <w:sz w:val="24"/>
        </w:rPr>
        <w:t>the UK</w:t>
      </w:r>
      <w:r>
        <w:rPr>
          <w:sz w:val="24"/>
        </w:rPr>
        <w:t xml:space="preserve">, this does not bode well for </w:t>
      </w:r>
      <w:r w:rsidR="00D67040">
        <w:rPr>
          <w:sz w:val="24"/>
        </w:rPr>
        <w:t xml:space="preserve">future generations of EU and international </w:t>
      </w:r>
      <w:r w:rsidR="00DB7565">
        <w:rPr>
          <w:sz w:val="24"/>
        </w:rPr>
        <w:t>l</w:t>
      </w:r>
      <w:r w:rsidR="00D67040">
        <w:rPr>
          <w:sz w:val="24"/>
        </w:rPr>
        <w:t xml:space="preserve">aw students wishing to come and study in the UK; nor </w:t>
      </w:r>
      <w:r w:rsidR="004766FF">
        <w:rPr>
          <w:sz w:val="24"/>
        </w:rPr>
        <w:t xml:space="preserve">for </w:t>
      </w:r>
      <w:r>
        <w:rPr>
          <w:sz w:val="24"/>
        </w:rPr>
        <w:t>the future of legal education in Wales. Such findings reemphasis</w:t>
      </w:r>
      <w:r w:rsidR="00276DA3">
        <w:rPr>
          <w:sz w:val="24"/>
        </w:rPr>
        <w:t>e</w:t>
      </w:r>
      <w:r>
        <w:rPr>
          <w:sz w:val="24"/>
        </w:rPr>
        <w:t xml:space="preserve"> the need to provide clarification on the situation and rights of EU </w:t>
      </w:r>
      <w:r w:rsidR="00DB7565">
        <w:rPr>
          <w:sz w:val="24"/>
        </w:rPr>
        <w:t>l</w:t>
      </w:r>
      <w:r>
        <w:rPr>
          <w:sz w:val="24"/>
        </w:rPr>
        <w:t xml:space="preserve">aw </w:t>
      </w:r>
      <w:r w:rsidR="00DB7565">
        <w:rPr>
          <w:sz w:val="24"/>
        </w:rPr>
        <w:t>l</w:t>
      </w:r>
      <w:r>
        <w:rPr>
          <w:sz w:val="24"/>
        </w:rPr>
        <w:t xml:space="preserve">ecturers in the UK; whilst also providing reassurance to international </w:t>
      </w:r>
      <w:r w:rsidR="00DB7565">
        <w:rPr>
          <w:sz w:val="24"/>
        </w:rPr>
        <w:t>l</w:t>
      </w:r>
      <w:r>
        <w:rPr>
          <w:sz w:val="24"/>
        </w:rPr>
        <w:t>ecturers that their expertise are valued</w:t>
      </w:r>
      <w:r w:rsidR="00932B84">
        <w:rPr>
          <w:sz w:val="24"/>
        </w:rPr>
        <w:t xml:space="preserve"> in Wales</w:t>
      </w:r>
      <w:r>
        <w:rPr>
          <w:sz w:val="24"/>
        </w:rPr>
        <w:t xml:space="preserve">. </w:t>
      </w:r>
    </w:p>
    <w:p w14:paraId="53D78212" w14:textId="1A463410" w:rsidR="008D251A" w:rsidRDefault="00D67040" w:rsidP="00936BDB">
      <w:pPr>
        <w:jc w:val="both"/>
        <w:rPr>
          <w:b/>
          <w:sz w:val="28"/>
        </w:rPr>
      </w:pPr>
      <w:r>
        <w:rPr>
          <w:b/>
          <w:sz w:val="28"/>
        </w:rPr>
        <w:t>6</w:t>
      </w:r>
      <w:r w:rsidR="006E63FF">
        <w:rPr>
          <w:b/>
          <w:sz w:val="28"/>
        </w:rPr>
        <w:t>. Student</w:t>
      </w:r>
      <w:r w:rsidR="008D251A">
        <w:rPr>
          <w:b/>
          <w:sz w:val="28"/>
        </w:rPr>
        <w:t>s’ Perceptions as to the Immediate Consequences of Brexit on Legal Education</w:t>
      </w:r>
    </w:p>
    <w:p w14:paraId="1AFD4693" w14:textId="77777777" w:rsidR="00932B84" w:rsidRDefault="006656F8" w:rsidP="008D251A">
      <w:pPr>
        <w:jc w:val="both"/>
        <w:rPr>
          <w:sz w:val="24"/>
          <w:szCs w:val="24"/>
        </w:rPr>
      </w:pPr>
      <w:r>
        <w:rPr>
          <w:sz w:val="24"/>
          <w:szCs w:val="24"/>
        </w:rPr>
        <w:t xml:space="preserve">So as </w:t>
      </w:r>
      <w:r w:rsidRPr="00AE5188">
        <w:rPr>
          <w:sz w:val="24"/>
          <w:szCs w:val="24"/>
        </w:rPr>
        <w:t>to quantify and rank students’ perceptions</w:t>
      </w:r>
      <w:r>
        <w:rPr>
          <w:sz w:val="24"/>
          <w:szCs w:val="24"/>
        </w:rPr>
        <w:t xml:space="preserve"> as to their</w:t>
      </w:r>
      <w:r w:rsidRPr="00AE5188">
        <w:rPr>
          <w:sz w:val="24"/>
          <w:szCs w:val="24"/>
        </w:rPr>
        <w:t xml:space="preserve"> immediate concerns </w:t>
      </w:r>
      <w:r>
        <w:rPr>
          <w:sz w:val="24"/>
          <w:szCs w:val="24"/>
        </w:rPr>
        <w:t>regarding</w:t>
      </w:r>
      <w:r w:rsidRPr="00AE5188">
        <w:rPr>
          <w:sz w:val="24"/>
          <w:szCs w:val="24"/>
        </w:rPr>
        <w:t xml:space="preserve"> the effects of Brexit</w:t>
      </w:r>
      <w:r w:rsidR="004766FF">
        <w:rPr>
          <w:sz w:val="24"/>
          <w:szCs w:val="24"/>
        </w:rPr>
        <w:t>,</w:t>
      </w:r>
      <w:r w:rsidRPr="00AE5188">
        <w:rPr>
          <w:sz w:val="24"/>
          <w:szCs w:val="24"/>
        </w:rPr>
        <w:t xml:space="preserve"> a series of 14 fixed</w:t>
      </w:r>
      <w:r>
        <w:rPr>
          <w:sz w:val="24"/>
          <w:szCs w:val="24"/>
        </w:rPr>
        <w:t>-end</w:t>
      </w:r>
      <w:r w:rsidRPr="00AE5188">
        <w:rPr>
          <w:sz w:val="24"/>
          <w:szCs w:val="24"/>
        </w:rPr>
        <w:t xml:space="preserve"> statements</w:t>
      </w:r>
      <w:r>
        <w:rPr>
          <w:sz w:val="24"/>
          <w:szCs w:val="24"/>
        </w:rPr>
        <w:t xml:space="preserve"> (relating to their programme of study; </w:t>
      </w:r>
      <w:r w:rsidR="00932B84">
        <w:rPr>
          <w:sz w:val="24"/>
          <w:szCs w:val="24"/>
        </w:rPr>
        <w:t>u</w:t>
      </w:r>
      <w:r>
        <w:rPr>
          <w:sz w:val="24"/>
          <w:szCs w:val="24"/>
        </w:rPr>
        <w:t>niversity experience; future economic prosperity, career prospects and employability; and future travel options)</w:t>
      </w:r>
      <w:r w:rsidRPr="00AE5188">
        <w:rPr>
          <w:sz w:val="24"/>
          <w:szCs w:val="24"/>
        </w:rPr>
        <w:t xml:space="preserve"> were given</w:t>
      </w:r>
      <w:r>
        <w:rPr>
          <w:sz w:val="24"/>
          <w:szCs w:val="24"/>
        </w:rPr>
        <w:t>,</w:t>
      </w:r>
      <w:r w:rsidRPr="00AE5188">
        <w:rPr>
          <w:sz w:val="24"/>
          <w:szCs w:val="24"/>
        </w:rPr>
        <w:t xml:space="preserve"> inviting respondents to state whether they strongly agree</w:t>
      </w:r>
      <w:r w:rsidR="00D67040">
        <w:rPr>
          <w:sz w:val="24"/>
          <w:szCs w:val="24"/>
        </w:rPr>
        <w:t>d</w:t>
      </w:r>
      <w:r w:rsidRPr="00AE5188">
        <w:rPr>
          <w:sz w:val="24"/>
          <w:szCs w:val="24"/>
        </w:rPr>
        <w:t>, agree</w:t>
      </w:r>
      <w:r w:rsidR="00D67040">
        <w:rPr>
          <w:sz w:val="24"/>
          <w:szCs w:val="24"/>
        </w:rPr>
        <w:t>d</w:t>
      </w:r>
      <w:r w:rsidRPr="00AE5188">
        <w:rPr>
          <w:sz w:val="24"/>
          <w:szCs w:val="24"/>
        </w:rPr>
        <w:t>, neither agree</w:t>
      </w:r>
      <w:r w:rsidR="00D67040">
        <w:rPr>
          <w:sz w:val="24"/>
          <w:szCs w:val="24"/>
        </w:rPr>
        <w:t>d</w:t>
      </w:r>
      <w:r w:rsidRPr="00AE5188">
        <w:rPr>
          <w:sz w:val="24"/>
          <w:szCs w:val="24"/>
        </w:rPr>
        <w:t xml:space="preserve"> nor disagree</w:t>
      </w:r>
      <w:r w:rsidR="00D67040">
        <w:rPr>
          <w:sz w:val="24"/>
          <w:szCs w:val="24"/>
        </w:rPr>
        <w:t>d</w:t>
      </w:r>
      <w:r w:rsidRPr="00AE5188">
        <w:rPr>
          <w:sz w:val="24"/>
          <w:szCs w:val="24"/>
        </w:rPr>
        <w:t>, disagree</w:t>
      </w:r>
      <w:r w:rsidR="00D67040">
        <w:rPr>
          <w:sz w:val="24"/>
          <w:szCs w:val="24"/>
        </w:rPr>
        <w:t>d</w:t>
      </w:r>
      <w:r w:rsidRPr="00AE5188">
        <w:rPr>
          <w:sz w:val="24"/>
          <w:szCs w:val="24"/>
        </w:rPr>
        <w:t>, strongly disagree</w:t>
      </w:r>
      <w:r w:rsidR="00D67040">
        <w:rPr>
          <w:sz w:val="24"/>
          <w:szCs w:val="24"/>
        </w:rPr>
        <w:t>d</w:t>
      </w:r>
      <w:r w:rsidRPr="00AE5188">
        <w:rPr>
          <w:sz w:val="24"/>
          <w:szCs w:val="24"/>
        </w:rPr>
        <w:t xml:space="preserve">, </w:t>
      </w:r>
      <w:r>
        <w:rPr>
          <w:sz w:val="24"/>
          <w:szCs w:val="24"/>
        </w:rPr>
        <w:t>with a series of statements.</w:t>
      </w:r>
      <w:r>
        <w:rPr>
          <w:rStyle w:val="FootnoteReference"/>
          <w:sz w:val="24"/>
          <w:szCs w:val="24"/>
        </w:rPr>
        <w:footnoteReference w:id="74"/>
      </w:r>
      <w:r>
        <w:rPr>
          <w:sz w:val="24"/>
          <w:szCs w:val="24"/>
        </w:rPr>
        <w:t xml:space="preserve"> </w:t>
      </w:r>
    </w:p>
    <w:p w14:paraId="2C11BE7D" w14:textId="5ED3DC64" w:rsidR="00C57F2D" w:rsidRPr="00C478E5" w:rsidRDefault="006656F8" w:rsidP="008D251A">
      <w:pPr>
        <w:jc w:val="both"/>
        <w:rPr>
          <w:sz w:val="24"/>
          <w:szCs w:val="24"/>
        </w:rPr>
      </w:pPr>
      <w:r>
        <w:rPr>
          <w:sz w:val="24"/>
          <w:szCs w:val="24"/>
        </w:rPr>
        <w:lastRenderedPageBreak/>
        <w:t xml:space="preserve">Utilising </w:t>
      </w:r>
      <w:r w:rsidRPr="00AE5188">
        <w:rPr>
          <w:sz w:val="24"/>
          <w:szCs w:val="24"/>
        </w:rPr>
        <w:t>ANOVA and post-hoc Tukey statistical tests</w:t>
      </w:r>
      <w:r>
        <w:rPr>
          <w:sz w:val="24"/>
          <w:szCs w:val="24"/>
        </w:rPr>
        <w:t>, the results</w:t>
      </w:r>
      <w:r w:rsidRPr="00AE5188">
        <w:rPr>
          <w:sz w:val="24"/>
          <w:szCs w:val="24"/>
        </w:rPr>
        <w:t xml:space="preserve"> evidenced that some questions demonstrated statistically significant differences. </w:t>
      </w:r>
      <w:r>
        <w:rPr>
          <w:sz w:val="24"/>
          <w:szCs w:val="24"/>
        </w:rPr>
        <w:t>The authors are</w:t>
      </w:r>
      <w:r w:rsidRPr="00AE5188">
        <w:rPr>
          <w:sz w:val="24"/>
          <w:szCs w:val="24"/>
        </w:rPr>
        <w:t xml:space="preserve"> therefore confident that the most pertinent concerns held by </w:t>
      </w:r>
      <w:r w:rsidR="00932B84">
        <w:rPr>
          <w:sz w:val="24"/>
          <w:szCs w:val="24"/>
        </w:rPr>
        <w:t>l</w:t>
      </w:r>
      <w:r>
        <w:rPr>
          <w:sz w:val="24"/>
          <w:szCs w:val="24"/>
        </w:rPr>
        <w:t xml:space="preserve">aw </w:t>
      </w:r>
      <w:r w:rsidRPr="00AE5188">
        <w:rPr>
          <w:sz w:val="24"/>
          <w:szCs w:val="24"/>
        </w:rPr>
        <w:t xml:space="preserve">students in </w:t>
      </w:r>
      <w:r>
        <w:rPr>
          <w:sz w:val="24"/>
          <w:szCs w:val="24"/>
        </w:rPr>
        <w:t xml:space="preserve">Wales in </w:t>
      </w:r>
      <w:r w:rsidRPr="00AE5188">
        <w:rPr>
          <w:sz w:val="24"/>
          <w:szCs w:val="24"/>
        </w:rPr>
        <w:t>relation to Brexit (in descending order of importance</w:t>
      </w:r>
      <w:r>
        <w:rPr>
          <w:sz w:val="24"/>
          <w:szCs w:val="24"/>
        </w:rPr>
        <w:t>)</w:t>
      </w:r>
      <w:r w:rsidRPr="00AE5188">
        <w:rPr>
          <w:sz w:val="24"/>
          <w:szCs w:val="24"/>
        </w:rPr>
        <w:t xml:space="preserve"> are: </w:t>
      </w:r>
      <w:r w:rsidR="004766FF">
        <w:rPr>
          <w:sz w:val="24"/>
          <w:szCs w:val="24"/>
        </w:rPr>
        <w:t xml:space="preserve">first, </w:t>
      </w:r>
      <w:r>
        <w:rPr>
          <w:sz w:val="24"/>
          <w:szCs w:val="24"/>
        </w:rPr>
        <w:t>the effect the decision will have on their travel options outside the UK; second</w:t>
      </w:r>
      <w:r w:rsidR="004766FF">
        <w:rPr>
          <w:sz w:val="24"/>
          <w:szCs w:val="24"/>
        </w:rPr>
        <w:t>,</w:t>
      </w:r>
      <w:r>
        <w:rPr>
          <w:sz w:val="24"/>
          <w:szCs w:val="24"/>
        </w:rPr>
        <w:t xml:space="preserve"> the impact on their long-term career prospects; and most pertinently, the effect Brexit will have on their economic prosperity.</w:t>
      </w:r>
      <w:r w:rsidRPr="00AE5188">
        <w:rPr>
          <w:sz w:val="24"/>
          <w:szCs w:val="24"/>
        </w:rPr>
        <w:t xml:space="preserve"> </w:t>
      </w:r>
    </w:p>
    <w:p w14:paraId="7D3EC20D" w14:textId="46FE7D17" w:rsidR="00932B84" w:rsidRPr="00C57F2D" w:rsidRDefault="008D251A" w:rsidP="008D251A">
      <w:pPr>
        <w:jc w:val="both"/>
        <w:rPr>
          <w:sz w:val="24"/>
          <w:szCs w:val="24"/>
        </w:rPr>
      </w:pPr>
      <w:r>
        <w:rPr>
          <w:b/>
          <w:sz w:val="24"/>
          <w:szCs w:val="24"/>
        </w:rPr>
        <w:t xml:space="preserve">Chart </w:t>
      </w:r>
      <w:r w:rsidR="00F54FDF">
        <w:rPr>
          <w:b/>
          <w:sz w:val="24"/>
          <w:szCs w:val="24"/>
        </w:rPr>
        <w:t>3</w:t>
      </w:r>
      <w:r>
        <w:rPr>
          <w:b/>
          <w:sz w:val="24"/>
          <w:szCs w:val="24"/>
        </w:rPr>
        <w:t xml:space="preserve">: Students’ Perceptions </w:t>
      </w:r>
      <w:r w:rsidR="00782281">
        <w:rPr>
          <w:b/>
          <w:sz w:val="24"/>
          <w:szCs w:val="24"/>
        </w:rPr>
        <w:t>in</w:t>
      </w:r>
      <w:r>
        <w:rPr>
          <w:b/>
          <w:sz w:val="24"/>
          <w:szCs w:val="24"/>
        </w:rPr>
        <w:t xml:space="preserve"> Relation to Fixed-End Questions</w:t>
      </w:r>
    </w:p>
    <w:p w14:paraId="4A3144F8" w14:textId="11F3674C" w:rsidR="007935BD" w:rsidRPr="00932B84" w:rsidRDefault="008D251A" w:rsidP="00936BDB">
      <w:pPr>
        <w:jc w:val="both"/>
        <w:rPr>
          <w:sz w:val="24"/>
          <w:szCs w:val="24"/>
        </w:rPr>
      </w:pPr>
      <w:r>
        <w:rPr>
          <w:noProof/>
          <w:sz w:val="24"/>
          <w:szCs w:val="24"/>
          <w:lang w:eastAsia="en-GB"/>
        </w:rPr>
        <w:drawing>
          <wp:inline distT="0" distB="0" distL="0" distR="0" wp14:anchorId="387FF8E3" wp14:editId="207BE17A">
            <wp:extent cx="5837530" cy="3350260"/>
            <wp:effectExtent l="0" t="0" r="0" b="25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E3E57C1" w14:textId="6387ED8B" w:rsidR="006656F8" w:rsidRDefault="006656F8" w:rsidP="00936BDB">
      <w:pPr>
        <w:jc w:val="both"/>
        <w:rPr>
          <w:sz w:val="24"/>
        </w:rPr>
      </w:pPr>
      <w:r>
        <w:rPr>
          <w:sz w:val="24"/>
        </w:rPr>
        <w:t xml:space="preserve">On the whole, </w:t>
      </w:r>
      <w:r w:rsidR="00932B84">
        <w:rPr>
          <w:sz w:val="24"/>
        </w:rPr>
        <w:t>l</w:t>
      </w:r>
      <w:r>
        <w:rPr>
          <w:sz w:val="24"/>
        </w:rPr>
        <w:t xml:space="preserve">aw students across all </w:t>
      </w:r>
      <w:r w:rsidR="00932B84">
        <w:rPr>
          <w:sz w:val="24"/>
        </w:rPr>
        <w:t>l</w:t>
      </w:r>
      <w:r>
        <w:rPr>
          <w:sz w:val="24"/>
        </w:rPr>
        <w:t xml:space="preserve">aw </w:t>
      </w:r>
      <w:r w:rsidR="00932B84">
        <w:rPr>
          <w:sz w:val="24"/>
        </w:rPr>
        <w:t>s</w:t>
      </w:r>
      <w:r>
        <w:rPr>
          <w:sz w:val="24"/>
        </w:rPr>
        <w:t>chools in Wales took a strong anti-Brexit stance with two exceptions. The responses to the fixed end questions (as illustrated above), as well as the opportunity for open</w:t>
      </w:r>
      <w:r w:rsidR="004766FF">
        <w:rPr>
          <w:sz w:val="24"/>
        </w:rPr>
        <w:t>-</w:t>
      </w:r>
      <w:r>
        <w:rPr>
          <w:sz w:val="24"/>
        </w:rPr>
        <w:t>end</w:t>
      </w:r>
      <w:r w:rsidR="00C478E5">
        <w:rPr>
          <w:sz w:val="24"/>
        </w:rPr>
        <w:t>ed</w:t>
      </w:r>
      <w:r>
        <w:rPr>
          <w:sz w:val="24"/>
        </w:rPr>
        <w:t xml:space="preserve"> text comments, indicated that </w:t>
      </w:r>
      <w:r w:rsidR="00932B84">
        <w:rPr>
          <w:sz w:val="24"/>
        </w:rPr>
        <w:t>UK students</w:t>
      </w:r>
      <w:r>
        <w:rPr>
          <w:sz w:val="24"/>
        </w:rPr>
        <w:t xml:space="preserve"> felt that the study of European Union </w:t>
      </w:r>
      <w:r w:rsidR="00932B84">
        <w:rPr>
          <w:sz w:val="24"/>
        </w:rPr>
        <w:t>l</w:t>
      </w:r>
      <w:r>
        <w:rPr>
          <w:sz w:val="24"/>
        </w:rPr>
        <w:t xml:space="preserve">aw was going to become less relevant for them; and instead they will pursue interests in studying more areas of international comparative </w:t>
      </w:r>
      <w:r w:rsidR="00932B84">
        <w:rPr>
          <w:sz w:val="24"/>
        </w:rPr>
        <w:t>l</w:t>
      </w:r>
      <w:r>
        <w:rPr>
          <w:sz w:val="24"/>
        </w:rPr>
        <w:t>aw.</w:t>
      </w:r>
      <w:r w:rsidR="00932B84">
        <w:rPr>
          <w:rStyle w:val="FootnoteReference"/>
          <w:sz w:val="24"/>
        </w:rPr>
        <w:footnoteReference w:id="75"/>
      </w:r>
    </w:p>
    <w:p w14:paraId="60B45A6D" w14:textId="14CD1C43" w:rsidR="00F82E27" w:rsidRDefault="00D67040" w:rsidP="00936BDB">
      <w:pPr>
        <w:jc w:val="both"/>
        <w:rPr>
          <w:sz w:val="24"/>
          <w:szCs w:val="24"/>
        </w:rPr>
      </w:pPr>
      <w:r>
        <w:rPr>
          <w:sz w:val="24"/>
          <w:szCs w:val="24"/>
        </w:rPr>
        <w:t xml:space="preserve">Free text comments in relation to this final question </w:t>
      </w:r>
      <w:r w:rsidR="005D12B3">
        <w:rPr>
          <w:sz w:val="24"/>
          <w:szCs w:val="24"/>
        </w:rPr>
        <w:t xml:space="preserve">largely focused on how Brexit would have a negative impact on the UK economy, and thus further limit the future generations’ </w:t>
      </w:r>
      <w:r w:rsidR="00F54FDF">
        <w:rPr>
          <w:sz w:val="24"/>
          <w:szCs w:val="24"/>
        </w:rPr>
        <w:t xml:space="preserve">career prospects and </w:t>
      </w:r>
      <w:r w:rsidR="005D12B3">
        <w:rPr>
          <w:sz w:val="24"/>
          <w:szCs w:val="24"/>
        </w:rPr>
        <w:t>ability to secure employment within the EU. Other comments recognised that Brexit was likely to have a negative impact o</w:t>
      </w:r>
      <w:r w:rsidR="00F54FDF">
        <w:rPr>
          <w:sz w:val="24"/>
          <w:szCs w:val="24"/>
        </w:rPr>
        <w:t>n</w:t>
      </w:r>
      <w:r w:rsidR="005D12B3">
        <w:rPr>
          <w:sz w:val="24"/>
          <w:szCs w:val="24"/>
        </w:rPr>
        <w:t xml:space="preserve"> their </w:t>
      </w:r>
      <w:r w:rsidR="00F54FDF">
        <w:rPr>
          <w:sz w:val="24"/>
          <w:szCs w:val="24"/>
        </w:rPr>
        <w:t>u</w:t>
      </w:r>
      <w:r w:rsidR="005D12B3">
        <w:rPr>
          <w:sz w:val="24"/>
          <w:szCs w:val="24"/>
        </w:rPr>
        <w:t xml:space="preserve">niversity experience and legal education, namely </w:t>
      </w:r>
      <w:r w:rsidR="00F54FDF">
        <w:rPr>
          <w:sz w:val="24"/>
          <w:szCs w:val="24"/>
        </w:rPr>
        <w:t>through</w:t>
      </w:r>
      <w:r w:rsidR="005D12B3">
        <w:rPr>
          <w:sz w:val="24"/>
          <w:szCs w:val="24"/>
        </w:rPr>
        <w:t xml:space="preserve"> cutbacks with fewer students and staff; as well as concern that there would be fewer opportunities to travel abroad on field trips (for example</w:t>
      </w:r>
      <w:r w:rsidR="00F54FDF">
        <w:rPr>
          <w:sz w:val="24"/>
          <w:szCs w:val="24"/>
        </w:rPr>
        <w:t xml:space="preserve"> via</w:t>
      </w:r>
      <w:r w:rsidR="005D12B3">
        <w:rPr>
          <w:sz w:val="24"/>
          <w:szCs w:val="24"/>
        </w:rPr>
        <w:t xml:space="preserve"> those to the EU institutions); less scope </w:t>
      </w:r>
      <w:r w:rsidR="004576AE">
        <w:rPr>
          <w:sz w:val="24"/>
          <w:szCs w:val="24"/>
        </w:rPr>
        <w:t>for</w:t>
      </w:r>
      <w:r w:rsidR="005D12B3">
        <w:rPr>
          <w:sz w:val="24"/>
          <w:szCs w:val="24"/>
        </w:rPr>
        <w:t xml:space="preserve"> overseas work experience placements (owing to visa restrictions, or a perceived unwillingness to take UK students on EU work placements); as well as concern </w:t>
      </w:r>
      <w:r w:rsidR="005D12B3">
        <w:rPr>
          <w:sz w:val="24"/>
          <w:szCs w:val="24"/>
        </w:rPr>
        <w:lastRenderedPageBreak/>
        <w:t xml:space="preserve">that those studying </w:t>
      </w:r>
      <w:r w:rsidR="00F54FDF">
        <w:rPr>
          <w:sz w:val="24"/>
          <w:szCs w:val="24"/>
        </w:rPr>
        <w:t>on</w:t>
      </w:r>
      <w:r w:rsidR="005D12B3">
        <w:rPr>
          <w:sz w:val="24"/>
          <w:szCs w:val="24"/>
        </w:rPr>
        <w:t xml:space="preserve"> a </w:t>
      </w:r>
      <w:r w:rsidR="00F54FDF">
        <w:rPr>
          <w:sz w:val="24"/>
          <w:szCs w:val="24"/>
        </w:rPr>
        <w:t>l</w:t>
      </w:r>
      <w:r w:rsidR="005D12B3">
        <w:rPr>
          <w:sz w:val="24"/>
          <w:szCs w:val="24"/>
        </w:rPr>
        <w:t xml:space="preserve">aw with language degree will be excluded from participating in their Erasmus years abroad in France, Germany, Italy or Spain. </w:t>
      </w:r>
    </w:p>
    <w:p w14:paraId="53CA7BDA" w14:textId="5D9F40CD" w:rsidR="006425A0" w:rsidRDefault="006425A0" w:rsidP="006425A0">
      <w:pPr>
        <w:jc w:val="both"/>
        <w:rPr>
          <w:b/>
          <w:sz w:val="28"/>
        </w:rPr>
      </w:pPr>
      <w:r>
        <w:rPr>
          <w:b/>
          <w:sz w:val="28"/>
        </w:rPr>
        <w:t xml:space="preserve">7. </w:t>
      </w:r>
      <w:r w:rsidR="006545C2">
        <w:rPr>
          <w:b/>
          <w:sz w:val="28"/>
        </w:rPr>
        <w:t xml:space="preserve">Brexit </w:t>
      </w:r>
      <w:r w:rsidR="002B53AB">
        <w:rPr>
          <w:b/>
          <w:sz w:val="28"/>
        </w:rPr>
        <w:t>and</w:t>
      </w:r>
      <w:r w:rsidR="006545C2">
        <w:rPr>
          <w:b/>
          <w:sz w:val="28"/>
        </w:rPr>
        <w:t xml:space="preserve"> </w:t>
      </w:r>
      <w:r w:rsidR="00993133">
        <w:rPr>
          <w:b/>
          <w:sz w:val="28"/>
        </w:rPr>
        <w:t xml:space="preserve">Its </w:t>
      </w:r>
      <w:r w:rsidR="00076A85">
        <w:rPr>
          <w:b/>
          <w:sz w:val="28"/>
        </w:rPr>
        <w:t xml:space="preserve">Consequences for </w:t>
      </w:r>
      <w:r w:rsidR="006545C2">
        <w:rPr>
          <w:b/>
          <w:sz w:val="28"/>
        </w:rPr>
        <w:t>the</w:t>
      </w:r>
      <w:r>
        <w:rPr>
          <w:b/>
          <w:sz w:val="28"/>
        </w:rPr>
        <w:t xml:space="preserve"> Future</w:t>
      </w:r>
      <w:r w:rsidR="006545C2">
        <w:rPr>
          <w:b/>
          <w:sz w:val="28"/>
        </w:rPr>
        <w:t xml:space="preserve"> Internationalised Legal Education within Europe </w:t>
      </w:r>
    </w:p>
    <w:p w14:paraId="7A697710" w14:textId="3448BC9C" w:rsidR="00F8755F" w:rsidRDefault="00145444" w:rsidP="00076A85">
      <w:pPr>
        <w:jc w:val="both"/>
        <w:rPr>
          <w:sz w:val="24"/>
        </w:rPr>
      </w:pPr>
      <w:r>
        <w:rPr>
          <w:sz w:val="24"/>
        </w:rPr>
        <w:t>Having analysed</w:t>
      </w:r>
      <w:r w:rsidR="002F1764">
        <w:rPr>
          <w:sz w:val="24"/>
        </w:rPr>
        <w:t xml:space="preserve"> the perceptions of</w:t>
      </w:r>
      <w:r>
        <w:rPr>
          <w:sz w:val="24"/>
        </w:rPr>
        <w:t xml:space="preserve"> law students</w:t>
      </w:r>
      <w:r w:rsidR="002F1764">
        <w:rPr>
          <w:sz w:val="24"/>
        </w:rPr>
        <w:t xml:space="preserve"> in Wales</w:t>
      </w:r>
      <w:r w:rsidR="00F8755F">
        <w:rPr>
          <w:sz w:val="24"/>
        </w:rPr>
        <w:t xml:space="preserve"> as to the effects of Brexit</w:t>
      </w:r>
      <w:r w:rsidR="002F1764">
        <w:rPr>
          <w:sz w:val="24"/>
        </w:rPr>
        <w:t>,</w:t>
      </w:r>
      <w:r w:rsidR="00F8755F">
        <w:rPr>
          <w:sz w:val="24"/>
        </w:rPr>
        <w:t xml:space="preserve"> three</w:t>
      </w:r>
      <w:r w:rsidR="002462F6">
        <w:rPr>
          <w:sz w:val="24"/>
        </w:rPr>
        <w:t xml:space="preserve"> international issues</w:t>
      </w:r>
      <w:r>
        <w:rPr>
          <w:sz w:val="24"/>
        </w:rPr>
        <w:t xml:space="preserve"> arise</w:t>
      </w:r>
      <w:r w:rsidR="00F8755F">
        <w:rPr>
          <w:sz w:val="24"/>
        </w:rPr>
        <w:t xml:space="preserve"> from the findings of this study. Firstly, what does Brexit mean</w:t>
      </w:r>
      <w:r w:rsidR="002462F6">
        <w:rPr>
          <w:sz w:val="24"/>
        </w:rPr>
        <w:t xml:space="preserve"> for</w:t>
      </w:r>
      <w:r>
        <w:rPr>
          <w:sz w:val="24"/>
        </w:rPr>
        <w:t xml:space="preserve"> the future </w:t>
      </w:r>
      <w:r w:rsidR="002462F6">
        <w:rPr>
          <w:sz w:val="24"/>
        </w:rPr>
        <w:t>of</w:t>
      </w:r>
      <w:r>
        <w:rPr>
          <w:sz w:val="24"/>
        </w:rPr>
        <w:t xml:space="preserve"> internationalised legal education </w:t>
      </w:r>
      <w:r w:rsidR="002F1764">
        <w:rPr>
          <w:sz w:val="24"/>
        </w:rPr>
        <w:t>across the EU</w:t>
      </w:r>
      <w:r w:rsidR="00F8755F">
        <w:rPr>
          <w:sz w:val="24"/>
        </w:rPr>
        <w:t>. Secondly,</w:t>
      </w:r>
      <w:r w:rsidR="008D2157">
        <w:rPr>
          <w:sz w:val="24"/>
        </w:rPr>
        <w:t xml:space="preserve"> whether Brexit sentiments could be replicate</w:t>
      </w:r>
      <w:r w:rsidR="004D3428">
        <w:rPr>
          <w:sz w:val="24"/>
        </w:rPr>
        <w:t>d elsewhere amongst existing EU Members</w:t>
      </w:r>
      <w:r w:rsidR="002462F6">
        <w:rPr>
          <w:sz w:val="24"/>
        </w:rPr>
        <w:t>, and what such would mean for Europe’s existing internationalised legal education model</w:t>
      </w:r>
      <w:r w:rsidR="00F8755F">
        <w:rPr>
          <w:sz w:val="24"/>
        </w:rPr>
        <w:t xml:space="preserve">. Finally, </w:t>
      </w:r>
      <w:r w:rsidR="008D2157">
        <w:rPr>
          <w:sz w:val="24"/>
        </w:rPr>
        <w:t>what</w:t>
      </w:r>
      <w:r w:rsidR="004D3428">
        <w:rPr>
          <w:sz w:val="24"/>
        </w:rPr>
        <w:t xml:space="preserve"> can</w:t>
      </w:r>
      <w:r w:rsidR="008D2157">
        <w:rPr>
          <w:sz w:val="24"/>
        </w:rPr>
        <w:t xml:space="preserve"> the UK </w:t>
      </w:r>
      <w:r w:rsidR="004D3428">
        <w:rPr>
          <w:sz w:val="24"/>
        </w:rPr>
        <w:t>expect from Brexit</w:t>
      </w:r>
      <w:r w:rsidR="002462F6">
        <w:rPr>
          <w:sz w:val="24"/>
        </w:rPr>
        <w:t>, in</w:t>
      </w:r>
      <w:r w:rsidR="008D2157">
        <w:rPr>
          <w:sz w:val="24"/>
        </w:rPr>
        <w:t xml:space="preserve"> </w:t>
      </w:r>
      <w:r w:rsidR="00F8755F">
        <w:rPr>
          <w:sz w:val="24"/>
        </w:rPr>
        <w:t>joining the list of European countries who are not currently Member States</w:t>
      </w:r>
      <w:r w:rsidR="004D3428">
        <w:rPr>
          <w:sz w:val="24"/>
        </w:rPr>
        <w:t>, and the ways by which they attract EU students</w:t>
      </w:r>
      <w:r w:rsidR="002F1764">
        <w:rPr>
          <w:sz w:val="24"/>
        </w:rPr>
        <w:t>.</w:t>
      </w:r>
      <w:r w:rsidR="00F8755F">
        <w:rPr>
          <w:rStyle w:val="FootnoteReference"/>
          <w:sz w:val="24"/>
        </w:rPr>
        <w:footnoteReference w:id="76"/>
      </w:r>
      <w:r w:rsidR="002F1764">
        <w:rPr>
          <w:sz w:val="24"/>
        </w:rPr>
        <w:t xml:space="preserve"> </w:t>
      </w:r>
    </w:p>
    <w:p w14:paraId="78456CB9" w14:textId="51B94165" w:rsidR="00F8755F" w:rsidRPr="00F8755F" w:rsidRDefault="00F8755F" w:rsidP="00076A85">
      <w:pPr>
        <w:jc w:val="both"/>
        <w:rPr>
          <w:b/>
          <w:sz w:val="24"/>
        </w:rPr>
      </w:pPr>
      <w:r w:rsidRPr="00F8755F">
        <w:rPr>
          <w:b/>
          <w:sz w:val="24"/>
        </w:rPr>
        <w:t>7.1 The Effects of Brex</w:t>
      </w:r>
      <w:r w:rsidR="00C478E5">
        <w:rPr>
          <w:b/>
          <w:sz w:val="24"/>
        </w:rPr>
        <w:t>it on</w:t>
      </w:r>
      <w:r w:rsidRPr="00F8755F">
        <w:rPr>
          <w:b/>
          <w:sz w:val="24"/>
        </w:rPr>
        <w:t xml:space="preserve"> Legal Education within Europe</w:t>
      </w:r>
    </w:p>
    <w:p w14:paraId="5FD8AC46" w14:textId="61DE692D" w:rsidR="00C57F2D" w:rsidRPr="00F2105B" w:rsidRDefault="00F8755F" w:rsidP="00076A85">
      <w:pPr>
        <w:jc w:val="both"/>
        <w:rPr>
          <w:sz w:val="24"/>
        </w:rPr>
      </w:pPr>
      <w:r>
        <w:rPr>
          <w:sz w:val="24"/>
        </w:rPr>
        <w:t>Whilst this paper has focused on the effects</w:t>
      </w:r>
      <w:r w:rsidR="002462F6">
        <w:rPr>
          <w:sz w:val="24"/>
        </w:rPr>
        <w:t xml:space="preserve"> of Brexit</w:t>
      </w:r>
      <w:r>
        <w:rPr>
          <w:sz w:val="24"/>
        </w:rPr>
        <w:t xml:space="preserve"> for Welsh law schools</w:t>
      </w:r>
      <w:r w:rsidR="004D3428">
        <w:rPr>
          <w:sz w:val="24"/>
        </w:rPr>
        <w:t>’ perspective</w:t>
      </w:r>
      <w:r w:rsidR="0080112D">
        <w:rPr>
          <w:sz w:val="24"/>
        </w:rPr>
        <w:t>,</w:t>
      </w:r>
      <w:r>
        <w:rPr>
          <w:sz w:val="24"/>
        </w:rPr>
        <w:t xml:space="preserve"> it is all too often unappreciated that there are also detrimental consequences for the</w:t>
      </w:r>
      <w:r w:rsidR="004D3428">
        <w:rPr>
          <w:sz w:val="24"/>
        </w:rPr>
        <w:t xml:space="preserve"> other</w:t>
      </w:r>
      <w:r>
        <w:rPr>
          <w:sz w:val="24"/>
        </w:rPr>
        <w:t xml:space="preserve"> </w:t>
      </w:r>
      <w:r w:rsidR="00506B2F">
        <w:rPr>
          <w:sz w:val="24"/>
        </w:rPr>
        <w:t>EU</w:t>
      </w:r>
      <w:r w:rsidR="004D3428">
        <w:rPr>
          <w:sz w:val="24"/>
        </w:rPr>
        <w:t xml:space="preserve"> States</w:t>
      </w:r>
      <w:r>
        <w:rPr>
          <w:sz w:val="24"/>
        </w:rPr>
        <w:t xml:space="preserve">. </w:t>
      </w:r>
      <w:r w:rsidR="002F1764">
        <w:rPr>
          <w:sz w:val="24"/>
        </w:rPr>
        <w:t>Despite consisting of a mixture of common and civil law jurisdictions, the f</w:t>
      </w:r>
      <w:r w:rsidR="00993133">
        <w:rPr>
          <w:sz w:val="24"/>
        </w:rPr>
        <w:t>oundations</w:t>
      </w:r>
      <w:r w:rsidR="002F1764">
        <w:rPr>
          <w:sz w:val="24"/>
        </w:rPr>
        <w:t xml:space="preserve"> of Europe’s legal systems</w:t>
      </w:r>
      <w:r>
        <w:rPr>
          <w:sz w:val="24"/>
        </w:rPr>
        <w:t xml:space="preserve"> share some </w:t>
      </w:r>
      <w:r w:rsidR="00FF374D">
        <w:rPr>
          <w:sz w:val="24"/>
        </w:rPr>
        <w:t>common features</w:t>
      </w:r>
      <w:r w:rsidR="0086282C">
        <w:rPr>
          <w:sz w:val="24"/>
        </w:rPr>
        <w:t>,</w:t>
      </w:r>
      <w:r w:rsidR="00076A85">
        <w:rPr>
          <w:rStyle w:val="FootnoteReference"/>
          <w:sz w:val="24"/>
        </w:rPr>
        <w:footnoteReference w:id="77"/>
      </w:r>
      <w:r w:rsidR="00FF374D">
        <w:rPr>
          <w:sz w:val="24"/>
        </w:rPr>
        <w:t xml:space="preserve"> </w:t>
      </w:r>
      <w:r w:rsidR="0086282C">
        <w:rPr>
          <w:sz w:val="24"/>
        </w:rPr>
        <w:t>and w</w:t>
      </w:r>
      <w:r w:rsidR="00FF374D">
        <w:rPr>
          <w:sz w:val="24"/>
        </w:rPr>
        <w:t xml:space="preserve">ithin its modern-day history UK </w:t>
      </w:r>
      <w:r w:rsidR="00C478E5">
        <w:rPr>
          <w:sz w:val="24"/>
        </w:rPr>
        <w:t>academics and judges have</w:t>
      </w:r>
      <w:r w:rsidR="00FF374D">
        <w:rPr>
          <w:sz w:val="24"/>
        </w:rPr>
        <w:t xml:space="preserve"> played a key role in</w:t>
      </w:r>
      <w:r w:rsidR="00C478E5">
        <w:rPr>
          <w:sz w:val="24"/>
        </w:rPr>
        <w:t xml:space="preserve"> developing EU law</w:t>
      </w:r>
      <w:r w:rsidR="00FF374D">
        <w:rPr>
          <w:sz w:val="24"/>
        </w:rPr>
        <w:t>.</w:t>
      </w:r>
      <w:r w:rsidR="00FF374D">
        <w:rPr>
          <w:rStyle w:val="FootnoteReference"/>
          <w:sz w:val="24"/>
        </w:rPr>
        <w:footnoteReference w:id="78"/>
      </w:r>
      <w:r w:rsidR="0086282C">
        <w:rPr>
          <w:sz w:val="24"/>
        </w:rPr>
        <w:t xml:space="preserve"> </w:t>
      </w:r>
      <w:r w:rsidR="0080112D">
        <w:rPr>
          <w:sz w:val="24"/>
        </w:rPr>
        <w:t>Within the European Court of Justice</w:t>
      </w:r>
      <w:r w:rsidR="00734A23">
        <w:rPr>
          <w:sz w:val="24"/>
        </w:rPr>
        <w:t xml:space="preserve"> (ECJ)</w:t>
      </w:r>
      <w:r w:rsidR="0080112D">
        <w:rPr>
          <w:sz w:val="24"/>
        </w:rPr>
        <w:t>,</w:t>
      </w:r>
      <w:r w:rsidR="0080112D">
        <w:rPr>
          <w:rStyle w:val="FootnoteReference"/>
          <w:sz w:val="24"/>
        </w:rPr>
        <w:footnoteReference w:id="79"/>
      </w:r>
      <w:r w:rsidR="0080112D">
        <w:rPr>
          <w:sz w:val="24"/>
        </w:rPr>
        <w:t xml:space="preserve"> </w:t>
      </w:r>
      <w:r w:rsidR="00C5393C">
        <w:rPr>
          <w:sz w:val="24"/>
        </w:rPr>
        <w:t>whilst most of the court’s jud</w:t>
      </w:r>
      <w:r w:rsidR="00D162AE">
        <w:rPr>
          <w:sz w:val="24"/>
        </w:rPr>
        <w:t>ge</w:t>
      </w:r>
      <w:r w:rsidR="00C5393C">
        <w:rPr>
          <w:sz w:val="24"/>
        </w:rPr>
        <w:t>s</w:t>
      </w:r>
      <w:r w:rsidR="00D162AE">
        <w:rPr>
          <w:sz w:val="24"/>
        </w:rPr>
        <w:t>’</w:t>
      </w:r>
      <w:r w:rsidR="00C5393C">
        <w:rPr>
          <w:sz w:val="24"/>
        </w:rPr>
        <w:t xml:space="preserve"> were educated within their respective jurisdictions, </w:t>
      </w:r>
      <w:r w:rsidR="00D162AE">
        <w:rPr>
          <w:sz w:val="24"/>
        </w:rPr>
        <w:t>five</w:t>
      </w:r>
      <w:r w:rsidR="00C5393C">
        <w:rPr>
          <w:sz w:val="24"/>
        </w:rPr>
        <w:t xml:space="preserve"> of its members read law within the UK</w:t>
      </w:r>
      <w:r w:rsidR="00734A23">
        <w:rPr>
          <w:sz w:val="24"/>
        </w:rPr>
        <w:t>,</w:t>
      </w:r>
      <w:r w:rsidR="00734A23">
        <w:rPr>
          <w:rStyle w:val="FootnoteReference"/>
          <w:sz w:val="24"/>
        </w:rPr>
        <w:footnoteReference w:id="80"/>
      </w:r>
      <w:r w:rsidR="00734A23">
        <w:rPr>
          <w:sz w:val="24"/>
        </w:rPr>
        <w:t xml:space="preserve"> </w:t>
      </w:r>
      <w:r w:rsidR="00D162AE">
        <w:rPr>
          <w:sz w:val="24"/>
        </w:rPr>
        <w:t>placing UK law schools</w:t>
      </w:r>
      <w:r w:rsidR="00506B2F">
        <w:rPr>
          <w:sz w:val="24"/>
        </w:rPr>
        <w:t xml:space="preserve"> as</w:t>
      </w:r>
      <w:r w:rsidR="00D162AE">
        <w:rPr>
          <w:sz w:val="24"/>
        </w:rPr>
        <w:t xml:space="preserve"> the</w:t>
      </w:r>
      <w:r w:rsidR="00506B2F">
        <w:rPr>
          <w:sz w:val="24"/>
        </w:rPr>
        <w:t xml:space="preserve"> top</w:t>
      </w:r>
      <w:r w:rsidR="00D162AE">
        <w:rPr>
          <w:sz w:val="24"/>
        </w:rPr>
        <w:t xml:space="preserve"> </w:t>
      </w:r>
      <w:r w:rsidR="00506B2F">
        <w:rPr>
          <w:sz w:val="24"/>
        </w:rPr>
        <w:t>jurisdiction</w:t>
      </w:r>
      <w:r w:rsidR="00D162AE">
        <w:rPr>
          <w:sz w:val="24"/>
        </w:rPr>
        <w:t xml:space="preserve"> </w:t>
      </w:r>
      <w:r w:rsidR="00506B2F">
        <w:rPr>
          <w:sz w:val="24"/>
        </w:rPr>
        <w:t>where</w:t>
      </w:r>
      <w:r w:rsidR="00D162AE">
        <w:rPr>
          <w:sz w:val="24"/>
        </w:rPr>
        <w:t xml:space="preserve"> the courts’ members</w:t>
      </w:r>
      <w:r w:rsidR="00506B2F">
        <w:rPr>
          <w:sz w:val="24"/>
        </w:rPr>
        <w:t xml:space="preserve"> were educated</w:t>
      </w:r>
      <w:r w:rsidR="00D162AE">
        <w:rPr>
          <w:sz w:val="24"/>
        </w:rPr>
        <w:t>.</w:t>
      </w:r>
      <w:r w:rsidR="00D162AE">
        <w:rPr>
          <w:rStyle w:val="FootnoteReference"/>
          <w:sz w:val="24"/>
        </w:rPr>
        <w:footnoteReference w:id="81"/>
      </w:r>
      <w:r w:rsidR="00D162AE">
        <w:rPr>
          <w:sz w:val="24"/>
        </w:rPr>
        <w:t xml:space="preserve"> </w:t>
      </w:r>
      <w:r w:rsidR="00397587">
        <w:rPr>
          <w:sz w:val="24"/>
        </w:rPr>
        <w:t xml:space="preserve">Furthermore </w:t>
      </w:r>
      <w:r w:rsidR="006D5A93">
        <w:rPr>
          <w:sz w:val="24"/>
        </w:rPr>
        <w:t>UK universities annually offer in excess of 30,000 Erasmus+ places to Member States’ students</w:t>
      </w:r>
      <w:r w:rsidR="00397587">
        <w:rPr>
          <w:sz w:val="24"/>
        </w:rPr>
        <w:t>; and 13,464 overseas academics have come to the UK via the Erasmus+ staff mobility scheme</w:t>
      </w:r>
      <w:r w:rsidR="006D5A93">
        <w:rPr>
          <w:sz w:val="24"/>
        </w:rPr>
        <w:t>.</w:t>
      </w:r>
      <w:r w:rsidR="006D5A93">
        <w:rPr>
          <w:rStyle w:val="FootnoteReference"/>
          <w:sz w:val="24"/>
        </w:rPr>
        <w:footnoteReference w:id="82"/>
      </w:r>
      <w:r w:rsidR="006D5A93">
        <w:rPr>
          <w:sz w:val="24"/>
        </w:rPr>
        <w:t xml:space="preserve"> </w:t>
      </w:r>
      <w:r w:rsidR="00734A23">
        <w:rPr>
          <w:sz w:val="24"/>
        </w:rPr>
        <w:t>O</w:t>
      </w:r>
      <w:r w:rsidR="00397587">
        <w:rPr>
          <w:sz w:val="24"/>
        </w:rPr>
        <w:t>n t</w:t>
      </w:r>
      <w:r w:rsidR="006D5A93">
        <w:rPr>
          <w:sz w:val="24"/>
        </w:rPr>
        <w:t>he world stage UK academia is recognised as being within the top 20 countries for collaborative research by 13 EU Member States.</w:t>
      </w:r>
      <w:r w:rsidR="006D5A93">
        <w:rPr>
          <w:rStyle w:val="FootnoteReference"/>
          <w:sz w:val="24"/>
        </w:rPr>
        <w:footnoteReference w:id="83"/>
      </w:r>
      <w:r w:rsidR="006D5A93">
        <w:rPr>
          <w:sz w:val="24"/>
        </w:rPr>
        <w:t xml:space="preserve"> </w:t>
      </w:r>
      <w:r w:rsidR="00397587">
        <w:rPr>
          <w:sz w:val="24"/>
        </w:rPr>
        <w:t xml:space="preserve">Such figures are indicative that UK legal </w:t>
      </w:r>
      <w:r w:rsidR="00397587">
        <w:rPr>
          <w:sz w:val="24"/>
        </w:rPr>
        <w:lastRenderedPageBreak/>
        <w:t>education and universities have traditionally had an important</w:t>
      </w:r>
      <w:r w:rsidR="00734A23">
        <w:rPr>
          <w:sz w:val="24"/>
        </w:rPr>
        <w:t>,</w:t>
      </w:r>
      <w:r w:rsidR="00397587">
        <w:rPr>
          <w:sz w:val="24"/>
        </w:rPr>
        <w:t xml:space="preserve"> and valued</w:t>
      </w:r>
      <w:r w:rsidR="00734A23">
        <w:rPr>
          <w:sz w:val="24"/>
        </w:rPr>
        <w:t>,</w:t>
      </w:r>
      <w:r w:rsidR="00397587">
        <w:rPr>
          <w:sz w:val="24"/>
        </w:rPr>
        <w:t xml:space="preserve"> role to play in educating and collaboratively working with continental European lawyers and law students. Should the views expressed by Wales’ current</w:t>
      </w:r>
      <w:r w:rsidR="006B59FB">
        <w:rPr>
          <w:sz w:val="24"/>
        </w:rPr>
        <w:t xml:space="preserve"> overseas</w:t>
      </w:r>
      <w:r w:rsidR="00397587">
        <w:rPr>
          <w:sz w:val="24"/>
        </w:rPr>
        <w:t xml:space="preserve"> law students</w:t>
      </w:r>
      <w:r w:rsidR="006B59FB">
        <w:rPr>
          <w:sz w:val="24"/>
        </w:rPr>
        <w:t xml:space="preserve"> be indicative of a wider changing attitude by Europeans towards UK legal education, then future generations of European lawyers may be disinclined</w:t>
      </w:r>
      <w:r w:rsidR="00734A23">
        <w:rPr>
          <w:sz w:val="24"/>
        </w:rPr>
        <w:t>, or</w:t>
      </w:r>
      <w:r w:rsidR="002462F6">
        <w:rPr>
          <w:sz w:val="24"/>
        </w:rPr>
        <w:t xml:space="preserve"> if insufficient agreement is reached</w:t>
      </w:r>
      <w:r w:rsidR="004D3428">
        <w:rPr>
          <w:sz w:val="24"/>
        </w:rPr>
        <w:t>,</w:t>
      </w:r>
      <w:r w:rsidR="00734A23">
        <w:rPr>
          <w:sz w:val="24"/>
        </w:rPr>
        <w:t xml:space="preserve"> unable,</w:t>
      </w:r>
      <w:r w:rsidR="006B59FB">
        <w:rPr>
          <w:sz w:val="24"/>
        </w:rPr>
        <w:t xml:space="preserve"> to avail themselves of the vast legal expertise and skills being taught within the UK universities. </w:t>
      </w:r>
    </w:p>
    <w:p w14:paraId="62928C33" w14:textId="35CA5038" w:rsidR="001D0F6F" w:rsidRPr="001D0F6F" w:rsidRDefault="001D0F6F" w:rsidP="00076A85">
      <w:pPr>
        <w:jc w:val="both"/>
        <w:rPr>
          <w:b/>
          <w:sz w:val="24"/>
        </w:rPr>
      </w:pPr>
      <w:r w:rsidRPr="00F8755F">
        <w:rPr>
          <w:b/>
          <w:sz w:val="24"/>
        </w:rPr>
        <w:t>7.</w:t>
      </w:r>
      <w:r>
        <w:rPr>
          <w:b/>
          <w:sz w:val="24"/>
        </w:rPr>
        <w:t>2</w:t>
      </w:r>
      <w:r w:rsidRPr="00F8755F">
        <w:rPr>
          <w:b/>
          <w:sz w:val="24"/>
        </w:rPr>
        <w:t xml:space="preserve"> The </w:t>
      </w:r>
      <w:r w:rsidR="00481B01">
        <w:rPr>
          <w:b/>
          <w:sz w:val="24"/>
        </w:rPr>
        <w:t>Potential Consequences for</w:t>
      </w:r>
      <w:r w:rsidR="004D3428">
        <w:rPr>
          <w:b/>
          <w:sz w:val="24"/>
        </w:rPr>
        <w:t xml:space="preserve"> </w:t>
      </w:r>
      <w:r>
        <w:rPr>
          <w:b/>
          <w:sz w:val="24"/>
        </w:rPr>
        <w:t>Legal Education if Other Member States Followed</w:t>
      </w:r>
      <w:r w:rsidRPr="00F8755F">
        <w:rPr>
          <w:b/>
          <w:sz w:val="24"/>
        </w:rPr>
        <w:t xml:space="preserve"> Brexit </w:t>
      </w:r>
    </w:p>
    <w:p w14:paraId="74CA4592" w14:textId="17006666" w:rsidR="005333B3" w:rsidRDefault="00734A23" w:rsidP="00993133">
      <w:pPr>
        <w:jc w:val="both"/>
        <w:rPr>
          <w:sz w:val="24"/>
        </w:rPr>
      </w:pPr>
      <w:r>
        <w:rPr>
          <w:sz w:val="24"/>
        </w:rPr>
        <w:t>Whilst the results of this study indicate that overseas students are overwhelming against Brexit, a</w:t>
      </w:r>
      <w:r w:rsidR="005333B3">
        <w:rPr>
          <w:sz w:val="24"/>
        </w:rPr>
        <w:t>nother issue</w:t>
      </w:r>
      <w:r w:rsidR="002462F6">
        <w:rPr>
          <w:sz w:val="24"/>
        </w:rPr>
        <w:t xml:space="preserve"> </w:t>
      </w:r>
      <w:r w:rsidR="005333B3">
        <w:rPr>
          <w:sz w:val="24"/>
        </w:rPr>
        <w:t>is that of whether the cross sharing of ideas across Europe within legal education and the legal sector could be under further threat from Euroscepticism i.e. whether Europe’s internationalised legal education model could be affected by further EU membership refer</w:t>
      </w:r>
      <w:r w:rsidR="00F2105B">
        <w:rPr>
          <w:sz w:val="24"/>
        </w:rPr>
        <w:t>enda</w:t>
      </w:r>
      <w:r w:rsidR="005333B3">
        <w:rPr>
          <w:sz w:val="24"/>
        </w:rPr>
        <w:t xml:space="preserve">. </w:t>
      </w:r>
    </w:p>
    <w:p w14:paraId="57E39049" w14:textId="0C3D7619" w:rsidR="00CF0796" w:rsidRDefault="00993133" w:rsidP="00993133">
      <w:pPr>
        <w:jc w:val="both"/>
        <w:rPr>
          <w:sz w:val="24"/>
        </w:rPr>
      </w:pPr>
      <w:r>
        <w:rPr>
          <w:sz w:val="24"/>
        </w:rPr>
        <w:t>It was predicted by some that the rise of populism within Europe was an irreversible trend, and that Brexit and Euroscepticism would lead to ‘leaving Europe’ being emulated elsewhere by other Member States.</w:t>
      </w:r>
      <w:r>
        <w:rPr>
          <w:rStyle w:val="FootnoteReference"/>
          <w:sz w:val="24"/>
        </w:rPr>
        <w:footnoteReference w:id="84"/>
      </w:r>
      <w:r>
        <w:rPr>
          <w:sz w:val="24"/>
        </w:rPr>
        <w:t xml:space="preserve"> Nonetheless, following elections in Austria in 2016, and Spain in 2016, </w:t>
      </w:r>
      <w:r w:rsidR="00F2105B">
        <w:rPr>
          <w:sz w:val="24"/>
        </w:rPr>
        <w:t xml:space="preserve">and Italy in 2018, </w:t>
      </w:r>
      <w:r>
        <w:rPr>
          <w:sz w:val="24"/>
        </w:rPr>
        <w:t>the ‘doomsday’ predictions that populism would continue to gain traction did not become a reality.</w:t>
      </w:r>
      <w:r>
        <w:rPr>
          <w:rStyle w:val="FootnoteReference"/>
          <w:sz w:val="24"/>
        </w:rPr>
        <w:footnoteReference w:id="85"/>
      </w:r>
      <w:r>
        <w:rPr>
          <w:sz w:val="24"/>
        </w:rPr>
        <w:t xml:space="preserve"> In fact, the most recent YouGov data from 2016 indicates that no other Member State’s citizens (out of the 11 other surveyed) envisaged leaving the EU would be a </w:t>
      </w:r>
      <w:r w:rsidR="00734A23">
        <w:rPr>
          <w:sz w:val="24"/>
        </w:rPr>
        <w:t>reality</w:t>
      </w:r>
      <w:r>
        <w:rPr>
          <w:sz w:val="24"/>
        </w:rPr>
        <w:t xml:space="preserve"> in the immediate future.</w:t>
      </w:r>
      <w:r>
        <w:rPr>
          <w:rStyle w:val="FootnoteReference"/>
          <w:sz w:val="24"/>
        </w:rPr>
        <w:footnoteReference w:id="86"/>
      </w:r>
    </w:p>
    <w:p w14:paraId="2169E84D" w14:textId="0EA50183" w:rsidR="00993133" w:rsidRDefault="00993133" w:rsidP="00993133">
      <w:pPr>
        <w:jc w:val="both"/>
        <w:rPr>
          <w:sz w:val="24"/>
        </w:rPr>
      </w:pPr>
      <w:r>
        <w:rPr>
          <w:b/>
          <w:sz w:val="24"/>
          <w:szCs w:val="24"/>
        </w:rPr>
        <w:t xml:space="preserve">Chart 4: </w:t>
      </w:r>
      <w:r w:rsidR="00CF0796">
        <w:rPr>
          <w:b/>
          <w:sz w:val="24"/>
          <w:szCs w:val="24"/>
        </w:rPr>
        <w:t xml:space="preserve">A survey of EU citizens’ thoughts as to how </w:t>
      </w:r>
      <w:r>
        <w:rPr>
          <w:b/>
          <w:sz w:val="24"/>
          <w:szCs w:val="24"/>
        </w:rPr>
        <w:t>likely</w:t>
      </w:r>
      <w:r w:rsidR="00CF0796">
        <w:rPr>
          <w:b/>
          <w:sz w:val="24"/>
          <w:szCs w:val="24"/>
        </w:rPr>
        <w:t xml:space="preserve"> it was that their country would leave the EU in the next ten years </w:t>
      </w:r>
    </w:p>
    <w:p w14:paraId="7701A78A" w14:textId="77777777" w:rsidR="00993133" w:rsidRDefault="00993133" w:rsidP="00993133">
      <w:pPr>
        <w:jc w:val="center"/>
        <w:rPr>
          <w:sz w:val="24"/>
        </w:rPr>
      </w:pPr>
      <w:r>
        <w:rPr>
          <w:noProof/>
          <w:sz w:val="24"/>
          <w:lang w:eastAsia="en-GB"/>
        </w:rPr>
        <w:drawing>
          <wp:inline distT="0" distB="0" distL="0" distR="0" wp14:anchorId="17E51AFA" wp14:editId="75CD6D47">
            <wp:extent cx="4807070" cy="2317461"/>
            <wp:effectExtent l="0" t="0" r="0" b="698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585439C" w14:textId="107E8DB4" w:rsidR="00993133" w:rsidRDefault="00CF0796" w:rsidP="00993133">
      <w:pPr>
        <w:jc w:val="both"/>
        <w:rPr>
          <w:sz w:val="24"/>
        </w:rPr>
      </w:pPr>
      <w:r>
        <w:rPr>
          <w:sz w:val="24"/>
        </w:rPr>
        <w:lastRenderedPageBreak/>
        <w:t>The above data indicates that contrary to populist predictions, other EU Member States have in fact become more in favour of closer Union following the Brexit vote, suggesting that further ins</w:t>
      </w:r>
      <w:r w:rsidR="00F2105B">
        <w:rPr>
          <w:sz w:val="24"/>
        </w:rPr>
        <w:t>tances of withdrawal referenda</w:t>
      </w:r>
      <w:r w:rsidR="002462F6">
        <w:rPr>
          <w:sz w:val="24"/>
        </w:rPr>
        <w:t xml:space="preserve"> are unlikely</w:t>
      </w:r>
      <w:r>
        <w:rPr>
          <w:sz w:val="24"/>
        </w:rPr>
        <w:t>.</w:t>
      </w:r>
      <w:r w:rsidRPr="00CF0796">
        <w:rPr>
          <w:rStyle w:val="FootnoteReference"/>
          <w:sz w:val="24"/>
        </w:rPr>
        <w:t xml:space="preserve"> </w:t>
      </w:r>
      <w:r>
        <w:rPr>
          <w:rStyle w:val="FootnoteReference"/>
          <w:sz w:val="24"/>
        </w:rPr>
        <w:footnoteReference w:id="87"/>
      </w:r>
      <w:r w:rsidR="00734A23" w:rsidRPr="00734A23">
        <w:rPr>
          <w:sz w:val="24"/>
        </w:rPr>
        <w:t xml:space="preserve"> </w:t>
      </w:r>
    </w:p>
    <w:p w14:paraId="6CF8A26A" w14:textId="2B568477" w:rsidR="00CF0796" w:rsidRDefault="00F2105B" w:rsidP="002A1920">
      <w:pPr>
        <w:jc w:val="both"/>
        <w:rPr>
          <w:sz w:val="24"/>
        </w:rPr>
      </w:pPr>
      <w:r>
        <w:rPr>
          <w:sz w:val="24"/>
        </w:rPr>
        <w:t>Within the context of</w:t>
      </w:r>
      <w:r w:rsidR="00CF0796">
        <w:rPr>
          <w:sz w:val="24"/>
        </w:rPr>
        <w:t xml:space="preserve"> </w:t>
      </w:r>
      <w:r w:rsidR="002462F6">
        <w:rPr>
          <w:sz w:val="24"/>
        </w:rPr>
        <w:t>law</w:t>
      </w:r>
      <w:r w:rsidR="00CF0796">
        <w:rPr>
          <w:sz w:val="24"/>
        </w:rPr>
        <w:t xml:space="preserve">, this is not to suggest that Euroscepticism does not exist </w:t>
      </w:r>
      <w:r w:rsidR="00734A23">
        <w:rPr>
          <w:sz w:val="24"/>
        </w:rPr>
        <w:t>elsewhere</w:t>
      </w:r>
      <w:r w:rsidR="00CF0796">
        <w:rPr>
          <w:sz w:val="24"/>
        </w:rPr>
        <w:t xml:space="preserve">. </w:t>
      </w:r>
      <w:r w:rsidR="00734A23">
        <w:rPr>
          <w:sz w:val="24"/>
        </w:rPr>
        <w:t>For example, t</w:t>
      </w:r>
      <w:r w:rsidR="002A1920">
        <w:rPr>
          <w:sz w:val="24"/>
        </w:rPr>
        <w:t>he UK’s sentiments towards</w:t>
      </w:r>
      <w:r w:rsidR="00CF0796">
        <w:rPr>
          <w:sz w:val="24"/>
        </w:rPr>
        <w:t xml:space="preserve"> the notion of</w:t>
      </w:r>
      <w:r w:rsidR="002A1920">
        <w:rPr>
          <w:sz w:val="24"/>
        </w:rPr>
        <w:t xml:space="preserve"> </w:t>
      </w:r>
      <w:r w:rsidR="0090396A">
        <w:rPr>
          <w:sz w:val="24"/>
        </w:rPr>
        <w:t>‘</w:t>
      </w:r>
      <w:r w:rsidR="002A1920">
        <w:rPr>
          <w:sz w:val="24"/>
        </w:rPr>
        <w:t>sovereignty</w:t>
      </w:r>
      <w:r w:rsidR="0090396A">
        <w:rPr>
          <w:sz w:val="24"/>
        </w:rPr>
        <w:t>’</w:t>
      </w:r>
      <w:r w:rsidR="002A1920">
        <w:rPr>
          <w:sz w:val="24"/>
        </w:rPr>
        <w:t xml:space="preserve"> are not idiosyncratic</w:t>
      </w:r>
      <w:r w:rsidR="00CF0796">
        <w:rPr>
          <w:sz w:val="24"/>
        </w:rPr>
        <w:t>, with other Member States similarly not wishing to defer matters to the ECJ</w:t>
      </w:r>
      <w:r w:rsidR="002A1920">
        <w:rPr>
          <w:sz w:val="24"/>
        </w:rPr>
        <w:t>. Similar conceptions of sovereignty and the role of the national legislature and judiciary have been recognised within Scandinavian countries.</w:t>
      </w:r>
      <w:r w:rsidR="002A1920">
        <w:rPr>
          <w:rStyle w:val="FootnoteReference"/>
          <w:sz w:val="24"/>
        </w:rPr>
        <w:footnoteReference w:id="88"/>
      </w:r>
      <w:r w:rsidR="002A1920">
        <w:rPr>
          <w:sz w:val="24"/>
        </w:rPr>
        <w:t xml:space="preserve"> As Wind remarks: </w:t>
      </w:r>
    </w:p>
    <w:p w14:paraId="44BAE2CE" w14:textId="6AB2A5E0" w:rsidR="00CF0796" w:rsidRDefault="00CF0796" w:rsidP="00CF0796">
      <w:pPr>
        <w:ind w:left="567" w:right="567"/>
        <w:jc w:val="both"/>
        <w:rPr>
          <w:sz w:val="24"/>
        </w:rPr>
      </w:pPr>
      <w:r>
        <w:rPr>
          <w:sz w:val="24"/>
        </w:rPr>
        <w:t>…i</w:t>
      </w:r>
      <w:r w:rsidR="002A1920">
        <w:rPr>
          <w:sz w:val="24"/>
        </w:rPr>
        <w:t>n Denmark, Sweden, and Finland (but to a much lesser extent Norway), unlimited majoritarian democracy for centuries trumped any conception of constitutionalism. In Scandinavia, there was either no tradition for practicing judicial review at the national level or alternatively it was directly forbidden under national constitutions until 2000.</w:t>
      </w:r>
      <w:r w:rsidRPr="00CF0796">
        <w:rPr>
          <w:rStyle w:val="FootnoteReference"/>
          <w:sz w:val="24"/>
        </w:rPr>
        <w:t xml:space="preserve"> </w:t>
      </w:r>
      <w:r>
        <w:rPr>
          <w:rStyle w:val="FootnoteReference"/>
          <w:sz w:val="24"/>
        </w:rPr>
        <w:footnoteReference w:id="89"/>
      </w:r>
    </w:p>
    <w:p w14:paraId="33C8639C" w14:textId="1254FAF4" w:rsidR="000939F4" w:rsidRDefault="002A1920" w:rsidP="002A1920">
      <w:pPr>
        <w:jc w:val="both"/>
        <w:rPr>
          <w:sz w:val="24"/>
        </w:rPr>
      </w:pPr>
      <w:r>
        <w:rPr>
          <w:sz w:val="24"/>
        </w:rPr>
        <w:t>Whilst this has legally changed, politically, these anti-supranational court sentiments, particularly in Denmark, ha</w:t>
      </w:r>
      <w:r w:rsidR="004D3428">
        <w:rPr>
          <w:sz w:val="24"/>
        </w:rPr>
        <w:t>ve</w:t>
      </w:r>
      <w:r>
        <w:rPr>
          <w:sz w:val="24"/>
        </w:rPr>
        <w:t xml:space="preserve"> led to very few cases being referred to the ECJ, alongside a reluctance to cite ECJ jurisprudence within these countries’ highest courts. </w:t>
      </w:r>
    </w:p>
    <w:p w14:paraId="2642B891" w14:textId="7108A948" w:rsidR="000939F4" w:rsidRDefault="00734A23" w:rsidP="002A1920">
      <w:pPr>
        <w:jc w:val="both"/>
        <w:rPr>
          <w:sz w:val="24"/>
        </w:rPr>
      </w:pPr>
      <w:r>
        <w:rPr>
          <w:sz w:val="24"/>
        </w:rPr>
        <w:t>However</w:t>
      </w:r>
      <w:r w:rsidR="000939F4">
        <w:rPr>
          <w:sz w:val="24"/>
        </w:rPr>
        <w:t>,</w:t>
      </w:r>
      <w:r>
        <w:rPr>
          <w:sz w:val="24"/>
        </w:rPr>
        <w:t xml:space="preserve"> within these</w:t>
      </w:r>
      <w:r w:rsidR="000939F4">
        <w:rPr>
          <w:sz w:val="24"/>
        </w:rPr>
        <w:t xml:space="preserve"> Eurosceptic </w:t>
      </w:r>
      <w:r>
        <w:rPr>
          <w:sz w:val="24"/>
        </w:rPr>
        <w:t xml:space="preserve">countries it has been </w:t>
      </w:r>
      <w:r w:rsidR="000939F4">
        <w:rPr>
          <w:sz w:val="24"/>
        </w:rPr>
        <w:t xml:space="preserve">recognised </w:t>
      </w:r>
      <w:r>
        <w:rPr>
          <w:sz w:val="24"/>
        </w:rPr>
        <w:t xml:space="preserve">that rather than Brexit being seen an opportunity to ‘destroy’ the EU, </w:t>
      </w:r>
      <w:r w:rsidR="000939F4">
        <w:rPr>
          <w:sz w:val="24"/>
        </w:rPr>
        <w:t>it is an opportunity to reform it.</w:t>
      </w:r>
      <w:r w:rsidR="000939F4">
        <w:rPr>
          <w:rStyle w:val="FootnoteReference"/>
          <w:sz w:val="24"/>
        </w:rPr>
        <w:footnoteReference w:id="90"/>
      </w:r>
      <w:r w:rsidR="000939F4">
        <w:rPr>
          <w:sz w:val="24"/>
        </w:rPr>
        <w:t xml:space="preserve"> </w:t>
      </w:r>
      <w:r w:rsidR="0090396A">
        <w:rPr>
          <w:sz w:val="24"/>
        </w:rPr>
        <w:t>Within the context of the legal profession and legal education, such is testament to an innovative approach by EU leaders to embrace Euroscepticism to facilitate new opportunities, post Brexit, for the gap left by UK legal experts to be filled by reformists, whilst inspiring future generations of continental lawyers to seek opportunities for employment within the EU institutions in order to facilitate such change. Consequently, contrary to Brexit having consequences for the EU’s internationalised law models, UK withdrawal could be attributed in the future to amounting to a stronger Union, and greater initiatives to strengthen collaboration, legal innovation and reformist ideas amongst future generations of law experts (with the UK sitting outside such</w:t>
      </w:r>
      <w:r w:rsidR="00F2105B">
        <w:rPr>
          <w:sz w:val="24"/>
        </w:rPr>
        <w:t xml:space="preserve"> developments,</w:t>
      </w:r>
      <w:r w:rsidR="0090396A">
        <w:rPr>
          <w:sz w:val="24"/>
        </w:rPr>
        <w:t xml:space="preserve"> as a non-member). </w:t>
      </w:r>
    </w:p>
    <w:p w14:paraId="39ABAC7F" w14:textId="082D5664" w:rsidR="001D0F6F" w:rsidRPr="00FC6C64" w:rsidRDefault="001D0F6F" w:rsidP="002A1920">
      <w:pPr>
        <w:jc w:val="both"/>
        <w:rPr>
          <w:b/>
          <w:sz w:val="24"/>
        </w:rPr>
      </w:pPr>
      <w:r w:rsidRPr="00FC6C64">
        <w:rPr>
          <w:b/>
          <w:sz w:val="24"/>
        </w:rPr>
        <w:t xml:space="preserve">7.3 Insights from Other Non-EU European Countries </w:t>
      </w:r>
    </w:p>
    <w:p w14:paraId="423F43BF" w14:textId="6A264F6D" w:rsidR="00993133" w:rsidRPr="0031589B" w:rsidRDefault="0007526F" w:rsidP="002A1920">
      <w:pPr>
        <w:jc w:val="both"/>
        <w:rPr>
          <w:sz w:val="24"/>
          <w:highlight w:val="yellow"/>
        </w:rPr>
      </w:pPr>
      <w:r w:rsidRPr="00FC6C64">
        <w:rPr>
          <w:sz w:val="24"/>
        </w:rPr>
        <w:t xml:space="preserve">Such </w:t>
      </w:r>
      <w:r w:rsidR="00EF1CE1" w:rsidRPr="00FC6C64">
        <w:rPr>
          <w:sz w:val="24"/>
        </w:rPr>
        <w:t>findings lead to the question of</w:t>
      </w:r>
      <w:r w:rsidRPr="00FC6C64">
        <w:rPr>
          <w:sz w:val="24"/>
        </w:rPr>
        <w:t xml:space="preserve"> what the future for UK legal education may look like outside of the </w:t>
      </w:r>
      <w:r w:rsidR="00FC6C64">
        <w:rPr>
          <w:sz w:val="24"/>
        </w:rPr>
        <w:t>EU</w:t>
      </w:r>
      <w:r w:rsidRPr="00FC6C64">
        <w:rPr>
          <w:sz w:val="24"/>
        </w:rPr>
        <w:t>. It is difficult to draw strict comparison</w:t>
      </w:r>
      <w:r w:rsidR="00341891" w:rsidRPr="00FC6C64">
        <w:rPr>
          <w:sz w:val="24"/>
        </w:rPr>
        <w:t>s</w:t>
      </w:r>
      <w:r w:rsidRPr="00FC6C64">
        <w:rPr>
          <w:sz w:val="24"/>
        </w:rPr>
        <w:t xml:space="preserve"> with other European Non-Member </w:t>
      </w:r>
      <w:r w:rsidRPr="00FC6C64">
        <w:rPr>
          <w:sz w:val="24"/>
        </w:rPr>
        <w:lastRenderedPageBreak/>
        <w:t>States,</w:t>
      </w:r>
      <w:r w:rsidRPr="00FC6C64">
        <w:rPr>
          <w:rStyle w:val="FootnoteReference"/>
          <w:sz w:val="24"/>
        </w:rPr>
        <w:footnoteReference w:id="91"/>
      </w:r>
      <w:r w:rsidRPr="00FC6C64">
        <w:rPr>
          <w:sz w:val="24"/>
        </w:rPr>
        <w:t xml:space="preserve"> insofar </w:t>
      </w:r>
      <w:r w:rsidR="00341891" w:rsidRPr="00FC6C64">
        <w:rPr>
          <w:sz w:val="24"/>
        </w:rPr>
        <w:t xml:space="preserve">as </w:t>
      </w:r>
      <w:r w:rsidRPr="00FC6C64">
        <w:rPr>
          <w:sz w:val="24"/>
        </w:rPr>
        <w:t xml:space="preserve">none have Higher Education representing as </w:t>
      </w:r>
      <w:r w:rsidR="00EF1CE1" w:rsidRPr="00FC6C64">
        <w:rPr>
          <w:sz w:val="24"/>
        </w:rPr>
        <w:t>significant</w:t>
      </w:r>
      <w:r w:rsidRPr="00FC6C64">
        <w:rPr>
          <w:sz w:val="24"/>
        </w:rPr>
        <w:t xml:space="preserve"> percentage of GDP as the UK</w:t>
      </w:r>
      <w:r w:rsidR="00F2105B">
        <w:rPr>
          <w:sz w:val="24"/>
        </w:rPr>
        <w:t xml:space="preserve"> does</w:t>
      </w:r>
      <w:r w:rsidRPr="00FC6C64">
        <w:rPr>
          <w:sz w:val="24"/>
        </w:rPr>
        <w:t xml:space="preserve">. </w:t>
      </w:r>
      <w:r w:rsidR="00EF1CE1" w:rsidRPr="00FC6C64">
        <w:rPr>
          <w:sz w:val="24"/>
        </w:rPr>
        <w:t>Perhaps the closest comparison the UK can draw, in terms of international appeal and English medium courses, is that with Norway. Annually there are approximately 265</w:t>
      </w:r>
      <w:r w:rsidR="00364EEA" w:rsidRPr="00FC6C64">
        <w:rPr>
          <w:sz w:val="24"/>
        </w:rPr>
        <w:t>,</w:t>
      </w:r>
      <w:r w:rsidR="00EF1CE1" w:rsidRPr="00FC6C64">
        <w:rPr>
          <w:sz w:val="24"/>
        </w:rPr>
        <w:t xml:space="preserve">000 students registered at </w:t>
      </w:r>
      <w:r w:rsidR="00FC6C64">
        <w:rPr>
          <w:sz w:val="24"/>
        </w:rPr>
        <w:t>Norwegian universities</w:t>
      </w:r>
      <w:r w:rsidR="00EF1CE1" w:rsidRPr="00FC6C64">
        <w:rPr>
          <w:sz w:val="24"/>
        </w:rPr>
        <w:t>, with approximately 25,000 of those coming from other countries</w:t>
      </w:r>
      <w:r w:rsidR="0031589B" w:rsidRPr="00FC6C64">
        <w:rPr>
          <w:sz w:val="24"/>
        </w:rPr>
        <w:t xml:space="preserve"> (equating to 9.4%)</w:t>
      </w:r>
      <w:r w:rsidR="00EF1CE1" w:rsidRPr="00FC6C64">
        <w:rPr>
          <w:sz w:val="24"/>
        </w:rPr>
        <w:t>.</w:t>
      </w:r>
      <w:r w:rsidR="00341891" w:rsidRPr="00FC6C64">
        <w:rPr>
          <w:rStyle w:val="FootnoteReference"/>
          <w:sz w:val="24"/>
        </w:rPr>
        <w:footnoteReference w:id="92"/>
      </w:r>
      <w:r w:rsidR="00EF1CE1" w:rsidRPr="00FC6C64">
        <w:rPr>
          <w:sz w:val="24"/>
        </w:rPr>
        <w:t xml:space="preserve"> </w:t>
      </w:r>
      <w:r w:rsidR="0031589B" w:rsidRPr="00FC6C64">
        <w:rPr>
          <w:sz w:val="24"/>
        </w:rPr>
        <w:t>In the latest available figures for 2017, Norway had 35,047 students studying ‘social science and law’ degrees, with less than 10% coming from overseas.</w:t>
      </w:r>
      <w:r w:rsidR="00364EEA" w:rsidRPr="00FC6C64">
        <w:rPr>
          <w:rStyle w:val="FootnoteReference"/>
          <w:sz w:val="24"/>
        </w:rPr>
        <w:footnoteReference w:id="93"/>
      </w:r>
      <w:r w:rsidR="0031589B" w:rsidRPr="00FC6C64">
        <w:rPr>
          <w:sz w:val="24"/>
        </w:rPr>
        <w:t xml:space="preserve"> </w:t>
      </w:r>
      <w:r w:rsidR="00341891" w:rsidRPr="00FC6C64">
        <w:rPr>
          <w:sz w:val="24"/>
        </w:rPr>
        <w:t>By contrast the UK as a current Member State has 442,375 overseas students studying within its universities, with 19% of those coming from overseas.</w:t>
      </w:r>
      <w:r w:rsidR="00341891" w:rsidRPr="00FC6C64">
        <w:rPr>
          <w:rStyle w:val="FootnoteReference"/>
          <w:sz w:val="24"/>
        </w:rPr>
        <w:footnoteReference w:id="94"/>
      </w:r>
      <w:r w:rsidR="00341891" w:rsidRPr="00FC6C64">
        <w:rPr>
          <w:sz w:val="24"/>
        </w:rPr>
        <w:t xml:space="preserve"> Therefore outside the EU, Norway has been unable to attract as many</w:t>
      </w:r>
      <w:r w:rsidR="00341891">
        <w:rPr>
          <w:sz w:val="24"/>
        </w:rPr>
        <w:t xml:space="preserve"> international learners</w:t>
      </w:r>
      <w:r w:rsidR="00AA6F09">
        <w:rPr>
          <w:sz w:val="24"/>
        </w:rPr>
        <w:t xml:space="preserve"> as the UK</w:t>
      </w:r>
      <w:r w:rsidR="00341891">
        <w:rPr>
          <w:sz w:val="24"/>
        </w:rPr>
        <w:t>. Putting such into context</w:t>
      </w:r>
      <w:r w:rsidR="00AA6F09">
        <w:rPr>
          <w:sz w:val="24"/>
        </w:rPr>
        <w:t>,</w:t>
      </w:r>
      <w:r w:rsidR="00341891">
        <w:rPr>
          <w:sz w:val="24"/>
        </w:rPr>
        <w:t xml:space="preserve"> it is also noteworthy that Norway attracts a lower number of overseas students despite offering free education (with no-tuition fees for learners) compared to fees of approximately £9,000 and above in the UK.</w:t>
      </w:r>
      <w:r w:rsidR="00FC6C64">
        <w:rPr>
          <w:rStyle w:val="FootnoteReference"/>
          <w:sz w:val="24"/>
        </w:rPr>
        <w:footnoteReference w:id="95"/>
      </w:r>
      <w:r w:rsidR="00341891">
        <w:rPr>
          <w:sz w:val="24"/>
        </w:rPr>
        <w:t xml:space="preserve"> Should the findings of this study emanate </w:t>
      </w:r>
      <w:r w:rsidR="00FC6C64">
        <w:rPr>
          <w:sz w:val="24"/>
        </w:rPr>
        <w:t xml:space="preserve">further amongst EU and international learners currently overseas, and such groups are not valuing UK legal education as prestigious and worthy as it once was, the UK may have to revisit its current offering and financial incentives for studying law within the UK, </w:t>
      </w:r>
      <w:r w:rsidR="00AA6F09">
        <w:rPr>
          <w:sz w:val="24"/>
        </w:rPr>
        <w:t>if it is to continue to offer</w:t>
      </w:r>
      <w:r w:rsidR="00FC6C64">
        <w:rPr>
          <w:sz w:val="24"/>
        </w:rPr>
        <w:t xml:space="preserve"> competitive and attractive degrees amongst its competition as a non-EU Member State. </w:t>
      </w:r>
      <w:r w:rsidR="00AA6F09">
        <w:rPr>
          <w:sz w:val="24"/>
        </w:rPr>
        <w:t>However, given</w:t>
      </w:r>
      <w:r w:rsidR="00FC6C64">
        <w:rPr>
          <w:sz w:val="24"/>
        </w:rPr>
        <w:t xml:space="preserve"> the current financial climate within U</w:t>
      </w:r>
      <w:r w:rsidR="00F2105B">
        <w:rPr>
          <w:sz w:val="24"/>
        </w:rPr>
        <w:t>K Higher Education, this may place even</w:t>
      </w:r>
      <w:r w:rsidR="00FC6C64">
        <w:rPr>
          <w:sz w:val="24"/>
        </w:rPr>
        <w:t xml:space="preserve"> further unviable strains on UK universities and Govern</w:t>
      </w:r>
      <w:r w:rsidR="00F2105B">
        <w:rPr>
          <w:sz w:val="24"/>
        </w:rPr>
        <w:t>ment</w:t>
      </w:r>
      <w:r w:rsidR="00FC6C64">
        <w:rPr>
          <w:sz w:val="24"/>
        </w:rPr>
        <w:t xml:space="preserve"> resources</w:t>
      </w:r>
      <w:r w:rsidR="00AA6F09">
        <w:rPr>
          <w:sz w:val="24"/>
        </w:rPr>
        <w:t>, demonstrating that moving towards a system of no tuition fees (within the UK’s current model) is highly unlikely</w:t>
      </w:r>
      <w:r w:rsidR="00FC6C64">
        <w:rPr>
          <w:sz w:val="24"/>
        </w:rPr>
        <w:t>.</w:t>
      </w:r>
      <w:r w:rsidR="00FC6C64">
        <w:rPr>
          <w:rStyle w:val="FootnoteReference"/>
          <w:sz w:val="24"/>
        </w:rPr>
        <w:footnoteReference w:id="96"/>
      </w:r>
      <w:r w:rsidR="00FC6C64">
        <w:rPr>
          <w:sz w:val="24"/>
        </w:rPr>
        <w:t xml:space="preserve"> </w:t>
      </w:r>
      <w:r w:rsidR="00AA6F09">
        <w:rPr>
          <w:sz w:val="24"/>
        </w:rPr>
        <w:t>Furthermore</w:t>
      </w:r>
      <w:r w:rsidR="00191D5B">
        <w:rPr>
          <w:sz w:val="24"/>
        </w:rPr>
        <w:t>,</w:t>
      </w:r>
      <w:r w:rsidR="00AA6F09">
        <w:rPr>
          <w:sz w:val="24"/>
        </w:rPr>
        <w:t xml:space="preserve"> a move towards such a model would put further strain on UK universities </w:t>
      </w:r>
      <w:r w:rsidR="00191D5B">
        <w:rPr>
          <w:sz w:val="24"/>
        </w:rPr>
        <w:t>become further commercialised entities</w:t>
      </w:r>
      <w:r w:rsidR="00AA6F09">
        <w:rPr>
          <w:sz w:val="24"/>
        </w:rPr>
        <w:t>,</w:t>
      </w:r>
      <w:r w:rsidR="00191D5B">
        <w:rPr>
          <w:sz w:val="24"/>
        </w:rPr>
        <w:t xml:space="preserve"> in another shift</w:t>
      </w:r>
      <w:r w:rsidR="00AA6F09">
        <w:rPr>
          <w:sz w:val="24"/>
        </w:rPr>
        <w:t xml:space="preserve"> away from the traditional values that are prized as synonymous with a British legal education.</w:t>
      </w:r>
      <w:r w:rsidR="00191D5B">
        <w:rPr>
          <w:rStyle w:val="FootnoteReference"/>
          <w:sz w:val="24"/>
        </w:rPr>
        <w:footnoteReference w:id="97"/>
      </w:r>
      <w:r w:rsidR="00AA6F09">
        <w:rPr>
          <w:sz w:val="24"/>
        </w:rPr>
        <w:t xml:space="preserve"> </w:t>
      </w:r>
    </w:p>
    <w:p w14:paraId="0F942731" w14:textId="6A6B47C3" w:rsidR="006E63FF" w:rsidRPr="00AA6F09" w:rsidRDefault="0090396A" w:rsidP="00936BDB">
      <w:pPr>
        <w:jc w:val="both"/>
        <w:rPr>
          <w:b/>
          <w:sz w:val="28"/>
        </w:rPr>
      </w:pPr>
      <w:r w:rsidRPr="00AA6F09">
        <w:rPr>
          <w:b/>
          <w:sz w:val="28"/>
        </w:rPr>
        <w:t>8</w:t>
      </w:r>
      <w:r w:rsidR="006E63FF" w:rsidRPr="00AA6F09">
        <w:rPr>
          <w:b/>
          <w:sz w:val="28"/>
        </w:rPr>
        <w:t xml:space="preserve">. </w:t>
      </w:r>
      <w:r w:rsidR="00584DD6" w:rsidRPr="00AA6F09">
        <w:rPr>
          <w:b/>
          <w:sz w:val="28"/>
        </w:rPr>
        <w:t xml:space="preserve">Concluding Thoughts: </w:t>
      </w:r>
      <w:r w:rsidR="006E63FF" w:rsidRPr="00AA6F09">
        <w:rPr>
          <w:b/>
          <w:sz w:val="28"/>
        </w:rPr>
        <w:t>Addressing Students’ Concerns</w:t>
      </w:r>
    </w:p>
    <w:p w14:paraId="0428FEEB" w14:textId="1FFD62C8" w:rsidR="008528B9" w:rsidRPr="00AA6F09" w:rsidRDefault="00F646CA" w:rsidP="000554B7">
      <w:pPr>
        <w:jc w:val="both"/>
        <w:rPr>
          <w:sz w:val="24"/>
        </w:rPr>
      </w:pPr>
      <w:r w:rsidRPr="00AA6F09">
        <w:rPr>
          <w:sz w:val="24"/>
        </w:rPr>
        <w:t xml:space="preserve">Whilst this research has sought to understand and respond to the views of current </w:t>
      </w:r>
      <w:r w:rsidR="00066AEC" w:rsidRPr="00AA6F09">
        <w:rPr>
          <w:sz w:val="24"/>
        </w:rPr>
        <w:t>l</w:t>
      </w:r>
      <w:r w:rsidRPr="00AA6F09">
        <w:rPr>
          <w:sz w:val="24"/>
        </w:rPr>
        <w:t xml:space="preserve">aw students in Wales, it is </w:t>
      </w:r>
      <w:r w:rsidR="005600BD" w:rsidRPr="00AA6F09">
        <w:rPr>
          <w:sz w:val="24"/>
        </w:rPr>
        <w:t>probable</w:t>
      </w:r>
      <w:r w:rsidRPr="00AA6F09">
        <w:rPr>
          <w:sz w:val="24"/>
        </w:rPr>
        <w:t xml:space="preserve"> that the views expressed</w:t>
      </w:r>
      <w:r w:rsidR="005600BD" w:rsidRPr="00AA6F09">
        <w:rPr>
          <w:sz w:val="24"/>
        </w:rPr>
        <w:t xml:space="preserve"> by students</w:t>
      </w:r>
      <w:r w:rsidRPr="00AA6F09">
        <w:rPr>
          <w:sz w:val="24"/>
        </w:rPr>
        <w:t xml:space="preserve"> </w:t>
      </w:r>
      <w:r w:rsidR="00431E9B" w:rsidRPr="00AA6F09">
        <w:rPr>
          <w:sz w:val="24"/>
        </w:rPr>
        <w:t xml:space="preserve">in this study </w:t>
      </w:r>
      <w:r w:rsidRPr="00AA6F09">
        <w:rPr>
          <w:sz w:val="24"/>
        </w:rPr>
        <w:t xml:space="preserve">would not be that dissimilar to other </w:t>
      </w:r>
      <w:r w:rsidR="003C35CF" w:rsidRPr="00AA6F09">
        <w:rPr>
          <w:sz w:val="24"/>
        </w:rPr>
        <w:t>l</w:t>
      </w:r>
      <w:r w:rsidR="00F912CF" w:rsidRPr="00AA6F09">
        <w:rPr>
          <w:sz w:val="24"/>
        </w:rPr>
        <w:t xml:space="preserve">aw </w:t>
      </w:r>
      <w:r w:rsidR="003C35CF" w:rsidRPr="00AA6F09">
        <w:rPr>
          <w:sz w:val="24"/>
        </w:rPr>
        <w:t>s</w:t>
      </w:r>
      <w:r w:rsidR="00F912CF" w:rsidRPr="00AA6F09">
        <w:rPr>
          <w:sz w:val="24"/>
        </w:rPr>
        <w:t>chools</w:t>
      </w:r>
      <w:r w:rsidR="004C7457" w:rsidRPr="00AA6F09">
        <w:rPr>
          <w:sz w:val="24"/>
        </w:rPr>
        <w:t xml:space="preserve"> </w:t>
      </w:r>
      <w:r w:rsidR="00F912CF" w:rsidRPr="00AA6F09">
        <w:rPr>
          <w:sz w:val="24"/>
        </w:rPr>
        <w:t xml:space="preserve">throughout </w:t>
      </w:r>
      <w:r w:rsidR="004C7457" w:rsidRPr="00AA6F09">
        <w:rPr>
          <w:sz w:val="24"/>
        </w:rPr>
        <w:t xml:space="preserve">the rest of the United Kingdom. </w:t>
      </w:r>
      <w:r w:rsidR="008528B9" w:rsidRPr="00AA6F09">
        <w:rPr>
          <w:sz w:val="24"/>
        </w:rPr>
        <w:t xml:space="preserve">Nonetheless there is scope for further research to explore whether the two percent change </w:t>
      </w:r>
      <w:r w:rsidR="008528B9" w:rsidRPr="00AA6F09">
        <w:rPr>
          <w:sz w:val="24"/>
        </w:rPr>
        <w:lastRenderedPageBreak/>
        <w:t xml:space="preserve">in opinion </w:t>
      </w:r>
      <w:r w:rsidR="008D3C27" w:rsidRPr="00AA6F09">
        <w:rPr>
          <w:sz w:val="24"/>
        </w:rPr>
        <w:t xml:space="preserve">amongst </w:t>
      </w:r>
      <w:r w:rsidR="003C35CF" w:rsidRPr="00AA6F09">
        <w:rPr>
          <w:sz w:val="24"/>
        </w:rPr>
        <w:t>l</w:t>
      </w:r>
      <w:r w:rsidR="008D3C27" w:rsidRPr="00AA6F09">
        <w:rPr>
          <w:sz w:val="24"/>
        </w:rPr>
        <w:t>aw students (</w:t>
      </w:r>
      <w:r w:rsidR="008528B9" w:rsidRPr="00AA6F09">
        <w:rPr>
          <w:sz w:val="24"/>
        </w:rPr>
        <w:t>from pro- to against-</w:t>
      </w:r>
      <w:r w:rsidR="00BC687D" w:rsidRPr="00AA6F09">
        <w:rPr>
          <w:sz w:val="24"/>
        </w:rPr>
        <w:t xml:space="preserve"> </w:t>
      </w:r>
      <w:r w:rsidR="008528B9" w:rsidRPr="00AA6F09">
        <w:rPr>
          <w:sz w:val="24"/>
        </w:rPr>
        <w:t>Brexit</w:t>
      </w:r>
      <w:r w:rsidR="008D3C27" w:rsidRPr="00AA6F09">
        <w:rPr>
          <w:sz w:val="24"/>
        </w:rPr>
        <w:t>)</w:t>
      </w:r>
      <w:r w:rsidR="00F912CF" w:rsidRPr="00AA6F09">
        <w:rPr>
          <w:sz w:val="24"/>
        </w:rPr>
        <w:t xml:space="preserve"> </w:t>
      </w:r>
      <w:r w:rsidR="008528B9" w:rsidRPr="00AA6F09">
        <w:rPr>
          <w:sz w:val="24"/>
        </w:rPr>
        <w:t>i</w:t>
      </w:r>
      <w:r w:rsidR="00F912CF" w:rsidRPr="00AA6F09">
        <w:rPr>
          <w:sz w:val="24"/>
        </w:rPr>
        <w:t>s</w:t>
      </w:r>
      <w:r w:rsidR="008528B9" w:rsidRPr="00AA6F09">
        <w:rPr>
          <w:sz w:val="24"/>
        </w:rPr>
        <w:t xml:space="preserve"> </w:t>
      </w:r>
      <w:r w:rsidR="00F912CF" w:rsidRPr="00AA6F09">
        <w:rPr>
          <w:sz w:val="24"/>
        </w:rPr>
        <w:t>more widely</w:t>
      </w:r>
      <w:r w:rsidR="008528B9" w:rsidRPr="00AA6F09">
        <w:rPr>
          <w:sz w:val="24"/>
        </w:rPr>
        <w:t xml:space="preserve"> </w:t>
      </w:r>
      <w:r w:rsidR="00BC687D" w:rsidRPr="00AA6F09">
        <w:rPr>
          <w:sz w:val="24"/>
        </w:rPr>
        <w:t xml:space="preserve">reflected </w:t>
      </w:r>
      <w:r w:rsidR="008528B9" w:rsidRPr="00AA6F09">
        <w:rPr>
          <w:sz w:val="24"/>
        </w:rPr>
        <w:t>in other regions</w:t>
      </w:r>
      <w:r w:rsidR="003C35CF" w:rsidRPr="00AA6F09">
        <w:rPr>
          <w:sz w:val="24"/>
        </w:rPr>
        <w:t xml:space="preserve"> and sectors</w:t>
      </w:r>
      <w:r w:rsidR="008528B9" w:rsidRPr="00AA6F09">
        <w:rPr>
          <w:sz w:val="24"/>
        </w:rPr>
        <w:t xml:space="preserve"> of the UK</w:t>
      </w:r>
      <w:r w:rsidR="00BC687D" w:rsidRPr="00AA6F09">
        <w:rPr>
          <w:sz w:val="24"/>
        </w:rPr>
        <w:t xml:space="preserve"> that </w:t>
      </w:r>
      <w:r w:rsidR="003C35CF" w:rsidRPr="00AA6F09">
        <w:rPr>
          <w:sz w:val="24"/>
        </w:rPr>
        <w:t xml:space="preserve">were traditionally perceived to be in favour </w:t>
      </w:r>
      <w:r w:rsidR="00BC687D" w:rsidRPr="00AA6F09">
        <w:rPr>
          <w:sz w:val="24"/>
        </w:rPr>
        <w:t>leaving the EU</w:t>
      </w:r>
      <w:r w:rsidR="008528B9" w:rsidRPr="00AA6F09">
        <w:rPr>
          <w:sz w:val="24"/>
        </w:rPr>
        <w:t>. If such a trend is reflective of a national change</w:t>
      </w:r>
      <w:r w:rsidR="00F912CF" w:rsidRPr="00AA6F09">
        <w:rPr>
          <w:sz w:val="24"/>
        </w:rPr>
        <w:t xml:space="preserve"> in opinion</w:t>
      </w:r>
      <w:r w:rsidR="008528B9" w:rsidRPr="00AA6F09">
        <w:rPr>
          <w:sz w:val="24"/>
        </w:rPr>
        <w:t xml:space="preserve">, then </w:t>
      </w:r>
      <w:r w:rsidR="003C35CF" w:rsidRPr="00AA6F09">
        <w:rPr>
          <w:sz w:val="24"/>
        </w:rPr>
        <w:t xml:space="preserve">such could lead to an alternative outcome, given the marginality of the previous result. </w:t>
      </w:r>
      <w:r w:rsidR="008528B9" w:rsidRPr="00AA6F09">
        <w:rPr>
          <w:sz w:val="24"/>
        </w:rPr>
        <w:t>When focusing</w:t>
      </w:r>
      <w:r w:rsidR="00F912CF" w:rsidRPr="00AA6F09">
        <w:rPr>
          <w:sz w:val="24"/>
        </w:rPr>
        <w:t xml:space="preserve"> more widely</w:t>
      </w:r>
      <w:r w:rsidR="008528B9" w:rsidRPr="00AA6F09">
        <w:rPr>
          <w:sz w:val="24"/>
        </w:rPr>
        <w:t xml:space="preserve"> on employability and skills development, further research could be conducted to understand the perceptions of employers and </w:t>
      </w:r>
      <w:r w:rsidR="003C35CF" w:rsidRPr="00AA6F09">
        <w:rPr>
          <w:sz w:val="24"/>
        </w:rPr>
        <w:t>l</w:t>
      </w:r>
      <w:r w:rsidR="008528B9" w:rsidRPr="00AA6F09">
        <w:rPr>
          <w:sz w:val="24"/>
        </w:rPr>
        <w:t xml:space="preserve">aw </w:t>
      </w:r>
      <w:r w:rsidR="00F912CF" w:rsidRPr="00AA6F09">
        <w:rPr>
          <w:sz w:val="24"/>
        </w:rPr>
        <w:t>f</w:t>
      </w:r>
      <w:r w:rsidR="008528B9" w:rsidRPr="00AA6F09">
        <w:rPr>
          <w:sz w:val="24"/>
        </w:rPr>
        <w:t xml:space="preserve">irms (in relation to what they perceive to be the options for graduates of the future, and potential </w:t>
      </w:r>
      <w:r w:rsidR="005600BD" w:rsidRPr="00AA6F09">
        <w:rPr>
          <w:sz w:val="24"/>
        </w:rPr>
        <w:t xml:space="preserve">future </w:t>
      </w:r>
      <w:r w:rsidR="008528B9" w:rsidRPr="00AA6F09">
        <w:rPr>
          <w:sz w:val="24"/>
        </w:rPr>
        <w:t>skills gaps within the UK</w:t>
      </w:r>
      <w:r w:rsidR="00F912CF" w:rsidRPr="00AA6F09">
        <w:rPr>
          <w:sz w:val="24"/>
        </w:rPr>
        <w:t xml:space="preserve"> legal profession</w:t>
      </w:r>
      <w:r w:rsidR="008528B9" w:rsidRPr="00AA6F09">
        <w:rPr>
          <w:sz w:val="24"/>
        </w:rPr>
        <w:t>)</w:t>
      </w:r>
      <w:r w:rsidR="00170B2C" w:rsidRPr="00AA6F09">
        <w:rPr>
          <w:sz w:val="24"/>
        </w:rPr>
        <w:t xml:space="preserve">; as well as </w:t>
      </w:r>
      <w:r w:rsidR="00AA6F09" w:rsidRPr="00AA6F09">
        <w:rPr>
          <w:sz w:val="24"/>
        </w:rPr>
        <w:t>further studies</w:t>
      </w:r>
      <w:r w:rsidR="00170B2C" w:rsidRPr="00AA6F09">
        <w:rPr>
          <w:sz w:val="24"/>
        </w:rPr>
        <w:t xml:space="preserve"> to understand the thoughts of students outside the UK, by repeating the survey within continental European law schools.</w:t>
      </w:r>
    </w:p>
    <w:p w14:paraId="154C6D3C" w14:textId="3D2A91BD" w:rsidR="00F246F2" w:rsidRDefault="00170B2C" w:rsidP="000554B7">
      <w:pPr>
        <w:jc w:val="both"/>
        <w:rPr>
          <w:sz w:val="24"/>
        </w:rPr>
      </w:pPr>
      <w:r w:rsidRPr="00AA6F09">
        <w:rPr>
          <w:sz w:val="24"/>
        </w:rPr>
        <w:t>Nonetheless, t</w:t>
      </w:r>
      <w:r w:rsidR="004C7457" w:rsidRPr="00AA6F09">
        <w:rPr>
          <w:sz w:val="24"/>
        </w:rPr>
        <w:t>h</w:t>
      </w:r>
      <w:r w:rsidR="008528B9" w:rsidRPr="00AA6F09">
        <w:rPr>
          <w:sz w:val="24"/>
        </w:rPr>
        <w:t>is research has found that the</w:t>
      </w:r>
      <w:r w:rsidR="004C7457" w:rsidRPr="00AA6F09">
        <w:rPr>
          <w:sz w:val="24"/>
        </w:rPr>
        <w:t xml:space="preserve"> most pressing challenges for </w:t>
      </w:r>
      <w:r w:rsidR="003C35CF" w:rsidRPr="00AA6F09">
        <w:rPr>
          <w:sz w:val="24"/>
        </w:rPr>
        <w:t>l</w:t>
      </w:r>
      <w:r w:rsidR="004C7457" w:rsidRPr="00AA6F09">
        <w:rPr>
          <w:sz w:val="24"/>
        </w:rPr>
        <w:t xml:space="preserve">aw </w:t>
      </w:r>
      <w:r w:rsidR="003C35CF" w:rsidRPr="00AA6F09">
        <w:rPr>
          <w:sz w:val="24"/>
        </w:rPr>
        <w:t>s</w:t>
      </w:r>
      <w:r w:rsidR="004C7457" w:rsidRPr="00AA6F09">
        <w:rPr>
          <w:sz w:val="24"/>
        </w:rPr>
        <w:t xml:space="preserve">chools in Wales </w:t>
      </w:r>
      <w:r w:rsidR="008528B9" w:rsidRPr="00AA6F09">
        <w:rPr>
          <w:sz w:val="24"/>
        </w:rPr>
        <w:t>are</w:t>
      </w:r>
      <w:r w:rsidR="004C7457" w:rsidRPr="00AA6F09">
        <w:rPr>
          <w:sz w:val="24"/>
        </w:rPr>
        <w:t xml:space="preserve"> EU and international students concerns that </w:t>
      </w:r>
      <w:r w:rsidR="00BC687D" w:rsidRPr="00AA6F09">
        <w:rPr>
          <w:sz w:val="24"/>
        </w:rPr>
        <w:t xml:space="preserve">UK </w:t>
      </w:r>
      <w:r w:rsidR="003C35CF" w:rsidRPr="00AA6F09">
        <w:rPr>
          <w:sz w:val="24"/>
        </w:rPr>
        <w:t>l</w:t>
      </w:r>
      <w:r w:rsidR="00BC687D" w:rsidRPr="00AA6F09">
        <w:rPr>
          <w:sz w:val="24"/>
        </w:rPr>
        <w:t xml:space="preserve">aw degrees are not as prestigious as they once </w:t>
      </w:r>
      <w:r w:rsidR="00076A85" w:rsidRPr="00AA6F09">
        <w:rPr>
          <w:sz w:val="24"/>
        </w:rPr>
        <w:t>were and</w:t>
      </w:r>
      <w:r w:rsidR="00BC687D" w:rsidRPr="00AA6F09">
        <w:rPr>
          <w:sz w:val="24"/>
        </w:rPr>
        <w:t xml:space="preserve"> have been devalued </w:t>
      </w:r>
      <w:r w:rsidR="00F246F2" w:rsidRPr="00AA6F09">
        <w:rPr>
          <w:sz w:val="24"/>
        </w:rPr>
        <w:t xml:space="preserve">following the Brexit vote. If such strong sentiments are expressed amongst these current </w:t>
      </w:r>
      <w:r w:rsidR="00BC687D" w:rsidRPr="00AA6F09">
        <w:rPr>
          <w:sz w:val="24"/>
        </w:rPr>
        <w:t>students</w:t>
      </w:r>
      <w:r w:rsidR="00F2105B">
        <w:rPr>
          <w:sz w:val="24"/>
        </w:rPr>
        <w:t>,</w:t>
      </w:r>
      <w:r w:rsidR="00BC687D" w:rsidRPr="00AA6F09">
        <w:rPr>
          <w:sz w:val="24"/>
        </w:rPr>
        <w:t xml:space="preserve"> i.e. those who are already in the UK</w:t>
      </w:r>
      <w:r w:rsidR="00F246F2" w:rsidRPr="00AA6F09">
        <w:rPr>
          <w:sz w:val="24"/>
        </w:rPr>
        <w:t>, such does not bode well for Wales</w:t>
      </w:r>
      <w:r w:rsidR="008E3CAD" w:rsidRPr="00AA6F09">
        <w:rPr>
          <w:sz w:val="24"/>
        </w:rPr>
        <w:t>’</w:t>
      </w:r>
      <w:r w:rsidR="00F246F2" w:rsidRPr="00AA6F09">
        <w:rPr>
          <w:sz w:val="24"/>
        </w:rPr>
        <w:t xml:space="preserve"> </w:t>
      </w:r>
      <w:r w:rsidR="00BC687D" w:rsidRPr="00AA6F09">
        <w:rPr>
          <w:sz w:val="24"/>
        </w:rPr>
        <w:t xml:space="preserve">reputation and </w:t>
      </w:r>
      <w:r w:rsidR="00F246F2" w:rsidRPr="00AA6F09">
        <w:rPr>
          <w:sz w:val="24"/>
        </w:rPr>
        <w:t>ability to continue to attract significant numbers of overseas students</w:t>
      </w:r>
      <w:r w:rsidR="00AA6F09" w:rsidRPr="00AA6F09">
        <w:rPr>
          <w:sz w:val="24"/>
        </w:rPr>
        <w:t>, and their previous prestigious</w:t>
      </w:r>
      <w:r w:rsidR="00191D5B">
        <w:rPr>
          <w:sz w:val="24"/>
        </w:rPr>
        <w:t xml:space="preserve"> and valued</w:t>
      </w:r>
      <w:r w:rsidR="00AA6F09" w:rsidRPr="00AA6F09">
        <w:rPr>
          <w:sz w:val="24"/>
        </w:rPr>
        <w:t xml:space="preserve"> role in educating and collaborating with Europe’s lawyers, jurists and law students</w:t>
      </w:r>
      <w:r w:rsidR="00F246F2" w:rsidRPr="00AA6F09">
        <w:rPr>
          <w:sz w:val="24"/>
        </w:rPr>
        <w:t>.</w:t>
      </w:r>
      <w:r w:rsidR="00AA6F09">
        <w:rPr>
          <w:sz w:val="24"/>
        </w:rPr>
        <w:t xml:space="preserve"> </w:t>
      </w:r>
      <w:r w:rsidR="00191D5B">
        <w:rPr>
          <w:sz w:val="24"/>
        </w:rPr>
        <w:t>Nonetheless, b</w:t>
      </w:r>
      <w:r w:rsidR="00AA6F09">
        <w:rPr>
          <w:sz w:val="24"/>
        </w:rPr>
        <w:t>ased on the international comparatives with No</w:t>
      </w:r>
      <w:r w:rsidR="00191D5B">
        <w:rPr>
          <w:sz w:val="24"/>
        </w:rPr>
        <w:t>rway</w:t>
      </w:r>
      <w:r w:rsidR="00AA6F09">
        <w:rPr>
          <w:sz w:val="24"/>
        </w:rPr>
        <w:t xml:space="preserve">, it may be necessary to revisit the incentives for overseas students to study in the UK (if UK universities are to continue to be </w:t>
      </w:r>
      <w:r w:rsidR="00191D5B">
        <w:rPr>
          <w:sz w:val="24"/>
        </w:rPr>
        <w:t>attractive places to read law</w:t>
      </w:r>
      <w:r w:rsidR="00AA6F09">
        <w:rPr>
          <w:sz w:val="24"/>
        </w:rPr>
        <w:t>)</w:t>
      </w:r>
      <w:r w:rsidR="00191D5B">
        <w:rPr>
          <w:sz w:val="24"/>
        </w:rPr>
        <w:t xml:space="preserve">, which could in turn run the risk of devaluing the UK law schools status. </w:t>
      </w:r>
    </w:p>
    <w:p w14:paraId="6A938D74" w14:textId="09B7BA3E" w:rsidR="005D12B3" w:rsidRDefault="00F246F2" w:rsidP="000554B7">
      <w:pPr>
        <w:jc w:val="both"/>
        <w:rPr>
          <w:sz w:val="24"/>
        </w:rPr>
      </w:pPr>
      <w:r>
        <w:rPr>
          <w:sz w:val="24"/>
        </w:rPr>
        <w:t xml:space="preserve">Coupled with this is the potential impact on Welsh Law Schools’ losing their current EU and international </w:t>
      </w:r>
      <w:r w:rsidR="00170B2C">
        <w:rPr>
          <w:sz w:val="24"/>
        </w:rPr>
        <w:t>l</w:t>
      </w:r>
      <w:r>
        <w:rPr>
          <w:sz w:val="24"/>
        </w:rPr>
        <w:t>ecturers, following the unknown implications of ‘</w:t>
      </w:r>
      <w:proofErr w:type="spellStart"/>
      <w:r>
        <w:rPr>
          <w:sz w:val="24"/>
        </w:rPr>
        <w:t>Brexodus</w:t>
      </w:r>
      <w:proofErr w:type="spellEnd"/>
      <w:r w:rsidR="004576AE">
        <w:rPr>
          <w:sz w:val="24"/>
        </w:rPr>
        <w:t>;’ particularly given</w:t>
      </w:r>
      <w:r>
        <w:rPr>
          <w:sz w:val="24"/>
        </w:rPr>
        <w:t xml:space="preserve"> that Welsh </w:t>
      </w:r>
      <w:r w:rsidR="00170B2C">
        <w:rPr>
          <w:sz w:val="24"/>
        </w:rPr>
        <w:t>l</w:t>
      </w:r>
      <w:r>
        <w:rPr>
          <w:sz w:val="24"/>
        </w:rPr>
        <w:t xml:space="preserve">aw </w:t>
      </w:r>
      <w:r w:rsidR="00170B2C">
        <w:rPr>
          <w:sz w:val="24"/>
        </w:rPr>
        <w:t>s</w:t>
      </w:r>
      <w:r>
        <w:rPr>
          <w:sz w:val="24"/>
        </w:rPr>
        <w:t>chools</w:t>
      </w:r>
      <w:r w:rsidR="00170B2C">
        <w:rPr>
          <w:sz w:val="24"/>
        </w:rPr>
        <w:t xml:space="preserve"> are predicted to</w:t>
      </w:r>
      <w:r>
        <w:rPr>
          <w:sz w:val="24"/>
        </w:rPr>
        <w:t xml:space="preserve"> have a third of their workforce coming from overseas jurisdictions, </w:t>
      </w:r>
      <w:r w:rsidR="008E3CAD">
        <w:rPr>
          <w:sz w:val="24"/>
        </w:rPr>
        <w:t>with t</w:t>
      </w:r>
      <w:r w:rsidR="005600BD">
        <w:rPr>
          <w:sz w:val="24"/>
        </w:rPr>
        <w:t>hese staff</w:t>
      </w:r>
      <w:r w:rsidR="008E3CAD">
        <w:rPr>
          <w:sz w:val="24"/>
        </w:rPr>
        <w:t xml:space="preserve"> </w:t>
      </w:r>
      <w:r>
        <w:rPr>
          <w:sz w:val="24"/>
        </w:rPr>
        <w:t xml:space="preserve">teaching 77% of </w:t>
      </w:r>
      <w:r w:rsidR="005600BD">
        <w:rPr>
          <w:sz w:val="24"/>
        </w:rPr>
        <w:t xml:space="preserve">Welsh </w:t>
      </w:r>
      <w:r w:rsidR="00170B2C">
        <w:rPr>
          <w:sz w:val="24"/>
        </w:rPr>
        <w:t>u</w:t>
      </w:r>
      <w:r w:rsidR="005600BD">
        <w:rPr>
          <w:sz w:val="24"/>
        </w:rPr>
        <w:t>niversities’</w:t>
      </w:r>
      <w:r>
        <w:rPr>
          <w:sz w:val="24"/>
        </w:rPr>
        <w:t xml:space="preserve"> </w:t>
      </w:r>
      <w:r w:rsidR="00170B2C">
        <w:rPr>
          <w:sz w:val="24"/>
        </w:rPr>
        <w:t>i</w:t>
      </w:r>
      <w:r>
        <w:rPr>
          <w:sz w:val="24"/>
        </w:rPr>
        <w:t xml:space="preserve">nternational </w:t>
      </w:r>
      <w:r w:rsidR="00170B2C">
        <w:rPr>
          <w:sz w:val="24"/>
        </w:rPr>
        <w:t>l</w:t>
      </w:r>
      <w:r>
        <w:rPr>
          <w:sz w:val="24"/>
        </w:rPr>
        <w:t xml:space="preserve">aw </w:t>
      </w:r>
      <w:r w:rsidR="003606D7">
        <w:rPr>
          <w:sz w:val="24"/>
        </w:rPr>
        <w:t>specialisms</w:t>
      </w:r>
      <w:r w:rsidR="004576AE">
        <w:rPr>
          <w:sz w:val="24"/>
        </w:rPr>
        <w:t>,</w:t>
      </w:r>
      <w:r w:rsidR="003606D7">
        <w:rPr>
          <w:sz w:val="24"/>
        </w:rPr>
        <w:t xml:space="preserve"> and</w:t>
      </w:r>
      <w:r>
        <w:rPr>
          <w:sz w:val="24"/>
        </w:rPr>
        <w:t xml:space="preserve"> 80% of their EU </w:t>
      </w:r>
      <w:r w:rsidR="00170B2C">
        <w:rPr>
          <w:sz w:val="24"/>
        </w:rPr>
        <w:t>l</w:t>
      </w:r>
      <w:r>
        <w:rPr>
          <w:sz w:val="24"/>
        </w:rPr>
        <w:t>aw courses</w:t>
      </w:r>
      <w:r w:rsidR="005600BD">
        <w:rPr>
          <w:sz w:val="24"/>
        </w:rPr>
        <w:t>. S</w:t>
      </w:r>
      <w:r>
        <w:rPr>
          <w:sz w:val="24"/>
        </w:rPr>
        <w:t xml:space="preserve">hould overseas academics </w:t>
      </w:r>
      <w:r w:rsidR="003606D7">
        <w:rPr>
          <w:sz w:val="24"/>
        </w:rPr>
        <w:t xml:space="preserve">decide to leave Welsh </w:t>
      </w:r>
      <w:r w:rsidR="00170B2C">
        <w:rPr>
          <w:sz w:val="24"/>
        </w:rPr>
        <w:t>l</w:t>
      </w:r>
      <w:r w:rsidR="003606D7">
        <w:rPr>
          <w:sz w:val="24"/>
        </w:rPr>
        <w:t xml:space="preserve">aw </w:t>
      </w:r>
      <w:r w:rsidR="00170B2C">
        <w:rPr>
          <w:sz w:val="24"/>
        </w:rPr>
        <w:t>s</w:t>
      </w:r>
      <w:r w:rsidR="003606D7">
        <w:rPr>
          <w:sz w:val="24"/>
        </w:rPr>
        <w:t xml:space="preserve">chools </w:t>
      </w:r>
      <w:r w:rsidR="005600BD">
        <w:rPr>
          <w:sz w:val="24"/>
        </w:rPr>
        <w:t xml:space="preserve">in significant numbers, </w:t>
      </w:r>
      <w:r w:rsidR="003606D7">
        <w:rPr>
          <w:sz w:val="24"/>
        </w:rPr>
        <w:t xml:space="preserve">there will be a significant skills gap </w:t>
      </w:r>
      <w:r w:rsidR="005600BD">
        <w:rPr>
          <w:sz w:val="24"/>
        </w:rPr>
        <w:t>which will seriously threaten and impair Wales’ capability</w:t>
      </w:r>
      <w:r w:rsidR="003606D7">
        <w:rPr>
          <w:sz w:val="24"/>
        </w:rPr>
        <w:t xml:space="preserve"> to deliver its current vast array of </w:t>
      </w:r>
      <w:r w:rsidR="008E3CAD">
        <w:rPr>
          <w:sz w:val="24"/>
        </w:rPr>
        <w:t xml:space="preserve">legal </w:t>
      </w:r>
      <w:proofErr w:type="spellStart"/>
      <w:r w:rsidR="003606D7">
        <w:rPr>
          <w:sz w:val="24"/>
        </w:rPr>
        <w:t>specialisms</w:t>
      </w:r>
      <w:proofErr w:type="spellEnd"/>
      <w:r w:rsidR="003606D7">
        <w:rPr>
          <w:sz w:val="24"/>
        </w:rPr>
        <w:t>.</w:t>
      </w:r>
      <w:r w:rsidR="00BC687D">
        <w:rPr>
          <w:sz w:val="24"/>
        </w:rPr>
        <w:t xml:space="preserve"> Not least in terms of EU </w:t>
      </w:r>
      <w:r w:rsidR="00170B2C">
        <w:rPr>
          <w:sz w:val="24"/>
        </w:rPr>
        <w:t>l</w:t>
      </w:r>
      <w:r w:rsidR="00BC687D">
        <w:rPr>
          <w:sz w:val="24"/>
        </w:rPr>
        <w:t>aw, where</w:t>
      </w:r>
      <w:r w:rsidR="00F2105B">
        <w:rPr>
          <w:sz w:val="24"/>
        </w:rPr>
        <w:t xml:space="preserve"> in Wales</w:t>
      </w:r>
      <w:r w:rsidR="00BC687D">
        <w:rPr>
          <w:sz w:val="24"/>
        </w:rPr>
        <w:t xml:space="preserve"> there is only one</w:t>
      </w:r>
      <w:r w:rsidR="00170B2C">
        <w:rPr>
          <w:sz w:val="24"/>
        </w:rPr>
        <w:t xml:space="preserve"> known</w:t>
      </w:r>
      <w:r w:rsidR="00BC687D">
        <w:rPr>
          <w:sz w:val="24"/>
        </w:rPr>
        <w:t xml:space="preserve"> UK native teaching the subject.</w:t>
      </w:r>
      <w:r w:rsidR="003606D7">
        <w:rPr>
          <w:sz w:val="24"/>
        </w:rPr>
        <w:t xml:space="preserve"> </w:t>
      </w:r>
      <w:r w:rsidR="00170B2C">
        <w:rPr>
          <w:sz w:val="24"/>
        </w:rPr>
        <w:t>In the absence of a detailed understanding of the future relationship between the UK and EU, c</w:t>
      </w:r>
      <w:r w:rsidR="008E3CAD">
        <w:rPr>
          <w:sz w:val="24"/>
        </w:rPr>
        <w:t xml:space="preserve">urrent UK </w:t>
      </w:r>
      <w:r w:rsidR="00170B2C">
        <w:rPr>
          <w:sz w:val="24"/>
        </w:rPr>
        <w:t>l</w:t>
      </w:r>
      <w:r w:rsidR="008E3CAD">
        <w:rPr>
          <w:sz w:val="24"/>
        </w:rPr>
        <w:t>aw students do not appear</w:t>
      </w:r>
      <w:r w:rsidR="003606D7">
        <w:rPr>
          <w:sz w:val="24"/>
        </w:rPr>
        <w:t xml:space="preserve"> likely to</w:t>
      </w:r>
      <w:r w:rsidR="008E3CAD">
        <w:rPr>
          <w:sz w:val="24"/>
        </w:rPr>
        <w:t xml:space="preserve"> fill these</w:t>
      </w:r>
      <w:r w:rsidR="005600BD">
        <w:rPr>
          <w:sz w:val="24"/>
        </w:rPr>
        <w:t xml:space="preserve"> skills</w:t>
      </w:r>
      <w:r w:rsidR="008E3CAD">
        <w:rPr>
          <w:sz w:val="24"/>
        </w:rPr>
        <w:t xml:space="preserve"> gaps as they progress with their careers, </w:t>
      </w:r>
      <w:r w:rsidR="004576AE">
        <w:rPr>
          <w:sz w:val="24"/>
        </w:rPr>
        <w:t xml:space="preserve">particularly </w:t>
      </w:r>
      <w:r w:rsidR="003606D7">
        <w:rPr>
          <w:sz w:val="24"/>
        </w:rPr>
        <w:t xml:space="preserve">given the high numbers no longer view EU </w:t>
      </w:r>
      <w:r w:rsidR="00170B2C">
        <w:rPr>
          <w:sz w:val="24"/>
        </w:rPr>
        <w:t>l</w:t>
      </w:r>
      <w:r w:rsidR="003606D7">
        <w:rPr>
          <w:sz w:val="24"/>
        </w:rPr>
        <w:t xml:space="preserve">aw as a viable career choice for them to pursue post-graduation. </w:t>
      </w:r>
    </w:p>
    <w:p w14:paraId="5D7EF07E" w14:textId="584C6FAF" w:rsidR="003606D7" w:rsidRDefault="003606D7" w:rsidP="000554B7">
      <w:pPr>
        <w:jc w:val="both"/>
        <w:rPr>
          <w:sz w:val="24"/>
        </w:rPr>
      </w:pPr>
      <w:r>
        <w:rPr>
          <w:sz w:val="24"/>
        </w:rPr>
        <w:t>In this regard, this paper makes six proposals for how Governments and Higher Education institutions can work together to address current</w:t>
      </w:r>
      <w:r w:rsidR="00F2105B">
        <w:rPr>
          <w:sz w:val="24"/>
        </w:rPr>
        <w:t xml:space="preserve"> student concerns as to Brexit. </w:t>
      </w:r>
      <w:r>
        <w:rPr>
          <w:sz w:val="24"/>
        </w:rPr>
        <w:t>First</w:t>
      </w:r>
      <w:r w:rsidR="00BC687D">
        <w:rPr>
          <w:sz w:val="24"/>
        </w:rPr>
        <w:t>ly</w:t>
      </w:r>
      <w:r>
        <w:rPr>
          <w:sz w:val="24"/>
        </w:rPr>
        <w:t>,</w:t>
      </w:r>
      <w:r w:rsidR="00326CE1">
        <w:rPr>
          <w:sz w:val="24"/>
        </w:rPr>
        <w:t xml:space="preserve"> </w:t>
      </w:r>
      <w:r>
        <w:rPr>
          <w:sz w:val="24"/>
        </w:rPr>
        <w:t xml:space="preserve">greater clarity and reassurances </w:t>
      </w:r>
      <w:r w:rsidR="00BC687D">
        <w:rPr>
          <w:sz w:val="24"/>
        </w:rPr>
        <w:t>are</w:t>
      </w:r>
      <w:r w:rsidR="008E3CAD">
        <w:rPr>
          <w:sz w:val="24"/>
        </w:rPr>
        <w:t xml:space="preserve"> </w:t>
      </w:r>
      <w:r>
        <w:rPr>
          <w:sz w:val="24"/>
        </w:rPr>
        <w:t>need</w:t>
      </w:r>
      <w:r w:rsidR="008E3CAD">
        <w:rPr>
          <w:sz w:val="24"/>
        </w:rPr>
        <w:t>ed in order to</w:t>
      </w:r>
      <w:r w:rsidR="00BC687D">
        <w:rPr>
          <w:sz w:val="24"/>
        </w:rPr>
        <w:t xml:space="preserve"> advise</w:t>
      </w:r>
      <w:r w:rsidR="008E3CAD">
        <w:rPr>
          <w:sz w:val="24"/>
        </w:rPr>
        <w:t xml:space="preserve"> </w:t>
      </w:r>
      <w:r>
        <w:rPr>
          <w:sz w:val="24"/>
        </w:rPr>
        <w:t>future generation</w:t>
      </w:r>
      <w:r w:rsidR="00BC687D">
        <w:rPr>
          <w:sz w:val="24"/>
        </w:rPr>
        <w:t>s</w:t>
      </w:r>
      <w:r>
        <w:rPr>
          <w:sz w:val="24"/>
        </w:rPr>
        <w:t xml:space="preserve"> </w:t>
      </w:r>
      <w:r w:rsidR="00BC687D">
        <w:rPr>
          <w:sz w:val="24"/>
        </w:rPr>
        <w:t>of</w:t>
      </w:r>
      <w:r>
        <w:rPr>
          <w:sz w:val="24"/>
        </w:rPr>
        <w:t xml:space="preserve"> their travel rights within the EU area post-Brexit, as well as career options both within continental Europe and </w:t>
      </w:r>
      <w:r w:rsidR="00BC687D">
        <w:rPr>
          <w:sz w:val="24"/>
        </w:rPr>
        <w:t>within the UK</w:t>
      </w:r>
      <w:r>
        <w:rPr>
          <w:sz w:val="24"/>
        </w:rPr>
        <w:t xml:space="preserve">. Second, reassurances need to be given as to the value of EU </w:t>
      </w:r>
      <w:r w:rsidR="00170B2C">
        <w:rPr>
          <w:sz w:val="24"/>
        </w:rPr>
        <w:t>l</w:t>
      </w:r>
      <w:r>
        <w:rPr>
          <w:sz w:val="24"/>
        </w:rPr>
        <w:t xml:space="preserve">aw as a viable and influential comparative specialism to pursue post-graduation. Thirdly, </w:t>
      </w:r>
      <w:r w:rsidR="00170B2C">
        <w:rPr>
          <w:sz w:val="24"/>
        </w:rPr>
        <w:t>u</w:t>
      </w:r>
      <w:r>
        <w:rPr>
          <w:sz w:val="24"/>
        </w:rPr>
        <w:t xml:space="preserve">niversities need more information </w:t>
      </w:r>
      <w:r w:rsidR="00F2105B">
        <w:rPr>
          <w:sz w:val="24"/>
        </w:rPr>
        <w:t>from Government</w:t>
      </w:r>
      <w:r w:rsidR="00D45A6F">
        <w:rPr>
          <w:sz w:val="24"/>
        </w:rPr>
        <w:t>s</w:t>
      </w:r>
      <w:r w:rsidR="00BC687D">
        <w:rPr>
          <w:sz w:val="24"/>
        </w:rPr>
        <w:t xml:space="preserve"> </w:t>
      </w:r>
      <w:r>
        <w:rPr>
          <w:sz w:val="24"/>
        </w:rPr>
        <w:t>as to the future for EU students studying in the UK, so as to offer guidance</w:t>
      </w:r>
      <w:r w:rsidR="00BC687D">
        <w:rPr>
          <w:sz w:val="24"/>
        </w:rPr>
        <w:t xml:space="preserve"> and reassurance</w:t>
      </w:r>
      <w:r>
        <w:rPr>
          <w:sz w:val="24"/>
        </w:rPr>
        <w:t xml:space="preserve"> to their EU</w:t>
      </w:r>
      <w:r w:rsidR="00BC687D">
        <w:rPr>
          <w:sz w:val="24"/>
        </w:rPr>
        <w:t xml:space="preserve"> students and EU</w:t>
      </w:r>
      <w:r>
        <w:rPr>
          <w:sz w:val="24"/>
        </w:rPr>
        <w:t xml:space="preserve"> partner </w:t>
      </w:r>
      <w:r w:rsidR="00170B2C">
        <w:rPr>
          <w:sz w:val="24"/>
        </w:rPr>
        <w:t>u</w:t>
      </w:r>
      <w:r>
        <w:rPr>
          <w:sz w:val="24"/>
        </w:rPr>
        <w:t>niversities</w:t>
      </w:r>
      <w:r w:rsidR="00431E9B">
        <w:rPr>
          <w:sz w:val="24"/>
        </w:rPr>
        <w:t xml:space="preserve"> (with a view </w:t>
      </w:r>
      <w:r>
        <w:rPr>
          <w:sz w:val="24"/>
        </w:rPr>
        <w:t>to</w:t>
      </w:r>
      <w:r w:rsidR="00431E9B">
        <w:rPr>
          <w:sz w:val="24"/>
        </w:rPr>
        <w:t xml:space="preserve"> either</w:t>
      </w:r>
      <w:r>
        <w:rPr>
          <w:sz w:val="24"/>
        </w:rPr>
        <w:t xml:space="preserve"> maintain</w:t>
      </w:r>
      <w:r w:rsidR="00F2105B">
        <w:rPr>
          <w:sz w:val="24"/>
        </w:rPr>
        <w:t>ing</w:t>
      </w:r>
      <w:r>
        <w:rPr>
          <w:sz w:val="24"/>
        </w:rPr>
        <w:t xml:space="preserve"> or revis</w:t>
      </w:r>
      <w:r w:rsidR="00F2105B">
        <w:rPr>
          <w:sz w:val="24"/>
        </w:rPr>
        <w:t>ing</w:t>
      </w:r>
      <w:r>
        <w:rPr>
          <w:sz w:val="24"/>
        </w:rPr>
        <w:t xml:space="preserve"> existing </w:t>
      </w:r>
      <w:r w:rsidR="00BC687D">
        <w:rPr>
          <w:sz w:val="24"/>
        </w:rPr>
        <w:t xml:space="preserve">memorandums </w:t>
      </w:r>
      <w:r>
        <w:rPr>
          <w:sz w:val="24"/>
        </w:rPr>
        <w:t>as to their future working relationships</w:t>
      </w:r>
      <w:r w:rsidR="00431E9B">
        <w:rPr>
          <w:sz w:val="24"/>
        </w:rPr>
        <w:t>)</w:t>
      </w:r>
      <w:r>
        <w:rPr>
          <w:sz w:val="24"/>
        </w:rPr>
        <w:t xml:space="preserve">. Fourth, Welsh and UK </w:t>
      </w:r>
      <w:r w:rsidR="00170B2C">
        <w:rPr>
          <w:sz w:val="24"/>
        </w:rPr>
        <w:t>u</w:t>
      </w:r>
      <w:r>
        <w:rPr>
          <w:sz w:val="24"/>
        </w:rPr>
        <w:t xml:space="preserve">niversities need </w:t>
      </w:r>
      <w:r w:rsidR="00170B2C">
        <w:rPr>
          <w:sz w:val="24"/>
        </w:rPr>
        <w:t>g</w:t>
      </w:r>
      <w:r>
        <w:rPr>
          <w:sz w:val="24"/>
        </w:rPr>
        <w:t>overnment</w:t>
      </w:r>
      <w:r w:rsidR="00170B2C">
        <w:rPr>
          <w:sz w:val="24"/>
        </w:rPr>
        <w:t>al</w:t>
      </w:r>
      <w:r>
        <w:rPr>
          <w:sz w:val="24"/>
        </w:rPr>
        <w:t xml:space="preserve"> support to explore strategic opportunities to partner with non-EU </w:t>
      </w:r>
      <w:r w:rsidR="00170B2C">
        <w:rPr>
          <w:sz w:val="24"/>
        </w:rPr>
        <w:t>u</w:t>
      </w:r>
      <w:r>
        <w:rPr>
          <w:sz w:val="24"/>
        </w:rPr>
        <w:t xml:space="preserve">niversities to look at </w:t>
      </w:r>
      <w:r>
        <w:rPr>
          <w:sz w:val="24"/>
        </w:rPr>
        <w:lastRenderedPageBreak/>
        <w:t xml:space="preserve">opportunities in new markets.  Fifth, </w:t>
      </w:r>
      <w:r w:rsidR="00170B2C">
        <w:rPr>
          <w:sz w:val="24"/>
        </w:rPr>
        <w:t>l</w:t>
      </w:r>
      <w:r>
        <w:rPr>
          <w:sz w:val="24"/>
        </w:rPr>
        <w:t xml:space="preserve">aw </w:t>
      </w:r>
      <w:r w:rsidR="00170B2C">
        <w:rPr>
          <w:sz w:val="24"/>
        </w:rPr>
        <w:t>s</w:t>
      </w:r>
      <w:r>
        <w:rPr>
          <w:sz w:val="24"/>
        </w:rPr>
        <w:t xml:space="preserve">chools need to internally review current </w:t>
      </w:r>
      <w:r w:rsidR="00170B2C">
        <w:rPr>
          <w:sz w:val="24"/>
        </w:rPr>
        <w:t>l</w:t>
      </w:r>
      <w:r>
        <w:rPr>
          <w:sz w:val="24"/>
        </w:rPr>
        <w:t>aw programmes</w:t>
      </w:r>
      <w:r w:rsidR="00BC687D">
        <w:rPr>
          <w:sz w:val="24"/>
        </w:rPr>
        <w:t>, in conjunction with the professional bodies, such as the Bar Council and Law Society</w:t>
      </w:r>
      <w:r>
        <w:rPr>
          <w:sz w:val="24"/>
        </w:rPr>
        <w:t>, so as to consider how Brexit can be accommodated as part of their existing programmes</w:t>
      </w:r>
      <w:r w:rsidR="00E33E9C">
        <w:rPr>
          <w:sz w:val="24"/>
        </w:rPr>
        <w:t xml:space="preserve"> and routes to qualification</w:t>
      </w:r>
      <w:r>
        <w:rPr>
          <w:sz w:val="24"/>
        </w:rPr>
        <w:t xml:space="preserve">, as well as consider how more international focused modules </w:t>
      </w:r>
      <w:r w:rsidR="008528B9">
        <w:rPr>
          <w:sz w:val="24"/>
        </w:rPr>
        <w:t>can be introduced so as to encourage learners to still pursue an international career beyond the EU’s borders. Finally,</w:t>
      </w:r>
      <w:r w:rsidR="00E67D46">
        <w:rPr>
          <w:sz w:val="24"/>
        </w:rPr>
        <w:t xml:space="preserve"> and particularly in light of recent criticisms of the hostile environment for foreign nationals in the UK,</w:t>
      </w:r>
      <w:r w:rsidR="00E67D46">
        <w:rPr>
          <w:rStyle w:val="FootnoteReference"/>
          <w:sz w:val="24"/>
        </w:rPr>
        <w:footnoteReference w:id="98"/>
      </w:r>
      <w:r w:rsidR="00F2105B">
        <w:rPr>
          <w:sz w:val="24"/>
        </w:rPr>
        <w:t xml:space="preserve"> Government</w:t>
      </w:r>
      <w:r w:rsidR="00D45A6F">
        <w:rPr>
          <w:sz w:val="24"/>
        </w:rPr>
        <w:t>s</w:t>
      </w:r>
      <w:r w:rsidR="008528B9">
        <w:rPr>
          <w:sz w:val="24"/>
        </w:rPr>
        <w:t xml:space="preserve"> need</w:t>
      </w:r>
      <w:r w:rsidR="00F2105B">
        <w:rPr>
          <w:sz w:val="24"/>
        </w:rPr>
        <w:t>s</w:t>
      </w:r>
      <w:r w:rsidR="008528B9">
        <w:rPr>
          <w:sz w:val="24"/>
        </w:rPr>
        <w:t xml:space="preserve"> to strategically work with </w:t>
      </w:r>
      <w:r w:rsidR="00170B2C">
        <w:rPr>
          <w:sz w:val="24"/>
        </w:rPr>
        <w:t>u</w:t>
      </w:r>
      <w:r w:rsidR="008528B9">
        <w:rPr>
          <w:sz w:val="24"/>
        </w:rPr>
        <w:t xml:space="preserve">niversities so as to explore new ways for making UK and Welsh institutions even more attractive to overseas students (in-light of their current concerns), for example, by exploring new and emerging </w:t>
      </w:r>
      <w:r w:rsidR="00E33E9C">
        <w:rPr>
          <w:sz w:val="24"/>
        </w:rPr>
        <w:t xml:space="preserve">overseas </w:t>
      </w:r>
      <w:r w:rsidR="008528B9">
        <w:rPr>
          <w:sz w:val="24"/>
        </w:rPr>
        <w:t xml:space="preserve">markets, by offering more distance and blended learning courses, and by revisiting the attractiveness </w:t>
      </w:r>
      <w:r w:rsidR="00E33E9C">
        <w:rPr>
          <w:sz w:val="24"/>
        </w:rPr>
        <w:t xml:space="preserve">and user-friendliness </w:t>
      </w:r>
      <w:r w:rsidR="008528B9">
        <w:rPr>
          <w:sz w:val="24"/>
        </w:rPr>
        <w:t xml:space="preserve">of current international tier 4 student visa rules. </w:t>
      </w:r>
    </w:p>
    <w:p w14:paraId="478871CE" w14:textId="68A22E66" w:rsidR="005D12B3" w:rsidRDefault="005D12B3" w:rsidP="000554B7">
      <w:pPr>
        <w:jc w:val="both"/>
        <w:rPr>
          <w:sz w:val="24"/>
        </w:rPr>
      </w:pPr>
      <w:r>
        <w:rPr>
          <w:sz w:val="24"/>
        </w:rPr>
        <w:t xml:space="preserve">There are </w:t>
      </w:r>
      <w:r w:rsidR="00492B99">
        <w:rPr>
          <w:sz w:val="24"/>
        </w:rPr>
        <w:t>four</w:t>
      </w:r>
      <w:r>
        <w:rPr>
          <w:sz w:val="24"/>
        </w:rPr>
        <w:t xml:space="preserve"> core reasons why Governments and Higher Education institutions need to work collaboratively in orde</w:t>
      </w:r>
      <w:r w:rsidR="00001E4A">
        <w:rPr>
          <w:sz w:val="24"/>
        </w:rPr>
        <w:t>r to</w:t>
      </w:r>
      <w:r>
        <w:rPr>
          <w:sz w:val="24"/>
        </w:rPr>
        <w:t xml:space="preserve"> address these concerns: firstly, so as to enable </w:t>
      </w:r>
      <w:r w:rsidR="00170B2C">
        <w:rPr>
          <w:sz w:val="24"/>
        </w:rPr>
        <w:t>u</w:t>
      </w:r>
      <w:r>
        <w:rPr>
          <w:sz w:val="24"/>
        </w:rPr>
        <w:t xml:space="preserve">niversities to continue to be able to recruit high numbers of EU and international </w:t>
      </w:r>
      <w:r w:rsidR="00170B2C">
        <w:rPr>
          <w:sz w:val="24"/>
        </w:rPr>
        <w:t>l</w:t>
      </w:r>
      <w:r>
        <w:rPr>
          <w:sz w:val="24"/>
        </w:rPr>
        <w:t xml:space="preserve">aw students (at a time when their contributions (financial and otherwise) are so vitally needed within our </w:t>
      </w:r>
      <w:r w:rsidR="004766FF">
        <w:rPr>
          <w:sz w:val="24"/>
        </w:rPr>
        <w:t>lecture halls</w:t>
      </w:r>
      <w:r w:rsidR="00E33E9C">
        <w:rPr>
          <w:sz w:val="24"/>
        </w:rPr>
        <w:t>; but also nationally</w:t>
      </w:r>
      <w:r w:rsidR="00076A85">
        <w:rPr>
          <w:sz w:val="24"/>
        </w:rPr>
        <w:t>,</w:t>
      </w:r>
      <w:r w:rsidR="00E33E9C">
        <w:rPr>
          <w:sz w:val="24"/>
        </w:rPr>
        <w:t xml:space="preserve"> in terms of GDP</w:t>
      </w:r>
      <w:r>
        <w:rPr>
          <w:sz w:val="24"/>
        </w:rPr>
        <w:t xml:space="preserve">). Secondly, to empower Welsh </w:t>
      </w:r>
      <w:r w:rsidR="00170B2C">
        <w:rPr>
          <w:sz w:val="24"/>
        </w:rPr>
        <w:t>l</w:t>
      </w:r>
      <w:r>
        <w:rPr>
          <w:sz w:val="24"/>
        </w:rPr>
        <w:t xml:space="preserve">aw </w:t>
      </w:r>
      <w:r w:rsidR="00170B2C">
        <w:rPr>
          <w:sz w:val="24"/>
        </w:rPr>
        <w:t>s</w:t>
      </w:r>
      <w:r>
        <w:rPr>
          <w:sz w:val="24"/>
        </w:rPr>
        <w:t xml:space="preserve">chools to recruit and retain the best </w:t>
      </w:r>
      <w:r w:rsidR="00170B2C">
        <w:rPr>
          <w:sz w:val="24"/>
        </w:rPr>
        <w:t>l</w:t>
      </w:r>
      <w:r>
        <w:rPr>
          <w:sz w:val="24"/>
        </w:rPr>
        <w:t xml:space="preserve">aw </w:t>
      </w:r>
      <w:r w:rsidR="00170B2C">
        <w:rPr>
          <w:sz w:val="24"/>
        </w:rPr>
        <w:t>l</w:t>
      </w:r>
      <w:r>
        <w:rPr>
          <w:sz w:val="24"/>
        </w:rPr>
        <w:t xml:space="preserve">ecturers and </w:t>
      </w:r>
      <w:r w:rsidR="00170B2C">
        <w:rPr>
          <w:sz w:val="24"/>
        </w:rPr>
        <w:t>p</w:t>
      </w:r>
      <w:r>
        <w:rPr>
          <w:sz w:val="24"/>
        </w:rPr>
        <w:t>rofessors for teaching within our institutions,</w:t>
      </w:r>
      <w:r w:rsidR="00C0322F">
        <w:rPr>
          <w:sz w:val="24"/>
        </w:rPr>
        <w:t xml:space="preserve"> in order</w:t>
      </w:r>
      <w:r>
        <w:rPr>
          <w:sz w:val="24"/>
        </w:rPr>
        <w:t xml:space="preserve"> to maintain internationally recognised standards</w:t>
      </w:r>
      <w:r w:rsidR="00F646CA">
        <w:rPr>
          <w:sz w:val="24"/>
        </w:rPr>
        <w:t xml:space="preserve">. But </w:t>
      </w:r>
      <w:r w:rsidR="000E3F5C">
        <w:rPr>
          <w:sz w:val="24"/>
        </w:rPr>
        <w:t>also,</w:t>
      </w:r>
      <w:r w:rsidR="00F646CA">
        <w:rPr>
          <w:sz w:val="24"/>
        </w:rPr>
        <w:t xml:space="preserve"> so as to ensure that there are</w:t>
      </w:r>
      <w:r w:rsidR="00E33E9C">
        <w:rPr>
          <w:sz w:val="24"/>
        </w:rPr>
        <w:t xml:space="preserve"> no further </w:t>
      </w:r>
      <w:r w:rsidR="00F646CA">
        <w:rPr>
          <w:sz w:val="24"/>
        </w:rPr>
        <w:t>pressures on the artificial international visa caps, by creating demand in the Higher Education sector, through the departure of EU academics</w:t>
      </w:r>
      <w:r w:rsidR="00C0322F">
        <w:rPr>
          <w:sz w:val="24"/>
        </w:rPr>
        <w:t xml:space="preserve">, particularly </w:t>
      </w:r>
      <w:r w:rsidR="00F646CA">
        <w:rPr>
          <w:sz w:val="24"/>
        </w:rPr>
        <w:t xml:space="preserve">when the current </w:t>
      </w:r>
      <w:r w:rsidR="00C0322F">
        <w:rPr>
          <w:sz w:val="24"/>
        </w:rPr>
        <w:t>visa issuance limits</w:t>
      </w:r>
      <w:r w:rsidR="00F646CA">
        <w:rPr>
          <w:sz w:val="24"/>
        </w:rPr>
        <w:t xml:space="preserve"> are </w:t>
      </w:r>
      <w:r w:rsidR="00C0322F">
        <w:rPr>
          <w:sz w:val="24"/>
        </w:rPr>
        <w:t>already being overwhelmed by the</w:t>
      </w:r>
      <w:r w:rsidR="00170B2C">
        <w:rPr>
          <w:sz w:val="24"/>
        </w:rPr>
        <w:t xml:space="preserve"> demands from other public sector industries</w:t>
      </w:r>
      <w:r w:rsidR="00F646CA">
        <w:rPr>
          <w:sz w:val="24"/>
        </w:rPr>
        <w:t>.</w:t>
      </w:r>
      <w:r w:rsidR="0074232C">
        <w:rPr>
          <w:sz w:val="24"/>
        </w:rPr>
        <w:t xml:space="preserve"> Thirdly,</w:t>
      </w:r>
      <w:r w:rsidR="00492B99">
        <w:rPr>
          <w:sz w:val="24"/>
        </w:rPr>
        <w:t xml:space="preserve"> so as to ensure there are reduced skills gaps within our </w:t>
      </w:r>
      <w:r w:rsidR="001C38E7">
        <w:rPr>
          <w:sz w:val="24"/>
        </w:rPr>
        <w:t>l</w:t>
      </w:r>
      <w:r w:rsidR="00E33E9C">
        <w:rPr>
          <w:sz w:val="24"/>
        </w:rPr>
        <w:t>aw programmes</w:t>
      </w:r>
      <w:r w:rsidR="00492B99">
        <w:rPr>
          <w:sz w:val="24"/>
        </w:rPr>
        <w:t xml:space="preserve">, so as to enable Welsh </w:t>
      </w:r>
      <w:r w:rsidR="001C38E7">
        <w:rPr>
          <w:sz w:val="24"/>
        </w:rPr>
        <w:t>u</w:t>
      </w:r>
      <w:r w:rsidR="00492B99">
        <w:rPr>
          <w:sz w:val="24"/>
        </w:rPr>
        <w:t>niversities to continue to offer a vast array of international specialisms</w:t>
      </w:r>
      <w:r w:rsidR="00F646CA">
        <w:rPr>
          <w:sz w:val="24"/>
        </w:rPr>
        <w:t>. Finally,</w:t>
      </w:r>
      <w:r w:rsidR="00492B99">
        <w:rPr>
          <w:sz w:val="24"/>
        </w:rPr>
        <w:t xml:space="preserve"> </w:t>
      </w:r>
      <w:r w:rsidR="0074232C">
        <w:rPr>
          <w:sz w:val="24"/>
        </w:rPr>
        <w:t>and perhaps the most often to be undervalued</w:t>
      </w:r>
      <w:r w:rsidR="007D568C">
        <w:rPr>
          <w:sz w:val="24"/>
        </w:rPr>
        <w:t xml:space="preserve"> (</w:t>
      </w:r>
      <w:r w:rsidR="0074232C">
        <w:rPr>
          <w:sz w:val="24"/>
        </w:rPr>
        <w:t>which is ironic given the results of these investigations proving that learners highly value and are concerned about it</w:t>
      </w:r>
      <w:r w:rsidR="007D568C">
        <w:rPr>
          <w:sz w:val="24"/>
        </w:rPr>
        <w:t xml:space="preserve">) </w:t>
      </w:r>
      <w:r w:rsidR="0074232C">
        <w:rPr>
          <w:sz w:val="24"/>
        </w:rPr>
        <w:t xml:space="preserve">is the need for this reassurance to come promptly for the benefit of UK students, so they </w:t>
      </w:r>
      <w:r w:rsidR="00001E4A">
        <w:rPr>
          <w:sz w:val="24"/>
        </w:rPr>
        <w:t xml:space="preserve">can </w:t>
      </w:r>
      <w:r w:rsidR="0074232C">
        <w:rPr>
          <w:sz w:val="24"/>
        </w:rPr>
        <w:t xml:space="preserve">continue to enjoy access to an internationalised </w:t>
      </w:r>
      <w:r w:rsidR="001C38E7">
        <w:rPr>
          <w:sz w:val="24"/>
        </w:rPr>
        <w:t>l</w:t>
      </w:r>
      <w:r w:rsidR="0074232C">
        <w:rPr>
          <w:sz w:val="24"/>
        </w:rPr>
        <w:t>aw curricul</w:t>
      </w:r>
      <w:r w:rsidR="00C0322F">
        <w:rPr>
          <w:sz w:val="24"/>
        </w:rPr>
        <w:t xml:space="preserve">um and </w:t>
      </w:r>
      <w:r w:rsidR="00F2105B">
        <w:rPr>
          <w:sz w:val="24"/>
        </w:rPr>
        <w:t>enriching student experience</w:t>
      </w:r>
      <w:r w:rsidR="00C0322F">
        <w:rPr>
          <w:sz w:val="24"/>
        </w:rPr>
        <w:t xml:space="preserve"> in Wales. </w:t>
      </w:r>
    </w:p>
    <w:p w14:paraId="4A964422" w14:textId="77777777" w:rsidR="00000611" w:rsidRDefault="00000611" w:rsidP="000554B7">
      <w:pPr>
        <w:jc w:val="both"/>
        <w:rPr>
          <w:b/>
          <w:sz w:val="24"/>
        </w:rPr>
      </w:pPr>
    </w:p>
    <w:p w14:paraId="7ECD840C" w14:textId="77777777" w:rsidR="00000611" w:rsidRDefault="00000611" w:rsidP="000554B7">
      <w:pPr>
        <w:jc w:val="both"/>
        <w:rPr>
          <w:b/>
          <w:sz w:val="24"/>
        </w:rPr>
      </w:pPr>
    </w:p>
    <w:p w14:paraId="09064990" w14:textId="1E6ED3D7" w:rsidR="00000611" w:rsidRDefault="00000611" w:rsidP="000554B7">
      <w:pPr>
        <w:jc w:val="both"/>
        <w:rPr>
          <w:b/>
          <w:sz w:val="24"/>
        </w:rPr>
      </w:pPr>
    </w:p>
    <w:p w14:paraId="1CC1B427" w14:textId="4E28F5DD" w:rsidR="001C38E7" w:rsidRDefault="001C38E7" w:rsidP="000554B7">
      <w:pPr>
        <w:jc w:val="both"/>
        <w:rPr>
          <w:b/>
          <w:sz w:val="24"/>
        </w:rPr>
      </w:pPr>
    </w:p>
    <w:p w14:paraId="146CF3E2" w14:textId="32D4DB5A" w:rsidR="001C38E7" w:rsidRDefault="001C38E7" w:rsidP="000554B7">
      <w:pPr>
        <w:jc w:val="both"/>
        <w:rPr>
          <w:b/>
          <w:sz w:val="24"/>
        </w:rPr>
      </w:pPr>
    </w:p>
    <w:p w14:paraId="3C2D1150" w14:textId="0090AF22" w:rsidR="00191D5B" w:rsidRDefault="00191D5B" w:rsidP="000554B7">
      <w:pPr>
        <w:jc w:val="both"/>
        <w:rPr>
          <w:b/>
          <w:sz w:val="24"/>
        </w:rPr>
      </w:pPr>
    </w:p>
    <w:p w14:paraId="102CE5CE" w14:textId="0E435695" w:rsidR="00000611" w:rsidRDefault="00000611" w:rsidP="00584DD6">
      <w:pPr>
        <w:jc w:val="both"/>
        <w:rPr>
          <w:b/>
          <w:sz w:val="24"/>
        </w:rPr>
      </w:pPr>
      <w:r>
        <w:rPr>
          <w:b/>
          <w:sz w:val="24"/>
        </w:rPr>
        <w:lastRenderedPageBreak/>
        <w:t>-------------------</w:t>
      </w:r>
      <w:bookmarkStart w:id="3" w:name="_GoBack"/>
      <w:bookmarkEnd w:id="3"/>
      <w:r>
        <w:rPr>
          <w:b/>
          <w:sz w:val="24"/>
        </w:rPr>
        <w:t>-------------------------------------------------------------------------------------------------------</w:t>
      </w:r>
    </w:p>
    <w:p w14:paraId="24580F67" w14:textId="0E4C8E70" w:rsidR="00FC745E" w:rsidRDefault="00000611" w:rsidP="00584DD6">
      <w:pPr>
        <w:jc w:val="both"/>
        <w:rPr>
          <w:b/>
          <w:sz w:val="24"/>
        </w:rPr>
      </w:pPr>
      <w:r>
        <w:rPr>
          <w:b/>
          <w:sz w:val="24"/>
        </w:rPr>
        <w:t>Appendix: E-Survey</w:t>
      </w:r>
    </w:p>
    <w:p w14:paraId="2A011084" w14:textId="05C69BD0" w:rsidR="00000611" w:rsidRPr="00D64AB7" w:rsidRDefault="00000611" w:rsidP="00584DD6">
      <w:pPr>
        <w:jc w:val="both"/>
        <w:rPr>
          <w:i/>
          <w:sz w:val="20"/>
          <w:szCs w:val="20"/>
        </w:rPr>
      </w:pPr>
      <w:r w:rsidRPr="00D64AB7">
        <w:rPr>
          <w:b/>
          <w:i/>
          <w:sz w:val="20"/>
          <w:szCs w:val="20"/>
        </w:rPr>
        <w:t>Question One:</w:t>
      </w:r>
      <w:r w:rsidRPr="00D64AB7">
        <w:rPr>
          <w:i/>
          <w:sz w:val="20"/>
          <w:szCs w:val="20"/>
        </w:rPr>
        <w:t xml:space="preserve"> </w:t>
      </w:r>
      <w:r w:rsidRPr="00D64AB7">
        <w:rPr>
          <w:b/>
          <w:i/>
          <w:sz w:val="20"/>
          <w:szCs w:val="20"/>
        </w:rPr>
        <w:t>Which of the following categories best describes you?</w:t>
      </w:r>
    </w:p>
    <w:p w14:paraId="3FE31BAF" w14:textId="77777777" w:rsidR="00D64AB7" w:rsidRDefault="00D64AB7" w:rsidP="00584DD6">
      <w:pPr>
        <w:jc w:val="both"/>
        <w:rPr>
          <w:sz w:val="20"/>
          <w:szCs w:val="20"/>
        </w:rPr>
        <w:sectPr w:rsidR="00D64AB7">
          <w:headerReference w:type="default" r:id="rId12"/>
          <w:pgSz w:w="11906" w:h="16838"/>
          <w:pgMar w:top="1440" w:right="1440" w:bottom="1440" w:left="1440" w:header="708" w:footer="708" w:gutter="0"/>
          <w:cols w:space="708"/>
          <w:docGrid w:linePitch="360"/>
        </w:sectPr>
      </w:pPr>
    </w:p>
    <w:p w14:paraId="1CA78475" w14:textId="0B365EE5" w:rsidR="00000611" w:rsidRPr="00D64AB7" w:rsidRDefault="00000611" w:rsidP="00584DD6">
      <w:pPr>
        <w:jc w:val="both"/>
        <w:rPr>
          <w:sz w:val="20"/>
          <w:szCs w:val="20"/>
        </w:rPr>
      </w:pPr>
      <w:r w:rsidRPr="00D64AB7">
        <w:rPr>
          <w:sz w:val="20"/>
          <w:szCs w:val="20"/>
        </w:rPr>
        <w:t>Undergraduate Student at Bangor Law School</w:t>
      </w:r>
    </w:p>
    <w:p w14:paraId="08A57521" w14:textId="3894D9B2" w:rsidR="00000611" w:rsidRPr="00D64AB7" w:rsidRDefault="00000611" w:rsidP="00584DD6">
      <w:pPr>
        <w:jc w:val="both"/>
        <w:rPr>
          <w:sz w:val="20"/>
          <w:szCs w:val="20"/>
        </w:rPr>
      </w:pPr>
      <w:r w:rsidRPr="00D64AB7">
        <w:rPr>
          <w:sz w:val="20"/>
          <w:szCs w:val="20"/>
        </w:rPr>
        <w:t xml:space="preserve"> Postgraduate Student at Bangor Law School</w:t>
      </w:r>
    </w:p>
    <w:p w14:paraId="642A3051" w14:textId="3726132F" w:rsidR="00000611" w:rsidRPr="00D64AB7" w:rsidRDefault="00D64AB7" w:rsidP="00584DD6">
      <w:pPr>
        <w:jc w:val="both"/>
        <w:rPr>
          <w:sz w:val="20"/>
          <w:szCs w:val="20"/>
        </w:rPr>
      </w:pPr>
      <w:r w:rsidRPr="00D64AB7">
        <w:rPr>
          <w:sz w:val="20"/>
          <w:szCs w:val="20"/>
        </w:rPr>
        <w:t>Undergraduate Student at Aberystwyth Law School</w:t>
      </w:r>
    </w:p>
    <w:p w14:paraId="4ABAB12A" w14:textId="72AB04C8" w:rsidR="00D64AB7" w:rsidRPr="00D64AB7" w:rsidRDefault="00D64AB7" w:rsidP="00584DD6">
      <w:pPr>
        <w:jc w:val="both"/>
        <w:rPr>
          <w:sz w:val="20"/>
          <w:szCs w:val="20"/>
        </w:rPr>
      </w:pPr>
      <w:r w:rsidRPr="00D64AB7">
        <w:rPr>
          <w:sz w:val="20"/>
          <w:szCs w:val="20"/>
        </w:rPr>
        <w:t>Postgraduate Student at Aberystwyth Law School</w:t>
      </w:r>
    </w:p>
    <w:p w14:paraId="25E353D6" w14:textId="45423672" w:rsidR="00D64AB7" w:rsidRPr="00D64AB7" w:rsidRDefault="00D64AB7" w:rsidP="00584DD6">
      <w:pPr>
        <w:jc w:val="both"/>
        <w:rPr>
          <w:sz w:val="20"/>
          <w:szCs w:val="20"/>
        </w:rPr>
      </w:pPr>
      <w:r w:rsidRPr="00D64AB7">
        <w:rPr>
          <w:sz w:val="20"/>
          <w:szCs w:val="20"/>
        </w:rPr>
        <w:t>Undergraduate Student at Cardiff Law School</w:t>
      </w:r>
    </w:p>
    <w:p w14:paraId="182F7FEB" w14:textId="50229E9C" w:rsidR="00D64AB7" w:rsidRPr="00D64AB7" w:rsidRDefault="00D64AB7" w:rsidP="00584DD6">
      <w:pPr>
        <w:jc w:val="both"/>
        <w:rPr>
          <w:sz w:val="20"/>
          <w:szCs w:val="20"/>
        </w:rPr>
      </w:pPr>
      <w:r w:rsidRPr="00D64AB7">
        <w:rPr>
          <w:sz w:val="20"/>
          <w:szCs w:val="20"/>
        </w:rPr>
        <w:t>Postgraduate Student at Cardiff Law School</w:t>
      </w:r>
    </w:p>
    <w:p w14:paraId="5B2BB8A3" w14:textId="1BDFDE7A" w:rsidR="00D64AB7" w:rsidRPr="00D64AB7" w:rsidRDefault="00D64AB7" w:rsidP="00584DD6">
      <w:pPr>
        <w:jc w:val="both"/>
        <w:rPr>
          <w:sz w:val="20"/>
          <w:szCs w:val="20"/>
        </w:rPr>
      </w:pPr>
      <w:r w:rsidRPr="00D64AB7">
        <w:rPr>
          <w:sz w:val="20"/>
          <w:szCs w:val="20"/>
        </w:rPr>
        <w:t>Undergraduate Student at Swansea Law School</w:t>
      </w:r>
    </w:p>
    <w:p w14:paraId="7666A491" w14:textId="630C687F" w:rsidR="00D64AB7" w:rsidRPr="00D64AB7" w:rsidRDefault="00D64AB7" w:rsidP="00584DD6">
      <w:pPr>
        <w:jc w:val="both"/>
        <w:rPr>
          <w:sz w:val="20"/>
          <w:szCs w:val="20"/>
        </w:rPr>
      </w:pPr>
      <w:r w:rsidRPr="00D64AB7">
        <w:rPr>
          <w:sz w:val="20"/>
          <w:szCs w:val="20"/>
        </w:rPr>
        <w:t>Postgraduate Student at Swansea Law School</w:t>
      </w:r>
    </w:p>
    <w:p w14:paraId="6E11B01E" w14:textId="24A1BB5F" w:rsidR="00D64AB7" w:rsidRPr="00D64AB7" w:rsidRDefault="00D64AB7" w:rsidP="00584DD6">
      <w:pPr>
        <w:jc w:val="both"/>
        <w:rPr>
          <w:sz w:val="20"/>
          <w:szCs w:val="20"/>
        </w:rPr>
      </w:pPr>
      <w:r w:rsidRPr="00D64AB7">
        <w:rPr>
          <w:sz w:val="20"/>
          <w:szCs w:val="20"/>
        </w:rPr>
        <w:t>Undergraduate Student at the University of South Wales Law School</w:t>
      </w:r>
    </w:p>
    <w:p w14:paraId="6B9DFD1B" w14:textId="0D0636E2" w:rsidR="00D64AB7" w:rsidRPr="00D64AB7" w:rsidRDefault="00D64AB7" w:rsidP="00584DD6">
      <w:pPr>
        <w:jc w:val="both"/>
        <w:rPr>
          <w:sz w:val="20"/>
          <w:szCs w:val="20"/>
        </w:rPr>
      </w:pPr>
      <w:r w:rsidRPr="00D64AB7">
        <w:rPr>
          <w:sz w:val="20"/>
          <w:szCs w:val="20"/>
        </w:rPr>
        <w:t>Postgraduate Student at the University of South Wales Law School</w:t>
      </w:r>
    </w:p>
    <w:p w14:paraId="3B439201" w14:textId="77777777" w:rsidR="00D64AB7" w:rsidRDefault="00D64AB7" w:rsidP="00584DD6">
      <w:pPr>
        <w:jc w:val="both"/>
        <w:rPr>
          <w:b/>
          <w:i/>
          <w:sz w:val="20"/>
          <w:szCs w:val="20"/>
        </w:rPr>
        <w:sectPr w:rsidR="00D64AB7" w:rsidSect="00D64AB7">
          <w:type w:val="continuous"/>
          <w:pgSz w:w="11906" w:h="16838"/>
          <w:pgMar w:top="1440" w:right="1440" w:bottom="1440" w:left="1440" w:header="708" w:footer="708" w:gutter="0"/>
          <w:cols w:num="2" w:space="708"/>
          <w:docGrid w:linePitch="360"/>
        </w:sectPr>
      </w:pPr>
    </w:p>
    <w:p w14:paraId="42744262" w14:textId="582A6EE8" w:rsidR="00D64AB7" w:rsidRPr="00D64AB7" w:rsidRDefault="00D64AB7" w:rsidP="00584DD6">
      <w:pPr>
        <w:jc w:val="both"/>
        <w:rPr>
          <w:i/>
          <w:sz w:val="20"/>
          <w:szCs w:val="20"/>
        </w:rPr>
      </w:pPr>
      <w:r w:rsidRPr="00D64AB7">
        <w:rPr>
          <w:b/>
          <w:i/>
          <w:sz w:val="20"/>
          <w:szCs w:val="20"/>
        </w:rPr>
        <w:t>Question Two:</w:t>
      </w:r>
      <w:r w:rsidRPr="00D64AB7">
        <w:rPr>
          <w:sz w:val="20"/>
          <w:szCs w:val="20"/>
        </w:rPr>
        <w:t xml:space="preserve"> </w:t>
      </w:r>
      <w:r w:rsidRPr="00D64AB7">
        <w:rPr>
          <w:b/>
          <w:i/>
          <w:sz w:val="20"/>
          <w:szCs w:val="20"/>
        </w:rPr>
        <w:t>Which of the following categories best describes you?</w:t>
      </w:r>
    </w:p>
    <w:p w14:paraId="531D9316" w14:textId="77777777" w:rsidR="00D64AB7" w:rsidRDefault="00D64AB7" w:rsidP="00584DD6">
      <w:pPr>
        <w:jc w:val="both"/>
        <w:rPr>
          <w:sz w:val="20"/>
          <w:szCs w:val="20"/>
        </w:rPr>
        <w:sectPr w:rsidR="00D64AB7" w:rsidSect="00D64AB7">
          <w:type w:val="continuous"/>
          <w:pgSz w:w="11906" w:h="16838"/>
          <w:pgMar w:top="1440" w:right="1440" w:bottom="1440" w:left="1440" w:header="708" w:footer="708" w:gutter="0"/>
          <w:cols w:space="708"/>
          <w:docGrid w:linePitch="360"/>
        </w:sectPr>
      </w:pPr>
    </w:p>
    <w:p w14:paraId="4AB304F6" w14:textId="07A4AA15" w:rsidR="00D64AB7" w:rsidRDefault="00D64AB7" w:rsidP="00584DD6">
      <w:pPr>
        <w:jc w:val="both"/>
        <w:rPr>
          <w:sz w:val="20"/>
          <w:szCs w:val="20"/>
        </w:rPr>
      </w:pPr>
      <w:r w:rsidRPr="00D64AB7">
        <w:rPr>
          <w:sz w:val="20"/>
          <w:szCs w:val="20"/>
        </w:rPr>
        <w:t>UK (English) Student</w:t>
      </w:r>
    </w:p>
    <w:p w14:paraId="1FB4E719" w14:textId="7D0584CB" w:rsidR="00D64AB7" w:rsidRDefault="00D64AB7" w:rsidP="00584DD6">
      <w:pPr>
        <w:jc w:val="both"/>
        <w:rPr>
          <w:sz w:val="20"/>
          <w:szCs w:val="20"/>
        </w:rPr>
      </w:pPr>
      <w:r w:rsidRPr="00D64AB7">
        <w:rPr>
          <w:sz w:val="20"/>
          <w:szCs w:val="20"/>
        </w:rPr>
        <w:t>UK (Welsh) Student</w:t>
      </w:r>
    </w:p>
    <w:p w14:paraId="57C45C33" w14:textId="79CBB4E5" w:rsidR="00D64AB7" w:rsidRDefault="00D64AB7" w:rsidP="00584DD6">
      <w:pPr>
        <w:jc w:val="both"/>
        <w:rPr>
          <w:sz w:val="20"/>
          <w:szCs w:val="20"/>
        </w:rPr>
      </w:pPr>
      <w:r w:rsidRPr="00D64AB7">
        <w:rPr>
          <w:sz w:val="20"/>
          <w:szCs w:val="20"/>
        </w:rPr>
        <w:t>UK (Scottish) Student</w:t>
      </w:r>
    </w:p>
    <w:p w14:paraId="16E7B206" w14:textId="43856548" w:rsidR="00D64AB7" w:rsidRDefault="00D64AB7" w:rsidP="00584DD6">
      <w:pPr>
        <w:jc w:val="both"/>
        <w:rPr>
          <w:sz w:val="20"/>
          <w:szCs w:val="20"/>
        </w:rPr>
      </w:pPr>
      <w:r w:rsidRPr="00D64AB7">
        <w:rPr>
          <w:sz w:val="20"/>
          <w:szCs w:val="20"/>
        </w:rPr>
        <w:t>UK (Northern Irish) Student</w:t>
      </w:r>
    </w:p>
    <w:p w14:paraId="6F8B6301" w14:textId="3FBF3476" w:rsidR="00D64AB7" w:rsidRDefault="00D64AB7" w:rsidP="00584DD6">
      <w:pPr>
        <w:jc w:val="both"/>
        <w:rPr>
          <w:sz w:val="20"/>
          <w:szCs w:val="20"/>
        </w:rPr>
      </w:pPr>
      <w:r w:rsidRPr="00D64AB7">
        <w:rPr>
          <w:sz w:val="20"/>
          <w:szCs w:val="20"/>
        </w:rPr>
        <w:t>EU (Non-UK) Student</w:t>
      </w:r>
    </w:p>
    <w:p w14:paraId="254C7088" w14:textId="5159368A" w:rsidR="00D64AB7" w:rsidRDefault="00D64AB7" w:rsidP="00584DD6">
      <w:pPr>
        <w:jc w:val="both"/>
        <w:rPr>
          <w:sz w:val="20"/>
          <w:szCs w:val="20"/>
        </w:rPr>
      </w:pPr>
      <w:r w:rsidRPr="00D64AB7">
        <w:rPr>
          <w:sz w:val="20"/>
          <w:szCs w:val="20"/>
        </w:rPr>
        <w:t>International (Non-EU) Student</w:t>
      </w:r>
    </w:p>
    <w:p w14:paraId="4C0C5AE4" w14:textId="77777777" w:rsidR="00D64AB7" w:rsidRDefault="00D64AB7" w:rsidP="00D64AB7">
      <w:pPr>
        <w:jc w:val="both"/>
        <w:rPr>
          <w:b/>
          <w:i/>
          <w:sz w:val="20"/>
          <w:szCs w:val="20"/>
        </w:rPr>
        <w:sectPr w:rsidR="00D64AB7" w:rsidSect="00D64AB7">
          <w:type w:val="continuous"/>
          <w:pgSz w:w="11906" w:h="16838"/>
          <w:pgMar w:top="1440" w:right="1440" w:bottom="1440" w:left="1440" w:header="708" w:footer="708" w:gutter="0"/>
          <w:cols w:num="2" w:space="708"/>
          <w:docGrid w:linePitch="360"/>
        </w:sectPr>
      </w:pPr>
    </w:p>
    <w:p w14:paraId="7DF5AA75" w14:textId="2EAD93FE" w:rsidR="00D64AB7" w:rsidRPr="00D64AB7" w:rsidRDefault="00D64AB7" w:rsidP="00D64AB7">
      <w:pPr>
        <w:jc w:val="both"/>
        <w:rPr>
          <w:i/>
          <w:sz w:val="20"/>
          <w:szCs w:val="20"/>
        </w:rPr>
      </w:pPr>
      <w:r>
        <w:rPr>
          <w:b/>
          <w:i/>
          <w:sz w:val="20"/>
          <w:szCs w:val="20"/>
        </w:rPr>
        <w:t>Question Three</w:t>
      </w:r>
      <w:r w:rsidRPr="00D64AB7">
        <w:rPr>
          <w:b/>
          <w:i/>
          <w:sz w:val="20"/>
          <w:szCs w:val="20"/>
        </w:rPr>
        <w:t>:</w:t>
      </w:r>
      <w:r w:rsidRPr="00D64AB7">
        <w:rPr>
          <w:sz w:val="20"/>
          <w:szCs w:val="20"/>
        </w:rPr>
        <w:t xml:space="preserve"> </w:t>
      </w:r>
      <w:r w:rsidRPr="00D64AB7">
        <w:rPr>
          <w:b/>
          <w:i/>
          <w:sz w:val="20"/>
          <w:szCs w:val="20"/>
        </w:rPr>
        <w:t>Were you eligible to vote in the referendum on membership of the European Union which took place on the 23rd June 2016? If yes, how did you vote?</w:t>
      </w:r>
    </w:p>
    <w:p w14:paraId="2E6C99C9" w14:textId="77777777" w:rsidR="00D64AB7" w:rsidRDefault="00D64AB7" w:rsidP="00D64AB7">
      <w:pPr>
        <w:jc w:val="both"/>
        <w:rPr>
          <w:sz w:val="20"/>
          <w:szCs w:val="20"/>
        </w:rPr>
        <w:sectPr w:rsidR="00D64AB7" w:rsidSect="00D64AB7">
          <w:type w:val="continuous"/>
          <w:pgSz w:w="11906" w:h="16838"/>
          <w:pgMar w:top="1440" w:right="1440" w:bottom="1440" w:left="1440" w:header="708" w:footer="708" w:gutter="0"/>
          <w:cols w:space="708"/>
          <w:docGrid w:linePitch="360"/>
        </w:sectPr>
      </w:pPr>
    </w:p>
    <w:p w14:paraId="7A986D73" w14:textId="186D268C" w:rsidR="00D64AB7" w:rsidRDefault="00D64AB7" w:rsidP="00D64AB7">
      <w:pPr>
        <w:jc w:val="both"/>
        <w:rPr>
          <w:sz w:val="20"/>
          <w:szCs w:val="20"/>
        </w:rPr>
      </w:pPr>
      <w:r w:rsidRPr="00D64AB7">
        <w:rPr>
          <w:sz w:val="20"/>
          <w:szCs w:val="20"/>
        </w:rPr>
        <w:t>Eligible to vote, and voted to remain in the EU</w:t>
      </w:r>
    </w:p>
    <w:p w14:paraId="557188C2" w14:textId="4ABE7311" w:rsidR="00D64AB7" w:rsidRDefault="00D64AB7" w:rsidP="00D64AB7">
      <w:pPr>
        <w:jc w:val="both"/>
        <w:rPr>
          <w:sz w:val="20"/>
          <w:szCs w:val="20"/>
        </w:rPr>
      </w:pPr>
      <w:r w:rsidRPr="00D64AB7">
        <w:rPr>
          <w:sz w:val="20"/>
          <w:szCs w:val="20"/>
        </w:rPr>
        <w:t>Eligible to vote, and voted to lea</w:t>
      </w:r>
      <w:r>
        <w:rPr>
          <w:sz w:val="20"/>
          <w:szCs w:val="20"/>
        </w:rPr>
        <w:t>ve the EU</w:t>
      </w:r>
    </w:p>
    <w:p w14:paraId="01260452" w14:textId="6DA5EFE4" w:rsidR="00D64AB7" w:rsidRDefault="00D64AB7" w:rsidP="00D64AB7">
      <w:pPr>
        <w:jc w:val="both"/>
        <w:rPr>
          <w:sz w:val="20"/>
          <w:szCs w:val="20"/>
        </w:rPr>
        <w:sectPr w:rsidR="00D64AB7" w:rsidSect="00D64AB7">
          <w:type w:val="continuous"/>
          <w:pgSz w:w="11906" w:h="16838"/>
          <w:pgMar w:top="1440" w:right="1440" w:bottom="1440" w:left="1440" w:header="708" w:footer="708" w:gutter="0"/>
          <w:cols w:num="2" w:space="708"/>
          <w:docGrid w:linePitch="360"/>
        </w:sectPr>
      </w:pPr>
    </w:p>
    <w:p w14:paraId="668E2BAA" w14:textId="1254EB3A" w:rsidR="00D64AB7" w:rsidRDefault="00D64AB7" w:rsidP="00584DD6">
      <w:pPr>
        <w:jc w:val="both"/>
        <w:rPr>
          <w:sz w:val="20"/>
          <w:szCs w:val="20"/>
        </w:rPr>
      </w:pPr>
      <w:r w:rsidRPr="00D64AB7">
        <w:rPr>
          <w:sz w:val="20"/>
          <w:szCs w:val="20"/>
        </w:rPr>
        <w:t>Eligible to vote, but did not vote</w:t>
      </w:r>
    </w:p>
    <w:p w14:paraId="5ED0C6EB" w14:textId="32DFF5A7" w:rsidR="00D64AB7" w:rsidRDefault="00D64AB7" w:rsidP="00584DD6">
      <w:pPr>
        <w:jc w:val="both"/>
        <w:rPr>
          <w:sz w:val="20"/>
          <w:szCs w:val="20"/>
        </w:rPr>
      </w:pPr>
      <w:r w:rsidRPr="00D64AB7">
        <w:rPr>
          <w:sz w:val="20"/>
          <w:szCs w:val="20"/>
        </w:rPr>
        <w:t>Not eligible t</w:t>
      </w:r>
      <w:r>
        <w:rPr>
          <w:sz w:val="20"/>
          <w:szCs w:val="20"/>
        </w:rPr>
        <w:t xml:space="preserve">o vote, but would have voted to </w:t>
      </w:r>
      <w:r w:rsidRPr="00D64AB7">
        <w:rPr>
          <w:sz w:val="20"/>
          <w:szCs w:val="20"/>
        </w:rPr>
        <w:t>remain in the EU (UK citizen)</w:t>
      </w:r>
    </w:p>
    <w:p w14:paraId="54DFD0B9" w14:textId="5CF4E69F" w:rsidR="00D64AB7" w:rsidRDefault="00D64AB7" w:rsidP="00584DD6">
      <w:pPr>
        <w:jc w:val="both"/>
        <w:rPr>
          <w:sz w:val="20"/>
          <w:szCs w:val="20"/>
        </w:rPr>
      </w:pPr>
      <w:r w:rsidRPr="00D64AB7">
        <w:rPr>
          <w:sz w:val="20"/>
          <w:szCs w:val="20"/>
        </w:rPr>
        <w:t>Not eligible to vote, but would have voted to leave the EU (UK citizen)</w:t>
      </w:r>
    </w:p>
    <w:p w14:paraId="3A4050F5" w14:textId="460F9635" w:rsidR="00D64AB7" w:rsidRDefault="00D64AB7" w:rsidP="00584DD6">
      <w:pPr>
        <w:jc w:val="both"/>
        <w:rPr>
          <w:sz w:val="20"/>
          <w:szCs w:val="20"/>
        </w:rPr>
      </w:pPr>
      <w:r w:rsidRPr="00D64AB7">
        <w:rPr>
          <w:sz w:val="20"/>
          <w:szCs w:val="20"/>
        </w:rPr>
        <w:t>Not eligible to vote, and would not have voted (UK citizen)</w:t>
      </w:r>
    </w:p>
    <w:p w14:paraId="5F02450C" w14:textId="4864EF05" w:rsidR="00D64AB7" w:rsidRDefault="00D64AB7" w:rsidP="00584DD6">
      <w:pPr>
        <w:jc w:val="both"/>
        <w:rPr>
          <w:sz w:val="20"/>
          <w:szCs w:val="20"/>
        </w:rPr>
      </w:pPr>
      <w:r w:rsidRPr="00D64AB7">
        <w:rPr>
          <w:sz w:val="20"/>
          <w:szCs w:val="20"/>
        </w:rPr>
        <w:t>Not a UK citizen, but would have voted to remain in the EU (if I could have voted)</w:t>
      </w:r>
    </w:p>
    <w:p w14:paraId="633279EA" w14:textId="3D19D9C8" w:rsidR="00D64AB7" w:rsidRDefault="00D64AB7" w:rsidP="00584DD6">
      <w:pPr>
        <w:jc w:val="both"/>
        <w:rPr>
          <w:sz w:val="20"/>
          <w:szCs w:val="20"/>
        </w:rPr>
      </w:pPr>
      <w:r w:rsidRPr="00D64AB7">
        <w:rPr>
          <w:sz w:val="20"/>
          <w:szCs w:val="20"/>
        </w:rPr>
        <w:t>Not a UK citizen, but would have voted to leave the EU (if I could have voted)</w:t>
      </w:r>
    </w:p>
    <w:p w14:paraId="23C4B416" w14:textId="1464BEEC" w:rsidR="00D64AB7" w:rsidRDefault="00D64AB7" w:rsidP="00584DD6">
      <w:pPr>
        <w:jc w:val="both"/>
        <w:rPr>
          <w:sz w:val="20"/>
          <w:szCs w:val="20"/>
        </w:rPr>
      </w:pPr>
      <w:r w:rsidRPr="00D64AB7">
        <w:rPr>
          <w:sz w:val="20"/>
          <w:szCs w:val="20"/>
        </w:rPr>
        <w:t>Not a UK citizen, and would not have been interested in voting (if I could have voted)</w:t>
      </w:r>
    </w:p>
    <w:p w14:paraId="1D10396E" w14:textId="77777777" w:rsidR="00D64AB7" w:rsidRDefault="00D64AB7" w:rsidP="00D64AB7">
      <w:pPr>
        <w:jc w:val="both"/>
        <w:rPr>
          <w:b/>
          <w:i/>
          <w:sz w:val="20"/>
          <w:szCs w:val="20"/>
        </w:rPr>
        <w:sectPr w:rsidR="00D64AB7" w:rsidSect="00D64AB7">
          <w:type w:val="continuous"/>
          <w:pgSz w:w="11906" w:h="16838"/>
          <w:pgMar w:top="1440" w:right="1440" w:bottom="1440" w:left="1440" w:header="708" w:footer="708" w:gutter="0"/>
          <w:cols w:num="2" w:space="708"/>
          <w:docGrid w:linePitch="360"/>
        </w:sectPr>
      </w:pPr>
    </w:p>
    <w:p w14:paraId="6BB921B5" w14:textId="536B005A" w:rsidR="00D64AB7" w:rsidRDefault="00D64AB7" w:rsidP="00D67EDF">
      <w:pPr>
        <w:spacing w:line="240" w:lineRule="auto"/>
        <w:jc w:val="both"/>
        <w:rPr>
          <w:b/>
          <w:i/>
          <w:sz w:val="20"/>
          <w:szCs w:val="20"/>
        </w:rPr>
      </w:pPr>
      <w:r>
        <w:rPr>
          <w:b/>
          <w:i/>
          <w:sz w:val="20"/>
          <w:szCs w:val="20"/>
        </w:rPr>
        <w:t>Question Four</w:t>
      </w:r>
      <w:r w:rsidRPr="00D64AB7">
        <w:rPr>
          <w:b/>
          <w:i/>
          <w:sz w:val="20"/>
          <w:szCs w:val="20"/>
        </w:rPr>
        <w:t>:</w:t>
      </w:r>
      <w:r w:rsidRPr="00D64AB7">
        <w:rPr>
          <w:sz w:val="20"/>
          <w:szCs w:val="20"/>
        </w:rPr>
        <w:t xml:space="preserve"> </w:t>
      </w:r>
      <w:r w:rsidRPr="00D64AB7">
        <w:rPr>
          <w:b/>
          <w:i/>
          <w:sz w:val="20"/>
          <w:szCs w:val="20"/>
        </w:rPr>
        <w:t>Based on what you thought on the 23rd June 2016, would you consider yourself pro- or against- Brexit?</w:t>
      </w:r>
    </w:p>
    <w:p w14:paraId="3544B1DA" w14:textId="77777777" w:rsidR="00D67EDF" w:rsidRDefault="00D67EDF" w:rsidP="00D67EDF">
      <w:pPr>
        <w:spacing w:after="0" w:line="360" w:lineRule="auto"/>
        <w:jc w:val="both"/>
        <w:rPr>
          <w:sz w:val="20"/>
          <w:szCs w:val="20"/>
        </w:rPr>
        <w:sectPr w:rsidR="00D67EDF" w:rsidSect="00D64AB7">
          <w:type w:val="continuous"/>
          <w:pgSz w:w="11906" w:h="16838"/>
          <w:pgMar w:top="1440" w:right="1440" w:bottom="1440" w:left="1440" w:header="708" w:footer="708" w:gutter="0"/>
          <w:cols w:space="708"/>
          <w:docGrid w:linePitch="360"/>
        </w:sectPr>
      </w:pPr>
    </w:p>
    <w:p w14:paraId="4AF9587B" w14:textId="51D36133" w:rsidR="00D67EDF" w:rsidRPr="00D67EDF" w:rsidRDefault="00D67EDF" w:rsidP="00D67EDF">
      <w:pPr>
        <w:spacing w:after="0" w:line="360" w:lineRule="auto"/>
        <w:jc w:val="both"/>
        <w:rPr>
          <w:sz w:val="20"/>
          <w:szCs w:val="20"/>
        </w:rPr>
      </w:pPr>
      <w:r w:rsidRPr="00D67EDF">
        <w:rPr>
          <w:sz w:val="20"/>
          <w:szCs w:val="20"/>
        </w:rPr>
        <w:t>Pro-Brexit</w:t>
      </w:r>
    </w:p>
    <w:p w14:paraId="5A3C994E" w14:textId="72CDC781" w:rsidR="00D67EDF" w:rsidRPr="00D67EDF" w:rsidRDefault="00D67EDF" w:rsidP="00D67EDF">
      <w:pPr>
        <w:spacing w:after="0" w:line="360" w:lineRule="auto"/>
        <w:jc w:val="both"/>
        <w:rPr>
          <w:sz w:val="20"/>
          <w:szCs w:val="20"/>
        </w:rPr>
      </w:pPr>
      <w:r w:rsidRPr="00D67EDF">
        <w:rPr>
          <w:sz w:val="20"/>
          <w:szCs w:val="20"/>
        </w:rPr>
        <w:t>Against Brexit</w:t>
      </w:r>
    </w:p>
    <w:p w14:paraId="53538790" w14:textId="77777777" w:rsidR="00D67EDF" w:rsidRDefault="00D67EDF" w:rsidP="00D67EDF">
      <w:pPr>
        <w:spacing w:after="0" w:line="360" w:lineRule="auto"/>
        <w:jc w:val="both"/>
        <w:rPr>
          <w:b/>
          <w:i/>
          <w:sz w:val="20"/>
          <w:szCs w:val="20"/>
        </w:rPr>
        <w:sectPr w:rsidR="00D67EDF" w:rsidSect="00D67EDF">
          <w:type w:val="continuous"/>
          <w:pgSz w:w="11906" w:h="16838"/>
          <w:pgMar w:top="1440" w:right="1440" w:bottom="1440" w:left="1440" w:header="708" w:footer="708" w:gutter="0"/>
          <w:cols w:num="2" w:space="708"/>
          <w:docGrid w:linePitch="360"/>
        </w:sectPr>
      </w:pPr>
    </w:p>
    <w:p w14:paraId="5ECDFDAD" w14:textId="6C2DB2E5" w:rsidR="00D67EDF" w:rsidRDefault="00D67EDF" w:rsidP="00D67EDF">
      <w:pPr>
        <w:spacing w:after="0" w:line="360" w:lineRule="auto"/>
        <w:jc w:val="both"/>
        <w:rPr>
          <w:b/>
          <w:i/>
          <w:sz w:val="20"/>
          <w:szCs w:val="20"/>
        </w:rPr>
      </w:pPr>
      <w:r>
        <w:rPr>
          <w:b/>
          <w:i/>
          <w:sz w:val="20"/>
          <w:szCs w:val="20"/>
        </w:rPr>
        <w:t>Question Five</w:t>
      </w:r>
      <w:r w:rsidRPr="00D64AB7">
        <w:rPr>
          <w:b/>
          <w:i/>
          <w:sz w:val="20"/>
          <w:szCs w:val="20"/>
        </w:rPr>
        <w:t>:</w:t>
      </w:r>
      <w:r w:rsidRPr="00D64AB7">
        <w:rPr>
          <w:sz w:val="20"/>
          <w:szCs w:val="20"/>
        </w:rPr>
        <w:t xml:space="preserve"> </w:t>
      </w:r>
      <w:r w:rsidRPr="00D64AB7">
        <w:rPr>
          <w:b/>
          <w:i/>
          <w:sz w:val="20"/>
          <w:szCs w:val="20"/>
        </w:rPr>
        <w:t xml:space="preserve">Based on what you </w:t>
      </w:r>
      <w:r>
        <w:rPr>
          <w:b/>
          <w:i/>
          <w:sz w:val="20"/>
          <w:szCs w:val="20"/>
        </w:rPr>
        <w:t>think now in 2018</w:t>
      </w:r>
      <w:r w:rsidRPr="00D64AB7">
        <w:rPr>
          <w:b/>
          <w:i/>
          <w:sz w:val="20"/>
          <w:szCs w:val="20"/>
        </w:rPr>
        <w:t>, would you consider yourself pro- or against- Brexit?</w:t>
      </w:r>
    </w:p>
    <w:p w14:paraId="1E29FA6B" w14:textId="77777777" w:rsidR="00D67EDF" w:rsidRDefault="00D67EDF" w:rsidP="00D67EDF">
      <w:pPr>
        <w:spacing w:after="0" w:line="360" w:lineRule="auto"/>
        <w:jc w:val="both"/>
        <w:rPr>
          <w:sz w:val="20"/>
          <w:szCs w:val="20"/>
        </w:rPr>
        <w:sectPr w:rsidR="00D67EDF" w:rsidSect="00D64AB7">
          <w:type w:val="continuous"/>
          <w:pgSz w:w="11906" w:h="16838"/>
          <w:pgMar w:top="1440" w:right="1440" w:bottom="1440" w:left="1440" w:header="708" w:footer="708" w:gutter="0"/>
          <w:cols w:space="708"/>
          <w:docGrid w:linePitch="360"/>
        </w:sectPr>
      </w:pPr>
    </w:p>
    <w:p w14:paraId="090EC160" w14:textId="791B0F61" w:rsidR="00D67EDF" w:rsidRPr="00D67EDF" w:rsidRDefault="00D67EDF" w:rsidP="00D67EDF">
      <w:pPr>
        <w:spacing w:after="0" w:line="360" w:lineRule="auto"/>
        <w:jc w:val="both"/>
        <w:rPr>
          <w:sz w:val="20"/>
          <w:szCs w:val="20"/>
        </w:rPr>
      </w:pPr>
      <w:r w:rsidRPr="00D67EDF">
        <w:rPr>
          <w:sz w:val="20"/>
          <w:szCs w:val="20"/>
        </w:rPr>
        <w:t>Pro-Brexit</w:t>
      </w:r>
    </w:p>
    <w:p w14:paraId="161D35FA" w14:textId="77777777" w:rsidR="00D67EDF" w:rsidRPr="00D67EDF" w:rsidRDefault="00D67EDF" w:rsidP="00D67EDF">
      <w:pPr>
        <w:spacing w:after="0" w:line="360" w:lineRule="auto"/>
        <w:jc w:val="both"/>
        <w:rPr>
          <w:sz w:val="20"/>
          <w:szCs w:val="20"/>
        </w:rPr>
      </w:pPr>
      <w:r w:rsidRPr="00D67EDF">
        <w:rPr>
          <w:sz w:val="20"/>
          <w:szCs w:val="20"/>
        </w:rPr>
        <w:t>Against Brexit</w:t>
      </w:r>
    </w:p>
    <w:p w14:paraId="700D038C" w14:textId="77777777" w:rsidR="00D67EDF" w:rsidRDefault="00D67EDF" w:rsidP="00D67EDF">
      <w:pPr>
        <w:spacing w:after="0" w:line="360" w:lineRule="auto"/>
        <w:jc w:val="both"/>
        <w:rPr>
          <w:b/>
          <w:i/>
          <w:sz w:val="20"/>
          <w:szCs w:val="20"/>
        </w:rPr>
        <w:sectPr w:rsidR="00D67EDF" w:rsidSect="00D67EDF">
          <w:type w:val="continuous"/>
          <w:pgSz w:w="11906" w:h="16838"/>
          <w:pgMar w:top="1440" w:right="1440" w:bottom="1440" w:left="1440" w:header="708" w:footer="708" w:gutter="0"/>
          <w:cols w:num="2" w:space="708"/>
          <w:docGrid w:linePitch="360"/>
        </w:sectPr>
      </w:pPr>
    </w:p>
    <w:p w14:paraId="429225AA" w14:textId="2F3B6FFF" w:rsidR="00D67EDF" w:rsidRDefault="00D67EDF" w:rsidP="00D67EDF">
      <w:pPr>
        <w:spacing w:after="0" w:line="360" w:lineRule="auto"/>
        <w:jc w:val="both"/>
        <w:rPr>
          <w:b/>
          <w:i/>
          <w:sz w:val="20"/>
          <w:szCs w:val="20"/>
        </w:rPr>
      </w:pPr>
      <w:r>
        <w:rPr>
          <w:b/>
          <w:i/>
          <w:sz w:val="20"/>
          <w:szCs w:val="20"/>
        </w:rPr>
        <w:t>Question Six</w:t>
      </w:r>
      <w:r w:rsidRPr="00D64AB7">
        <w:rPr>
          <w:b/>
          <w:i/>
          <w:sz w:val="20"/>
          <w:szCs w:val="20"/>
        </w:rPr>
        <w:t>:</w:t>
      </w:r>
      <w:r w:rsidRPr="00D64AB7">
        <w:rPr>
          <w:sz w:val="20"/>
          <w:szCs w:val="20"/>
        </w:rPr>
        <w:t xml:space="preserve"> </w:t>
      </w:r>
      <w:r w:rsidRPr="00D67EDF">
        <w:rPr>
          <w:b/>
          <w:i/>
          <w:sz w:val="20"/>
          <w:szCs w:val="20"/>
        </w:rPr>
        <w:t>Do you feel your law degree programme will change following the UK's decision to withdraw from the European Union?</w:t>
      </w:r>
    </w:p>
    <w:p w14:paraId="03C16701" w14:textId="77777777" w:rsidR="00D67EDF" w:rsidRDefault="00D67EDF" w:rsidP="00D67EDF">
      <w:pPr>
        <w:spacing w:after="0" w:line="360" w:lineRule="auto"/>
        <w:jc w:val="both"/>
        <w:rPr>
          <w:sz w:val="20"/>
          <w:szCs w:val="20"/>
        </w:rPr>
        <w:sectPr w:rsidR="00D67EDF" w:rsidSect="00D64AB7">
          <w:type w:val="continuous"/>
          <w:pgSz w:w="11906" w:h="16838"/>
          <w:pgMar w:top="1440" w:right="1440" w:bottom="1440" w:left="1440" w:header="708" w:footer="708" w:gutter="0"/>
          <w:cols w:space="708"/>
          <w:docGrid w:linePitch="360"/>
        </w:sectPr>
      </w:pPr>
    </w:p>
    <w:p w14:paraId="5F492CEA" w14:textId="08198FC4" w:rsidR="00D67EDF" w:rsidRPr="00D67EDF" w:rsidRDefault="00D67EDF" w:rsidP="00D67EDF">
      <w:pPr>
        <w:spacing w:after="0" w:line="360" w:lineRule="auto"/>
        <w:jc w:val="both"/>
        <w:rPr>
          <w:sz w:val="20"/>
          <w:szCs w:val="20"/>
        </w:rPr>
      </w:pPr>
      <w:r w:rsidRPr="00D67EDF">
        <w:rPr>
          <w:sz w:val="20"/>
          <w:szCs w:val="20"/>
        </w:rPr>
        <w:t xml:space="preserve">Yes </w:t>
      </w:r>
    </w:p>
    <w:p w14:paraId="6BC4BFD8" w14:textId="65DC3439" w:rsidR="00D67EDF" w:rsidRPr="00F2105B" w:rsidRDefault="00D67EDF" w:rsidP="00F2105B">
      <w:pPr>
        <w:spacing w:after="0" w:line="360" w:lineRule="auto"/>
        <w:jc w:val="both"/>
        <w:rPr>
          <w:sz w:val="20"/>
          <w:szCs w:val="20"/>
        </w:rPr>
        <w:sectPr w:rsidR="00D67EDF" w:rsidRPr="00F2105B" w:rsidSect="00D67EDF">
          <w:type w:val="continuous"/>
          <w:pgSz w:w="11906" w:h="16838"/>
          <w:pgMar w:top="1440" w:right="1440" w:bottom="1440" w:left="1440" w:header="708" w:footer="708" w:gutter="0"/>
          <w:cols w:num="2" w:space="708"/>
          <w:docGrid w:linePitch="360"/>
        </w:sectPr>
      </w:pPr>
      <w:r w:rsidRPr="00D67EDF">
        <w:rPr>
          <w:sz w:val="20"/>
          <w:szCs w:val="20"/>
        </w:rPr>
        <w:t>No</w:t>
      </w:r>
      <w:r w:rsidR="00F2105B">
        <w:rPr>
          <w:sz w:val="20"/>
          <w:szCs w:val="20"/>
        </w:rPr>
        <w:t xml:space="preserve">                                                           </w:t>
      </w:r>
      <w:r w:rsidR="00F2105B" w:rsidRPr="00D67EDF">
        <w:rPr>
          <w:sz w:val="20"/>
          <w:szCs w:val="20"/>
        </w:rPr>
        <w:t>(Comments Box)</w:t>
      </w:r>
    </w:p>
    <w:p w14:paraId="78A0DBB4" w14:textId="2D9943A4" w:rsidR="00D67EDF" w:rsidRPr="00D67EDF" w:rsidRDefault="00D67EDF" w:rsidP="00D67EDF">
      <w:pPr>
        <w:spacing w:after="0" w:line="360" w:lineRule="auto"/>
        <w:jc w:val="both"/>
        <w:rPr>
          <w:b/>
          <w:i/>
          <w:sz w:val="20"/>
          <w:szCs w:val="20"/>
        </w:rPr>
      </w:pPr>
      <w:r w:rsidRPr="00D67EDF">
        <w:rPr>
          <w:b/>
          <w:i/>
          <w:sz w:val="20"/>
          <w:szCs w:val="20"/>
        </w:rPr>
        <w:t>Question Seven: Have your perceptions of EU law changed following the UK's decision to withdraw from the European Union...if yes how?</w:t>
      </w:r>
    </w:p>
    <w:p w14:paraId="79C487BD" w14:textId="77777777" w:rsidR="00D67EDF" w:rsidRDefault="00D67EDF" w:rsidP="00D67EDF">
      <w:pPr>
        <w:spacing w:after="0" w:line="360" w:lineRule="auto"/>
        <w:jc w:val="both"/>
        <w:rPr>
          <w:sz w:val="20"/>
          <w:szCs w:val="20"/>
        </w:rPr>
        <w:sectPr w:rsidR="00D67EDF" w:rsidSect="00D64AB7">
          <w:type w:val="continuous"/>
          <w:pgSz w:w="11906" w:h="16838"/>
          <w:pgMar w:top="1440" w:right="1440" w:bottom="1440" w:left="1440" w:header="708" w:footer="708" w:gutter="0"/>
          <w:cols w:space="708"/>
          <w:docGrid w:linePitch="360"/>
        </w:sectPr>
      </w:pPr>
    </w:p>
    <w:p w14:paraId="5C3F86DA" w14:textId="31087D2A" w:rsidR="00D67EDF" w:rsidRPr="00D67EDF" w:rsidRDefault="00D67EDF" w:rsidP="00D67EDF">
      <w:pPr>
        <w:spacing w:after="0" w:line="360" w:lineRule="auto"/>
        <w:jc w:val="both"/>
        <w:rPr>
          <w:sz w:val="20"/>
          <w:szCs w:val="20"/>
        </w:rPr>
      </w:pPr>
      <w:r w:rsidRPr="00D67EDF">
        <w:rPr>
          <w:sz w:val="20"/>
          <w:szCs w:val="20"/>
        </w:rPr>
        <w:t xml:space="preserve">Yes </w:t>
      </w:r>
    </w:p>
    <w:p w14:paraId="739F7B51" w14:textId="78CCC118" w:rsidR="00D67EDF" w:rsidRPr="00F2105B" w:rsidRDefault="00F2105B" w:rsidP="00F2105B">
      <w:pPr>
        <w:spacing w:after="0" w:line="360" w:lineRule="auto"/>
        <w:jc w:val="both"/>
        <w:rPr>
          <w:sz w:val="20"/>
          <w:szCs w:val="20"/>
        </w:rPr>
        <w:sectPr w:rsidR="00D67EDF" w:rsidRPr="00F2105B" w:rsidSect="00D67EDF">
          <w:type w:val="continuous"/>
          <w:pgSz w:w="11906" w:h="16838"/>
          <w:pgMar w:top="1440" w:right="1440" w:bottom="1440" w:left="1440" w:header="708" w:footer="708" w:gutter="0"/>
          <w:cols w:num="2" w:space="708"/>
          <w:docGrid w:linePitch="360"/>
        </w:sectPr>
      </w:pPr>
      <w:r>
        <w:rPr>
          <w:sz w:val="20"/>
          <w:szCs w:val="20"/>
        </w:rPr>
        <w:t xml:space="preserve">No                                                           </w:t>
      </w:r>
      <w:r w:rsidRPr="00D67EDF">
        <w:rPr>
          <w:sz w:val="20"/>
          <w:szCs w:val="20"/>
        </w:rPr>
        <w:t>(Comments Box)</w:t>
      </w:r>
    </w:p>
    <w:p w14:paraId="4B1C32FF" w14:textId="77777777" w:rsidR="00D67EDF" w:rsidRDefault="00D67EDF" w:rsidP="00D67EDF">
      <w:pPr>
        <w:spacing w:after="0" w:line="360" w:lineRule="auto"/>
        <w:jc w:val="both"/>
        <w:rPr>
          <w:b/>
          <w:i/>
          <w:sz w:val="20"/>
          <w:szCs w:val="20"/>
        </w:rPr>
      </w:pPr>
    </w:p>
    <w:p w14:paraId="1E00B92C" w14:textId="03B24947" w:rsidR="00D67EDF" w:rsidRDefault="00D67EDF" w:rsidP="00D67EDF">
      <w:pPr>
        <w:spacing w:after="0" w:line="360" w:lineRule="auto"/>
        <w:jc w:val="both"/>
        <w:rPr>
          <w:b/>
          <w:i/>
          <w:sz w:val="20"/>
          <w:szCs w:val="20"/>
        </w:rPr>
      </w:pPr>
      <w:r>
        <w:rPr>
          <w:b/>
          <w:i/>
          <w:sz w:val="20"/>
          <w:szCs w:val="20"/>
        </w:rPr>
        <w:lastRenderedPageBreak/>
        <w:t>Question Eight</w:t>
      </w:r>
      <w:r w:rsidRPr="00D67EDF">
        <w:rPr>
          <w:b/>
          <w:i/>
          <w:sz w:val="20"/>
          <w:szCs w:val="20"/>
        </w:rPr>
        <w:t>: Based on your perceptions, following the EU membership referendum</w:t>
      </w:r>
      <w:r>
        <w:rPr>
          <w:b/>
          <w:i/>
          <w:sz w:val="20"/>
          <w:szCs w:val="20"/>
        </w:rPr>
        <w:t>, do you feel the UK has become: (Likert style: options included ‘more’; ‘less’;</w:t>
      </w:r>
      <w:r w:rsidRPr="00D67EDF">
        <w:t xml:space="preserve"> </w:t>
      </w:r>
      <w:r>
        <w:rPr>
          <w:b/>
          <w:i/>
          <w:sz w:val="20"/>
          <w:szCs w:val="20"/>
        </w:rPr>
        <w:t>‘n</w:t>
      </w:r>
      <w:r w:rsidRPr="00D67EDF">
        <w:rPr>
          <w:b/>
          <w:i/>
          <w:sz w:val="20"/>
          <w:szCs w:val="20"/>
        </w:rPr>
        <w:t>either more or less attractive (no change)</w:t>
      </w:r>
      <w:r>
        <w:rPr>
          <w:b/>
          <w:i/>
          <w:sz w:val="20"/>
          <w:szCs w:val="20"/>
        </w:rPr>
        <w:t>’;</w:t>
      </w:r>
      <w:r w:rsidRPr="00D67EDF">
        <w:rPr>
          <w:b/>
          <w:i/>
          <w:sz w:val="20"/>
          <w:szCs w:val="20"/>
        </w:rPr>
        <w:t> </w:t>
      </w:r>
      <w:r>
        <w:rPr>
          <w:b/>
          <w:i/>
          <w:sz w:val="20"/>
          <w:szCs w:val="20"/>
        </w:rPr>
        <w:t>and ‘unsure/do not wish to answer’)</w:t>
      </w:r>
    </w:p>
    <w:p w14:paraId="0EB8AA14" w14:textId="77777777" w:rsidR="00D67EDF" w:rsidRDefault="00D67EDF" w:rsidP="00D67EDF">
      <w:pPr>
        <w:spacing w:after="0" w:line="360" w:lineRule="auto"/>
        <w:jc w:val="both"/>
        <w:rPr>
          <w:sz w:val="20"/>
          <w:szCs w:val="20"/>
        </w:rPr>
        <w:sectPr w:rsidR="00D67EDF" w:rsidSect="00D64AB7">
          <w:type w:val="continuous"/>
          <w:pgSz w:w="11906" w:h="16838"/>
          <w:pgMar w:top="1440" w:right="1440" w:bottom="1440" w:left="1440" w:header="708" w:footer="708" w:gutter="0"/>
          <w:cols w:space="708"/>
          <w:docGrid w:linePitch="360"/>
        </w:sectPr>
      </w:pPr>
    </w:p>
    <w:p w14:paraId="4BB0F392" w14:textId="5A2313BA" w:rsidR="00D67EDF" w:rsidRDefault="00D67EDF" w:rsidP="00D67EDF">
      <w:pPr>
        <w:spacing w:after="0" w:line="360" w:lineRule="auto"/>
        <w:jc w:val="both"/>
        <w:rPr>
          <w:sz w:val="20"/>
          <w:szCs w:val="20"/>
        </w:rPr>
      </w:pPr>
      <w:r w:rsidRPr="00D67EDF">
        <w:rPr>
          <w:sz w:val="20"/>
          <w:szCs w:val="20"/>
        </w:rPr>
        <w:t>A more or less attractive place for EU students to come and study</w:t>
      </w:r>
    </w:p>
    <w:p w14:paraId="521E2B07" w14:textId="0F6E7383" w:rsidR="00D67EDF" w:rsidRDefault="00D67EDF" w:rsidP="00D67EDF">
      <w:pPr>
        <w:spacing w:after="0" w:line="360" w:lineRule="auto"/>
        <w:jc w:val="both"/>
        <w:rPr>
          <w:sz w:val="20"/>
          <w:szCs w:val="20"/>
        </w:rPr>
      </w:pPr>
      <w:r w:rsidRPr="00D67EDF">
        <w:rPr>
          <w:sz w:val="20"/>
          <w:szCs w:val="20"/>
        </w:rPr>
        <w:t>A more or less attractive place for Non-EU students to come and study</w:t>
      </w:r>
    </w:p>
    <w:p w14:paraId="1B522369" w14:textId="7697D835" w:rsidR="00D67EDF" w:rsidRDefault="00D67EDF" w:rsidP="00D67EDF">
      <w:pPr>
        <w:spacing w:after="0" w:line="360" w:lineRule="auto"/>
        <w:jc w:val="both"/>
        <w:rPr>
          <w:sz w:val="20"/>
          <w:szCs w:val="20"/>
        </w:rPr>
      </w:pPr>
      <w:r w:rsidRPr="00D67EDF">
        <w:rPr>
          <w:sz w:val="20"/>
          <w:szCs w:val="20"/>
        </w:rPr>
        <w:t>A more or less attractive place for EU lecturers and researchers to come and work</w:t>
      </w:r>
    </w:p>
    <w:p w14:paraId="3A4E5381" w14:textId="2F7C56DA" w:rsidR="00D67EDF" w:rsidRDefault="00D67EDF" w:rsidP="00D67EDF">
      <w:pPr>
        <w:spacing w:after="0" w:line="360" w:lineRule="auto"/>
        <w:jc w:val="both"/>
        <w:rPr>
          <w:sz w:val="20"/>
          <w:szCs w:val="20"/>
        </w:rPr>
      </w:pPr>
      <w:r w:rsidRPr="00D67EDF">
        <w:rPr>
          <w:sz w:val="20"/>
          <w:szCs w:val="20"/>
        </w:rPr>
        <w:t>A more or less attractive place for Non-EU lecturers and researchers to come and work</w:t>
      </w:r>
    </w:p>
    <w:p w14:paraId="000A6037" w14:textId="77777777" w:rsidR="00D67EDF" w:rsidRDefault="00D67EDF" w:rsidP="00584DD6">
      <w:pPr>
        <w:jc w:val="both"/>
        <w:rPr>
          <w:sz w:val="20"/>
          <w:szCs w:val="20"/>
        </w:rPr>
        <w:sectPr w:rsidR="00D67EDF" w:rsidSect="00D67EDF">
          <w:type w:val="continuous"/>
          <w:pgSz w:w="11906" w:h="16838"/>
          <w:pgMar w:top="1440" w:right="1440" w:bottom="1440" w:left="1440" w:header="708" w:footer="708" w:gutter="0"/>
          <w:cols w:num="2" w:space="708"/>
          <w:docGrid w:linePitch="360"/>
        </w:sectPr>
      </w:pPr>
    </w:p>
    <w:p w14:paraId="42567B30" w14:textId="77777777" w:rsidR="00D67EDF" w:rsidRDefault="00D67EDF" w:rsidP="00D67EDF">
      <w:pPr>
        <w:spacing w:after="0" w:line="360" w:lineRule="auto"/>
        <w:jc w:val="both"/>
        <w:rPr>
          <w:b/>
          <w:i/>
          <w:sz w:val="20"/>
          <w:szCs w:val="20"/>
        </w:rPr>
      </w:pPr>
    </w:p>
    <w:p w14:paraId="0734B711" w14:textId="703C7413" w:rsidR="00D67EDF" w:rsidRDefault="00D67EDF" w:rsidP="00D67EDF">
      <w:pPr>
        <w:spacing w:after="0" w:line="360" w:lineRule="auto"/>
        <w:jc w:val="both"/>
        <w:rPr>
          <w:b/>
          <w:i/>
          <w:sz w:val="20"/>
          <w:szCs w:val="20"/>
        </w:rPr>
      </w:pPr>
      <w:r>
        <w:rPr>
          <w:b/>
          <w:i/>
          <w:sz w:val="20"/>
          <w:szCs w:val="20"/>
        </w:rPr>
        <w:t xml:space="preserve">Question Nine: </w:t>
      </w:r>
      <w:r w:rsidRPr="00D67EDF">
        <w:rPr>
          <w:b/>
          <w:i/>
          <w:sz w:val="20"/>
          <w:szCs w:val="20"/>
        </w:rPr>
        <w:t xml:space="preserve">Based on your personal perceptions of the below statements, please indicate whether you strongly agree, agree, neither agree or disagree, disagree, or strongly disagree with the following statements (or do not know): </w:t>
      </w:r>
      <w:r>
        <w:rPr>
          <w:b/>
          <w:i/>
          <w:sz w:val="20"/>
          <w:szCs w:val="20"/>
        </w:rPr>
        <w:t>(Likert style)</w:t>
      </w:r>
    </w:p>
    <w:p w14:paraId="663FB72B" w14:textId="2295B9B2" w:rsidR="00D67EDF" w:rsidRDefault="00075736" w:rsidP="00D67EDF">
      <w:pPr>
        <w:spacing w:after="0" w:line="360" w:lineRule="auto"/>
        <w:jc w:val="both"/>
        <w:rPr>
          <w:sz w:val="20"/>
          <w:szCs w:val="20"/>
        </w:rPr>
      </w:pPr>
      <w:r w:rsidRPr="00075736">
        <w:rPr>
          <w:sz w:val="20"/>
          <w:szCs w:val="20"/>
        </w:rPr>
        <w:t>Brexit will have a positive impact on my employability upon graduation</w:t>
      </w:r>
    </w:p>
    <w:p w14:paraId="65019F2E" w14:textId="32307A88" w:rsidR="00075736" w:rsidRDefault="00075736" w:rsidP="00D67EDF">
      <w:pPr>
        <w:spacing w:after="0" w:line="360" w:lineRule="auto"/>
        <w:jc w:val="both"/>
        <w:rPr>
          <w:sz w:val="20"/>
          <w:szCs w:val="20"/>
        </w:rPr>
      </w:pPr>
      <w:r w:rsidRPr="00075736">
        <w:rPr>
          <w:sz w:val="20"/>
          <w:szCs w:val="20"/>
        </w:rPr>
        <w:t>Brexit will have a positive impact on my long term career prospects</w:t>
      </w:r>
    </w:p>
    <w:p w14:paraId="08D98C5A" w14:textId="3834BFD0" w:rsidR="00075736" w:rsidRDefault="00075736" w:rsidP="00D67EDF">
      <w:pPr>
        <w:spacing w:after="0" w:line="360" w:lineRule="auto"/>
        <w:jc w:val="both"/>
        <w:rPr>
          <w:sz w:val="20"/>
          <w:szCs w:val="20"/>
        </w:rPr>
      </w:pPr>
      <w:r w:rsidRPr="00075736">
        <w:rPr>
          <w:sz w:val="20"/>
          <w:szCs w:val="20"/>
        </w:rPr>
        <w:t>Brexit will promote economic prosperity for the UK</w:t>
      </w:r>
    </w:p>
    <w:p w14:paraId="5AAF5405" w14:textId="26B2B0A1" w:rsidR="00075736" w:rsidRDefault="00075736" w:rsidP="00D67EDF">
      <w:pPr>
        <w:spacing w:after="0" w:line="360" w:lineRule="auto"/>
        <w:jc w:val="both"/>
        <w:rPr>
          <w:sz w:val="20"/>
          <w:szCs w:val="20"/>
        </w:rPr>
      </w:pPr>
      <w:r w:rsidRPr="00075736">
        <w:rPr>
          <w:sz w:val="20"/>
          <w:szCs w:val="20"/>
        </w:rPr>
        <w:t>Brexit will have a positive effect on my University experience (University wide)</w:t>
      </w:r>
    </w:p>
    <w:p w14:paraId="302EC816" w14:textId="57DB6AEA" w:rsidR="00075736" w:rsidRDefault="00075736" w:rsidP="00D67EDF">
      <w:pPr>
        <w:spacing w:after="0" w:line="360" w:lineRule="auto"/>
        <w:jc w:val="both"/>
        <w:rPr>
          <w:sz w:val="20"/>
          <w:szCs w:val="20"/>
        </w:rPr>
      </w:pPr>
      <w:r w:rsidRPr="00075736">
        <w:rPr>
          <w:sz w:val="20"/>
          <w:szCs w:val="20"/>
        </w:rPr>
        <w:t>Brexit will have a positive effect on my legal education (Law School specific)</w:t>
      </w:r>
    </w:p>
    <w:p w14:paraId="17A16CA0" w14:textId="3617B2F1" w:rsidR="00075736" w:rsidRDefault="00075736" w:rsidP="00D67EDF">
      <w:pPr>
        <w:spacing w:after="0" w:line="360" w:lineRule="auto"/>
        <w:jc w:val="both"/>
        <w:rPr>
          <w:sz w:val="20"/>
          <w:szCs w:val="20"/>
        </w:rPr>
      </w:pPr>
      <w:r w:rsidRPr="00075736">
        <w:rPr>
          <w:sz w:val="20"/>
          <w:szCs w:val="20"/>
        </w:rPr>
        <w:t>Brexit will encourage me to study more areas of comparative law</w:t>
      </w:r>
    </w:p>
    <w:p w14:paraId="4638940E" w14:textId="4217B5A0" w:rsidR="00075736" w:rsidRDefault="00075736" w:rsidP="00D67EDF">
      <w:pPr>
        <w:spacing w:after="0" w:line="360" w:lineRule="auto"/>
        <w:jc w:val="both"/>
        <w:rPr>
          <w:sz w:val="20"/>
          <w:szCs w:val="20"/>
        </w:rPr>
      </w:pPr>
      <w:r w:rsidRPr="00075736">
        <w:rPr>
          <w:sz w:val="20"/>
          <w:szCs w:val="20"/>
        </w:rPr>
        <w:t>Brexit will encourage me to study more areas of European Union law</w:t>
      </w:r>
    </w:p>
    <w:p w14:paraId="229F9258" w14:textId="2EBC0304" w:rsidR="00075736" w:rsidRDefault="00075736" w:rsidP="00D67EDF">
      <w:pPr>
        <w:spacing w:after="0" w:line="360" w:lineRule="auto"/>
        <w:jc w:val="both"/>
        <w:rPr>
          <w:sz w:val="20"/>
          <w:szCs w:val="20"/>
        </w:rPr>
      </w:pPr>
      <w:r w:rsidRPr="00075736">
        <w:rPr>
          <w:sz w:val="20"/>
          <w:szCs w:val="20"/>
        </w:rPr>
        <w:t>Brexit will restrict my travel options outside the UK (general)</w:t>
      </w:r>
    </w:p>
    <w:p w14:paraId="7DCC70AA" w14:textId="151650AA" w:rsidR="00075736" w:rsidRDefault="00075736" w:rsidP="00D67EDF">
      <w:pPr>
        <w:spacing w:after="0" w:line="360" w:lineRule="auto"/>
        <w:jc w:val="both"/>
        <w:rPr>
          <w:sz w:val="20"/>
          <w:szCs w:val="20"/>
        </w:rPr>
      </w:pPr>
      <w:r w:rsidRPr="00075736">
        <w:rPr>
          <w:sz w:val="20"/>
          <w:szCs w:val="20"/>
        </w:rPr>
        <w:t>Brexit will restrict the number of overseas field trips I can participate in as part of my law degree</w:t>
      </w:r>
    </w:p>
    <w:p w14:paraId="14214FBE" w14:textId="0F0F4524" w:rsidR="00075736" w:rsidRDefault="00075736" w:rsidP="00D67EDF">
      <w:pPr>
        <w:spacing w:after="0" w:line="360" w:lineRule="auto"/>
        <w:jc w:val="both"/>
        <w:rPr>
          <w:sz w:val="20"/>
          <w:szCs w:val="20"/>
        </w:rPr>
      </w:pPr>
      <w:r w:rsidRPr="00075736">
        <w:rPr>
          <w:sz w:val="20"/>
          <w:szCs w:val="20"/>
        </w:rPr>
        <w:t>Brexit will limit my career prospects</w:t>
      </w:r>
    </w:p>
    <w:p w14:paraId="57DC285B" w14:textId="13E14174" w:rsidR="00075736" w:rsidRDefault="00075736" w:rsidP="00D67EDF">
      <w:pPr>
        <w:spacing w:after="0" w:line="360" w:lineRule="auto"/>
        <w:jc w:val="both"/>
        <w:rPr>
          <w:sz w:val="20"/>
          <w:szCs w:val="20"/>
        </w:rPr>
      </w:pPr>
      <w:r w:rsidRPr="00075736">
        <w:rPr>
          <w:sz w:val="20"/>
          <w:szCs w:val="20"/>
        </w:rPr>
        <w:t>Brexit will have negative consequences for economic prosperity in the UK</w:t>
      </w:r>
    </w:p>
    <w:p w14:paraId="4398C892" w14:textId="6C966A3E" w:rsidR="00075736" w:rsidRDefault="00075736" w:rsidP="00D67EDF">
      <w:pPr>
        <w:spacing w:after="0" w:line="360" w:lineRule="auto"/>
        <w:jc w:val="both"/>
        <w:rPr>
          <w:sz w:val="20"/>
          <w:szCs w:val="20"/>
        </w:rPr>
      </w:pPr>
      <w:r w:rsidRPr="00075736">
        <w:rPr>
          <w:sz w:val="20"/>
          <w:szCs w:val="20"/>
        </w:rPr>
        <w:t>Brexit will have a negative effect on my University experience</w:t>
      </w:r>
    </w:p>
    <w:p w14:paraId="49BA0FC0" w14:textId="52C7D92E" w:rsidR="00075736" w:rsidRPr="00D67EDF" w:rsidRDefault="00075736" w:rsidP="00D67EDF">
      <w:pPr>
        <w:spacing w:after="0" w:line="360" w:lineRule="auto"/>
        <w:jc w:val="both"/>
        <w:rPr>
          <w:sz w:val="20"/>
          <w:szCs w:val="20"/>
        </w:rPr>
      </w:pPr>
      <w:r w:rsidRPr="00075736">
        <w:rPr>
          <w:sz w:val="20"/>
          <w:szCs w:val="20"/>
        </w:rPr>
        <w:t>Brexit will have a negative effect on my legal education</w:t>
      </w:r>
    </w:p>
    <w:p w14:paraId="40552178" w14:textId="517FA6CF" w:rsidR="00D64AB7" w:rsidRDefault="00075736" w:rsidP="00584DD6">
      <w:pPr>
        <w:jc w:val="both"/>
        <w:rPr>
          <w:sz w:val="20"/>
          <w:szCs w:val="20"/>
        </w:rPr>
      </w:pPr>
      <w:r w:rsidRPr="00075736">
        <w:rPr>
          <w:sz w:val="20"/>
          <w:szCs w:val="20"/>
        </w:rPr>
        <w:t>Brexit will discourage me from studying more areas of comparative law</w:t>
      </w:r>
    </w:p>
    <w:p w14:paraId="292F2DCA" w14:textId="62A8317E" w:rsidR="00075736" w:rsidRDefault="00075736" w:rsidP="00584DD6">
      <w:pPr>
        <w:jc w:val="both"/>
        <w:rPr>
          <w:sz w:val="20"/>
          <w:szCs w:val="20"/>
        </w:rPr>
      </w:pPr>
      <w:r w:rsidRPr="00075736">
        <w:rPr>
          <w:sz w:val="20"/>
          <w:szCs w:val="20"/>
        </w:rPr>
        <w:t>Brexit will discourage me from studying more areas of European Union law</w:t>
      </w:r>
    </w:p>
    <w:p w14:paraId="697F8FE1" w14:textId="7637F9E3" w:rsidR="00075736" w:rsidRDefault="00075736" w:rsidP="00075736">
      <w:pPr>
        <w:jc w:val="both"/>
        <w:rPr>
          <w:b/>
          <w:i/>
          <w:sz w:val="20"/>
          <w:szCs w:val="20"/>
        </w:rPr>
      </w:pPr>
      <w:r>
        <w:rPr>
          <w:b/>
          <w:i/>
          <w:sz w:val="20"/>
          <w:szCs w:val="20"/>
        </w:rPr>
        <w:t>Question Ten:</w:t>
      </w:r>
      <w:r w:rsidRPr="00075736">
        <w:t xml:space="preserve"> </w:t>
      </w:r>
      <w:r w:rsidRPr="00075736">
        <w:rPr>
          <w:b/>
          <w:i/>
          <w:sz w:val="20"/>
          <w:szCs w:val="20"/>
        </w:rPr>
        <w:t>On a scale of 1 to 100 (1 being not worried at all, and 100 being very worried) how concerned are you about the effects of Brexit on your education?</w:t>
      </w:r>
      <w:r>
        <w:rPr>
          <w:b/>
          <w:i/>
          <w:sz w:val="20"/>
          <w:szCs w:val="20"/>
        </w:rPr>
        <w:t xml:space="preserve"> (Sliding scale style question)</w:t>
      </w:r>
    </w:p>
    <w:p w14:paraId="5C7A73E5" w14:textId="2C1AC191" w:rsidR="00075736" w:rsidRDefault="00075736" w:rsidP="00075736">
      <w:pPr>
        <w:jc w:val="both"/>
        <w:rPr>
          <w:b/>
          <w:i/>
          <w:sz w:val="20"/>
          <w:szCs w:val="20"/>
        </w:rPr>
      </w:pPr>
      <w:r>
        <w:rPr>
          <w:b/>
          <w:i/>
          <w:sz w:val="20"/>
          <w:szCs w:val="20"/>
        </w:rPr>
        <w:t xml:space="preserve">Question Eleven: </w:t>
      </w:r>
      <w:r w:rsidRPr="00075736">
        <w:rPr>
          <w:b/>
          <w:i/>
          <w:sz w:val="20"/>
          <w:szCs w:val="20"/>
        </w:rPr>
        <w:t>Please list (in priority order) what you feel the top three consequences of Brexit will be for legal education:</w:t>
      </w:r>
      <w:r>
        <w:rPr>
          <w:b/>
          <w:i/>
          <w:sz w:val="20"/>
          <w:szCs w:val="20"/>
        </w:rPr>
        <w:t xml:space="preserve"> (Open text boxes)</w:t>
      </w:r>
    </w:p>
    <w:p w14:paraId="7C3E3FFC" w14:textId="77777777" w:rsidR="00075736" w:rsidRDefault="00075736" w:rsidP="00075736">
      <w:pPr>
        <w:jc w:val="both"/>
        <w:rPr>
          <w:sz w:val="20"/>
          <w:szCs w:val="20"/>
        </w:rPr>
        <w:sectPr w:rsidR="00075736" w:rsidSect="00D64AB7">
          <w:type w:val="continuous"/>
          <w:pgSz w:w="11906" w:h="16838"/>
          <w:pgMar w:top="1440" w:right="1440" w:bottom="1440" w:left="1440" w:header="708" w:footer="708" w:gutter="0"/>
          <w:cols w:space="708"/>
          <w:docGrid w:linePitch="360"/>
        </w:sectPr>
      </w:pPr>
    </w:p>
    <w:p w14:paraId="1980993E" w14:textId="00DEBE7C" w:rsidR="00075736" w:rsidRDefault="00075736" w:rsidP="00075736">
      <w:pPr>
        <w:jc w:val="both"/>
        <w:rPr>
          <w:sz w:val="20"/>
          <w:szCs w:val="20"/>
        </w:rPr>
      </w:pPr>
      <w:r>
        <w:rPr>
          <w:sz w:val="20"/>
          <w:szCs w:val="20"/>
        </w:rPr>
        <w:t>1</w:t>
      </w:r>
    </w:p>
    <w:p w14:paraId="237FC2E3" w14:textId="42A9AA1B" w:rsidR="00075736" w:rsidRDefault="00075736" w:rsidP="00075736">
      <w:pPr>
        <w:jc w:val="both"/>
        <w:rPr>
          <w:sz w:val="20"/>
          <w:szCs w:val="20"/>
        </w:rPr>
      </w:pPr>
      <w:r>
        <w:rPr>
          <w:sz w:val="20"/>
          <w:szCs w:val="20"/>
        </w:rPr>
        <w:t>2</w:t>
      </w:r>
    </w:p>
    <w:p w14:paraId="01EFB5BD" w14:textId="29B630AE" w:rsidR="00075736" w:rsidRPr="00075736" w:rsidRDefault="00075736" w:rsidP="00075736">
      <w:pPr>
        <w:jc w:val="both"/>
        <w:rPr>
          <w:sz w:val="20"/>
          <w:szCs w:val="20"/>
        </w:rPr>
      </w:pPr>
      <w:r>
        <w:rPr>
          <w:sz w:val="20"/>
          <w:szCs w:val="20"/>
        </w:rPr>
        <w:t>3</w:t>
      </w:r>
    </w:p>
    <w:p w14:paraId="0556EED7" w14:textId="77777777" w:rsidR="00075736" w:rsidRDefault="00075736" w:rsidP="00584DD6">
      <w:pPr>
        <w:jc w:val="both"/>
        <w:rPr>
          <w:sz w:val="20"/>
          <w:szCs w:val="20"/>
        </w:rPr>
        <w:sectPr w:rsidR="00075736" w:rsidSect="00075736">
          <w:type w:val="continuous"/>
          <w:pgSz w:w="11906" w:h="16838"/>
          <w:pgMar w:top="1440" w:right="1440" w:bottom="1440" w:left="1440" w:header="708" w:footer="708" w:gutter="0"/>
          <w:cols w:num="3" w:space="708"/>
          <w:docGrid w:linePitch="360"/>
        </w:sectPr>
      </w:pPr>
    </w:p>
    <w:p w14:paraId="1AC6D57D" w14:textId="37E0AB7A" w:rsidR="00D64AB7" w:rsidRDefault="00075736" w:rsidP="00075736">
      <w:pPr>
        <w:jc w:val="both"/>
        <w:rPr>
          <w:sz w:val="20"/>
          <w:szCs w:val="20"/>
        </w:rPr>
      </w:pPr>
      <w:r>
        <w:rPr>
          <w:b/>
          <w:i/>
          <w:sz w:val="20"/>
          <w:szCs w:val="20"/>
        </w:rPr>
        <w:t xml:space="preserve">Question Twelve: </w:t>
      </w:r>
      <w:r w:rsidRPr="00075736">
        <w:rPr>
          <w:b/>
          <w:i/>
          <w:sz w:val="20"/>
          <w:szCs w:val="20"/>
        </w:rPr>
        <w:t>Any other comments you would like to make?</w:t>
      </w:r>
      <w:r>
        <w:rPr>
          <w:b/>
          <w:i/>
          <w:sz w:val="20"/>
          <w:szCs w:val="20"/>
        </w:rPr>
        <w:t xml:space="preserve"> (Open text box) </w:t>
      </w:r>
    </w:p>
    <w:p w14:paraId="4297147A" w14:textId="77777777" w:rsidR="00D64AB7" w:rsidRDefault="00D64AB7" w:rsidP="00584DD6">
      <w:pPr>
        <w:jc w:val="both"/>
        <w:rPr>
          <w:sz w:val="20"/>
          <w:szCs w:val="20"/>
        </w:rPr>
        <w:sectPr w:rsidR="00D64AB7" w:rsidSect="00D64AB7">
          <w:type w:val="continuous"/>
          <w:pgSz w:w="11906" w:h="16838"/>
          <w:pgMar w:top="1440" w:right="1440" w:bottom="1440" w:left="1440" w:header="708" w:footer="708" w:gutter="0"/>
          <w:cols w:space="708"/>
          <w:docGrid w:linePitch="360"/>
        </w:sectPr>
      </w:pPr>
    </w:p>
    <w:p w14:paraId="77FD2106" w14:textId="4C8E3319" w:rsidR="00D64AB7" w:rsidRPr="00D64AB7" w:rsidRDefault="00D64AB7" w:rsidP="00584DD6">
      <w:pPr>
        <w:jc w:val="both"/>
        <w:rPr>
          <w:sz w:val="20"/>
          <w:szCs w:val="20"/>
        </w:rPr>
      </w:pPr>
    </w:p>
    <w:sectPr w:rsidR="00D64AB7" w:rsidRPr="00D64AB7" w:rsidSect="00D64AB7">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A6AAB" w14:textId="77777777" w:rsidR="00E7092D" w:rsidRDefault="00E7092D" w:rsidP="001F01C9">
      <w:pPr>
        <w:spacing w:after="0" w:line="240" w:lineRule="auto"/>
      </w:pPr>
      <w:r>
        <w:separator/>
      </w:r>
    </w:p>
  </w:endnote>
  <w:endnote w:type="continuationSeparator" w:id="0">
    <w:p w14:paraId="007E9BA9" w14:textId="77777777" w:rsidR="00E7092D" w:rsidRDefault="00E7092D" w:rsidP="001F0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8689C" w14:textId="77777777" w:rsidR="00E7092D" w:rsidRDefault="00E7092D" w:rsidP="001F01C9">
      <w:pPr>
        <w:spacing w:after="0" w:line="240" w:lineRule="auto"/>
      </w:pPr>
      <w:r>
        <w:separator/>
      </w:r>
    </w:p>
  </w:footnote>
  <w:footnote w:type="continuationSeparator" w:id="0">
    <w:p w14:paraId="7E1A23D5" w14:textId="77777777" w:rsidR="00E7092D" w:rsidRDefault="00E7092D" w:rsidP="001F01C9">
      <w:pPr>
        <w:spacing w:after="0" w:line="240" w:lineRule="auto"/>
      </w:pPr>
      <w:r>
        <w:continuationSeparator/>
      </w:r>
    </w:p>
  </w:footnote>
  <w:footnote w:id="1">
    <w:p w14:paraId="1A3032C6" w14:textId="480857FF" w:rsidR="00364EEA" w:rsidRDefault="00364EEA" w:rsidP="003B0C5B">
      <w:pPr>
        <w:pStyle w:val="FootnoteText"/>
        <w:jc w:val="both"/>
      </w:pPr>
      <w:r>
        <w:rPr>
          <w:rStyle w:val="FootnoteReference"/>
        </w:rPr>
        <w:footnoteRef/>
      </w:r>
      <w:r w:rsidR="00CA21B1">
        <w:t xml:space="preserve"> The authors are respectively:</w:t>
      </w:r>
      <w:r>
        <w:t xml:space="preserve"> Lecturer in Constitutional and Administrative Law; Professor</w:t>
      </w:r>
      <w:r w:rsidR="00CA21B1">
        <w:t xml:space="preserve"> in Commercial Law</w:t>
      </w:r>
      <w:r>
        <w:t xml:space="preserve"> and Head of </w:t>
      </w:r>
      <w:r w:rsidR="00CA21B1">
        <w:t xml:space="preserve">Law </w:t>
      </w:r>
      <w:r>
        <w:t>School; and Lecture</w:t>
      </w:r>
      <w:r w:rsidR="00CA21B1">
        <w:t>r in Innovation and Procurement,</w:t>
      </w:r>
      <w:r>
        <w:t xml:space="preserve"> all of Bangor Law School, Bangor University, </w:t>
      </w:r>
      <w:proofErr w:type="gramStart"/>
      <w:r>
        <w:t>UK</w:t>
      </w:r>
      <w:proofErr w:type="gramEnd"/>
      <w:r>
        <w:t>. The authors express their gratitude to Hywel Williams, Memb</w:t>
      </w:r>
      <w:r w:rsidR="00CA21B1">
        <w:t xml:space="preserve">er of Parliament for </w:t>
      </w:r>
      <w:proofErr w:type="spellStart"/>
      <w:r w:rsidR="00CA21B1">
        <w:t>Arfon</w:t>
      </w:r>
      <w:proofErr w:type="spellEnd"/>
      <w:r w:rsidR="00CA21B1">
        <w:t xml:space="preserve"> and M</w:t>
      </w:r>
      <w:r>
        <w:t xml:space="preserve">ember of the House Commons’ Select Committee on Exiting the European Union; for his comments on this research project. Thanks also to Plaid Cymru’s parliamentary staff, including Rhian Medi-Roberts, Office Manager at the House of Commons, for her ideas which led to this research project; and </w:t>
      </w:r>
      <w:proofErr w:type="spellStart"/>
      <w:r>
        <w:t>Heledd</w:t>
      </w:r>
      <w:proofErr w:type="spellEnd"/>
      <w:r>
        <w:t xml:space="preserve"> Brooks-Jones, Policy Adviser, for her support. The views expressed within this paper, as well as any err</w:t>
      </w:r>
      <w:r w:rsidR="00CA21B1">
        <w:t>ors, are attributable to the</w:t>
      </w:r>
      <w:r>
        <w:t xml:space="preserve"> authors alone. </w:t>
      </w:r>
    </w:p>
  </w:footnote>
  <w:footnote w:id="2">
    <w:p w14:paraId="41EFF463" w14:textId="6E54931D" w:rsidR="00364EEA" w:rsidRDefault="00364EEA" w:rsidP="00B43161">
      <w:pPr>
        <w:pStyle w:val="FootnoteText"/>
      </w:pPr>
      <w:r>
        <w:rPr>
          <w:rStyle w:val="FootnoteReference"/>
        </w:rPr>
        <w:footnoteRef/>
      </w:r>
      <w:r>
        <w:t xml:space="preserve"> Specially the Universities of Aberystwyth, Bangor, Cardiff, Swansea and South Wales. </w:t>
      </w:r>
      <w:bookmarkStart w:id="0" w:name="_Hlk525818118"/>
      <w:r w:rsidR="00CA21B1">
        <w:t xml:space="preserve">The survey response </w:t>
      </w:r>
      <w:r>
        <w:t xml:space="preserve">of 336 students is estimated to represent 23% of the total number of law students studying in Wales, demonstrating the significance of this investigation. </w:t>
      </w:r>
    </w:p>
    <w:bookmarkEnd w:id="0"/>
  </w:footnote>
  <w:footnote w:id="3">
    <w:p w14:paraId="68D8DA47" w14:textId="6B0CC91F" w:rsidR="00364EEA" w:rsidRDefault="00364EEA" w:rsidP="00460329">
      <w:pPr>
        <w:pStyle w:val="FootnoteText"/>
        <w:jc w:val="both"/>
      </w:pPr>
      <w:r>
        <w:rPr>
          <w:rStyle w:val="FootnoteReference"/>
        </w:rPr>
        <w:footnoteRef/>
      </w:r>
      <w:r>
        <w:t xml:space="preserve"> Throughout this paper reference is made to </w:t>
      </w:r>
      <w:r w:rsidR="00CA21B1">
        <w:t>“</w:t>
      </w:r>
      <w:r>
        <w:t>EU students and lecturers</w:t>
      </w:r>
      <w:r w:rsidR="00CA21B1">
        <w:t>”</w:t>
      </w:r>
      <w:r>
        <w:t xml:space="preserve"> as being all other EU nationals (excluding the UK)</w:t>
      </w:r>
      <w:r w:rsidR="00EF1CE1">
        <w:t xml:space="preserve">; the term </w:t>
      </w:r>
      <w:r w:rsidR="00CA21B1">
        <w:t>“</w:t>
      </w:r>
      <w:r w:rsidR="00EF1CE1">
        <w:t>international students and lecturers</w:t>
      </w:r>
      <w:r w:rsidR="00CA21B1">
        <w:t>”</w:t>
      </w:r>
      <w:r w:rsidR="00EF1CE1">
        <w:t xml:space="preserve"> is used to denote all other non-EU nationals; the term </w:t>
      </w:r>
      <w:r w:rsidR="00CA21B1">
        <w:t>“</w:t>
      </w:r>
      <w:r w:rsidR="00EF1CE1">
        <w:t>overseas students and lecturers</w:t>
      </w:r>
      <w:r w:rsidR="00CA21B1">
        <w:t>”</w:t>
      </w:r>
      <w:r w:rsidR="00EF1CE1">
        <w:t xml:space="preserve"> is used to refer collectively to both EU nationals</w:t>
      </w:r>
      <w:r w:rsidR="00CA21B1">
        <w:t xml:space="preserve"> (other than the UK)</w:t>
      </w:r>
      <w:r w:rsidR="00EF1CE1">
        <w:t xml:space="preserve"> and </w:t>
      </w:r>
      <w:r w:rsidR="00CA21B1">
        <w:t xml:space="preserve">all </w:t>
      </w:r>
      <w:r w:rsidR="00EF1CE1">
        <w:t>other internationals citizens</w:t>
      </w:r>
      <w:r w:rsidR="00CA21B1">
        <w:t xml:space="preserve"> (i.e. non-EU)</w:t>
      </w:r>
      <w:r>
        <w:t>. All figures in this paper are rounded up to the closest whole percent.</w:t>
      </w:r>
    </w:p>
  </w:footnote>
  <w:footnote w:id="4">
    <w:p w14:paraId="3EE2BE0F" w14:textId="7383D540" w:rsidR="00364EEA" w:rsidRDefault="00364EEA">
      <w:pPr>
        <w:pStyle w:val="FootnoteText"/>
      </w:pPr>
      <w:r>
        <w:rPr>
          <w:rStyle w:val="FootnoteReference"/>
        </w:rPr>
        <w:footnoteRef/>
      </w:r>
      <w:r>
        <w:t xml:space="preserve"> T Robinson (</w:t>
      </w:r>
      <w:proofErr w:type="gramStart"/>
      <w:r>
        <w:t>ed</w:t>
      </w:r>
      <w:proofErr w:type="gramEnd"/>
      <w:r>
        <w:t>) ‘Brexit Reading List: Legal and Constitutional Issues’ (House of Commons Briefing Paper 7702 20 December 2017); for commentary</w:t>
      </w:r>
      <w:r w:rsidR="00CA21B1">
        <w:t>,</w:t>
      </w:r>
      <w:r>
        <w:t xml:space="preserve"> see F </w:t>
      </w:r>
      <w:proofErr w:type="spellStart"/>
      <w:r>
        <w:t>Fabbrini</w:t>
      </w:r>
      <w:proofErr w:type="spellEnd"/>
      <w:r>
        <w:t xml:space="preserve"> (</w:t>
      </w:r>
      <w:proofErr w:type="spellStart"/>
      <w:r>
        <w:t>ed</w:t>
      </w:r>
      <w:proofErr w:type="spellEnd"/>
      <w:r>
        <w:t xml:space="preserve">), </w:t>
      </w:r>
      <w:r>
        <w:rPr>
          <w:i/>
        </w:rPr>
        <w:t xml:space="preserve">The Law and Politics of Brexit </w:t>
      </w:r>
      <w:r>
        <w:t>(OUP</w:t>
      </w:r>
      <w:r w:rsidR="00CA21B1">
        <w:t>,</w:t>
      </w:r>
      <w:r>
        <w:t xml:space="preserve"> 2017).   </w:t>
      </w:r>
    </w:p>
  </w:footnote>
  <w:footnote w:id="5">
    <w:p w14:paraId="702EDF41" w14:textId="489DD5A0" w:rsidR="00364EEA" w:rsidRDefault="00364EEA" w:rsidP="0029523C">
      <w:pPr>
        <w:pStyle w:val="FootnoteText"/>
      </w:pPr>
      <w:r>
        <w:rPr>
          <w:rStyle w:val="FootnoteReference"/>
        </w:rPr>
        <w:footnoteRef/>
      </w:r>
      <w:r>
        <w:t xml:space="preserve"> The Legal Education Foundation, “Guidance – Brexit” (The LEF, 2017) available online at: &lt;</w:t>
      </w:r>
      <w:r w:rsidRPr="00FC745E">
        <w:t>https://www.thelegaleducationfoundation.org/guidance-brexit</w:t>
      </w:r>
      <w:r>
        <w:t>&gt; accessed 28</w:t>
      </w:r>
      <w:r w:rsidRPr="00FF0BDE">
        <w:rPr>
          <w:vertAlign w:val="superscript"/>
        </w:rPr>
        <w:t>th</w:t>
      </w:r>
      <w:r>
        <w:t xml:space="preserve"> May 2018.</w:t>
      </w:r>
    </w:p>
  </w:footnote>
  <w:footnote w:id="6">
    <w:p w14:paraId="4528CF1C" w14:textId="40723574" w:rsidR="00364EEA" w:rsidRDefault="00364EEA" w:rsidP="00936BDB">
      <w:pPr>
        <w:pStyle w:val="FootnoteText"/>
      </w:pPr>
      <w:r>
        <w:rPr>
          <w:rStyle w:val="FootnoteReference"/>
        </w:rPr>
        <w:footnoteRef/>
      </w:r>
      <w:r>
        <w:t xml:space="preserve"> For </w:t>
      </w:r>
      <w:r w:rsidR="00CA21B1">
        <w:t xml:space="preserve">a </w:t>
      </w:r>
      <w:r>
        <w:t>list of just some funded projects, including those by Liberty; Unlock Democracy; the Public Law Project and Amnesty International, see the Legal Education Foundation, ‘Funded Projects: Implications of Brexit’ (The LEF, 2018) available online at: &lt;</w:t>
      </w:r>
      <w:r w:rsidRPr="00142303">
        <w:t>https://www.thelegaleducationfoundation.org/category/grants/f-implications-of-brexit</w:t>
      </w:r>
      <w:r>
        <w:t>&gt; accessed 28</w:t>
      </w:r>
      <w:r w:rsidRPr="00FF0BDE">
        <w:rPr>
          <w:vertAlign w:val="superscript"/>
        </w:rPr>
        <w:t>th</w:t>
      </w:r>
      <w:r>
        <w:t xml:space="preserve"> May 2018. </w:t>
      </w:r>
    </w:p>
  </w:footnote>
  <w:footnote w:id="7">
    <w:p w14:paraId="58039AD4" w14:textId="094D1E6C" w:rsidR="00364EEA" w:rsidRDefault="00364EEA" w:rsidP="00936BDB">
      <w:pPr>
        <w:pStyle w:val="FootnoteText"/>
      </w:pPr>
      <w:r>
        <w:rPr>
          <w:rStyle w:val="FootnoteReference"/>
        </w:rPr>
        <w:footnoteRef/>
      </w:r>
      <w:r>
        <w:t xml:space="preserve"> For example, see Government Legal Services, ‘Lawyer Vacancies in the Welsh Government’ (Gov.Uk 16 January 2018) available online at: &lt;</w:t>
      </w:r>
      <w:r w:rsidRPr="00142303">
        <w:t xml:space="preserve"> https://www.gov.uk/guidance/lawyer-vacancies-in-the-welsh-government--2</w:t>
      </w:r>
      <w:r>
        <w:t>&gt; accessed 28</w:t>
      </w:r>
      <w:r w:rsidRPr="00FF0BDE">
        <w:rPr>
          <w:vertAlign w:val="superscript"/>
        </w:rPr>
        <w:t>th</w:t>
      </w:r>
      <w:r>
        <w:t xml:space="preserve"> May 2018. </w:t>
      </w:r>
    </w:p>
  </w:footnote>
  <w:footnote w:id="8">
    <w:p w14:paraId="1D579A4C" w14:textId="6D09E6CB" w:rsidR="00364EEA" w:rsidRDefault="00364EEA" w:rsidP="00936BDB">
      <w:pPr>
        <w:pStyle w:val="FootnoteText"/>
      </w:pPr>
      <w:r>
        <w:rPr>
          <w:rStyle w:val="FootnoteReference"/>
        </w:rPr>
        <w:footnoteRef/>
      </w:r>
      <w:r>
        <w:t xml:space="preserve"> For example, see: Welsh Government, ‘Vacancy—Up to 10 Brexit Interns’ (Welsh Government Current Vacancies, 2018) available online at: &lt;</w:t>
      </w:r>
      <w:r w:rsidRPr="00142303">
        <w:t>https://cymru-wales.tal.net/vx/lang-en-GB/mobile-0/appcentre-1/brand-2/xf-3875bf6c3b74/candidate/so/pm/1/pl/6/opp/4357-Up-to-10-Brexit-Interns/en-GB</w:t>
      </w:r>
      <w:r>
        <w:t>&gt; accessed 28</w:t>
      </w:r>
      <w:r w:rsidRPr="00FF0BDE">
        <w:rPr>
          <w:vertAlign w:val="superscript"/>
        </w:rPr>
        <w:t>th</w:t>
      </w:r>
      <w:r>
        <w:t xml:space="preserve"> May 2018. </w:t>
      </w:r>
    </w:p>
  </w:footnote>
  <w:footnote w:id="9">
    <w:p w14:paraId="77E12B14" w14:textId="14312DA7" w:rsidR="00364EEA" w:rsidRDefault="00364EEA">
      <w:pPr>
        <w:pStyle w:val="FootnoteText"/>
      </w:pPr>
      <w:r>
        <w:rPr>
          <w:rStyle w:val="FootnoteReference"/>
        </w:rPr>
        <w:footnoteRef/>
      </w:r>
      <w:r>
        <w:t xml:space="preserve"> On the 23</w:t>
      </w:r>
      <w:r w:rsidRPr="00B2411D">
        <w:rPr>
          <w:vertAlign w:val="superscript"/>
        </w:rPr>
        <w:t>rd</w:t>
      </w:r>
      <w:r>
        <w:t xml:space="preserve"> August 2018, in a joint report by the UK Government and European Union, it was stated that ‘following withdrawal from the Union, the UK will continue to participate in the Union programmes financed by the Multiannual Financial Framework (MFF) 2014-202 until their closure.’ As Erasmus+ is one such programme, under the current terms of the Withdrawal Agreement at Stage 1, UK organisations will be able to continue to participate in the Erasmus+ programme until its conclusion. Whilst such does provide some clarification as to the arrangements in the interim, such does not provide long term clarity as to the status of EU students wishing to study within the UK in the long-term (post 2020). For report see: ‘Joint Report from the Negotiators of the European Union and the United Kingdom Government: On Progress During Phase 1 of Negotiations’ (Gov.uk 8 December 2017) available online at: &lt;</w:t>
      </w:r>
      <w:r w:rsidRPr="003222E0">
        <w:t>https://assets.publishing.service.gov.uk/government/uploads/system/uploads/attachment_data/file/665869/Joint_report_on_progress_during_phase_1_of_negotiations_under_Article_50_TEU_on_the_United_Kingdom_s_orderly_withdrawal_from_the_European_Union.pdf</w:t>
      </w:r>
      <w:r>
        <w:t>&gt; accessed 20</w:t>
      </w:r>
      <w:r w:rsidRPr="003222E0">
        <w:rPr>
          <w:vertAlign w:val="superscript"/>
        </w:rPr>
        <w:t>th</w:t>
      </w:r>
      <w:r>
        <w:t xml:space="preserve"> September 2018. </w:t>
      </w:r>
    </w:p>
  </w:footnote>
  <w:footnote w:id="10">
    <w:p w14:paraId="2C85A636" w14:textId="127F008B" w:rsidR="00364EEA" w:rsidRDefault="00364EEA">
      <w:pPr>
        <w:pStyle w:val="FootnoteText"/>
      </w:pPr>
      <w:r>
        <w:rPr>
          <w:rStyle w:val="FootnoteReference"/>
        </w:rPr>
        <w:footnoteRef/>
      </w:r>
      <w:r>
        <w:t xml:space="preserve"> See part: 1.1 Mapping the Contribution of Non-UK Students to the UK and Wales.</w:t>
      </w:r>
    </w:p>
  </w:footnote>
  <w:footnote w:id="11">
    <w:p w14:paraId="24C7C668" w14:textId="47088DDF" w:rsidR="00364EEA" w:rsidRDefault="00364EEA">
      <w:pPr>
        <w:pStyle w:val="FootnoteText"/>
      </w:pPr>
      <w:r>
        <w:rPr>
          <w:rStyle w:val="FootnoteReference"/>
        </w:rPr>
        <w:footnoteRef/>
      </w:r>
      <w:r>
        <w:t xml:space="preserve"> A valuable contribution comes from the ‘</w:t>
      </w:r>
      <w:r w:rsidRPr="00ED3368">
        <w:t>Brexit and the Law School</w:t>
      </w:r>
      <w:r>
        <w:t xml:space="preserve">’ </w:t>
      </w:r>
      <w:r w:rsidRPr="00ED3368">
        <w:t>project, funded by the Society of Legal Scholars (SLS), especially the workshop held in Liverpool Law School in June 2017</w:t>
      </w:r>
      <w:r>
        <w:t xml:space="preserve"> </w:t>
      </w:r>
      <w:r w:rsidRPr="00ED3368">
        <w:t>&lt;www.legalscholars.ac.uk/brexit-law-school-seminars/&gt;</w:t>
      </w:r>
      <w:r>
        <w:t xml:space="preserve"> accessed 28</w:t>
      </w:r>
      <w:r w:rsidRPr="00FF0BDE">
        <w:rPr>
          <w:vertAlign w:val="superscript"/>
        </w:rPr>
        <w:t>th</w:t>
      </w:r>
      <w:r>
        <w:t xml:space="preserve"> May 2018</w:t>
      </w:r>
      <w:r w:rsidRPr="00ED3368">
        <w:t>.</w:t>
      </w:r>
      <w:r>
        <w:t xml:space="preserve"> See also J </w:t>
      </w:r>
      <w:proofErr w:type="spellStart"/>
      <w:r>
        <w:t>Guth</w:t>
      </w:r>
      <w:proofErr w:type="spellEnd"/>
      <w:r>
        <w:t xml:space="preserve"> and T Hervey, ‘Threats to internationalised legal education in the twenty-first century UK’ (2018) 53 The Law Teacher 1; where it is argued that whilst law is often assumed to be jurisdiction specific, there are significant reasons to internationalise legal education, but that in the current climate of Brexit and marketisation of higher education, internationalisation is under threat.</w:t>
      </w:r>
    </w:p>
  </w:footnote>
  <w:footnote w:id="12">
    <w:p w14:paraId="363C9521" w14:textId="11E0B895" w:rsidR="00364EEA" w:rsidRDefault="00364EEA">
      <w:pPr>
        <w:pStyle w:val="FootnoteText"/>
      </w:pPr>
      <w:r>
        <w:rPr>
          <w:rStyle w:val="FootnoteReference"/>
        </w:rPr>
        <w:footnoteRef/>
      </w:r>
      <w:r>
        <w:t xml:space="preserve"> See 1.1 Mapping the Contribution of Non-UK Student to the UK and Wales for statistical analysis of the number of non-UK students in Wales.</w:t>
      </w:r>
    </w:p>
  </w:footnote>
  <w:footnote w:id="13">
    <w:p w14:paraId="3AE12EAA" w14:textId="1C3848EF" w:rsidR="00364EEA" w:rsidRDefault="00364EEA">
      <w:pPr>
        <w:pStyle w:val="FootnoteText"/>
      </w:pPr>
      <w:r>
        <w:rPr>
          <w:rStyle w:val="FootnoteReference"/>
        </w:rPr>
        <w:footnoteRef/>
      </w:r>
      <w:r>
        <w:t xml:space="preserve"> It is recognised that scholarship within this field is likely to increase in future months. Particularly the Institute of Advanced Legal Studies’ ‘Brexit and the Law School’ event. See: &lt;</w:t>
      </w:r>
      <w:r w:rsidRPr="00236C00">
        <w:t>https://ials.sas.ac.uk/events/event/17251</w:t>
      </w:r>
      <w:r>
        <w:t>&gt; accessed 4</w:t>
      </w:r>
      <w:r w:rsidRPr="00236C00">
        <w:rPr>
          <w:vertAlign w:val="superscript"/>
        </w:rPr>
        <w:t>th</w:t>
      </w:r>
      <w:r>
        <w:t xml:space="preserve"> October 2018. As well as via the commissioned special issue of The Law Teacher, co-edited by Tamara Hervey and Chloe Wallace (with a predicted publication date in March 2019 (currently ‘Exit Day’ and the start of the ‘transition period’). However, whilst papers focus on Scotland and Northern Ireland as case studies, there does not currently appear to be a contribution which focuses specifically on Wales within this series. </w:t>
      </w:r>
    </w:p>
  </w:footnote>
  <w:footnote w:id="14">
    <w:p w14:paraId="07299A45" w14:textId="675D20AC" w:rsidR="00C57F2D" w:rsidRDefault="00C57F2D">
      <w:pPr>
        <w:pStyle w:val="FootnoteText"/>
      </w:pPr>
      <w:r>
        <w:rPr>
          <w:rStyle w:val="FootnoteReference"/>
        </w:rPr>
        <w:footnoteRef/>
      </w:r>
      <w:r>
        <w:t xml:space="preserve"> A copy of the full survey can be found in the Appendix.</w:t>
      </w:r>
    </w:p>
  </w:footnote>
  <w:footnote w:id="15">
    <w:p w14:paraId="2FF1F3F6" w14:textId="71565525" w:rsidR="00364EEA" w:rsidRPr="002540FF" w:rsidRDefault="00364EEA">
      <w:pPr>
        <w:pStyle w:val="FootnoteText"/>
      </w:pPr>
      <w:r>
        <w:rPr>
          <w:rStyle w:val="FootnoteReference"/>
        </w:rPr>
        <w:footnoteRef/>
      </w:r>
      <w:r>
        <w:t xml:space="preserve"> For commentary see: V </w:t>
      </w:r>
      <w:proofErr w:type="spellStart"/>
      <w:r>
        <w:t>Bogdanor</w:t>
      </w:r>
      <w:proofErr w:type="spellEnd"/>
      <w:r>
        <w:t xml:space="preserve">, </w:t>
      </w:r>
      <w:r>
        <w:rPr>
          <w:i/>
        </w:rPr>
        <w:t xml:space="preserve">Devolution in the United Kingdom </w:t>
      </w:r>
      <w:r>
        <w:t>(OUP 2001).</w:t>
      </w:r>
    </w:p>
  </w:footnote>
  <w:footnote w:id="16">
    <w:p w14:paraId="641B3D5B" w14:textId="21EC8DB5" w:rsidR="00364EEA" w:rsidRDefault="00364EEA">
      <w:pPr>
        <w:pStyle w:val="FootnoteText"/>
      </w:pPr>
      <w:r>
        <w:rPr>
          <w:rStyle w:val="FootnoteReference"/>
        </w:rPr>
        <w:footnoteRef/>
      </w:r>
      <w:r>
        <w:t xml:space="preserve"> However following the Wales Act 2017, and a significant improvement in devolved powers to Wales, there is evidence to suggest that there will be greater regulatory divergence in the future, raising further complexities surrounding a separate Welsh jurisdiction. See further: R Percival, ‘How to do things with jurisdiction: Wales and the jurisdiction question’ (2017) PL 249. </w:t>
      </w:r>
    </w:p>
  </w:footnote>
  <w:footnote w:id="17">
    <w:p w14:paraId="7BE6818C" w14:textId="37EA31D0" w:rsidR="00364EEA" w:rsidRDefault="00364EEA">
      <w:pPr>
        <w:pStyle w:val="FootnoteText"/>
      </w:pPr>
      <w:r>
        <w:rPr>
          <w:rStyle w:val="FootnoteReference"/>
        </w:rPr>
        <w:footnoteRef/>
      </w:r>
      <w:r>
        <w:t xml:space="preserve"> This dichotomy between being both Welsh, in meeting local and national needs, alongside being international, can also be reflected within the responses to Wales’ newly formed Commission on Justice in Wales’ consultation on legal education. See: The Commission on Justice in Wales, ‘Responses to our call for evidence’ (Wales.Gov 2018) available online at: &lt;</w:t>
      </w:r>
      <w:r w:rsidRPr="005438A0">
        <w:t>https://beta.gov.wales/commission-justice-wales</w:t>
      </w:r>
      <w:r>
        <w:t>&gt; accessed 4</w:t>
      </w:r>
      <w:r w:rsidRPr="005438A0">
        <w:rPr>
          <w:vertAlign w:val="superscript"/>
        </w:rPr>
        <w:t>th</w:t>
      </w:r>
      <w:r>
        <w:t xml:space="preserve"> October 2018. </w:t>
      </w:r>
    </w:p>
  </w:footnote>
  <w:footnote w:id="18">
    <w:p w14:paraId="19F25614" w14:textId="4F385CD8" w:rsidR="00364EEA" w:rsidRDefault="00364EEA">
      <w:pPr>
        <w:pStyle w:val="FootnoteText"/>
      </w:pPr>
      <w:r>
        <w:rPr>
          <w:rStyle w:val="FootnoteReference"/>
        </w:rPr>
        <w:footnoteRef/>
      </w:r>
      <w:r>
        <w:t xml:space="preserve"> For </w:t>
      </w:r>
      <w:r w:rsidR="00072422">
        <w:t xml:space="preserve">a </w:t>
      </w:r>
      <w:r>
        <w:t xml:space="preserve">historical overview see: GP Davies, </w:t>
      </w:r>
      <w:proofErr w:type="spellStart"/>
      <w:r w:rsidRPr="005438A0">
        <w:rPr>
          <w:i/>
        </w:rPr>
        <w:t>Cynhaeaf</w:t>
      </w:r>
      <w:proofErr w:type="spellEnd"/>
      <w:r w:rsidRPr="005438A0">
        <w:rPr>
          <w:i/>
        </w:rPr>
        <w:t xml:space="preserve"> </w:t>
      </w:r>
      <w:proofErr w:type="spellStart"/>
      <w:r w:rsidRPr="005438A0">
        <w:rPr>
          <w:i/>
        </w:rPr>
        <w:t>Hanner</w:t>
      </w:r>
      <w:proofErr w:type="spellEnd"/>
      <w:r w:rsidRPr="005438A0">
        <w:rPr>
          <w:i/>
        </w:rPr>
        <w:t xml:space="preserve"> </w:t>
      </w:r>
      <w:proofErr w:type="spellStart"/>
      <w:r w:rsidRPr="005438A0">
        <w:rPr>
          <w:i/>
        </w:rPr>
        <w:t>Canrif</w:t>
      </w:r>
      <w:proofErr w:type="spellEnd"/>
      <w:r w:rsidRPr="005438A0">
        <w:rPr>
          <w:i/>
        </w:rPr>
        <w:t xml:space="preserve">: </w:t>
      </w:r>
      <w:proofErr w:type="spellStart"/>
      <w:r w:rsidRPr="005438A0">
        <w:rPr>
          <w:i/>
        </w:rPr>
        <w:t>Gwleidyddiaeth</w:t>
      </w:r>
      <w:proofErr w:type="spellEnd"/>
      <w:r w:rsidRPr="005438A0">
        <w:rPr>
          <w:i/>
        </w:rPr>
        <w:t xml:space="preserve"> </w:t>
      </w:r>
      <w:proofErr w:type="spellStart"/>
      <w:r w:rsidRPr="005438A0">
        <w:rPr>
          <w:i/>
        </w:rPr>
        <w:t>Gymreig</w:t>
      </w:r>
      <w:proofErr w:type="spellEnd"/>
      <w:r w:rsidRPr="005438A0">
        <w:rPr>
          <w:i/>
        </w:rPr>
        <w:t xml:space="preserve"> 1945-2005</w:t>
      </w:r>
      <w:r>
        <w:t xml:space="preserve"> (</w:t>
      </w:r>
      <w:proofErr w:type="spellStart"/>
      <w:r>
        <w:t>Llandysul</w:t>
      </w:r>
      <w:proofErr w:type="spellEnd"/>
      <w:r>
        <w:t xml:space="preserve">: </w:t>
      </w:r>
      <w:proofErr w:type="spellStart"/>
      <w:r>
        <w:t>Gomer</w:t>
      </w:r>
      <w:proofErr w:type="spellEnd"/>
      <w:r>
        <w:t xml:space="preserve"> 2008); A Edwards</w:t>
      </w:r>
      <w:r w:rsidRPr="00C72FB2">
        <w:t xml:space="preserve"> and </w:t>
      </w:r>
      <w:r>
        <w:t>D Tanner, ‘Defining or Dividing the Nation? Opinion Polls, Welsh I</w:t>
      </w:r>
      <w:r w:rsidRPr="00C72FB2">
        <w:t>de</w:t>
      </w:r>
      <w:r>
        <w:t xml:space="preserve">ntity and Devolution, 1966-1979’ (2006) 18 </w:t>
      </w:r>
      <w:r w:rsidRPr="006D36A1">
        <w:t>Contemporary Wales</w:t>
      </w:r>
      <w:r>
        <w:t xml:space="preserve"> 54; D Torrance, ‘A process, not an event: Devolution in Wales, 1998-2018’ (House of Commons Library, Briefing Paper Number 08318, 11 July 2018)</w:t>
      </w:r>
    </w:p>
  </w:footnote>
  <w:footnote w:id="19">
    <w:p w14:paraId="59C86784" w14:textId="77777777" w:rsidR="00364EEA" w:rsidRPr="00F82E27" w:rsidRDefault="00364EEA" w:rsidP="00D47457">
      <w:pPr>
        <w:pStyle w:val="FootnoteText"/>
      </w:pPr>
      <w:r>
        <w:rPr>
          <w:rStyle w:val="FootnoteReference"/>
        </w:rPr>
        <w:footnoteRef/>
      </w:r>
      <w:r>
        <w:t xml:space="preserve"> TG Watkin, </w:t>
      </w:r>
      <w:r>
        <w:rPr>
          <w:i/>
        </w:rPr>
        <w:t xml:space="preserve">The Legal History of Wales </w:t>
      </w:r>
      <w:r>
        <w:t xml:space="preserve">(University of Wales Press, 2007) Ch 9. </w:t>
      </w:r>
    </w:p>
  </w:footnote>
  <w:footnote w:id="20">
    <w:p w14:paraId="5CFEF837" w14:textId="655C7EFE" w:rsidR="00364EEA" w:rsidRPr="00F82E27" w:rsidRDefault="00364EEA" w:rsidP="00B53D57">
      <w:pPr>
        <w:pStyle w:val="FootnoteText"/>
      </w:pPr>
      <w:r>
        <w:rPr>
          <w:rStyle w:val="FootnoteReference"/>
        </w:rPr>
        <w:footnoteRef/>
      </w:r>
      <w:r>
        <w:t xml:space="preserve"> </w:t>
      </w:r>
      <w:r w:rsidRPr="00B53D57">
        <w:t>The importance for Wales of educating and training its own legal minds can be reflected within the achievements of its distinguished academic lawyers who were educated within Wales, including Sir David Hughes-Parry, whose report on the Welsh language in the 1960s led to the passing of the Welsh Language Act 1967.</w:t>
      </w:r>
      <w:r>
        <w:t xml:space="preserve"> See RG Parry, ‘A Master of Practical Law: Sir David Hughes-Parry (1893-1873)’ in TG </w:t>
      </w:r>
      <w:proofErr w:type="spellStart"/>
      <w:r>
        <w:t>Waktin</w:t>
      </w:r>
      <w:proofErr w:type="spellEnd"/>
      <w:r>
        <w:t xml:space="preserve"> (</w:t>
      </w:r>
      <w:proofErr w:type="spellStart"/>
      <w:r>
        <w:t>ed</w:t>
      </w:r>
      <w:proofErr w:type="spellEnd"/>
      <w:r>
        <w:t xml:space="preserve">), </w:t>
      </w:r>
      <w:r>
        <w:rPr>
          <w:i/>
        </w:rPr>
        <w:t xml:space="preserve">Y </w:t>
      </w:r>
      <w:proofErr w:type="spellStart"/>
      <w:r>
        <w:rPr>
          <w:i/>
        </w:rPr>
        <w:t>Cyfraniad</w:t>
      </w:r>
      <w:proofErr w:type="spellEnd"/>
      <w:r>
        <w:rPr>
          <w:i/>
        </w:rPr>
        <w:t xml:space="preserve"> </w:t>
      </w:r>
      <w:proofErr w:type="spellStart"/>
      <w:r>
        <w:rPr>
          <w:i/>
        </w:rPr>
        <w:t>Cymreig</w:t>
      </w:r>
      <w:proofErr w:type="spellEnd"/>
      <w:r>
        <w:rPr>
          <w:i/>
        </w:rPr>
        <w:t xml:space="preserve"> </w:t>
      </w:r>
      <w:r>
        <w:t>(Bangor, 2005) pp. 102-159.</w:t>
      </w:r>
    </w:p>
  </w:footnote>
  <w:footnote w:id="21">
    <w:p w14:paraId="3F49B8C9" w14:textId="6CDFAF78" w:rsidR="00364EEA" w:rsidRDefault="00364EEA">
      <w:pPr>
        <w:pStyle w:val="FootnoteText"/>
      </w:pPr>
      <w:r>
        <w:rPr>
          <w:rStyle w:val="FootnoteReference"/>
        </w:rPr>
        <w:footnoteRef/>
      </w:r>
      <w:r>
        <w:t xml:space="preserve"> See part </w:t>
      </w:r>
      <w:r w:rsidRPr="0011364C">
        <w:t>1.</w:t>
      </w:r>
      <w:r>
        <w:t>2</w:t>
      </w:r>
      <w:r w:rsidRPr="0011364C">
        <w:t xml:space="preserve"> Mapping the Contribution of Non-UK Students to the UK and Wales</w:t>
      </w:r>
      <w:r>
        <w:t>.</w:t>
      </w:r>
    </w:p>
  </w:footnote>
  <w:footnote w:id="22">
    <w:p w14:paraId="545A163F" w14:textId="308535B8" w:rsidR="00364EEA" w:rsidRDefault="00364EEA" w:rsidP="00A23988">
      <w:pPr>
        <w:pStyle w:val="FootnoteText"/>
      </w:pPr>
      <w:r>
        <w:rPr>
          <w:rStyle w:val="FootnoteReference"/>
        </w:rPr>
        <w:footnoteRef/>
      </w:r>
      <w:r>
        <w:t xml:space="preserve"> The Complete University Guide ‘Top 10 Most Popular Courses in the UK’ (2018) available online at: &lt;</w:t>
      </w:r>
      <w:r w:rsidRPr="004A7736">
        <w:t>https://www.thecompleteuniversityguide.co.uk/courses/top-10-most-popular-courses-in-the-uk/</w:t>
      </w:r>
      <w:r>
        <w:t>&gt; accessed 28</w:t>
      </w:r>
      <w:r w:rsidRPr="00FF0BDE">
        <w:rPr>
          <w:vertAlign w:val="superscript"/>
        </w:rPr>
        <w:t>th</w:t>
      </w:r>
      <w:r>
        <w:t xml:space="preserve"> May 2018. </w:t>
      </w:r>
    </w:p>
  </w:footnote>
  <w:footnote w:id="23">
    <w:p w14:paraId="6885615F" w14:textId="0CA62052" w:rsidR="00364EEA" w:rsidRDefault="00364EEA">
      <w:pPr>
        <w:pStyle w:val="FootnoteText"/>
      </w:pPr>
      <w:r>
        <w:rPr>
          <w:rStyle w:val="FootnoteReference"/>
        </w:rPr>
        <w:footnoteRef/>
      </w:r>
      <w:r>
        <w:t xml:space="preserve"> See J </w:t>
      </w:r>
      <w:proofErr w:type="spellStart"/>
      <w:r>
        <w:t>Gabbatiss</w:t>
      </w:r>
      <w:proofErr w:type="spellEnd"/>
      <w:r>
        <w:t>, ‘Brexit: The academic subjects most threatened by Britain leaving the EU revealed’ (Independent, 14</w:t>
      </w:r>
      <w:r w:rsidRPr="002540FF">
        <w:rPr>
          <w:vertAlign w:val="superscript"/>
        </w:rPr>
        <w:t>th</w:t>
      </w:r>
      <w:r>
        <w:t xml:space="preserve"> November 2017) available online at: &lt;</w:t>
      </w:r>
      <w:r w:rsidRPr="002540FF">
        <w:t>https://www.independent.co.uk/news/science/brexit-latest-news-uk-university-subjects-risk-list-most-threatened-eu-a8052996.html</w:t>
      </w:r>
      <w:r>
        <w:t>&gt; accessed 4</w:t>
      </w:r>
      <w:r w:rsidRPr="002540FF">
        <w:rPr>
          <w:vertAlign w:val="superscript"/>
        </w:rPr>
        <w:t>th</w:t>
      </w:r>
      <w:r>
        <w:t xml:space="preserve"> October 2018. </w:t>
      </w:r>
    </w:p>
  </w:footnote>
  <w:footnote w:id="24">
    <w:p w14:paraId="1F14552B" w14:textId="04E90EA5" w:rsidR="00364EEA" w:rsidRDefault="00364EEA" w:rsidP="00A23988">
      <w:pPr>
        <w:pStyle w:val="FootnoteText"/>
      </w:pPr>
      <w:r>
        <w:rPr>
          <w:rStyle w:val="FootnoteReference"/>
        </w:rPr>
        <w:footnoteRef/>
      </w:r>
      <w:r>
        <w:t xml:space="preserve"> Such as the Institute for Competition and Procurement Studies at Bangor Law School which has received over four million Euros of research funding for its projects from</w:t>
      </w:r>
      <w:r w:rsidR="00072422">
        <w:t xml:space="preserve"> EU</w:t>
      </w:r>
      <w:r>
        <w:t xml:space="preserve"> INTERREG</w:t>
      </w:r>
      <w:r w:rsidR="00072422">
        <w:t xml:space="preserve"> programmes</w:t>
      </w:r>
      <w:r>
        <w:t>; and attracts students from across the EU and further afield as part of its LLM in Public Procurement Law and Strategy. See further: &lt;</w:t>
      </w:r>
      <w:r w:rsidRPr="003448C6">
        <w:t>http://icps.bangor.ac.uk/</w:t>
      </w:r>
      <w:r>
        <w:t>&gt; accessed 28</w:t>
      </w:r>
      <w:r w:rsidRPr="00FF0BDE">
        <w:rPr>
          <w:vertAlign w:val="superscript"/>
        </w:rPr>
        <w:t>th</w:t>
      </w:r>
      <w:r>
        <w:t xml:space="preserve"> May 2018.  </w:t>
      </w:r>
    </w:p>
  </w:footnote>
  <w:footnote w:id="25">
    <w:p w14:paraId="6A1403C6" w14:textId="30F0DCB8" w:rsidR="00364EEA" w:rsidRDefault="00364EEA" w:rsidP="00A23988">
      <w:pPr>
        <w:pStyle w:val="FootnoteText"/>
      </w:pPr>
      <w:r>
        <w:rPr>
          <w:rStyle w:val="FootnoteReference"/>
        </w:rPr>
        <w:footnoteRef/>
      </w:r>
      <w:r>
        <w:t xml:space="preserve"> Such as the joint French Law and English Law double degree programme offered by Bangor University and </w:t>
      </w:r>
      <w:proofErr w:type="spellStart"/>
      <w:r>
        <w:t>Universite</w:t>
      </w:r>
      <w:proofErr w:type="spellEnd"/>
      <w:r>
        <w:t xml:space="preserve"> Toulouse 1 </w:t>
      </w:r>
      <w:proofErr w:type="spellStart"/>
      <w:r>
        <w:t>Capitole</w:t>
      </w:r>
      <w:proofErr w:type="spellEnd"/>
      <w:r>
        <w:t xml:space="preserve"> (France), which was awarded the Prix </w:t>
      </w:r>
      <w:proofErr w:type="spellStart"/>
      <w:r>
        <w:t>Universitaire</w:t>
      </w:r>
      <w:proofErr w:type="spellEnd"/>
      <w:r>
        <w:t xml:space="preserve"> Robertson-</w:t>
      </w:r>
      <w:proofErr w:type="spellStart"/>
      <w:r>
        <w:t>Horsington</w:t>
      </w:r>
      <w:proofErr w:type="spellEnd"/>
      <w:r>
        <w:t xml:space="preserve"> award by the Franco-British Lawyers Society. See further: &lt;</w:t>
      </w:r>
      <w:r w:rsidRPr="003448C6">
        <w:t>https://fbls.eu/2017/05/01/fbls-awards-2017-prix-universitaire-robertson-horsington-to-universite-toulouse1-capitole/</w:t>
      </w:r>
      <w:r>
        <w:t>&gt; accessed 28</w:t>
      </w:r>
      <w:r w:rsidRPr="00FF0BDE">
        <w:rPr>
          <w:vertAlign w:val="superscript"/>
        </w:rPr>
        <w:t>th</w:t>
      </w:r>
      <w:r>
        <w:t xml:space="preserve"> May 2018. </w:t>
      </w:r>
    </w:p>
  </w:footnote>
  <w:footnote w:id="26">
    <w:p w14:paraId="78F92323" w14:textId="5E004290" w:rsidR="00364EEA" w:rsidRDefault="00364EEA">
      <w:pPr>
        <w:pStyle w:val="FootnoteText"/>
      </w:pPr>
      <w:r>
        <w:rPr>
          <w:rStyle w:val="FootnoteReference"/>
        </w:rPr>
        <w:footnoteRef/>
      </w:r>
      <w:r>
        <w:t xml:space="preserve"> For further analysis see </w:t>
      </w:r>
      <w:r w:rsidRPr="008149B2">
        <w:rPr>
          <w:i/>
        </w:rPr>
        <w:t>5.2 A Less Attractive Place to Work for EU and Non-EU Lecturers and Researchers</w:t>
      </w:r>
    </w:p>
  </w:footnote>
  <w:footnote w:id="27">
    <w:p w14:paraId="5CE96FE8" w14:textId="0DB2A2FB" w:rsidR="00364EEA" w:rsidRDefault="00364EEA" w:rsidP="0084121D">
      <w:pPr>
        <w:pStyle w:val="FootnoteText"/>
      </w:pPr>
      <w:r>
        <w:rPr>
          <w:rStyle w:val="FootnoteReference"/>
        </w:rPr>
        <w:footnoteRef/>
      </w:r>
      <w:r>
        <w:t xml:space="preserve"> In the Solicitor</w:t>
      </w:r>
      <w:r w:rsidR="00072422">
        <w:t>s</w:t>
      </w:r>
      <w:r>
        <w:t xml:space="preserve"> Regulation Authority consultation, the </w:t>
      </w:r>
      <w:r w:rsidRPr="00CF27C1">
        <w:t>6 SQE Stage 1 assessment</w:t>
      </w:r>
      <w:r>
        <w:t xml:space="preserve">s (identified as the 6 functioning legal knowledge assessments were: i) </w:t>
      </w:r>
      <w:r w:rsidRPr="00CF27C1">
        <w:t>Principles of Professional Conduct, Public and Administrative law, and the Legal Systems of England and Wales</w:t>
      </w:r>
      <w:r>
        <w:t xml:space="preserve">; ii) </w:t>
      </w:r>
      <w:r w:rsidRPr="00CF27C1">
        <w:t>Dispute Resolution in Contract or Tort</w:t>
      </w:r>
      <w:r>
        <w:t xml:space="preserve">; iii) </w:t>
      </w:r>
      <w:r w:rsidRPr="00CF27C1">
        <w:t>Property Law and Practice</w:t>
      </w:r>
      <w:r>
        <w:t xml:space="preserve">; iv) </w:t>
      </w:r>
      <w:r w:rsidRPr="00CF27C1">
        <w:t>Commercial and Corporate Law and Practice</w:t>
      </w:r>
      <w:r>
        <w:t xml:space="preserve">; v) </w:t>
      </w:r>
      <w:r w:rsidRPr="00CF27C1">
        <w:t>Wills and the Administration of Estates</w:t>
      </w:r>
      <w:r>
        <w:t xml:space="preserve"> </w:t>
      </w:r>
      <w:r w:rsidRPr="00CF27C1">
        <w:t>and</w:t>
      </w:r>
      <w:r>
        <w:t xml:space="preserve"> Trusts; and</w:t>
      </w:r>
      <w:r w:rsidRPr="00CF27C1">
        <w:t xml:space="preserve"> </w:t>
      </w:r>
      <w:r>
        <w:t xml:space="preserve">vi) </w:t>
      </w:r>
      <w:r w:rsidRPr="00CF27C1">
        <w:t>Criminal Law and Practice.</w:t>
      </w:r>
      <w:r>
        <w:t xml:space="preserve"> EU law does not appear to stand alone as a specific</w:t>
      </w:r>
      <w:r w:rsidR="00072422">
        <w:t xml:space="preserve"> recognised area of knowledge: s</w:t>
      </w:r>
      <w:r>
        <w:t>ee: Solicitors Regulation Authority, ‘A New Route to Qualification: the Solicitors Qualifying Examination’ (SRA 25 April 2017) available online at: &lt;</w:t>
      </w:r>
      <w:r w:rsidRPr="00335A8B">
        <w:t>https://www.sra.org.uk/sra/consultations/solicitors-qualifying-examination.page</w:t>
      </w:r>
      <w:r>
        <w:t>&gt;; and Solicitors Regulation Authority, ‘Exiting the EU: An update for lawyers’ (SRA September 2016) available online at: &lt;</w:t>
      </w:r>
      <w:r w:rsidRPr="00335A8B">
        <w:t>http://www.sra.org.uk/risk/resources/exiting-eu.page</w:t>
      </w:r>
      <w:r>
        <w:t>&gt; both accessed 28</w:t>
      </w:r>
      <w:r w:rsidRPr="00FF0BDE">
        <w:rPr>
          <w:vertAlign w:val="superscript"/>
        </w:rPr>
        <w:t>th</w:t>
      </w:r>
      <w:r>
        <w:t xml:space="preserve"> May 2018. For analysis see: C James and J Koo, ‘The EU Law “Core” Module: Surviving the Perfect Storm of Brexit and the SQE’ (2017) 52 The Law Teacher 68.</w:t>
      </w:r>
    </w:p>
  </w:footnote>
  <w:footnote w:id="28">
    <w:p w14:paraId="52AC3D7C" w14:textId="077A9381" w:rsidR="00364EEA" w:rsidRDefault="00364EEA">
      <w:pPr>
        <w:pStyle w:val="FootnoteText"/>
      </w:pPr>
      <w:r>
        <w:rPr>
          <w:rStyle w:val="FootnoteReference"/>
        </w:rPr>
        <w:footnoteRef/>
      </w:r>
      <w:r>
        <w:t xml:space="preserve"> Issues in relation to the marketisation of Higher Education are not idiosyncratic developments within the UK, but rather c</w:t>
      </w:r>
      <w:r w:rsidR="00072422">
        <w:t>an be evidenced across Europe: for commentary, see:</w:t>
      </w:r>
      <w:r>
        <w:t xml:space="preserve"> P </w:t>
      </w:r>
      <w:proofErr w:type="spellStart"/>
      <w:r>
        <w:t>Teixeira</w:t>
      </w:r>
      <w:proofErr w:type="spellEnd"/>
      <w:r>
        <w:t xml:space="preserve"> et al, ‘Policy changes, marketisation trends and spatial dispersion in European higher education: comparing public and private sector’ (2014) 7 </w:t>
      </w:r>
      <w:r w:rsidRPr="006D36A1">
        <w:t>Cambridge Journal of Regions, Economy and Society</w:t>
      </w:r>
      <w:r>
        <w:t xml:space="preserve"> 271.</w:t>
      </w:r>
    </w:p>
  </w:footnote>
  <w:footnote w:id="29">
    <w:p w14:paraId="59B22BCD" w14:textId="405847DA" w:rsidR="00364EEA" w:rsidRDefault="00364EEA">
      <w:pPr>
        <w:pStyle w:val="FootnoteText"/>
      </w:pPr>
      <w:r>
        <w:rPr>
          <w:rStyle w:val="FootnoteReference"/>
        </w:rPr>
        <w:footnoteRef/>
      </w:r>
      <w:r>
        <w:t xml:space="preserve"> See further J </w:t>
      </w:r>
      <w:proofErr w:type="spellStart"/>
      <w:r>
        <w:t>Guth</w:t>
      </w:r>
      <w:proofErr w:type="spellEnd"/>
      <w:r>
        <w:t xml:space="preserve"> and T Hervey, ‘Threats to internationalised legal education in the twenty-first century UK’ (2018) 53 The Law Teacher 1.</w:t>
      </w:r>
    </w:p>
  </w:footnote>
  <w:footnote w:id="30">
    <w:p w14:paraId="3A9F2D0B" w14:textId="6A879EDE" w:rsidR="00364EEA" w:rsidRPr="00072422" w:rsidRDefault="00364EEA">
      <w:pPr>
        <w:pStyle w:val="FootnoteText"/>
        <w:rPr>
          <w:i/>
        </w:rPr>
      </w:pPr>
      <w:r>
        <w:rPr>
          <w:rStyle w:val="FootnoteReference"/>
        </w:rPr>
        <w:footnoteRef/>
      </w:r>
      <w:r>
        <w:t xml:space="preserve"> </w:t>
      </w:r>
      <w:r w:rsidR="00072422">
        <w:rPr>
          <w:i/>
        </w:rPr>
        <w:t>Ibid.</w:t>
      </w:r>
    </w:p>
  </w:footnote>
  <w:footnote w:id="31">
    <w:p w14:paraId="224FD5C0" w14:textId="65CEAAA5" w:rsidR="00364EEA" w:rsidRDefault="00364EEA">
      <w:pPr>
        <w:pStyle w:val="FootnoteText"/>
      </w:pPr>
      <w:r>
        <w:rPr>
          <w:rStyle w:val="FootnoteReference"/>
        </w:rPr>
        <w:footnoteRef/>
      </w:r>
      <w:r w:rsidR="003C7FF2">
        <w:t xml:space="preserve"> A</w:t>
      </w:r>
      <w:r>
        <w:t xml:space="preserve"> Logan, ‘The Economic Impact of Universities in 2014-15’ (Oxford Economics and Universities UK, October 2017) available online at: &lt;</w:t>
      </w:r>
      <w:r w:rsidRPr="00F2745C">
        <w:t>http://www.universitiesuk.ac.uk/policy-and-analysis/reports/Documents/2017/the-economic-impact-of-universities.pdf</w:t>
      </w:r>
      <w:r>
        <w:t>&gt; accessed 28</w:t>
      </w:r>
      <w:r w:rsidRPr="00FF0BDE">
        <w:rPr>
          <w:vertAlign w:val="superscript"/>
        </w:rPr>
        <w:t>th</w:t>
      </w:r>
      <w:r>
        <w:t xml:space="preserve"> May 2018. </w:t>
      </w:r>
    </w:p>
  </w:footnote>
  <w:footnote w:id="32">
    <w:p w14:paraId="5BBA3BDB" w14:textId="75C081C8" w:rsidR="00364EEA" w:rsidRDefault="00364EEA">
      <w:pPr>
        <w:pStyle w:val="FootnoteText"/>
      </w:pPr>
      <w:r>
        <w:rPr>
          <w:rStyle w:val="FootnoteReference"/>
        </w:rPr>
        <w:footnoteRef/>
      </w:r>
      <w:r>
        <w:t xml:space="preserve"> See E Bothwell, ‘Universities ‘Generate £95 billion for UK Economy’ (Times Higher Education, 16 October 2017) available online at: &lt;</w:t>
      </w:r>
      <w:r w:rsidRPr="00E62CD9">
        <w:t>https://www.timeshighereducation.com/news/universities-generate-ps95-billion-uk-economy</w:t>
      </w:r>
      <w:r>
        <w:t>&gt; accessed 28</w:t>
      </w:r>
      <w:r w:rsidRPr="00FF0BDE">
        <w:rPr>
          <w:vertAlign w:val="superscript"/>
        </w:rPr>
        <w:t>th</w:t>
      </w:r>
      <w:r>
        <w:t xml:space="preserve"> May 2018. </w:t>
      </w:r>
    </w:p>
  </w:footnote>
  <w:footnote w:id="33">
    <w:p w14:paraId="002FE5E7" w14:textId="003AC20F" w:rsidR="00364EEA" w:rsidRDefault="00364EEA">
      <w:pPr>
        <w:pStyle w:val="FootnoteText"/>
      </w:pPr>
      <w:r>
        <w:rPr>
          <w:rStyle w:val="FootnoteReference"/>
        </w:rPr>
        <w:footnoteRef/>
      </w:r>
      <w:r>
        <w:t xml:space="preserve"> G Morgan and C </w:t>
      </w:r>
      <w:proofErr w:type="spellStart"/>
      <w:r>
        <w:t>Plackett</w:t>
      </w:r>
      <w:proofErr w:type="spellEnd"/>
      <w:r>
        <w:t>, ‘The Economic Impact of International Students’ (UUK 6 March 2017) available online at: &lt;</w:t>
      </w:r>
      <w:r w:rsidRPr="00496223">
        <w:t>http://www.universitiesuk.ac.uk/news/Pages/International-students-now-worth-25-billion-to-UK-economy---new-research.aspx</w:t>
      </w:r>
      <w:r>
        <w:t>&gt; accessed 28</w:t>
      </w:r>
      <w:r w:rsidRPr="00FF0BDE">
        <w:rPr>
          <w:vertAlign w:val="superscript"/>
        </w:rPr>
        <w:t>th</w:t>
      </w:r>
      <w:r>
        <w:t xml:space="preserve"> May 2018. </w:t>
      </w:r>
    </w:p>
  </w:footnote>
  <w:footnote w:id="34">
    <w:p w14:paraId="39155AE3" w14:textId="606AB999" w:rsidR="00364EEA" w:rsidRDefault="00364EEA" w:rsidP="00374220">
      <w:pPr>
        <w:pStyle w:val="FootnoteText"/>
      </w:pPr>
      <w:r>
        <w:rPr>
          <w:rStyle w:val="FootnoteReference"/>
        </w:rPr>
        <w:footnoteRef/>
      </w:r>
      <w:r>
        <w:t xml:space="preserve"> E Bothwell, ‘EU Students Generate £3.7 billion for UK Economy, says UUK’ (Times Higher Education, 8 April 2016) available online at: &lt;</w:t>
      </w:r>
      <w:r w:rsidRPr="00EC28BF">
        <w:t>https://www.timeshighereducation.com/news/eu-students-generate-three-point-seven-billion-pounds-for-uk-economy-says-uuk</w:t>
      </w:r>
      <w:r>
        <w:t>&gt; accessed 28</w:t>
      </w:r>
      <w:r w:rsidRPr="00FF0BDE">
        <w:rPr>
          <w:vertAlign w:val="superscript"/>
        </w:rPr>
        <w:t>th</w:t>
      </w:r>
      <w:r>
        <w:t xml:space="preserve"> May 2018. </w:t>
      </w:r>
    </w:p>
  </w:footnote>
  <w:footnote w:id="35">
    <w:p w14:paraId="034C92A1" w14:textId="4E61023C" w:rsidR="00364EEA" w:rsidRDefault="00364EEA" w:rsidP="00374220">
      <w:pPr>
        <w:pStyle w:val="FootnoteText"/>
      </w:pPr>
      <w:r>
        <w:rPr>
          <w:rStyle w:val="FootnoteReference"/>
        </w:rPr>
        <w:footnoteRef/>
      </w:r>
      <w:r>
        <w:t xml:space="preserve"> Equating to 15% more funding from the EU, in addition to what the UK Government gives universities (or at least 2.6% of universities in the UK’s total income, or around 16% of their research income). See further: Full Fact, ‘How Much Money Do British Universities Get From the EU?’ (The UK’s Independent Factchecking Charity, 5</w:t>
      </w:r>
      <w:r w:rsidRPr="00C649D6">
        <w:rPr>
          <w:vertAlign w:val="superscript"/>
        </w:rPr>
        <w:t>th</w:t>
      </w:r>
      <w:r>
        <w:t xml:space="preserve"> October 2015) available online at: &lt;</w:t>
      </w:r>
      <w:r w:rsidRPr="00C649D6">
        <w:t>https://fullfact.org/education/how-much-money-do-british-universities-get-eu/</w:t>
      </w:r>
      <w:r>
        <w:t>&gt; accessed 28</w:t>
      </w:r>
      <w:r w:rsidRPr="00FF0BDE">
        <w:rPr>
          <w:vertAlign w:val="superscript"/>
        </w:rPr>
        <w:t>th</w:t>
      </w:r>
      <w:r>
        <w:t xml:space="preserve"> May 2018. </w:t>
      </w:r>
    </w:p>
  </w:footnote>
  <w:footnote w:id="36">
    <w:p w14:paraId="0002158C" w14:textId="4377D62A" w:rsidR="00364EEA" w:rsidRDefault="00364EEA">
      <w:pPr>
        <w:pStyle w:val="FootnoteText"/>
      </w:pPr>
      <w:r>
        <w:rPr>
          <w:rStyle w:val="FootnoteReference"/>
        </w:rPr>
        <w:footnoteRef/>
      </w:r>
      <w:r>
        <w:t xml:space="preserve"> HESA, ‘Higher Education Student Statistics: UK, 2016-17 – Where students come from and go to study’ (HESA, 11 January 2018) available online at: &lt;</w:t>
      </w:r>
      <w:r w:rsidRPr="009065E0">
        <w:t>https://www.hesa.ac.uk/news/11-01-2018/sfr247-higher-education-student-statistics/location</w:t>
      </w:r>
      <w:r>
        <w:t>&gt; accessed 28</w:t>
      </w:r>
      <w:r w:rsidRPr="00FF0BDE">
        <w:rPr>
          <w:vertAlign w:val="superscript"/>
        </w:rPr>
        <w:t>th</w:t>
      </w:r>
      <w:r>
        <w:t xml:space="preserve"> May 2018. </w:t>
      </w:r>
    </w:p>
  </w:footnote>
  <w:footnote w:id="37">
    <w:p w14:paraId="414A516D" w14:textId="34E7270C" w:rsidR="00364EEA" w:rsidRDefault="00364EEA">
      <w:pPr>
        <w:pStyle w:val="FootnoteText"/>
      </w:pPr>
      <w:r>
        <w:rPr>
          <w:rStyle w:val="FootnoteReference"/>
        </w:rPr>
        <w:footnoteRef/>
      </w:r>
      <w:r>
        <w:t xml:space="preserve"> HESA, ‘Higher Education Student Statistics: UK, 2016-17 – Where students come from and go to study’ (HESA, 11 January 2018) available online at: &lt;</w:t>
      </w:r>
      <w:r w:rsidRPr="009065E0">
        <w:t>https://www.hesa.ac.uk/news/11-01-2018/sfr247-higher-education-student-statistics/location</w:t>
      </w:r>
      <w:r>
        <w:t>&gt; accessed 28</w:t>
      </w:r>
      <w:r w:rsidRPr="00FF0BDE">
        <w:rPr>
          <w:vertAlign w:val="superscript"/>
        </w:rPr>
        <w:t>th</w:t>
      </w:r>
      <w:r>
        <w:t xml:space="preserve"> May 2018. </w:t>
      </w:r>
    </w:p>
  </w:footnote>
  <w:footnote w:id="38">
    <w:p w14:paraId="5674B7C5" w14:textId="0F98D4F2" w:rsidR="00364EEA" w:rsidRDefault="00364EEA">
      <w:pPr>
        <w:pStyle w:val="FootnoteText"/>
      </w:pPr>
      <w:r>
        <w:rPr>
          <w:rStyle w:val="FootnoteReference"/>
        </w:rPr>
        <w:footnoteRef/>
      </w:r>
      <w:r>
        <w:t xml:space="preserve"> Welsh Government, ‘Trade Policy: The Issues for Wales, Securing Wales’ Future’ (Welsh Government Policy Documents, 2018) p 17. </w:t>
      </w:r>
    </w:p>
  </w:footnote>
  <w:footnote w:id="39">
    <w:p w14:paraId="3754DC93" w14:textId="2555A563" w:rsidR="00364EEA" w:rsidRDefault="00364EEA" w:rsidP="007921F6">
      <w:pPr>
        <w:pStyle w:val="FootnoteText"/>
      </w:pPr>
      <w:r>
        <w:rPr>
          <w:rStyle w:val="FootnoteReference"/>
        </w:rPr>
        <w:footnoteRef/>
      </w:r>
      <w:r>
        <w:t xml:space="preserve"> E Busby, ‘Number of EU students applying to UK universities surge despite Brexit fears’ (The Independent, 5 February 2018) available online: &lt;</w:t>
      </w:r>
      <w:r w:rsidRPr="009603DB">
        <w:t>https://www.independent.co.uk/news/education/education-news/eu-students-uk-universities-applications-rise-brexit-ucas-students-a8191836.html</w:t>
      </w:r>
      <w:r>
        <w:t>&gt; accessed 28</w:t>
      </w:r>
      <w:r w:rsidRPr="00FF0BDE">
        <w:rPr>
          <w:vertAlign w:val="superscript"/>
        </w:rPr>
        <w:t>th</w:t>
      </w:r>
      <w:r>
        <w:t xml:space="preserve"> May 2018. </w:t>
      </w:r>
    </w:p>
  </w:footnote>
  <w:footnote w:id="40">
    <w:p w14:paraId="3C0527F5" w14:textId="71DF7713" w:rsidR="00364EEA" w:rsidRDefault="00364EEA">
      <w:pPr>
        <w:pStyle w:val="FootnoteText"/>
      </w:pPr>
      <w:r>
        <w:rPr>
          <w:rStyle w:val="FootnoteReference"/>
        </w:rPr>
        <w:footnoteRef/>
      </w:r>
      <w:r>
        <w:t xml:space="preserve"> D Brett, ‘Sterling Devaluation: The Fall in the Pound Since the Brexit Vote’ (City AM, 23 November 2017) available online at: &lt;</w:t>
      </w:r>
      <w:r w:rsidRPr="0011364C">
        <w:t>http://www.cityam.com/276230/pound-devaluation-lessons-1967-apply-today</w:t>
      </w:r>
      <w:r>
        <w:t>&gt; accessed 28</w:t>
      </w:r>
      <w:r w:rsidRPr="00FF0BDE">
        <w:rPr>
          <w:vertAlign w:val="superscript"/>
        </w:rPr>
        <w:t>th</w:t>
      </w:r>
      <w:r>
        <w:t xml:space="preserve"> May 2018. </w:t>
      </w:r>
    </w:p>
  </w:footnote>
  <w:footnote w:id="41">
    <w:p w14:paraId="4D9EC2E7" w14:textId="57A67513" w:rsidR="00364EEA" w:rsidRDefault="00364EEA" w:rsidP="007921F6">
      <w:pPr>
        <w:pStyle w:val="FootnoteText"/>
      </w:pPr>
      <w:r>
        <w:rPr>
          <w:rStyle w:val="FootnoteReference"/>
        </w:rPr>
        <w:footnoteRef/>
      </w:r>
      <w:r>
        <w:t xml:space="preserve"> E Busby, ‘Number of EU students applying to UK universities surge despite Brexit fears’ (The Independent, 5 February 2018) available online: &lt;</w:t>
      </w:r>
      <w:r w:rsidRPr="009603DB">
        <w:t>https://www.independent.co.uk/news/education/education-news/eu-students-uk-universities-applications-rise-brexit-ucas-students-a8191836.html</w:t>
      </w:r>
      <w:r>
        <w:t>&gt; accessed 28</w:t>
      </w:r>
      <w:r w:rsidRPr="00FF0BDE">
        <w:rPr>
          <w:vertAlign w:val="superscript"/>
        </w:rPr>
        <w:t>th</w:t>
      </w:r>
      <w:r>
        <w:t xml:space="preserve"> May 2018. </w:t>
      </w:r>
    </w:p>
  </w:footnote>
  <w:footnote w:id="42">
    <w:p w14:paraId="5EA7E70A" w14:textId="7DC64093" w:rsidR="00364EEA" w:rsidRDefault="00364EEA" w:rsidP="007921F6">
      <w:pPr>
        <w:pStyle w:val="FootnoteText"/>
      </w:pPr>
      <w:r>
        <w:rPr>
          <w:rStyle w:val="FootnoteReference"/>
        </w:rPr>
        <w:footnoteRef/>
      </w:r>
      <w:r>
        <w:t xml:space="preserve"> R </w:t>
      </w:r>
      <w:proofErr w:type="spellStart"/>
      <w:r>
        <w:t>Pells</w:t>
      </w:r>
      <w:proofErr w:type="spellEnd"/>
      <w:r>
        <w:t>, ‘Number of EU students applying to UK universities falls by 7% since Brexit, latest figures reveal’ (The Independent, 2 February 2017) &lt;</w:t>
      </w:r>
      <w:r w:rsidRPr="009603DB">
        <w:t xml:space="preserve"> https://www.independent.co.uk/news/education/education-news/eu-students-numbers-apply-uk-universities-fall-7-per-cent-brexit-latest-news-figures-a7558131.html</w:t>
      </w:r>
      <w:r>
        <w:t>&gt; accessed 28</w:t>
      </w:r>
      <w:r w:rsidRPr="00FF0BDE">
        <w:rPr>
          <w:vertAlign w:val="superscript"/>
        </w:rPr>
        <w:t>th</w:t>
      </w:r>
      <w:r>
        <w:t xml:space="preserve"> May 2018. </w:t>
      </w:r>
    </w:p>
  </w:footnote>
  <w:footnote w:id="43">
    <w:p w14:paraId="6A5763A4" w14:textId="39DCF57B" w:rsidR="00364EEA" w:rsidRDefault="00364EEA" w:rsidP="007921F6">
      <w:pPr>
        <w:pStyle w:val="FootnoteText"/>
      </w:pPr>
      <w:r>
        <w:rPr>
          <w:rStyle w:val="FootnoteReference"/>
        </w:rPr>
        <w:footnoteRef/>
      </w:r>
      <w:r>
        <w:t xml:space="preserve"> Whereas there were marginal increases in the number of students coming from France, Italy, Spain, Poland and Romania. For further information see: HESA, ‘Higher Education Student Statistics: UK, 2016-17 – Where students come from and go to study’ (HESA, 11 January 2018) available online at: &lt;</w:t>
      </w:r>
      <w:r w:rsidRPr="009065E0">
        <w:t>https://www.hesa.ac.uk/news/11-01-2018/sfr247-higher-education-student-statistics/location</w:t>
      </w:r>
      <w:r>
        <w:t>&gt; accessed 28</w:t>
      </w:r>
      <w:r w:rsidRPr="00FF0BDE">
        <w:rPr>
          <w:vertAlign w:val="superscript"/>
        </w:rPr>
        <w:t>th</w:t>
      </w:r>
      <w:r>
        <w:t xml:space="preserve"> May 2018. </w:t>
      </w:r>
    </w:p>
  </w:footnote>
  <w:footnote w:id="44">
    <w:p w14:paraId="7DA47D79" w14:textId="79414EA9" w:rsidR="00364EEA" w:rsidRDefault="00364EEA" w:rsidP="000554B7">
      <w:pPr>
        <w:pStyle w:val="FootnoteText"/>
      </w:pPr>
      <w:r>
        <w:rPr>
          <w:rStyle w:val="FootnoteReference"/>
        </w:rPr>
        <w:footnoteRef/>
      </w:r>
      <w:r>
        <w:t xml:space="preserve"> Such was part of a package of recommendations made by the Russell group, especially the need to establish what fee rate non-UK EU students might move to and when this would come in to effect; as well as confirm the continued working rights for EU staff. See: Russell Group, ‘Putting Universities at the Heart of Industrial Strategy’ (Russell Group, October 2016) available online at: &lt;</w:t>
      </w:r>
      <w:r w:rsidRPr="00EC28BF">
        <w:t>https://www.russellgroup.ac.uk/media/5450/putting-universities-at-the-heart-of-the-industrial-strategy-october-2016.pdf</w:t>
      </w:r>
      <w:r>
        <w:t>&gt; see also, C Fairbairn, ‘Firms Need to See Clear Brexit Plan Taking Shape Now’ (CBI, 1 July 2016), available online at: &lt;</w:t>
      </w:r>
      <w:r w:rsidRPr="00CC11B0">
        <w:t>http://www.cbi.org.uk/news/firms-need-to-see-clear-brexit-plan-taking-shape-now/</w:t>
      </w:r>
      <w:r>
        <w:t>&gt;. By contrast Scotland has said it should continue to be free for EU students. See: Jack Grove, ‘Scotland confirms free tuition for EU students in 2019-20’ (Times Higher Education, 1 February 2018) available online at: &lt;</w:t>
      </w:r>
      <w:r w:rsidRPr="00DE196E">
        <w:t>https://www.timeshighereducation.com/news/scotland-confirms-free-tuition-eu-students-2019-20</w:t>
      </w:r>
      <w:r>
        <w:t>&gt; all accessed 28</w:t>
      </w:r>
      <w:r w:rsidRPr="00FF0BDE">
        <w:rPr>
          <w:vertAlign w:val="superscript"/>
        </w:rPr>
        <w:t>th</w:t>
      </w:r>
      <w:r>
        <w:t xml:space="preserve"> May 2018. </w:t>
      </w:r>
    </w:p>
  </w:footnote>
  <w:footnote w:id="45">
    <w:p w14:paraId="2A6E9739" w14:textId="46FD60D9" w:rsidR="00364EEA" w:rsidRDefault="00364EEA" w:rsidP="000554B7">
      <w:pPr>
        <w:pStyle w:val="FootnoteText"/>
      </w:pPr>
      <w:r>
        <w:rPr>
          <w:rStyle w:val="FootnoteReference"/>
        </w:rPr>
        <w:footnoteRef/>
      </w:r>
      <w:r>
        <w:t xml:space="preserve"> Technopolis Group, ‘The role of EU funding in UK research and innovation’ (The Royal Society, May 2017) available online at: &lt;</w:t>
      </w:r>
      <w:r w:rsidRPr="00DD4219">
        <w:t>https://royalsociety.org/~/media/policy/Publications/2017/2017-05-technopolis-role-of-EU-funding-report.PDF</w:t>
      </w:r>
      <w:r>
        <w:t>&gt; accessed 28</w:t>
      </w:r>
      <w:r w:rsidRPr="00FF0BDE">
        <w:rPr>
          <w:vertAlign w:val="superscript"/>
        </w:rPr>
        <w:t>th</w:t>
      </w:r>
      <w:r>
        <w:t xml:space="preserve"> May 2018. </w:t>
      </w:r>
    </w:p>
  </w:footnote>
  <w:footnote w:id="46">
    <w:p w14:paraId="6FAC40BE" w14:textId="648FF516" w:rsidR="00364EEA" w:rsidRDefault="00364EEA" w:rsidP="000554B7">
      <w:pPr>
        <w:pStyle w:val="FootnoteText"/>
      </w:pPr>
      <w:r>
        <w:rPr>
          <w:rStyle w:val="FootnoteReference"/>
        </w:rPr>
        <w:footnoteRef/>
      </w:r>
      <w:r>
        <w:t xml:space="preserve"> L Buch, ‘Brexit: More than 2,300 EU academics resign amid warning over UK university ‘</w:t>
      </w:r>
      <w:proofErr w:type="spellStart"/>
      <w:r>
        <w:t>Brexodus</w:t>
      </w:r>
      <w:proofErr w:type="spellEnd"/>
      <w:r>
        <w:t>’’ (Independent, 6 January 2018) available online at: &lt;</w:t>
      </w:r>
      <w:r w:rsidRPr="00741761">
        <w:t xml:space="preserve"> https://www.independent.co.uk/news/uk/politics/brexit-latest-news-uk-university-eu-academics-resign-immigration-brexodus-citizens-europe-a8143796.html</w:t>
      </w:r>
      <w:r>
        <w:t>&gt; accessed 28</w:t>
      </w:r>
      <w:r w:rsidRPr="00FF0BDE">
        <w:rPr>
          <w:vertAlign w:val="superscript"/>
        </w:rPr>
        <w:t>th</w:t>
      </w:r>
      <w:r>
        <w:t xml:space="preserve"> May 2018. </w:t>
      </w:r>
    </w:p>
  </w:footnote>
  <w:footnote w:id="47">
    <w:p w14:paraId="0B8EA0C6" w14:textId="2D38BC6A" w:rsidR="00364EEA" w:rsidRDefault="00364EEA">
      <w:pPr>
        <w:pStyle w:val="FootnoteText"/>
      </w:pPr>
      <w:r>
        <w:rPr>
          <w:rStyle w:val="FootnoteReference"/>
        </w:rPr>
        <w:footnoteRef/>
      </w:r>
      <w:r>
        <w:t xml:space="preserve"> </w:t>
      </w:r>
      <w:r w:rsidRPr="00075736">
        <w:t>Including two using Likert scales</w:t>
      </w:r>
      <w:r>
        <w:t>.</w:t>
      </w:r>
    </w:p>
  </w:footnote>
  <w:footnote w:id="48">
    <w:p w14:paraId="35B996AA" w14:textId="4C6A90A1" w:rsidR="00364EEA" w:rsidRDefault="00364EEA">
      <w:pPr>
        <w:pStyle w:val="FootnoteText"/>
      </w:pPr>
      <w:r>
        <w:rPr>
          <w:rStyle w:val="FootnoteReference"/>
        </w:rPr>
        <w:footnoteRef/>
      </w:r>
      <w:r>
        <w:t xml:space="preserve"> A copy of the full survey can be found in the Appendix</w:t>
      </w:r>
      <w:r w:rsidR="00276DA3">
        <w:t xml:space="preserve"> below</w:t>
      </w:r>
      <w:r>
        <w:t xml:space="preserve">. </w:t>
      </w:r>
    </w:p>
  </w:footnote>
  <w:footnote w:id="49">
    <w:p w14:paraId="44A29598" w14:textId="4677068C" w:rsidR="00364EEA" w:rsidRPr="00C470ED" w:rsidRDefault="00364EEA" w:rsidP="00BF5102">
      <w:pPr>
        <w:pStyle w:val="FootnoteText"/>
      </w:pPr>
      <w:r>
        <w:rPr>
          <w:rStyle w:val="FootnoteReference"/>
        </w:rPr>
        <w:footnoteRef/>
      </w:r>
      <w:r>
        <w:t xml:space="preserve"> See MB Youngman and M Bredon, </w:t>
      </w:r>
      <w:r>
        <w:rPr>
          <w:i/>
        </w:rPr>
        <w:t xml:space="preserve">Designing and Analysing Questionnaires </w:t>
      </w:r>
      <w:r>
        <w:t>(Oxford: TRC-</w:t>
      </w:r>
      <w:proofErr w:type="spellStart"/>
      <w:r>
        <w:t>Rediguides</w:t>
      </w:r>
      <w:proofErr w:type="spellEnd"/>
      <w:r>
        <w:t xml:space="preserve"> 1982); for comparative law examples</w:t>
      </w:r>
      <w:r w:rsidR="00276DA3">
        <w:t>,</w:t>
      </w:r>
      <w:r>
        <w:t xml:space="preserve"> see P Cane and HM </w:t>
      </w:r>
      <w:proofErr w:type="spellStart"/>
      <w:r>
        <w:t>Kritzer</w:t>
      </w:r>
      <w:proofErr w:type="spellEnd"/>
      <w:r>
        <w:t xml:space="preserve"> (</w:t>
      </w:r>
      <w:proofErr w:type="spellStart"/>
      <w:proofErr w:type="gramStart"/>
      <w:r>
        <w:t>eds</w:t>
      </w:r>
      <w:proofErr w:type="spellEnd"/>
      <w:proofErr w:type="gramEnd"/>
      <w:r>
        <w:t xml:space="preserve">), </w:t>
      </w:r>
      <w:r>
        <w:rPr>
          <w:i/>
        </w:rPr>
        <w:t xml:space="preserve">The Oxford Handbook of Empirical Legal Research </w:t>
      </w:r>
      <w:r>
        <w:t>(OUP</w:t>
      </w:r>
      <w:r w:rsidR="00276DA3">
        <w:t>,</w:t>
      </w:r>
      <w:r>
        <w:t xml:space="preserve"> 2013).</w:t>
      </w:r>
    </w:p>
  </w:footnote>
  <w:footnote w:id="50">
    <w:p w14:paraId="367E84B2" w14:textId="0FA8B685" w:rsidR="00364EEA" w:rsidRDefault="00364EEA">
      <w:pPr>
        <w:pStyle w:val="FootnoteText"/>
      </w:pPr>
      <w:r>
        <w:rPr>
          <w:rStyle w:val="FootnoteReference"/>
        </w:rPr>
        <w:footnoteRef/>
      </w:r>
      <w:r w:rsidR="00276DA3">
        <w:t xml:space="preserve"> See </w:t>
      </w:r>
      <w:r>
        <w:t xml:space="preserve">RW </w:t>
      </w:r>
      <w:proofErr w:type="spellStart"/>
      <w:r>
        <w:t>Whitecross</w:t>
      </w:r>
      <w:proofErr w:type="spellEnd"/>
      <w:r>
        <w:t xml:space="preserve">, ‘Teaching Legal Professionalism: A Comparative Study of Teaching Professional Values and Lessons for Legal Education’ (2016) 11 Journal of Commonwealth Law and Legal Education 3. For an example of a legal education study which elicited a higher response rate (63%) by sampling more universities see A Bone, ‘The Twenty-First Century Law Student’ (2009) 43 The Law Teacher 222. </w:t>
      </w:r>
    </w:p>
  </w:footnote>
  <w:footnote w:id="51">
    <w:p w14:paraId="7E292C59" w14:textId="0E6EDA5B" w:rsidR="00364EEA" w:rsidRDefault="00364EEA">
      <w:pPr>
        <w:pStyle w:val="FootnoteText"/>
      </w:pPr>
      <w:r w:rsidRPr="00CA4C04">
        <w:rPr>
          <w:rStyle w:val="FootnoteReference"/>
        </w:rPr>
        <w:footnoteRef/>
      </w:r>
      <w:r w:rsidRPr="00CA4C04">
        <w:t xml:space="preserve"> See for example: G Williams, ‘Legal Education in Welsh- An Empirical Study’ (2005) 39:3 The Law Teacher 259. </w:t>
      </w:r>
    </w:p>
  </w:footnote>
  <w:footnote w:id="52">
    <w:p w14:paraId="6C00D196" w14:textId="184C44E5" w:rsidR="00364EEA" w:rsidRDefault="00364EEA">
      <w:pPr>
        <w:pStyle w:val="FootnoteText"/>
      </w:pPr>
      <w:r>
        <w:rPr>
          <w:rStyle w:val="FootnoteReference"/>
        </w:rPr>
        <w:footnoteRef/>
      </w:r>
      <w:r>
        <w:t xml:space="preserve"> For pedagogically informed evidence of this approach see: </w:t>
      </w:r>
      <w:r w:rsidRPr="0015190F">
        <w:t>M Healey, A Flint, K Harrington, ‘Engagement through partnership: students as partners in learning and teaching in higher education’ (Higher Education Academy Report 2014)</w:t>
      </w:r>
      <w:r>
        <w:t xml:space="preserve">; </w:t>
      </w:r>
      <w:r w:rsidRPr="006F6D59">
        <w:t>Higher Education Academy, ‘Framework for partnership in learning and teaching in higher education’ (HEA July 2014)</w:t>
      </w:r>
      <w:r>
        <w:t xml:space="preserve">; for student societies as partners see: </w:t>
      </w:r>
      <w:r w:rsidRPr="00F7240F">
        <w:t xml:space="preserve">E Mowlam, ‘Supporting Student Law Societies and Extra-Curricular Activities and Students’ in C Ashford and J </w:t>
      </w:r>
      <w:proofErr w:type="spellStart"/>
      <w:r w:rsidRPr="00F7240F">
        <w:t>Guth</w:t>
      </w:r>
      <w:proofErr w:type="spellEnd"/>
      <w:r w:rsidRPr="00F7240F">
        <w:t xml:space="preserve">, </w:t>
      </w:r>
      <w:r w:rsidRPr="00F7240F">
        <w:rPr>
          <w:i/>
        </w:rPr>
        <w:t xml:space="preserve">The Legal Academic’s Handbook </w:t>
      </w:r>
      <w:r w:rsidRPr="00F7240F">
        <w:t>(Palgrave, 2016) p118</w:t>
      </w:r>
      <w:r>
        <w:t xml:space="preserve">.  </w:t>
      </w:r>
    </w:p>
  </w:footnote>
  <w:footnote w:id="53">
    <w:p w14:paraId="50A42B41" w14:textId="52A6111D" w:rsidR="00364EEA" w:rsidRDefault="00364EEA">
      <w:pPr>
        <w:pStyle w:val="FootnoteText"/>
      </w:pPr>
      <w:r>
        <w:rPr>
          <w:rStyle w:val="FootnoteReference"/>
        </w:rPr>
        <w:footnoteRef/>
      </w:r>
      <w:r>
        <w:t xml:space="preserve"> Unsurprisingly (given jurisdiction differences) there was a 0% UK (Scottish) representation in this survey. </w:t>
      </w:r>
    </w:p>
  </w:footnote>
  <w:footnote w:id="54">
    <w:p w14:paraId="7AE9242F" w14:textId="77777777" w:rsidR="00364EEA" w:rsidRDefault="00364EEA" w:rsidP="00F54FDF">
      <w:pPr>
        <w:pStyle w:val="FootnoteText"/>
      </w:pPr>
      <w:r>
        <w:rPr>
          <w:rStyle w:val="FootnoteReference"/>
        </w:rPr>
        <w:footnoteRef/>
      </w:r>
      <w:r>
        <w:t xml:space="preserve"> With 63% of respondents within the survey with a ‘low attention to politics’ voting ‘leave’; and 62% of respondents in the lowest income group voting to “leave.” See further YouGov, ‘Survey Result EU Referendum Vote’ (YouGov 24</w:t>
      </w:r>
      <w:r w:rsidRPr="00C76764">
        <w:rPr>
          <w:vertAlign w:val="superscript"/>
        </w:rPr>
        <w:t>th</w:t>
      </w:r>
      <w:r>
        <w:t xml:space="preserve"> August 2016) available online at: &lt;</w:t>
      </w:r>
      <w:r w:rsidRPr="00C76764">
        <w:t>https://d25d2506sfb94s.cloudfront.net/cumulus_uploads/document/oxmidrr5wh/EUFinalCall_Reweighted.pdf</w:t>
      </w:r>
      <w:r>
        <w:t>&gt; accessed 26</w:t>
      </w:r>
      <w:r w:rsidRPr="00C76764">
        <w:rPr>
          <w:vertAlign w:val="superscript"/>
        </w:rPr>
        <w:t>th</w:t>
      </w:r>
      <w:r>
        <w:t xml:space="preserve"> September 2018. </w:t>
      </w:r>
    </w:p>
  </w:footnote>
  <w:footnote w:id="55">
    <w:p w14:paraId="703B2FDB" w14:textId="68BB6189" w:rsidR="00364EEA" w:rsidRDefault="00364EEA">
      <w:pPr>
        <w:pStyle w:val="FootnoteText"/>
      </w:pPr>
      <w:r>
        <w:rPr>
          <w:rStyle w:val="FootnoteReference"/>
        </w:rPr>
        <w:footnoteRef/>
      </w:r>
      <w:r>
        <w:t xml:space="preserve"> In summary, the YouGov survey found that citizens aged 50 and over were recognised as having the highest concentration of vote leave supporters (62%) compared to 18-24-year olds (where 71% were believed to have voted to remain). For summary and analysis see: P Moore, ‘How Britain Voted’ (YouGov.UK 27 June 2016) available online at: &lt;</w:t>
      </w:r>
      <w:r w:rsidRPr="00DA09E6">
        <w:t>https://yougov.co.uk/news/2016/06/27/how-britain-voted/</w:t>
      </w:r>
      <w:r>
        <w:t>&gt; accessed 28</w:t>
      </w:r>
      <w:r w:rsidRPr="00FF0BDE">
        <w:rPr>
          <w:vertAlign w:val="superscript"/>
        </w:rPr>
        <w:t>th</w:t>
      </w:r>
      <w:r>
        <w:t xml:space="preserve"> May 2018.</w:t>
      </w:r>
    </w:p>
  </w:footnote>
  <w:footnote w:id="56">
    <w:p w14:paraId="56015F5E" w14:textId="6887CF05" w:rsidR="00364EEA" w:rsidRDefault="00364EEA">
      <w:pPr>
        <w:pStyle w:val="FootnoteText"/>
      </w:pPr>
      <w:r>
        <w:rPr>
          <w:rStyle w:val="FootnoteReference"/>
        </w:rPr>
        <w:footnoteRef/>
      </w:r>
      <w:r>
        <w:t xml:space="preserve"> See A Whittam Smith, ‘The Case for A Second Brexit Referendum’ (Independent, 3 June 2018) available online at: &lt;</w:t>
      </w:r>
      <w:r w:rsidRPr="00B9240C">
        <w:t>https://www.independent.co.uk/news/long_reads/second-brexit-referendum-why-vince-cable-nick-clegg-immigration-a8377786.html</w:t>
      </w:r>
      <w:r>
        <w:t>&gt; accessed 28</w:t>
      </w:r>
      <w:r w:rsidRPr="00FF0BDE">
        <w:rPr>
          <w:vertAlign w:val="superscript"/>
        </w:rPr>
        <w:t>th</w:t>
      </w:r>
      <w:r>
        <w:t xml:space="preserve"> May 2018. </w:t>
      </w:r>
    </w:p>
  </w:footnote>
  <w:footnote w:id="57">
    <w:p w14:paraId="7894EF07" w14:textId="0147C085" w:rsidR="00364EEA" w:rsidRDefault="00364EEA">
      <w:pPr>
        <w:pStyle w:val="FootnoteText"/>
      </w:pPr>
      <w:r>
        <w:rPr>
          <w:rStyle w:val="FootnoteReference"/>
        </w:rPr>
        <w:footnoteRef/>
      </w:r>
      <w:r>
        <w:t xml:space="preserve"> See for example the Prime Minister’s Lancaster House and Florence speeches, where only two references were made to our universities (specifically in relation to the future of medical science research and research funding). No references were made more widely to Higher Education, and only one reference is made to ‘young people’ specifically: “</w:t>
      </w:r>
      <w:r w:rsidRPr="00B424FD">
        <w:t>I am in no doubt that whatever agreement we reach with the EU, our future is bright. The stability and continuity of centuries of self-government, our commitment to freedom under the rule of law, our belief in enterprise and innovation, but above all, the talent and genius of all our people - and especially our young people - are the seeds of our success in the future, as they have been the guarantors of our success in the past.</w:t>
      </w:r>
      <w:r>
        <w:t>” Seemingly these sentiments have done little to reassure future professionals that their interests are being safeguarded. Speeches available online at: T May,  ‘In Full: Theresa May’s Speech on Future UK-EU Relations’ (BBC News, 2 March 2018) available online at: &lt;</w:t>
      </w:r>
      <w:r w:rsidRPr="00DF6D2B">
        <w:t>https://www.bbc.co.uk/news/uk-politics-43256183</w:t>
      </w:r>
      <w:r>
        <w:t>&gt;; See also more recently A Grice, ‘Boris Johnson’s leaked speech proves Brexiteers are worried they won the referendum battle, but are losing the war’ (The Independent, 8</w:t>
      </w:r>
      <w:r w:rsidRPr="00B424FD">
        <w:rPr>
          <w:vertAlign w:val="superscript"/>
        </w:rPr>
        <w:t>th</w:t>
      </w:r>
      <w:r>
        <w:t xml:space="preserve"> June 2018) available online at: &lt;</w:t>
      </w:r>
      <w:r w:rsidRPr="00B424FD">
        <w:t>https://www.independent.co.uk/voices/brexit-boris-johnson-speech-leaked-theresa-may-trump-david-davis-a8389151.html</w:t>
      </w:r>
      <w:r>
        <w:t>&gt; all accessed 28</w:t>
      </w:r>
      <w:r w:rsidRPr="00FF0BDE">
        <w:rPr>
          <w:vertAlign w:val="superscript"/>
        </w:rPr>
        <w:t>th</w:t>
      </w:r>
      <w:r>
        <w:t xml:space="preserve"> May 2018. </w:t>
      </w:r>
    </w:p>
  </w:footnote>
  <w:footnote w:id="58">
    <w:p w14:paraId="67B6C17C" w14:textId="118EB083" w:rsidR="00364EEA" w:rsidRDefault="00364EEA">
      <w:pPr>
        <w:pStyle w:val="FootnoteText"/>
      </w:pPr>
      <w:r>
        <w:rPr>
          <w:rStyle w:val="FootnoteReference"/>
        </w:rPr>
        <w:footnoteRef/>
      </w:r>
      <w:r>
        <w:t xml:space="preserve"> This has more recently been referred to as the ‘hostile environment’ for foreign nationals in the UK. See for example the Scottish National Party and Nicola Sturgeon press releases on the subject, for example: L Brooks, ‘Nicola Sturgeon calls for Scotland to be given powers over migration’ (The Guardian, 9 June 2018) available online at: &lt;</w:t>
      </w:r>
      <w:r w:rsidRPr="00326CE1">
        <w:t>https://www.theguardian.com/politics/2018/jun/09/nicola-sturgeon-calls-for-scotland-to-be-given-powers-over-migration</w:t>
      </w:r>
      <w:r>
        <w:t>&gt; accessed 28</w:t>
      </w:r>
      <w:r w:rsidRPr="00FF0BDE">
        <w:rPr>
          <w:vertAlign w:val="superscript"/>
        </w:rPr>
        <w:t>th</w:t>
      </w:r>
      <w:r>
        <w:t xml:space="preserve"> May 2018. </w:t>
      </w:r>
    </w:p>
  </w:footnote>
  <w:footnote w:id="59">
    <w:p w14:paraId="3D44BDFA" w14:textId="07F296EC" w:rsidR="00364EEA" w:rsidRDefault="00364EEA">
      <w:pPr>
        <w:pStyle w:val="FootnoteText"/>
      </w:pPr>
      <w:r>
        <w:rPr>
          <w:rStyle w:val="FootnoteReference"/>
        </w:rPr>
        <w:footnoteRef/>
      </w:r>
      <w:r>
        <w:t xml:space="preserve"> Phrase used by a UK student respondent. </w:t>
      </w:r>
    </w:p>
  </w:footnote>
  <w:footnote w:id="60">
    <w:p w14:paraId="098579C5" w14:textId="5AD1F26E" w:rsidR="00364EEA" w:rsidRDefault="00364EEA">
      <w:pPr>
        <w:pStyle w:val="FootnoteText"/>
      </w:pPr>
      <w:r>
        <w:rPr>
          <w:rStyle w:val="FootnoteReference"/>
        </w:rPr>
        <w:footnoteRef/>
      </w:r>
      <w:r>
        <w:t xml:space="preserve"> Phrase used by an EU student respondent. </w:t>
      </w:r>
    </w:p>
  </w:footnote>
  <w:footnote w:id="61">
    <w:p w14:paraId="5E9C35B5" w14:textId="4BC83CF3" w:rsidR="00364EEA" w:rsidRDefault="00364EEA">
      <w:pPr>
        <w:pStyle w:val="FootnoteText"/>
      </w:pPr>
      <w:r>
        <w:rPr>
          <w:rStyle w:val="FootnoteReference"/>
        </w:rPr>
        <w:footnoteRef/>
      </w:r>
      <w:r>
        <w:t xml:space="preserve"> Phrase used by an international (non-EU) respondent. </w:t>
      </w:r>
    </w:p>
  </w:footnote>
  <w:footnote w:id="62">
    <w:p w14:paraId="36F8FAB8" w14:textId="37B7A063" w:rsidR="00364EEA" w:rsidRDefault="00364EEA">
      <w:pPr>
        <w:pStyle w:val="FootnoteText"/>
      </w:pPr>
      <w:r>
        <w:rPr>
          <w:rStyle w:val="FootnoteReference"/>
        </w:rPr>
        <w:footnoteRef/>
      </w:r>
      <w:r>
        <w:t xml:space="preserve"> European Commission, ‘Jobs at the European Commission: How to become an EU official or find temporary jobs and other career opportunities within EU institutions.’ (Europa 2018) available online at: &lt;https://europa.eu/info/jobs-european-commission_en&gt; accessed 28</w:t>
      </w:r>
      <w:r w:rsidRPr="00FF0BDE">
        <w:rPr>
          <w:vertAlign w:val="superscript"/>
        </w:rPr>
        <w:t>th</w:t>
      </w:r>
      <w:r>
        <w:t xml:space="preserve"> May 2018. </w:t>
      </w:r>
    </w:p>
  </w:footnote>
  <w:footnote w:id="63">
    <w:p w14:paraId="15CA6B8C" w14:textId="4641C348" w:rsidR="00364EEA" w:rsidRDefault="00364EEA">
      <w:pPr>
        <w:pStyle w:val="FootnoteText"/>
      </w:pPr>
      <w:r>
        <w:rPr>
          <w:rStyle w:val="FootnoteReference"/>
        </w:rPr>
        <w:footnoteRef/>
      </w:r>
      <w:r>
        <w:t xml:space="preserve"> </w:t>
      </w:r>
      <w:r w:rsidRPr="007B38E1">
        <w:t>The Blue Card is an approved EU-wide work permit (Council Directive 2009/50/EC) allowing high-skilled non-EU citizens to work and live in any country within the European Union, excluding Denmark, Ireland and the United Kingdom, which are not subject to the proposal.</w:t>
      </w:r>
      <w:r>
        <w:t xml:space="preserve"> For commentary see: EU Blue Card Network, ‘Live and Work in Europe’ (2012-2018 Apply EU) available online at: &lt;https://www.apply.eu&gt; accessed 28</w:t>
      </w:r>
      <w:r w:rsidRPr="00FF0BDE">
        <w:rPr>
          <w:vertAlign w:val="superscript"/>
        </w:rPr>
        <w:t>th</w:t>
      </w:r>
      <w:r>
        <w:t xml:space="preserve"> May 2018.</w:t>
      </w:r>
    </w:p>
  </w:footnote>
  <w:footnote w:id="64">
    <w:p w14:paraId="6ADBE2F5" w14:textId="74A16478" w:rsidR="00364EEA" w:rsidRDefault="00364EEA">
      <w:pPr>
        <w:pStyle w:val="FootnoteText"/>
      </w:pPr>
      <w:r>
        <w:rPr>
          <w:rStyle w:val="FootnoteReference"/>
        </w:rPr>
        <w:footnoteRef/>
      </w:r>
      <w:r>
        <w:t xml:space="preserve"> See for example: S Clear and M Parker, ‘Home v International Law Student Expectations: Understanding and Embracing Internationalisation within the Classroom to Facilitate Peer-to-Peer Learning’ (Association of Law Teachers’ Annual Conference, University of Portsmouth 2017) available online at: &lt;</w:t>
      </w:r>
      <w:r w:rsidRPr="003C4957">
        <w:t>http://www.lawteacher.ac.uk/docs/2017/Stephen-Clear-ALT-Slides-Complete.pdf</w:t>
      </w:r>
      <w:r>
        <w:t>&gt; accessed 28</w:t>
      </w:r>
      <w:r w:rsidRPr="00FF0BDE">
        <w:rPr>
          <w:vertAlign w:val="superscript"/>
        </w:rPr>
        <w:t>th</w:t>
      </w:r>
      <w:r>
        <w:t xml:space="preserve"> May 2018.</w:t>
      </w:r>
    </w:p>
  </w:footnote>
  <w:footnote w:id="65">
    <w:p w14:paraId="017702CC" w14:textId="2E38BB01" w:rsidR="00364EEA" w:rsidRDefault="00364EEA">
      <w:pPr>
        <w:pStyle w:val="FootnoteText"/>
      </w:pPr>
      <w:r>
        <w:rPr>
          <w:rStyle w:val="FootnoteReference"/>
        </w:rPr>
        <w:footnoteRef/>
      </w:r>
      <w:r>
        <w:t xml:space="preserve"> For commentary in relation to headlines such as:</w:t>
      </w:r>
      <w:r w:rsidRPr="00870D89">
        <w:t xml:space="preserve"> </w:t>
      </w:r>
      <w:r>
        <w:t>“Your Country Needs You Vote Leave Today”, “Nailed: Four Big EU Lies”, “The Betrayal of Britain” (The Daily Mail), and “Vote Leave to Make Britain Even Greater” and “Independence Day” (The Sun); see: G Harding, ‘Media Lies and Brexit: A Double Hammer-Blow to Europe and Ethical Journalism’ (Ethical Journalism Network, 31</w:t>
      </w:r>
      <w:r w:rsidRPr="00F156A6">
        <w:rPr>
          <w:vertAlign w:val="superscript"/>
        </w:rPr>
        <w:t>st</w:t>
      </w:r>
      <w:r>
        <w:t xml:space="preserve"> May 2018) available online at: &lt;</w:t>
      </w:r>
      <w:r w:rsidRPr="00F156A6">
        <w:t>https://ethicaljournalismnetwork.org/resources/publications/ethics-in-the-news/media-lies-and-brexit</w:t>
      </w:r>
      <w:r>
        <w:t>&gt; accessed 28</w:t>
      </w:r>
      <w:r w:rsidRPr="00FF0BDE">
        <w:rPr>
          <w:vertAlign w:val="superscript"/>
        </w:rPr>
        <w:t>th</w:t>
      </w:r>
      <w:r>
        <w:t xml:space="preserve"> May 2018.</w:t>
      </w:r>
    </w:p>
  </w:footnote>
  <w:footnote w:id="66">
    <w:p w14:paraId="1B81A150" w14:textId="343FDA14" w:rsidR="00364EEA" w:rsidRDefault="00364EEA" w:rsidP="00870D89">
      <w:pPr>
        <w:pStyle w:val="FootnoteText"/>
      </w:pPr>
      <w:r>
        <w:rPr>
          <w:rStyle w:val="FootnoteReference"/>
        </w:rPr>
        <w:footnoteRef/>
      </w:r>
      <w:r>
        <w:t xml:space="preserve"> See for example: Boris Johnson (Foreign Secretary) statement: “If we get outside the EU, if we leave the EU system, we will be relieved of a huge amount of unnecessary regulation that is holding this country back. We will be able to set our own priorities, make our own laws and set our own tax policies to suit the needs of this country. We have a huge opportunity also to make people's votes count for mor</w:t>
      </w:r>
      <w:r w:rsidR="00276DA3">
        <w:t>e”, part of the House of Common</w:t>
      </w:r>
      <w:r>
        <w:t>s debate on leaving the European Union (Hansard Vol 635</w:t>
      </w:r>
      <w:r w:rsidR="00276DA3">
        <w:t>,</w:t>
      </w:r>
      <w:r>
        <w:t xml:space="preserve"> 22 January 2018) available online at: &lt;</w:t>
      </w:r>
      <w:r w:rsidRPr="00870D89">
        <w:t>https://hansard.parliament.uk/Commons/2018-01-22/debates/1BEAD2EE-F7CC-4732-A4CC-DC4D8E5D8B93/LeavingTheEuropeanUnion</w:t>
      </w:r>
      <w:r>
        <w:t>&gt;; and Liam Fox (International Trade Secretary) stating: “</w:t>
      </w:r>
      <w:r w:rsidRPr="00870D89">
        <w:t xml:space="preserve">Any form of customs union with the EU after Brexit would be a "complete </w:t>
      </w:r>
      <w:proofErr w:type="spellStart"/>
      <w:r w:rsidRPr="00870D89">
        <w:t>sellout</w:t>
      </w:r>
      <w:proofErr w:type="spellEnd"/>
      <w:r w:rsidRPr="00870D89">
        <w:t>" for the UK</w:t>
      </w:r>
      <w:r>
        <w:t>”, for analysis see: L Fox, ‘Brexit: Liam Fox Warning of Customs Union ‘Sell Out’’ (BBC News</w:t>
      </w:r>
      <w:r w:rsidR="00276DA3">
        <w:t>,</w:t>
      </w:r>
      <w:r>
        <w:t xml:space="preserve"> 27 February 2018) available online at: &lt;</w:t>
      </w:r>
      <w:r w:rsidRPr="00870D89">
        <w:t>https://www.bbc.co.uk/news/uk-politics-43204460</w:t>
      </w:r>
      <w:r>
        <w:t>&gt; all accessed 28</w:t>
      </w:r>
      <w:r w:rsidRPr="00FF0BDE">
        <w:rPr>
          <w:vertAlign w:val="superscript"/>
        </w:rPr>
        <w:t>th</w:t>
      </w:r>
      <w:r>
        <w:t xml:space="preserve"> May 2018.</w:t>
      </w:r>
    </w:p>
  </w:footnote>
  <w:footnote w:id="67">
    <w:p w14:paraId="08D92CCB" w14:textId="364B1FE9" w:rsidR="00364EEA" w:rsidRDefault="00364EEA">
      <w:pPr>
        <w:pStyle w:val="FootnoteText"/>
      </w:pPr>
      <w:r>
        <w:rPr>
          <w:rStyle w:val="FootnoteReference"/>
        </w:rPr>
        <w:footnoteRef/>
      </w:r>
      <w:r>
        <w:t xml:space="preserve"> The other 16% thou</w:t>
      </w:r>
      <w:r w:rsidR="00276DA3">
        <w:t>ght Brexit would make studying l</w:t>
      </w:r>
      <w:r>
        <w:t xml:space="preserve">aw in Wales neither more </w:t>
      </w:r>
      <w:r w:rsidR="00276DA3">
        <w:t>n</w:t>
      </w:r>
      <w:r>
        <w:t xml:space="preserve">or less attractive. </w:t>
      </w:r>
    </w:p>
  </w:footnote>
  <w:footnote w:id="68">
    <w:p w14:paraId="07EE3A6D" w14:textId="2D047E67" w:rsidR="00364EEA" w:rsidRDefault="00364EEA">
      <w:pPr>
        <w:pStyle w:val="FootnoteText"/>
      </w:pPr>
      <w:r>
        <w:rPr>
          <w:rStyle w:val="FootnoteReference"/>
        </w:rPr>
        <w:footnoteRef/>
      </w:r>
      <w:r>
        <w:t xml:space="preserve"> The calculation of </w:t>
      </w:r>
      <w:r w:rsidRPr="00DB7565">
        <w:rPr>
          <w:i/>
        </w:rPr>
        <w:t>at least</w:t>
      </w:r>
      <w:r>
        <w:t xml:space="preserve"> 53 individuals is based on a conservative estimate of: 1) knowledge, or previous collaboration, with different Welsh law school’s employees; and/or 2) express reference to their nationality or country of origin, as contained within respective staff profiles. There are limitations as to accuracy of this figure being calculated in this fashion, including how the individual may classify their own nationality; as well as other academics who may not have referred to any nationality within their profile, yet </w:t>
      </w:r>
      <w:r w:rsidR="00276DA3">
        <w:t xml:space="preserve">clearly </w:t>
      </w:r>
      <w:r>
        <w:t xml:space="preserve">originate from outside the UK. Nonetheless the figure of 53 is believed to be an accurate reflection of at least the minimum number of overseas academics teaching within Welsh law schools. </w:t>
      </w:r>
    </w:p>
  </w:footnote>
  <w:footnote w:id="69">
    <w:p w14:paraId="7C531140" w14:textId="685A97D7" w:rsidR="00364EEA" w:rsidRDefault="00364EEA">
      <w:pPr>
        <w:pStyle w:val="FootnoteText"/>
      </w:pPr>
      <w:r>
        <w:rPr>
          <w:rStyle w:val="FootnoteReference"/>
        </w:rPr>
        <w:footnoteRef/>
      </w:r>
      <w:r>
        <w:t xml:space="preserve"> L Buch, ‘Brexit: More than 2,300 EU academics resign amid warning over UK university ‘</w:t>
      </w:r>
      <w:proofErr w:type="spellStart"/>
      <w:r>
        <w:t>Brexodus</w:t>
      </w:r>
      <w:proofErr w:type="spellEnd"/>
      <w:r>
        <w:t>’’ (Independent, 6 January 2018) available online at: &lt;</w:t>
      </w:r>
      <w:r w:rsidRPr="00741761">
        <w:t xml:space="preserve"> https://www.independent.co.uk/news/uk/politics/brexit-latest-news-uk-university-eu-academics-resign-immigration-brexodus-citizens-europe-a8143796.html</w:t>
      </w:r>
      <w:r>
        <w:t>&gt; accessed 28</w:t>
      </w:r>
      <w:r w:rsidRPr="00616777">
        <w:rPr>
          <w:vertAlign w:val="superscript"/>
        </w:rPr>
        <w:t>th</w:t>
      </w:r>
      <w:r>
        <w:t xml:space="preserve"> May 2018.</w:t>
      </w:r>
    </w:p>
  </w:footnote>
  <w:footnote w:id="70">
    <w:p w14:paraId="5DA5C4F2" w14:textId="6F122B12" w:rsidR="00364EEA" w:rsidRDefault="00364EEA">
      <w:pPr>
        <w:pStyle w:val="FootnoteText"/>
      </w:pPr>
      <w:r>
        <w:rPr>
          <w:rStyle w:val="FootnoteReference"/>
        </w:rPr>
        <w:footnoteRef/>
      </w:r>
      <w:r>
        <w:t>A</w:t>
      </w:r>
      <w:r w:rsidR="00276DA3">
        <w:t xml:space="preserve"> current necessity to satisfy</w:t>
      </w:r>
      <w:r w:rsidRPr="00DB7565">
        <w:t xml:space="preserve"> the Law Society and Bar Council academic stage requirements for training as a solicitor or barrister</w:t>
      </w:r>
      <w:r>
        <w:t>.</w:t>
      </w:r>
    </w:p>
  </w:footnote>
  <w:footnote w:id="71">
    <w:p w14:paraId="6D8A54E3" w14:textId="4228DEAD" w:rsidR="00364EEA" w:rsidRDefault="00364EEA">
      <w:pPr>
        <w:pStyle w:val="FootnoteText"/>
      </w:pPr>
      <w:r>
        <w:rPr>
          <w:rStyle w:val="FootnoteReference"/>
        </w:rPr>
        <w:footnoteRef/>
      </w:r>
      <w:r>
        <w:t xml:space="preserve"> A further 11% felt that Brexit made Wales a neither more or less attractive place for EU Lecturers to teach and research; and a further 7% felt Brexit made Wales a more attractive place to work for EU academics. However, no text comments explained the reasons for the views of this 7%.</w:t>
      </w:r>
    </w:p>
  </w:footnote>
  <w:footnote w:id="72">
    <w:p w14:paraId="3930A876" w14:textId="23249664" w:rsidR="00364EEA" w:rsidRDefault="00364EEA">
      <w:pPr>
        <w:pStyle w:val="FootnoteText"/>
      </w:pPr>
      <w:r>
        <w:rPr>
          <w:rStyle w:val="FootnoteReference"/>
        </w:rPr>
        <w:footnoteRef/>
      </w:r>
      <w:r>
        <w:t xml:space="preserve"> British Medical Association, ‘Almost a fifth of EU doctors have made plans to leave UK following Brexit vote’ (BMA 14 November 2017) available online at: &lt;</w:t>
      </w:r>
      <w:r w:rsidRPr="00F62386">
        <w:t xml:space="preserve"> https://www.bma.org.uk/news/media-centre/press-releases/2017/november/almost-a-fifth-of-eu-doctors-have-made-plans-to-leave-uk-following-brexit-vote</w:t>
      </w:r>
      <w:r>
        <w:t>&gt; accessed 28</w:t>
      </w:r>
      <w:r w:rsidRPr="00616777">
        <w:rPr>
          <w:vertAlign w:val="superscript"/>
        </w:rPr>
        <w:t>th</w:t>
      </w:r>
      <w:r>
        <w:t xml:space="preserve"> May 2018.</w:t>
      </w:r>
    </w:p>
  </w:footnote>
  <w:footnote w:id="73">
    <w:p w14:paraId="7E26D697" w14:textId="1C5D0B4B" w:rsidR="00364EEA" w:rsidRDefault="00364EEA">
      <w:pPr>
        <w:pStyle w:val="FootnoteText"/>
      </w:pPr>
      <w:r>
        <w:rPr>
          <w:rStyle w:val="FootnoteReference"/>
        </w:rPr>
        <w:footnoteRef/>
      </w:r>
      <w:r>
        <w:t>Whilst this was previously recognised to be the case in relation to the NHS (See: M Bulman, ‘Doctors told to leave UK after Home Office refuses to issue them visas’ (Independent, 5 June 2018) available online at: &lt;</w:t>
      </w:r>
      <w:r w:rsidRPr="00492B99">
        <w:t>https://www.independent.co.uk/news/uk/home-news/nhs-doctors-visas-home-office-uk-leave-immigration-cap-a8383311.html</w:t>
      </w:r>
      <w:r>
        <w:t>&gt; accessed 28</w:t>
      </w:r>
      <w:r w:rsidRPr="00616777">
        <w:rPr>
          <w:vertAlign w:val="superscript"/>
        </w:rPr>
        <w:t>th</w:t>
      </w:r>
      <w:r>
        <w:t xml:space="preserve"> May 2018) the cap on those entering the Health profession has now been lifted within the UK. However such targets still exist in other professions (including education) </w:t>
      </w:r>
      <w:proofErr w:type="gramStart"/>
      <w:r>
        <w:t>For</w:t>
      </w:r>
      <w:proofErr w:type="gramEnd"/>
      <w:r>
        <w:t xml:space="preserve"> overview of Government policy see: UK Government, ‘Tier 2 (General) Visa’ (Gov.uk 2018) available online at: &lt;</w:t>
      </w:r>
      <w:r w:rsidRPr="00DB7565">
        <w:t>https://www.gov.uk/tier-2-general</w:t>
      </w:r>
      <w:r>
        <w:t>&gt; accessed 10</w:t>
      </w:r>
      <w:r w:rsidRPr="00DB7565">
        <w:rPr>
          <w:vertAlign w:val="superscript"/>
        </w:rPr>
        <w:t>th</w:t>
      </w:r>
      <w:r>
        <w:t xml:space="preserve"> September 2018. For commentary see B Chapman, ‘UK should scrap immigration targets after Brexit, businesses say’ (Independent 10</w:t>
      </w:r>
      <w:r>
        <w:rPr>
          <w:vertAlign w:val="superscript"/>
        </w:rPr>
        <w:t xml:space="preserve"> </w:t>
      </w:r>
      <w:r>
        <w:t>August 2018) available online at: &lt;</w:t>
      </w:r>
      <w:r w:rsidRPr="00DB7565">
        <w:t>https://www.independent.co.uk/news/business/news/brexit-uk-immigration-targets-trade-business-eu-migrants-cbi-report-a8485376.html</w:t>
      </w:r>
      <w:r>
        <w:t>&gt; accessed 10</w:t>
      </w:r>
      <w:r w:rsidRPr="00DB7565">
        <w:rPr>
          <w:vertAlign w:val="superscript"/>
        </w:rPr>
        <w:t>th</w:t>
      </w:r>
      <w:r>
        <w:t xml:space="preserve"> September 2018.</w:t>
      </w:r>
    </w:p>
  </w:footnote>
  <w:footnote w:id="74">
    <w:p w14:paraId="6EC656D4" w14:textId="5E609357" w:rsidR="00364EEA" w:rsidRPr="00C8118C" w:rsidRDefault="00364EEA" w:rsidP="006656F8">
      <w:pPr>
        <w:pStyle w:val="FootnoteText"/>
      </w:pPr>
      <w:r>
        <w:rPr>
          <w:rStyle w:val="FootnoteReference"/>
        </w:rPr>
        <w:footnoteRef/>
      </w:r>
      <w:r w:rsidR="00C478E5">
        <w:t xml:space="preserve"> A</w:t>
      </w:r>
      <w:r>
        <w:t xml:space="preserve"> </w:t>
      </w:r>
      <w:r w:rsidR="00C478E5">
        <w:t>“</w:t>
      </w:r>
      <w:r>
        <w:t>don’t know</w:t>
      </w:r>
      <w:r w:rsidR="00C478E5">
        <w:t>”</w:t>
      </w:r>
      <w:r>
        <w:t xml:space="preserve"> option was also given. A positive value +2 was attributed to a statement which indicated </w:t>
      </w:r>
      <w:r w:rsidRPr="00C8118C">
        <w:rPr>
          <w:b/>
        </w:rPr>
        <w:t>strongly agree</w:t>
      </w:r>
      <w:r>
        <w:t xml:space="preserve"> to a pro-Brexit stance; and a value of +1 to a statement which indicated the respondent </w:t>
      </w:r>
      <w:r>
        <w:rPr>
          <w:b/>
        </w:rPr>
        <w:t>agree</w:t>
      </w:r>
      <w:r>
        <w:t xml:space="preserve">d with a pro-Brexit statement. Negative values of -2 and -1 were attributed to statements which strongly disagreed and disagreed with an anti-Brexit stance. Values of ‘0’ were attributed to responses that indicated ‘neither agree or disagree’ and ‘do not know’. </w:t>
      </w:r>
    </w:p>
  </w:footnote>
  <w:footnote w:id="75">
    <w:p w14:paraId="504787ED" w14:textId="2F557600" w:rsidR="00364EEA" w:rsidRDefault="00364EEA">
      <w:pPr>
        <w:pStyle w:val="FootnoteText"/>
      </w:pPr>
      <w:r>
        <w:rPr>
          <w:rStyle w:val="FootnoteReference"/>
        </w:rPr>
        <w:footnoteRef/>
      </w:r>
      <w:r>
        <w:t xml:space="preserve"> </w:t>
      </w:r>
      <w:r w:rsidRPr="00932B84">
        <w:t xml:space="preserve">Possible </w:t>
      </w:r>
      <w:r>
        <w:t>justifications</w:t>
      </w:r>
      <w:r w:rsidRPr="00932B84">
        <w:t xml:space="preserve"> for this stance are explored above in relation to the relevance of EU law post Brexit.</w:t>
      </w:r>
      <w:r>
        <w:t xml:space="preserve"> See</w:t>
      </w:r>
      <w:r w:rsidR="00C478E5">
        <w:t xml:space="preserve"> above</w:t>
      </w:r>
      <w:r>
        <w:t xml:space="preserve"> 4. Students’ Perceptions of European Union Law. </w:t>
      </w:r>
    </w:p>
  </w:footnote>
  <w:footnote w:id="76">
    <w:p w14:paraId="02C8E1E4" w14:textId="5B6B60E4" w:rsidR="00364EEA" w:rsidRDefault="00364EEA">
      <w:pPr>
        <w:pStyle w:val="FootnoteText"/>
      </w:pPr>
      <w:r>
        <w:rPr>
          <w:rStyle w:val="FootnoteReference"/>
        </w:rPr>
        <w:footnoteRef/>
      </w:r>
      <w:r>
        <w:t xml:space="preserve"> Countries which are not part of the European Union include: </w:t>
      </w:r>
      <w:r w:rsidRPr="00F8755F">
        <w:t>Albania, Armenia</w:t>
      </w:r>
      <w:r>
        <w:t>,</w:t>
      </w:r>
      <w:r w:rsidRPr="00F8755F">
        <w:t xml:space="preserve"> Belarus, Gibraltar, Iceland, Kosovo, </w:t>
      </w:r>
      <w:proofErr w:type="spellStart"/>
      <w:r w:rsidRPr="00F8755F">
        <w:t>Lechtenstein</w:t>
      </w:r>
      <w:proofErr w:type="spellEnd"/>
      <w:r w:rsidRPr="00F8755F">
        <w:t xml:space="preserve">, Macedonia, Norway, Russian Federation, Switzerland, Turkey, Ukraine, and </w:t>
      </w:r>
      <w:r>
        <w:t xml:space="preserve">the </w:t>
      </w:r>
      <w:r w:rsidRPr="00F8755F">
        <w:t>Vatican City State</w:t>
      </w:r>
      <w:r>
        <w:t>.</w:t>
      </w:r>
    </w:p>
  </w:footnote>
  <w:footnote w:id="77">
    <w:p w14:paraId="562EFD33" w14:textId="7126F87B" w:rsidR="00364EEA" w:rsidRPr="00BF5102" w:rsidRDefault="00364EEA" w:rsidP="00076A85">
      <w:pPr>
        <w:pStyle w:val="FootnoteText"/>
      </w:pPr>
      <w:r>
        <w:rPr>
          <w:rStyle w:val="FootnoteReference"/>
        </w:rPr>
        <w:footnoteRef/>
      </w:r>
      <w:r>
        <w:t xml:space="preserve"> Such </w:t>
      </w:r>
      <w:r w:rsidRPr="00FF374D">
        <w:t>can be traced back to the Roman Empire, with juris-consults determining rationality and liability still common place today across Member States.</w:t>
      </w:r>
      <w:r>
        <w:t xml:space="preserve"> See further H Patrick Glenn, ‘Roman Law and Law in Europe’ in </w:t>
      </w:r>
      <w:r>
        <w:rPr>
          <w:i/>
        </w:rPr>
        <w:t xml:space="preserve">Legal Traditions of the World </w:t>
      </w:r>
      <w:r>
        <w:t>(3</w:t>
      </w:r>
      <w:r w:rsidRPr="00BF5102">
        <w:rPr>
          <w:vertAlign w:val="superscript"/>
        </w:rPr>
        <w:t>rd</w:t>
      </w:r>
      <w:r>
        <w:t xml:space="preserve"> </w:t>
      </w:r>
      <w:proofErr w:type="spellStart"/>
      <w:r>
        <w:t>edn</w:t>
      </w:r>
      <w:proofErr w:type="spellEnd"/>
      <w:r>
        <w:t xml:space="preserve"> OUP 2007) pp. 131-134. </w:t>
      </w:r>
    </w:p>
  </w:footnote>
  <w:footnote w:id="78">
    <w:p w14:paraId="236B7808" w14:textId="267B9943" w:rsidR="00364EEA" w:rsidRDefault="00364EEA">
      <w:pPr>
        <w:pStyle w:val="FootnoteText"/>
      </w:pPr>
      <w:r>
        <w:rPr>
          <w:rStyle w:val="FootnoteReference"/>
        </w:rPr>
        <w:footnoteRef/>
      </w:r>
      <w:r>
        <w:t xml:space="preserve"> For example see:</w:t>
      </w:r>
      <w:r w:rsidR="00C478E5">
        <w:t xml:space="preserve"> C Barnard and S Peers (</w:t>
      </w:r>
      <w:proofErr w:type="spellStart"/>
      <w:proofErr w:type="gramStart"/>
      <w:r w:rsidR="00C478E5">
        <w:t>eds</w:t>
      </w:r>
      <w:proofErr w:type="spellEnd"/>
      <w:proofErr w:type="gramEnd"/>
      <w:r w:rsidR="00C478E5">
        <w:t xml:space="preserve">), </w:t>
      </w:r>
      <w:r w:rsidR="00C478E5">
        <w:rPr>
          <w:i/>
        </w:rPr>
        <w:t xml:space="preserve">European Union Law </w:t>
      </w:r>
      <w:r w:rsidR="00C478E5">
        <w:t>(2</w:t>
      </w:r>
      <w:r w:rsidR="00C478E5" w:rsidRPr="00C478E5">
        <w:rPr>
          <w:vertAlign w:val="superscript"/>
        </w:rPr>
        <w:t>nd</w:t>
      </w:r>
      <w:r w:rsidR="00C478E5">
        <w:t xml:space="preserve"> </w:t>
      </w:r>
      <w:proofErr w:type="spellStart"/>
      <w:r w:rsidR="00C478E5">
        <w:t>edn</w:t>
      </w:r>
      <w:proofErr w:type="spellEnd"/>
      <w:r w:rsidR="00C478E5">
        <w:t xml:space="preserve"> OUP, 2017) </w:t>
      </w:r>
      <w:proofErr w:type="spellStart"/>
      <w:r w:rsidR="00C478E5">
        <w:t>Ch</w:t>
      </w:r>
      <w:proofErr w:type="spellEnd"/>
      <w:r w:rsidR="00C478E5">
        <w:t xml:space="preserve"> 1-2; N Foster, </w:t>
      </w:r>
      <w:r w:rsidR="00C478E5">
        <w:rPr>
          <w:i/>
        </w:rPr>
        <w:t xml:space="preserve">Foster on EU Law </w:t>
      </w:r>
      <w:r w:rsidR="00C478E5">
        <w:t>(6</w:t>
      </w:r>
      <w:r w:rsidR="00C478E5" w:rsidRPr="00C478E5">
        <w:rPr>
          <w:vertAlign w:val="superscript"/>
        </w:rPr>
        <w:t>th</w:t>
      </w:r>
      <w:r w:rsidR="00C478E5">
        <w:t xml:space="preserve"> </w:t>
      </w:r>
      <w:proofErr w:type="spellStart"/>
      <w:r w:rsidR="00C478E5">
        <w:t>edn</w:t>
      </w:r>
      <w:proofErr w:type="spellEnd"/>
      <w:r w:rsidR="00C478E5">
        <w:t xml:space="preserve"> OUP, 2017) Part 1.3; P Craig, G De </w:t>
      </w:r>
      <w:proofErr w:type="spellStart"/>
      <w:r w:rsidR="00C478E5">
        <w:t>Burca</w:t>
      </w:r>
      <w:proofErr w:type="spellEnd"/>
      <w:r w:rsidR="00C478E5">
        <w:t xml:space="preserve">, </w:t>
      </w:r>
      <w:r w:rsidR="00C478E5">
        <w:rPr>
          <w:i/>
        </w:rPr>
        <w:t xml:space="preserve">EU Law Text, Cases and Materials </w:t>
      </w:r>
      <w:r w:rsidR="00C478E5">
        <w:t>(6</w:t>
      </w:r>
      <w:r w:rsidR="00C478E5" w:rsidRPr="00C478E5">
        <w:rPr>
          <w:vertAlign w:val="superscript"/>
        </w:rPr>
        <w:t>th</w:t>
      </w:r>
      <w:r w:rsidR="00C478E5">
        <w:t xml:space="preserve"> </w:t>
      </w:r>
      <w:proofErr w:type="spellStart"/>
      <w:r w:rsidR="00F2105B">
        <w:t>edn</w:t>
      </w:r>
      <w:proofErr w:type="spellEnd"/>
      <w:r w:rsidR="00F2105B">
        <w:t xml:space="preserve"> OUP, 2015) </w:t>
      </w:r>
      <w:proofErr w:type="spellStart"/>
      <w:r w:rsidR="00F2105B">
        <w:t>Ch</w:t>
      </w:r>
      <w:proofErr w:type="spellEnd"/>
      <w:r w:rsidR="00F2105B">
        <w:t xml:space="preserve"> 1. Also for example see:</w:t>
      </w:r>
      <w:r>
        <w:t xml:space="preserve"> A </w:t>
      </w:r>
      <w:proofErr w:type="spellStart"/>
      <w:r>
        <w:t>Gray</w:t>
      </w:r>
      <w:proofErr w:type="spellEnd"/>
      <w:r>
        <w:t>, “Article 50 author Lord Kerr: I didn’t have UK in mind” (Politico 28 March 2017) available online at: &lt;</w:t>
      </w:r>
      <w:r w:rsidRPr="00FF374D">
        <w:t>https://www.politico.eu/article/brexit-article-50-lord-kerr-john-kerr/</w:t>
      </w:r>
      <w:r>
        <w:t>&gt; accessed 11</w:t>
      </w:r>
      <w:r w:rsidRPr="0086282C">
        <w:rPr>
          <w:vertAlign w:val="superscript"/>
        </w:rPr>
        <w:t>th</w:t>
      </w:r>
      <w:r>
        <w:t xml:space="preserve"> October 2018. </w:t>
      </w:r>
    </w:p>
  </w:footnote>
  <w:footnote w:id="79">
    <w:p w14:paraId="6B119044" w14:textId="259C5053" w:rsidR="00364EEA" w:rsidRDefault="00364EEA">
      <w:pPr>
        <w:pStyle w:val="FootnoteText"/>
      </w:pPr>
      <w:r>
        <w:rPr>
          <w:rStyle w:val="FootnoteReference"/>
        </w:rPr>
        <w:footnoteRef/>
      </w:r>
      <w:r>
        <w:t xml:space="preserve"> T</w:t>
      </w:r>
      <w:r w:rsidRPr="0080112D">
        <w:t>he judicial arm of the EU which has responsibility for consistently applying EU law within each country</w:t>
      </w:r>
      <w:r>
        <w:t>, with its membership consisting of</w:t>
      </w:r>
      <w:r w:rsidRPr="0080112D">
        <w:t xml:space="preserve"> one judge from each EU </w:t>
      </w:r>
      <w:r>
        <w:t>Member State</w:t>
      </w:r>
      <w:r w:rsidRPr="0080112D">
        <w:t xml:space="preserve">, plus 11 </w:t>
      </w:r>
      <w:r>
        <w:t>A</w:t>
      </w:r>
      <w:r w:rsidRPr="0080112D">
        <w:t xml:space="preserve">dvocate </w:t>
      </w:r>
      <w:r>
        <w:t>G</w:t>
      </w:r>
      <w:r w:rsidRPr="0080112D">
        <w:t>enerals</w:t>
      </w:r>
      <w:r>
        <w:t>.</w:t>
      </w:r>
    </w:p>
  </w:footnote>
  <w:footnote w:id="80">
    <w:p w14:paraId="10729A70" w14:textId="078C9418" w:rsidR="00364EEA" w:rsidRDefault="00364EEA">
      <w:pPr>
        <w:pStyle w:val="FootnoteText"/>
      </w:pPr>
      <w:r>
        <w:rPr>
          <w:rStyle w:val="FootnoteReference"/>
        </w:rPr>
        <w:footnoteRef/>
      </w:r>
      <w:r>
        <w:t xml:space="preserve"> W</w:t>
      </w:r>
      <w:r w:rsidRPr="00734A23">
        <w:t>ith the Universities of Oxford, Cambridge and London featuring in 13% of the judges’ profiles</w:t>
      </w:r>
      <w:r>
        <w:t>.</w:t>
      </w:r>
    </w:p>
  </w:footnote>
  <w:footnote w:id="81">
    <w:p w14:paraId="31B8BD80" w14:textId="1A20FB38" w:rsidR="00364EEA" w:rsidRDefault="00364EEA">
      <w:pPr>
        <w:pStyle w:val="FootnoteText"/>
      </w:pPr>
      <w:r>
        <w:rPr>
          <w:rStyle w:val="FootnoteReference"/>
        </w:rPr>
        <w:footnoteRef/>
      </w:r>
      <w:r>
        <w:t xml:space="preserve"> Court of Justice of the European Union, ‘Court of Justice: Presentation of Members’ (Curia Europa, 2018) available online at: &lt;</w:t>
      </w:r>
      <w:r w:rsidRPr="00D162AE">
        <w:t>https://curia.europa.eu/jcms/jcms/Jo2_7026/en/</w:t>
      </w:r>
      <w:r>
        <w:t>&gt; accessed 11</w:t>
      </w:r>
      <w:r w:rsidRPr="00D162AE">
        <w:rPr>
          <w:vertAlign w:val="superscript"/>
        </w:rPr>
        <w:t>th</w:t>
      </w:r>
      <w:r>
        <w:t xml:space="preserve"> October 2018. </w:t>
      </w:r>
    </w:p>
  </w:footnote>
  <w:footnote w:id="82">
    <w:p w14:paraId="1756DD50" w14:textId="0AF96EED" w:rsidR="00364EEA" w:rsidRDefault="00364EEA">
      <w:pPr>
        <w:pStyle w:val="FootnoteText"/>
      </w:pPr>
      <w:r>
        <w:rPr>
          <w:rStyle w:val="FootnoteReference"/>
        </w:rPr>
        <w:footnoteRef/>
      </w:r>
      <w:r>
        <w:t xml:space="preserve"> Universities UK International, ‘International Facts and Figures’ (Higher Education</w:t>
      </w:r>
      <w:r w:rsidR="00C478E5">
        <w:t>,</w:t>
      </w:r>
      <w:r>
        <w:t xml:space="preserve"> 2017) available online at: &lt;</w:t>
      </w:r>
      <w:r w:rsidRPr="00397587">
        <w:t>https://www.universitiesuk.ac.uk/policy-and-analysis/reports/Documents/International/International_Facts_and_Figures_2017.pdf</w:t>
      </w:r>
      <w:r>
        <w:t>&gt; accessed 11</w:t>
      </w:r>
      <w:r w:rsidRPr="00397587">
        <w:rPr>
          <w:vertAlign w:val="superscript"/>
        </w:rPr>
        <w:t>th</w:t>
      </w:r>
      <w:r>
        <w:t xml:space="preserve"> October 2018. </w:t>
      </w:r>
    </w:p>
  </w:footnote>
  <w:footnote w:id="83">
    <w:p w14:paraId="59A33A9E" w14:textId="4D14EE0F" w:rsidR="00364EEA" w:rsidRPr="00397587" w:rsidRDefault="00364EEA">
      <w:pPr>
        <w:pStyle w:val="FootnoteText"/>
        <w:rPr>
          <w:i/>
        </w:rPr>
      </w:pPr>
      <w:r>
        <w:rPr>
          <w:rStyle w:val="FootnoteReference"/>
        </w:rPr>
        <w:footnoteRef/>
      </w:r>
      <w:r>
        <w:t xml:space="preserve"> </w:t>
      </w:r>
      <w:r>
        <w:rPr>
          <w:i/>
        </w:rPr>
        <w:t xml:space="preserve">Ibid. </w:t>
      </w:r>
    </w:p>
  </w:footnote>
  <w:footnote w:id="84">
    <w:p w14:paraId="3FFC2F1A" w14:textId="1559E12E" w:rsidR="00364EEA" w:rsidRPr="00E56A70" w:rsidRDefault="00364EEA" w:rsidP="00993133">
      <w:pPr>
        <w:pStyle w:val="FootnoteText"/>
      </w:pPr>
      <w:r>
        <w:rPr>
          <w:rStyle w:val="FootnoteReference"/>
        </w:rPr>
        <w:footnoteRef/>
      </w:r>
      <w:r>
        <w:t xml:space="preserve"> For commentary, see further M Wind, ‘Will ‘leaving Europe’ be emulate elsewhere’ in F </w:t>
      </w:r>
      <w:proofErr w:type="spellStart"/>
      <w:r>
        <w:t>Fabbrini</w:t>
      </w:r>
      <w:proofErr w:type="spellEnd"/>
      <w:r>
        <w:t xml:space="preserve"> (</w:t>
      </w:r>
      <w:proofErr w:type="spellStart"/>
      <w:r>
        <w:t>ed</w:t>
      </w:r>
      <w:proofErr w:type="spellEnd"/>
      <w:r>
        <w:t xml:space="preserve">), </w:t>
      </w:r>
      <w:r>
        <w:rPr>
          <w:i/>
        </w:rPr>
        <w:t xml:space="preserve">The Law and Politics of Brexit </w:t>
      </w:r>
      <w:r>
        <w:t>(OUP</w:t>
      </w:r>
      <w:r w:rsidR="00F2105B">
        <w:t>,</w:t>
      </w:r>
      <w:r>
        <w:t xml:space="preserve"> 2017) </w:t>
      </w:r>
      <w:proofErr w:type="spellStart"/>
      <w:r>
        <w:t>Ch</w:t>
      </w:r>
      <w:proofErr w:type="spellEnd"/>
      <w:r>
        <w:t xml:space="preserve"> 11. For historical insights see: N Clegg, </w:t>
      </w:r>
      <w:r>
        <w:rPr>
          <w:i/>
        </w:rPr>
        <w:t xml:space="preserve">Politics </w:t>
      </w:r>
      <w:proofErr w:type="gramStart"/>
      <w:r>
        <w:rPr>
          <w:i/>
        </w:rPr>
        <w:t>Between</w:t>
      </w:r>
      <w:proofErr w:type="gramEnd"/>
      <w:r>
        <w:rPr>
          <w:i/>
        </w:rPr>
        <w:t xml:space="preserve"> the Extremes </w:t>
      </w:r>
      <w:r>
        <w:t>(Vintage</w:t>
      </w:r>
      <w:r w:rsidR="00F2105B">
        <w:t>,</w:t>
      </w:r>
      <w:r>
        <w:t xml:space="preserve"> 2016). </w:t>
      </w:r>
    </w:p>
  </w:footnote>
  <w:footnote w:id="85">
    <w:p w14:paraId="48A7DE1F" w14:textId="77777777" w:rsidR="00364EEA" w:rsidRDefault="00364EEA" w:rsidP="00993133">
      <w:pPr>
        <w:pStyle w:val="FootnoteText"/>
      </w:pPr>
      <w:r>
        <w:rPr>
          <w:rStyle w:val="FootnoteReference"/>
        </w:rPr>
        <w:footnoteRef/>
      </w:r>
      <w:r>
        <w:t xml:space="preserve"> See P Barbieri, ‘Europe’s Reverse Domino Effect: No One is Following Britain Out of the EU’ (Foreign Affairs, 16</w:t>
      </w:r>
      <w:r w:rsidRPr="000F409A">
        <w:rPr>
          <w:vertAlign w:val="superscript"/>
        </w:rPr>
        <w:t>th</w:t>
      </w:r>
      <w:r>
        <w:rPr>
          <w:vertAlign w:val="superscript"/>
        </w:rPr>
        <w:t xml:space="preserve"> </w:t>
      </w:r>
      <w:r>
        <w:t>March 2017) available online at: &lt;</w:t>
      </w:r>
      <w:r w:rsidRPr="000F409A">
        <w:t>https://www.foreignaffairs.com/articles/western-europe/2017-03-16/europes-reverse-domino-effect</w:t>
      </w:r>
      <w:r>
        <w:t>&gt; accessed 24</w:t>
      </w:r>
      <w:r w:rsidRPr="000F409A">
        <w:rPr>
          <w:vertAlign w:val="superscript"/>
        </w:rPr>
        <w:t>th</w:t>
      </w:r>
      <w:r>
        <w:t xml:space="preserve"> September 2018.</w:t>
      </w:r>
    </w:p>
  </w:footnote>
  <w:footnote w:id="86">
    <w:p w14:paraId="6B0137C1" w14:textId="1AE660E4" w:rsidR="00364EEA" w:rsidRDefault="00364EEA" w:rsidP="00993133">
      <w:pPr>
        <w:pStyle w:val="FootnoteText"/>
      </w:pPr>
      <w:r>
        <w:rPr>
          <w:rStyle w:val="FootnoteReference"/>
        </w:rPr>
        <w:footnoteRef/>
      </w:r>
      <w:r>
        <w:t xml:space="preserve"> YouGov, ‘Brexit and Europe Report’ (</w:t>
      </w:r>
      <w:proofErr w:type="spellStart"/>
      <w:r>
        <w:t>YouGov</w:t>
      </w:r>
      <w:proofErr w:type="spellEnd"/>
      <w:r w:rsidR="00F2105B">
        <w:t>,</w:t>
      </w:r>
      <w:r>
        <w:t xml:space="preserve"> September 2016) available online at: &lt;http://d25d2506sfb94s.cloudfront.net/cumulus_uploads/document/smow6e2p43/MegaEurotrackerResults_AugustSeptember2016_Toplines.pdf&gt; accessed 24</w:t>
      </w:r>
      <w:r w:rsidRPr="002A1920">
        <w:rPr>
          <w:vertAlign w:val="superscript"/>
        </w:rPr>
        <w:t>th</w:t>
      </w:r>
      <w:r>
        <w:t xml:space="preserve"> September 2018. </w:t>
      </w:r>
    </w:p>
  </w:footnote>
  <w:footnote w:id="87">
    <w:p w14:paraId="7105647D" w14:textId="2D4B12F7" w:rsidR="00364EEA" w:rsidRPr="008D2157" w:rsidRDefault="00364EEA" w:rsidP="00CF0796">
      <w:pPr>
        <w:pStyle w:val="FootnoteText"/>
      </w:pPr>
      <w:r>
        <w:rPr>
          <w:rStyle w:val="FootnoteReference"/>
        </w:rPr>
        <w:footnoteRef/>
      </w:r>
      <w:r>
        <w:t xml:space="preserve"> For an example of how other EU Member States are talking of closer Union following Brexit see: G </w:t>
      </w:r>
      <w:proofErr w:type="spellStart"/>
      <w:r>
        <w:t>Verhofstadt</w:t>
      </w:r>
      <w:proofErr w:type="spellEnd"/>
      <w:r>
        <w:t xml:space="preserve">, </w:t>
      </w:r>
      <w:r>
        <w:rPr>
          <w:i/>
        </w:rPr>
        <w:t xml:space="preserve">Europe’s Last Chance: Why the European Union Must Form a More Perfect Union </w:t>
      </w:r>
      <w:r>
        <w:t>(Basic Books</w:t>
      </w:r>
      <w:r w:rsidR="00F2105B">
        <w:t>,</w:t>
      </w:r>
      <w:r>
        <w:t xml:space="preserve"> 2017).</w:t>
      </w:r>
    </w:p>
  </w:footnote>
  <w:footnote w:id="88">
    <w:p w14:paraId="17432025" w14:textId="5DDD6DF5" w:rsidR="00364EEA" w:rsidRDefault="00364EEA" w:rsidP="002A1920">
      <w:pPr>
        <w:pStyle w:val="FootnoteText"/>
      </w:pPr>
      <w:r>
        <w:rPr>
          <w:rStyle w:val="FootnoteReference"/>
        </w:rPr>
        <w:footnoteRef/>
      </w:r>
      <w:r>
        <w:t xml:space="preserve"> See M Wind, ‘The Nordic Reluctance Towards Supranational Judicial Review’ (2010) 48 </w:t>
      </w:r>
      <w:r w:rsidRPr="0007526F">
        <w:t>Journal of Common Market Studies</w:t>
      </w:r>
      <w:r>
        <w:t xml:space="preserve"> 1039; and M Wind, ‘The Uneven Legal Push for Europe’ (2009) 10 </w:t>
      </w:r>
      <w:r w:rsidRPr="00E05E52">
        <w:rPr>
          <w:i/>
        </w:rPr>
        <w:t xml:space="preserve">European Union Politics </w:t>
      </w:r>
      <w:r>
        <w:t>63.</w:t>
      </w:r>
    </w:p>
  </w:footnote>
  <w:footnote w:id="89">
    <w:p w14:paraId="468EADE9" w14:textId="79EF23EA" w:rsidR="00364EEA" w:rsidRDefault="00364EEA" w:rsidP="00CF0796">
      <w:pPr>
        <w:pStyle w:val="FootnoteText"/>
      </w:pPr>
      <w:r>
        <w:rPr>
          <w:rStyle w:val="FootnoteReference"/>
        </w:rPr>
        <w:footnoteRef/>
      </w:r>
      <w:r>
        <w:t xml:space="preserve"> M Wind, ‘Do Scandinavians Care about International Law?’ (2016) 85 </w:t>
      </w:r>
      <w:r w:rsidRPr="0090396A">
        <w:t>Nordic Journal of International</w:t>
      </w:r>
      <w:r>
        <w:t xml:space="preserve"> Law 281. </w:t>
      </w:r>
    </w:p>
  </w:footnote>
  <w:footnote w:id="90">
    <w:p w14:paraId="534EA290" w14:textId="77C33433" w:rsidR="00364EEA" w:rsidRDefault="00364EEA" w:rsidP="000939F4">
      <w:pPr>
        <w:pStyle w:val="FootnoteText"/>
      </w:pPr>
      <w:r>
        <w:rPr>
          <w:rStyle w:val="FootnoteReference"/>
        </w:rPr>
        <w:footnoteRef/>
      </w:r>
      <w:r>
        <w:t xml:space="preserve"> For discussion as to the different stances to hard and soft Brexit being taken in Europe see: P Taggart and A </w:t>
      </w:r>
      <w:proofErr w:type="spellStart"/>
      <w:r>
        <w:t>Szczerbiak</w:t>
      </w:r>
      <w:proofErr w:type="spellEnd"/>
      <w:r>
        <w:t xml:space="preserve">, ‘Putting Brexit into perspective: the effect of the Eurozone and migration crises and Brexit on Euroscepticism in European States’ (2018) 25 Journal of European Public Policy 1194; S Bulmer and L </w:t>
      </w:r>
      <w:proofErr w:type="spellStart"/>
      <w:r>
        <w:t>Quaglia</w:t>
      </w:r>
      <w:proofErr w:type="spellEnd"/>
      <w:r>
        <w:t xml:space="preserve">, ‘The politics and economics of Brexit’ (2018) 25 Journal of European Public Policy 1089; P </w:t>
      </w:r>
      <w:proofErr w:type="spellStart"/>
      <w:r>
        <w:t>Kaniok</w:t>
      </w:r>
      <w:proofErr w:type="spellEnd"/>
      <w:r>
        <w:t>, ‘Brexit outside of UK politics: the case of Czech Eurosceptics’ (2018) European Politics and Society Published online 15</w:t>
      </w:r>
      <w:r>
        <w:rPr>
          <w:vertAlign w:val="superscript"/>
        </w:rPr>
        <w:t xml:space="preserve"> </w:t>
      </w:r>
      <w:r>
        <w:t xml:space="preserve">April 2018. </w:t>
      </w:r>
    </w:p>
  </w:footnote>
  <w:footnote w:id="91">
    <w:p w14:paraId="64BD7615" w14:textId="5B2C1C94" w:rsidR="00364EEA" w:rsidRDefault="00364EEA">
      <w:pPr>
        <w:pStyle w:val="FootnoteText"/>
      </w:pPr>
      <w:r>
        <w:rPr>
          <w:rStyle w:val="FootnoteReference"/>
        </w:rPr>
        <w:footnoteRef/>
      </w:r>
      <w:r>
        <w:t xml:space="preserve"> </w:t>
      </w:r>
      <w:r w:rsidRPr="0007526F">
        <w:t xml:space="preserve">Albania, Armenia, Belarus, Gibraltar, Iceland, Kosovo, </w:t>
      </w:r>
      <w:proofErr w:type="spellStart"/>
      <w:r w:rsidRPr="0007526F">
        <w:t>Lechtenstein</w:t>
      </w:r>
      <w:proofErr w:type="spellEnd"/>
      <w:r w:rsidRPr="0007526F">
        <w:t>, Macedonia, Norway, Russian Federation, Switzerland, Turkey, Ukraine, and the Vatican City State</w:t>
      </w:r>
      <w:r>
        <w:t>.</w:t>
      </w:r>
    </w:p>
  </w:footnote>
  <w:footnote w:id="92">
    <w:p w14:paraId="5E5577AA" w14:textId="39A87E9C" w:rsidR="00341891" w:rsidRDefault="00341891" w:rsidP="00341891">
      <w:pPr>
        <w:pStyle w:val="FootnoteText"/>
      </w:pPr>
      <w:r>
        <w:rPr>
          <w:rStyle w:val="FootnoteReference"/>
        </w:rPr>
        <w:footnoteRef/>
      </w:r>
      <w:r>
        <w:t xml:space="preserve"> Statistics Norway, ‘Students in Higher Education’ (SN 23 March 2018) available online at: &lt;</w:t>
      </w:r>
      <w:r w:rsidRPr="00364EEA">
        <w:t>https://www.ssb.no/en/utuvh</w:t>
      </w:r>
      <w:r>
        <w:t>&gt; accessed 11</w:t>
      </w:r>
      <w:r w:rsidRPr="00341891">
        <w:rPr>
          <w:vertAlign w:val="superscript"/>
        </w:rPr>
        <w:t>th</w:t>
      </w:r>
      <w:r>
        <w:t xml:space="preserve"> October 2018.</w:t>
      </w:r>
    </w:p>
  </w:footnote>
  <w:footnote w:id="93">
    <w:p w14:paraId="638FC67D" w14:textId="1C403871" w:rsidR="00364EEA" w:rsidRPr="00341891" w:rsidRDefault="00364EEA">
      <w:pPr>
        <w:pStyle w:val="FootnoteText"/>
        <w:rPr>
          <w:i/>
        </w:rPr>
      </w:pPr>
      <w:r>
        <w:rPr>
          <w:rStyle w:val="FootnoteReference"/>
        </w:rPr>
        <w:footnoteRef/>
      </w:r>
      <w:r>
        <w:t xml:space="preserve"> </w:t>
      </w:r>
      <w:r w:rsidR="00341891">
        <w:rPr>
          <w:i/>
        </w:rPr>
        <w:t>Ibid.</w:t>
      </w:r>
    </w:p>
  </w:footnote>
  <w:footnote w:id="94">
    <w:p w14:paraId="2245632F" w14:textId="31C9D644" w:rsidR="00341891" w:rsidRDefault="00341891">
      <w:pPr>
        <w:pStyle w:val="FootnoteText"/>
      </w:pPr>
      <w:r>
        <w:rPr>
          <w:rStyle w:val="FootnoteReference"/>
        </w:rPr>
        <w:footnoteRef/>
      </w:r>
      <w:r>
        <w:t xml:space="preserve"> 81% of students studying within Higher Education in the UK are from the UK, 6% from the rest of the EU and 13% from the rest of the world. See further: UKCISA, ‘International Student Statistics: UK Higher Education; (3 April 2018) available online at: &lt;</w:t>
      </w:r>
      <w:r w:rsidRPr="00341891">
        <w:t>https://www.ukcisa.org.uk/Research--Policy/Statistics/International-student-statistics-UK-higher-education</w:t>
      </w:r>
      <w:r>
        <w:t>&gt; accessed 11</w:t>
      </w:r>
      <w:r w:rsidRPr="00341891">
        <w:rPr>
          <w:vertAlign w:val="superscript"/>
        </w:rPr>
        <w:t>th</w:t>
      </w:r>
      <w:r>
        <w:t xml:space="preserve"> October 2018. </w:t>
      </w:r>
    </w:p>
  </w:footnote>
  <w:footnote w:id="95">
    <w:p w14:paraId="5CC2C4E5" w14:textId="10B12D75" w:rsidR="00FC6C64" w:rsidRDefault="00FC6C64">
      <w:pPr>
        <w:pStyle w:val="FootnoteText"/>
      </w:pPr>
      <w:r>
        <w:rPr>
          <w:rStyle w:val="FootnoteReference"/>
        </w:rPr>
        <w:footnoteRef/>
      </w:r>
      <w:r>
        <w:t xml:space="preserve"> For a summary of Norway Tuition fees see: Study in Norway, ‘Tuition/Scholarships’ (2018) available online at: &lt;</w:t>
      </w:r>
      <w:r w:rsidRPr="00FC6C64">
        <w:t>https://www.studyinnorway.no/Tuition-Scholarships</w:t>
      </w:r>
      <w:r>
        <w:t>&gt; accessed 11</w:t>
      </w:r>
      <w:r w:rsidRPr="00FC6C64">
        <w:rPr>
          <w:vertAlign w:val="superscript"/>
        </w:rPr>
        <w:t>th</w:t>
      </w:r>
      <w:r>
        <w:t xml:space="preserve"> October 2018. </w:t>
      </w:r>
    </w:p>
  </w:footnote>
  <w:footnote w:id="96">
    <w:p w14:paraId="332B1D46" w14:textId="0A80C9BF" w:rsidR="00FC6C64" w:rsidRDefault="00FC6C64">
      <w:pPr>
        <w:pStyle w:val="FootnoteText"/>
      </w:pPr>
      <w:r>
        <w:rPr>
          <w:rStyle w:val="FootnoteReference"/>
        </w:rPr>
        <w:footnoteRef/>
      </w:r>
      <w:r>
        <w:t xml:space="preserve"> For a summary of the current financial complexities surrounding Higher Education within the UK see: Times Higher Education, ‘Quarter of UK Universities ‘Under Threat’ by 2022, VC Warns’ (THE 7 June 2017) available online at: &lt;</w:t>
      </w:r>
      <w:r w:rsidRPr="00FC6C64">
        <w:t xml:space="preserve"> https://www.timeshighereducation.com/news/quarter-uk-universities-under-threat-2022-v-c-warns</w:t>
      </w:r>
      <w:r>
        <w:t>&gt; accessed 11</w:t>
      </w:r>
      <w:r w:rsidRPr="00FC6C64">
        <w:rPr>
          <w:vertAlign w:val="superscript"/>
        </w:rPr>
        <w:t>th</w:t>
      </w:r>
      <w:r>
        <w:t xml:space="preserve"> October 2018. </w:t>
      </w:r>
    </w:p>
  </w:footnote>
  <w:footnote w:id="97">
    <w:p w14:paraId="447A8613" w14:textId="37F28B58" w:rsidR="00191D5B" w:rsidRDefault="00191D5B">
      <w:pPr>
        <w:pStyle w:val="FootnoteText"/>
      </w:pPr>
      <w:r>
        <w:rPr>
          <w:rStyle w:val="FootnoteReference"/>
        </w:rPr>
        <w:footnoteRef/>
      </w:r>
      <w:r>
        <w:t xml:space="preserve"> See further J </w:t>
      </w:r>
      <w:proofErr w:type="spellStart"/>
      <w:r>
        <w:t>Guth</w:t>
      </w:r>
      <w:proofErr w:type="spellEnd"/>
      <w:r>
        <w:t xml:space="preserve"> and T Hervey, ‘Threats to internationalised legal education in the twenty-first century UK’ (2018) 53 The Law Teacher 1.</w:t>
      </w:r>
    </w:p>
  </w:footnote>
  <w:footnote w:id="98">
    <w:p w14:paraId="7B22813B" w14:textId="40374881" w:rsidR="00364EEA" w:rsidRDefault="00364EEA" w:rsidP="00E67D46">
      <w:pPr>
        <w:pStyle w:val="FootnoteText"/>
      </w:pPr>
      <w:r>
        <w:rPr>
          <w:rStyle w:val="FootnoteReference"/>
        </w:rPr>
        <w:footnoteRef/>
      </w:r>
      <w:r>
        <w:t xml:space="preserve"> See for example: M Savage, ‘If you create a hostile environment, you shouldn’t be surprised that it’s hostile’ (The Guardian, 22 April 2018) available online at: &lt;</w:t>
      </w:r>
      <w:r w:rsidRPr="00326CE1">
        <w:t>https://www.theguardian.com/uk-news/2018/apr/22/hostile-environment-landlords-check-immigration-status-under-coalition-government</w:t>
      </w:r>
      <w:r>
        <w:t>&gt; accessed 28</w:t>
      </w:r>
      <w:r w:rsidRPr="00616777">
        <w:rPr>
          <w:vertAlign w:val="superscript"/>
        </w:rPr>
        <w:t>th</w:t>
      </w:r>
      <w:r>
        <w:t xml:space="preserve"> May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4FAF8" w14:textId="7CAD2BFF" w:rsidR="00364EEA" w:rsidRDefault="00E7092D">
    <w:pPr>
      <w:pStyle w:val="Header"/>
      <w:jc w:val="right"/>
    </w:pPr>
    <w:sdt>
      <w:sdtPr>
        <w:id w:val="-1445304563"/>
        <w:docPartObj>
          <w:docPartGallery w:val="Page Numbers (Top of Page)"/>
          <w:docPartUnique/>
        </w:docPartObj>
      </w:sdtPr>
      <w:sdtEndPr>
        <w:rPr>
          <w:noProof/>
        </w:rPr>
      </w:sdtEndPr>
      <w:sdtContent>
        <w:r w:rsidR="00364EEA">
          <w:fldChar w:fldCharType="begin"/>
        </w:r>
        <w:r w:rsidR="00364EEA">
          <w:instrText xml:space="preserve"> PAGE   \* MERGEFORMAT </w:instrText>
        </w:r>
        <w:r w:rsidR="00364EEA">
          <w:fldChar w:fldCharType="separate"/>
        </w:r>
        <w:r w:rsidR="00D45A6F">
          <w:rPr>
            <w:noProof/>
          </w:rPr>
          <w:t>1</w:t>
        </w:r>
        <w:r w:rsidR="00364EEA">
          <w:rPr>
            <w:noProof/>
          </w:rPr>
          <w:fldChar w:fldCharType="end"/>
        </w:r>
      </w:sdtContent>
    </w:sdt>
  </w:p>
  <w:p w14:paraId="6720E822" w14:textId="77777777" w:rsidR="00364EEA" w:rsidRDefault="00364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1C9"/>
    <w:rsid w:val="00000611"/>
    <w:rsid w:val="00001E4A"/>
    <w:rsid w:val="00007A31"/>
    <w:rsid w:val="0001542E"/>
    <w:rsid w:val="0001738F"/>
    <w:rsid w:val="00021211"/>
    <w:rsid w:val="00036D62"/>
    <w:rsid w:val="00044B60"/>
    <w:rsid w:val="000554B7"/>
    <w:rsid w:val="00062479"/>
    <w:rsid w:val="00066AEC"/>
    <w:rsid w:val="00071FDB"/>
    <w:rsid w:val="00072422"/>
    <w:rsid w:val="0007526F"/>
    <w:rsid w:val="00075736"/>
    <w:rsid w:val="00076A85"/>
    <w:rsid w:val="0009302F"/>
    <w:rsid w:val="000939F4"/>
    <w:rsid w:val="000B0205"/>
    <w:rsid w:val="000B251E"/>
    <w:rsid w:val="000E3F5C"/>
    <w:rsid w:val="000F409A"/>
    <w:rsid w:val="00101FF3"/>
    <w:rsid w:val="001054BB"/>
    <w:rsid w:val="001117D7"/>
    <w:rsid w:val="0011364C"/>
    <w:rsid w:val="00120EA3"/>
    <w:rsid w:val="00132AE4"/>
    <w:rsid w:val="00142303"/>
    <w:rsid w:val="00145444"/>
    <w:rsid w:val="0015190F"/>
    <w:rsid w:val="00164858"/>
    <w:rsid w:val="00170B2C"/>
    <w:rsid w:val="00171879"/>
    <w:rsid w:val="00176EE1"/>
    <w:rsid w:val="00182DA4"/>
    <w:rsid w:val="00191D5B"/>
    <w:rsid w:val="001C38E7"/>
    <w:rsid w:val="001D0F6F"/>
    <w:rsid w:val="001F01C9"/>
    <w:rsid w:val="001F3195"/>
    <w:rsid w:val="0021275E"/>
    <w:rsid w:val="0023273C"/>
    <w:rsid w:val="00233F40"/>
    <w:rsid w:val="002364D5"/>
    <w:rsid w:val="00236C00"/>
    <w:rsid w:val="002462F6"/>
    <w:rsid w:val="002540FF"/>
    <w:rsid w:val="00271EBF"/>
    <w:rsid w:val="00273316"/>
    <w:rsid w:val="00276DA3"/>
    <w:rsid w:val="002802BA"/>
    <w:rsid w:val="00283439"/>
    <w:rsid w:val="00286BE0"/>
    <w:rsid w:val="002932CB"/>
    <w:rsid w:val="0029523C"/>
    <w:rsid w:val="00296A54"/>
    <w:rsid w:val="002A153D"/>
    <w:rsid w:val="002A1920"/>
    <w:rsid w:val="002B5066"/>
    <w:rsid w:val="002B53AB"/>
    <w:rsid w:val="002E7FBB"/>
    <w:rsid w:val="002F1764"/>
    <w:rsid w:val="003031D1"/>
    <w:rsid w:val="0031589B"/>
    <w:rsid w:val="003222E0"/>
    <w:rsid w:val="00326CE1"/>
    <w:rsid w:val="00331E0A"/>
    <w:rsid w:val="00335A8B"/>
    <w:rsid w:val="00341891"/>
    <w:rsid w:val="00343B11"/>
    <w:rsid w:val="00345E3F"/>
    <w:rsid w:val="00355D43"/>
    <w:rsid w:val="003606D7"/>
    <w:rsid w:val="00364EEA"/>
    <w:rsid w:val="00374220"/>
    <w:rsid w:val="00374B2A"/>
    <w:rsid w:val="00397587"/>
    <w:rsid w:val="00397D74"/>
    <w:rsid w:val="003A3A06"/>
    <w:rsid w:val="003A6C06"/>
    <w:rsid w:val="003B0C5B"/>
    <w:rsid w:val="003C35CF"/>
    <w:rsid w:val="003C7FF2"/>
    <w:rsid w:val="003D05CF"/>
    <w:rsid w:val="003D78FF"/>
    <w:rsid w:val="003E75FC"/>
    <w:rsid w:val="00431E9B"/>
    <w:rsid w:val="0043777F"/>
    <w:rsid w:val="00441C36"/>
    <w:rsid w:val="00450170"/>
    <w:rsid w:val="00450F8A"/>
    <w:rsid w:val="004576AE"/>
    <w:rsid w:val="00460329"/>
    <w:rsid w:val="00460A49"/>
    <w:rsid w:val="00461160"/>
    <w:rsid w:val="004766FF"/>
    <w:rsid w:val="00480B17"/>
    <w:rsid w:val="00481B01"/>
    <w:rsid w:val="00482901"/>
    <w:rsid w:val="0048660A"/>
    <w:rsid w:val="0048784F"/>
    <w:rsid w:val="00492B99"/>
    <w:rsid w:val="00496223"/>
    <w:rsid w:val="004B6DCB"/>
    <w:rsid w:val="004C7457"/>
    <w:rsid w:val="004D3428"/>
    <w:rsid w:val="004D7924"/>
    <w:rsid w:val="004E4516"/>
    <w:rsid w:val="004E68C7"/>
    <w:rsid w:val="00500776"/>
    <w:rsid w:val="00506B2F"/>
    <w:rsid w:val="00514D5B"/>
    <w:rsid w:val="0051752A"/>
    <w:rsid w:val="00524578"/>
    <w:rsid w:val="005257C3"/>
    <w:rsid w:val="005333B3"/>
    <w:rsid w:val="005438A0"/>
    <w:rsid w:val="005600BD"/>
    <w:rsid w:val="0056106D"/>
    <w:rsid w:val="00566E6A"/>
    <w:rsid w:val="00583394"/>
    <w:rsid w:val="00584DD6"/>
    <w:rsid w:val="00594485"/>
    <w:rsid w:val="005A6CE7"/>
    <w:rsid w:val="005B033E"/>
    <w:rsid w:val="005C6943"/>
    <w:rsid w:val="005D12B3"/>
    <w:rsid w:val="005D530E"/>
    <w:rsid w:val="005E3092"/>
    <w:rsid w:val="005F45F2"/>
    <w:rsid w:val="00604A4F"/>
    <w:rsid w:val="00605CCC"/>
    <w:rsid w:val="00616777"/>
    <w:rsid w:val="00620B25"/>
    <w:rsid w:val="00620ED1"/>
    <w:rsid w:val="0063132A"/>
    <w:rsid w:val="00631BBD"/>
    <w:rsid w:val="00631BDE"/>
    <w:rsid w:val="006425A0"/>
    <w:rsid w:val="006433AB"/>
    <w:rsid w:val="006462C2"/>
    <w:rsid w:val="006516F6"/>
    <w:rsid w:val="006545C2"/>
    <w:rsid w:val="006656F8"/>
    <w:rsid w:val="006807C2"/>
    <w:rsid w:val="00682691"/>
    <w:rsid w:val="006850A9"/>
    <w:rsid w:val="006917DF"/>
    <w:rsid w:val="006A1986"/>
    <w:rsid w:val="006A24BC"/>
    <w:rsid w:val="006B3ABE"/>
    <w:rsid w:val="006B59FB"/>
    <w:rsid w:val="006D36A1"/>
    <w:rsid w:val="006D5A93"/>
    <w:rsid w:val="006E63FF"/>
    <w:rsid w:val="006E7E0F"/>
    <w:rsid w:val="007177AD"/>
    <w:rsid w:val="00727D74"/>
    <w:rsid w:val="00734A23"/>
    <w:rsid w:val="007415C9"/>
    <w:rsid w:val="0074232C"/>
    <w:rsid w:val="00755751"/>
    <w:rsid w:val="00760FFA"/>
    <w:rsid w:val="007658E6"/>
    <w:rsid w:val="00767B8F"/>
    <w:rsid w:val="007748D6"/>
    <w:rsid w:val="0077776F"/>
    <w:rsid w:val="00781F66"/>
    <w:rsid w:val="00782281"/>
    <w:rsid w:val="007921F6"/>
    <w:rsid w:val="007935BD"/>
    <w:rsid w:val="0079521A"/>
    <w:rsid w:val="007B38E1"/>
    <w:rsid w:val="007C000E"/>
    <w:rsid w:val="007C29FB"/>
    <w:rsid w:val="007D568C"/>
    <w:rsid w:val="007E3525"/>
    <w:rsid w:val="007E36BF"/>
    <w:rsid w:val="0080112D"/>
    <w:rsid w:val="008149B2"/>
    <w:rsid w:val="008211DB"/>
    <w:rsid w:val="00823691"/>
    <w:rsid w:val="0084121D"/>
    <w:rsid w:val="008528B9"/>
    <w:rsid w:val="0086282C"/>
    <w:rsid w:val="00870D89"/>
    <w:rsid w:val="008A2C71"/>
    <w:rsid w:val="008A5346"/>
    <w:rsid w:val="008D2157"/>
    <w:rsid w:val="008D251A"/>
    <w:rsid w:val="008D3C27"/>
    <w:rsid w:val="008D63C5"/>
    <w:rsid w:val="008E139A"/>
    <w:rsid w:val="008E3CAD"/>
    <w:rsid w:val="008E4CE6"/>
    <w:rsid w:val="00901EE0"/>
    <w:rsid w:val="0090396A"/>
    <w:rsid w:val="009065E0"/>
    <w:rsid w:val="00930D5F"/>
    <w:rsid w:val="00931500"/>
    <w:rsid w:val="00932B84"/>
    <w:rsid w:val="00932D42"/>
    <w:rsid w:val="0093394C"/>
    <w:rsid w:val="00936BDB"/>
    <w:rsid w:val="00943898"/>
    <w:rsid w:val="009603DB"/>
    <w:rsid w:val="00983ABA"/>
    <w:rsid w:val="009911C6"/>
    <w:rsid w:val="00993133"/>
    <w:rsid w:val="009A19E3"/>
    <w:rsid w:val="009B6DC8"/>
    <w:rsid w:val="009E1B8E"/>
    <w:rsid w:val="009E31B9"/>
    <w:rsid w:val="009F7D41"/>
    <w:rsid w:val="00A06889"/>
    <w:rsid w:val="00A1376E"/>
    <w:rsid w:val="00A20C5A"/>
    <w:rsid w:val="00A23988"/>
    <w:rsid w:val="00A41ABC"/>
    <w:rsid w:val="00A45C0E"/>
    <w:rsid w:val="00A56951"/>
    <w:rsid w:val="00A9282D"/>
    <w:rsid w:val="00A964CC"/>
    <w:rsid w:val="00AA0277"/>
    <w:rsid w:val="00AA6F09"/>
    <w:rsid w:val="00AB2427"/>
    <w:rsid w:val="00AB6D34"/>
    <w:rsid w:val="00AC54DA"/>
    <w:rsid w:val="00AD3539"/>
    <w:rsid w:val="00AE5188"/>
    <w:rsid w:val="00AF2838"/>
    <w:rsid w:val="00AF4DCD"/>
    <w:rsid w:val="00B0062C"/>
    <w:rsid w:val="00B01CD4"/>
    <w:rsid w:val="00B01E93"/>
    <w:rsid w:val="00B13867"/>
    <w:rsid w:val="00B2411D"/>
    <w:rsid w:val="00B36194"/>
    <w:rsid w:val="00B424FD"/>
    <w:rsid w:val="00B42E38"/>
    <w:rsid w:val="00B43161"/>
    <w:rsid w:val="00B53D57"/>
    <w:rsid w:val="00B57301"/>
    <w:rsid w:val="00B60577"/>
    <w:rsid w:val="00B64182"/>
    <w:rsid w:val="00B64B89"/>
    <w:rsid w:val="00B7288F"/>
    <w:rsid w:val="00B834E8"/>
    <w:rsid w:val="00B9240C"/>
    <w:rsid w:val="00B9788A"/>
    <w:rsid w:val="00BA1DC9"/>
    <w:rsid w:val="00BC687D"/>
    <w:rsid w:val="00BE099D"/>
    <w:rsid w:val="00BE4E2F"/>
    <w:rsid w:val="00BF5102"/>
    <w:rsid w:val="00C01B73"/>
    <w:rsid w:val="00C0322F"/>
    <w:rsid w:val="00C478E5"/>
    <w:rsid w:val="00C5393C"/>
    <w:rsid w:val="00C57F2D"/>
    <w:rsid w:val="00C649D6"/>
    <w:rsid w:val="00C72FB2"/>
    <w:rsid w:val="00C76764"/>
    <w:rsid w:val="00C90E90"/>
    <w:rsid w:val="00C97205"/>
    <w:rsid w:val="00CA21B1"/>
    <w:rsid w:val="00CA4C04"/>
    <w:rsid w:val="00CB53AE"/>
    <w:rsid w:val="00CB5505"/>
    <w:rsid w:val="00CC11B0"/>
    <w:rsid w:val="00CD0DE7"/>
    <w:rsid w:val="00CD0E41"/>
    <w:rsid w:val="00CD319C"/>
    <w:rsid w:val="00CE03B0"/>
    <w:rsid w:val="00CF0796"/>
    <w:rsid w:val="00CF27C1"/>
    <w:rsid w:val="00CF3ADC"/>
    <w:rsid w:val="00D12013"/>
    <w:rsid w:val="00D162AE"/>
    <w:rsid w:val="00D452F2"/>
    <w:rsid w:val="00D45A6F"/>
    <w:rsid w:val="00D47457"/>
    <w:rsid w:val="00D6090C"/>
    <w:rsid w:val="00D64AB7"/>
    <w:rsid w:val="00D66F34"/>
    <w:rsid w:val="00D67040"/>
    <w:rsid w:val="00D67EDF"/>
    <w:rsid w:val="00D81A56"/>
    <w:rsid w:val="00DA09E6"/>
    <w:rsid w:val="00DB7565"/>
    <w:rsid w:val="00DB7917"/>
    <w:rsid w:val="00DB7CBB"/>
    <w:rsid w:val="00DC6CBF"/>
    <w:rsid w:val="00DE196E"/>
    <w:rsid w:val="00DE4164"/>
    <w:rsid w:val="00DF3C14"/>
    <w:rsid w:val="00DF6D2B"/>
    <w:rsid w:val="00E05E52"/>
    <w:rsid w:val="00E33E9C"/>
    <w:rsid w:val="00E36119"/>
    <w:rsid w:val="00E448A7"/>
    <w:rsid w:val="00E46C0A"/>
    <w:rsid w:val="00E55C4A"/>
    <w:rsid w:val="00E56A70"/>
    <w:rsid w:val="00E62CD9"/>
    <w:rsid w:val="00E67D46"/>
    <w:rsid w:val="00E7092D"/>
    <w:rsid w:val="00E7555F"/>
    <w:rsid w:val="00E9278B"/>
    <w:rsid w:val="00EA102A"/>
    <w:rsid w:val="00EC28BF"/>
    <w:rsid w:val="00ED3368"/>
    <w:rsid w:val="00ED7FD6"/>
    <w:rsid w:val="00EF18A8"/>
    <w:rsid w:val="00EF1CE1"/>
    <w:rsid w:val="00F1047A"/>
    <w:rsid w:val="00F156A6"/>
    <w:rsid w:val="00F2105B"/>
    <w:rsid w:val="00F246F2"/>
    <w:rsid w:val="00F24ADF"/>
    <w:rsid w:val="00F2745C"/>
    <w:rsid w:val="00F303DA"/>
    <w:rsid w:val="00F54FDF"/>
    <w:rsid w:val="00F62386"/>
    <w:rsid w:val="00F646CA"/>
    <w:rsid w:val="00F7319C"/>
    <w:rsid w:val="00F82E27"/>
    <w:rsid w:val="00F8755F"/>
    <w:rsid w:val="00F912CF"/>
    <w:rsid w:val="00FA0C40"/>
    <w:rsid w:val="00FB79E7"/>
    <w:rsid w:val="00FC0BF5"/>
    <w:rsid w:val="00FC6C64"/>
    <w:rsid w:val="00FC745E"/>
    <w:rsid w:val="00FF0BDE"/>
    <w:rsid w:val="00FF374D"/>
    <w:rsid w:val="00FF7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9174D"/>
  <w15:chartTrackingRefBased/>
  <w15:docId w15:val="{91A472AF-D517-46D5-B530-F5D3A9FB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01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01C9"/>
    <w:rPr>
      <w:sz w:val="20"/>
      <w:szCs w:val="20"/>
    </w:rPr>
  </w:style>
  <w:style w:type="character" w:styleId="FootnoteReference">
    <w:name w:val="footnote reference"/>
    <w:basedOn w:val="DefaultParagraphFont"/>
    <w:uiPriority w:val="99"/>
    <w:semiHidden/>
    <w:unhideWhenUsed/>
    <w:rsid w:val="001F01C9"/>
    <w:rPr>
      <w:vertAlign w:val="superscript"/>
    </w:rPr>
  </w:style>
  <w:style w:type="character" w:styleId="Hyperlink">
    <w:name w:val="Hyperlink"/>
    <w:basedOn w:val="DefaultParagraphFont"/>
    <w:uiPriority w:val="99"/>
    <w:unhideWhenUsed/>
    <w:rsid w:val="00142303"/>
    <w:rPr>
      <w:color w:val="0563C1" w:themeColor="hyperlink"/>
      <w:u w:val="single"/>
    </w:rPr>
  </w:style>
  <w:style w:type="character" w:customStyle="1" w:styleId="UnresolvedMention1">
    <w:name w:val="Unresolved Mention1"/>
    <w:basedOn w:val="DefaultParagraphFont"/>
    <w:uiPriority w:val="99"/>
    <w:semiHidden/>
    <w:unhideWhenUsed/>
    <w:rsid w:val="00142303"/>
    <w:rPr>
      <w:color w:val="808080"/>
      <w:shd w:val="clear" w:color="auto" w:fill="E6E6E6"/>
    </w:rPr>
  </w:style>
  <w:style w:type="paragraph" w:styleId="Header">
    <w:name w:val="header"/>
    <w:basedOn w:val="Normal"/>
    <w:link w:val="HeaderChar"/>
    <w:uiPriority w:val="99"/>
    <w:unhideWhenUsed/>
    <w:rsid w:val="00DE4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164"/>
  </w:style>
  <w:style w:type="paragraph" w:styleId="Footer">
    <w:name w:val="footer"/>
    <w:basedOn w:val="Normal"/>
    <w:link w:val="FooterChar"/>
    <w:uiPriority w:val="99"/>
    <w:unhideWhenUsed/>
    <w:rsid w:val="00DE4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164"/>
  </w:style>
  <w:style w:type="paragraph" w:styleId="BalloonText">
    <w:name w:val="Balloon Text"/>
    <w:basedOn w:val="Normal"/>
    <w:link w:val="BalloonTextChar"/>
    <w:uiPriority w:val="99"/>
    <w:semiHidden/>
    <w:unhideWhenUsed/>
    <w:rsid w:val="00DE4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164"/>
    <w:rPr>
      <w:rFonts w:ascii="Segoe UI" w:hAnsi="Segoe UI" w:cs="Segoe UI"/>
      <w:sz w:val="18"/>
      <w:szCs w:val="18"/>
    </w:rPr>
  </w:style>
  <w:style w:type="character" w:customStyle="1" w:styleId="UnresolvedMention2">
    <w:name w:val="Unresolved Mention2"/>
    <w:basedOn w:val="DefaultParagraphFont"/>
    <w:uiPriority w:val="99"/>
    <w:semiHidden/>
    <w:unhideWhenUsed/>
    <w:rsid w:val="00B424FD"/>
    <w:rPr>
      <w:color w:val="605E5C"/>
      <w:shd w:val="clear" w:color="auto" w:fill="E1DFDD"/>
    </w:rPr>
  </w:style>
  <w:style w:type="paragraph" w:styleId="NoSpacing">
    <w:name w:val="No Spacing"/>
    <w:uiPriority w:val="1"/>
    <w:qFormat/>
    <w:rsid w:val="00943898"/>
    <w:pPr>
      <w:spacing w:after="0" w:line="240" w:lineRule="auto"/>
    </w:pPr>
  </w:style>
  <w:style w:type="paragraph" w:styleId="ListParagraph">
    <w:name w:val="List Paragraph"/>
    <w:basedOn w:val="Normal"/>
    <w:uiPriority w:val="34"/>
    <w:qFormat/>
    <w:rsid w:val="00000611"/>
    <w:pPr>
      <w:ind w:left="720"/>
      <w:contextualSpacing/>
    </w:pPr>
  </w:style>
  <w:style w:type="character" w:customStyle="1" w:styleId="UnresolvedMention3">
    <w:name w:val="Unresolved Mention3"/>
    <w:basedOn w:val="DefaultParagraphFont"/>
    <w:uiPriority w:val="99"/>
    <w:semiHidden/>
    <w:unhideWhenUsed/>
    <w:rsid w:val="00DB7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46511">
      <w:bodyDiv w:val="1"/>
      <w:marLeft w:val="0"/>
      <w:marRight w:val="0"/>
      <w:marTop w:val="0"/>
      <w:marBottom w:val="0"/>
      <w:divBdr>
        <w:top w:val="none" w:sz="0" w:space="0" w:color="auto"/>
        <w:left w:val="none" w:sz="0" w:space="0" w:color="auto"/>
        <w:bottom w:val="none" w:sz="0" w:space="0" w:color="auto"/>
        <w:right w:val="none" w:sz="0" w:space="0" w:color="auto"/>
      </w:divBdr>
      <w:divsChild>
        <w:div w:id="309287662">
          <w:marLeft w:val="720"/>
          <w:marRight w:val="0"/>
          <w:marTop w:val="77"/>
          <w:marBottom w:val="0"/>
          <w:divBdr>
            <w:top w:val="none" w:sz="0" w:space="0" w:color="auto"/>
            <w:left w:val="none" w:sz="0" w:space="0" w:color="auto"/>
            <w:bottom w:val="none" w:sz="0" w:space="0" w:color="auto"/>
            <w:right w:val="none" w:sz="0" w:space="0" w:color="auto"/>
          </w:divBdr>
        </w:div>
        <w:div w:id="403183527">
          <w:marLeft w:val="720"/>
          <w:marRight w:val="0"/>
          <w:marTop w:val="77"/>
          <w:marBottom w:val="0"/>
          <w:divBdr>
            <w:top w:val="none" w:sz="0" w:space="0" w:color="auto"/>
            <w:left w:val="none" w:sz="0" w:space="0" w:color="auto"/>
            <w:bottom w:val="none" w:sz="0" w:space="0" w:color="auto"/>
            <w:right w:val="none" w:sz="0" w:space="0" w:color="auto"/>
          </w:divBdr>
        </w:div>
        <w:div w:id="1105493299">
          <w:marLeft w:val="720"/>
          <w:marRight w:val="0"/>
          <w:marTop w:val="77"/>
          <w:marBottom w:val="0"/>
          <w:divBdr>
            <w:top w:val="none" w:sz="0" w:space="0" w:color="auto"/>
            <w:left w:val="none" w:sz="0" w:space="0" w:color="auto"/>
            <w:bottom w:val="none" w:sz="0" w:space="0" w:color="auto"/>
            <w:right w:val="none" w:sz="0" w:space="0" w:color="auto"/>
          </w:divBdr>
        </w:div>
        <w:div w:id="1898083319">
          <w:marLeft w:val="720"/>
          <w:marRight w:val="0"/>
          <w:marTop w:val="77"/>
          <w:marBottom w:val="0"/>
          <w:divBdr>
            <w:top w:val="none" w:sz="0" w:space="0" w:color="auto"/>
            <w:left w:val="none" w:sz="0" w:space="0" w:color="auto"/>
            <w:bottom w:val="none" w:sz="0" w:space="0" w:color="auto"/>
            <w:right w:val="none" w:sz="0" w:space="0" w:color="auto"/>
          </w:divBdr>
        </w:div>
        <w:div w:id="2055808116">
          <w:marLeft w:val="720"/>
          <w:marRight w:val="0"/>
          <w:marTop w:val="77"/>
          <w:marBottom w:val="0"/>
          <w:divBdr>
            <w:top w:val="none" w:sz="0" w:space="0" w:color="auto"/>
            <w:left w:val="none" w:sz="0" w:space="0" w:color="auto"/>
            <w:bottom w:val="none" w:sz="0" w:space="0" w:color="auto"/>
            <w:right w:val="none" w:sz="0" w:space="0" w:color="auto"/>
          </w:divBdr>
        </w:div>
        <w:div w:id="2140604659">
          <w:marLeft w:val="720"/>
          <w:marRight w:val="0"/>
          <w:marTop w:val="77"/>
          <w:marBottom w:val="0"/>
          <w:divBdr>
            <w:top w:val="none" w:sz="0" w:space="0" w:color="auto"/>
            <w:left w:val="none" w:sz="0" w:space="0" w:color="auto"/>
            <w:bottom w:val="none" w:sz="0" w:space="0" w:color="auto"/>
            <w:right w:val="none" w:sz="0" w:space="0" w:color="auto"/>
          </w:divBdr>
        </w:div>
      </w:divsChild>
    </w:div>
    <w:div w:id="468939619">
      <w:bodyDiv w:val="1"/>
      <w:marLeft w:val="0"/>
      <w:marRight w:val="0"/>
      <w:marTop w:val="0"/>
      <w:marBottom w:val="0"/>
      <w:divBdr>
        <w:top w:val="none" w:sz="0" w:space="0" w:color="auto"/>
        <w:left w:val="none" w:sz="0" w:space="0" w:color="auto"/>
        <w:bottom w:val="none" w:sz="0" w:space="0" w:color="auto"/>
        <w:right w:val="none" w:sz="0" w:space="0" w:color="auto"/>
      </w:divBdr>
    </w:div>
    <w:div w:id="1624455580">
      <w:bodyDiv w:val="1"/>
      <w:marLeft w:val="0"/>
      <w:marRight w:val="0"/>
      <w:marTop w:val="0"/>
      <w:marBottom w:val="0"/>
      <w:divBdr>
        <w:top w:val="none" w:sz="0" w:space="0" w:color="auto"/>
        <w:left w:val="none" w:sz="0" w:space="0" w:color="auto"/>
        <w:bottom w:val="none" w:sz="0" w:space="0" w:color="auto"/>
        <w:right w:val="none" w:sz="0" w:space="0" w:color="auto"/>
      </w:divBdr>
      <w:divsChild>
        <w:div w:id="1304625568">
          <w:marLeft w:val="0"/>
          <w:marRight w:val="0"/>
          <w:marTop w:val="0"/>
          <w:marBottom w:val="0"/>
          <w:divBdr>
            <w:top w:val="none" w:sz="0" w:space="0" w:color="auto"/>
            <w:left w:val="single" w:sz="6" w:space="0" w:color="E7E7E7"/>
            <w:bottom w:val="none" w:sz="0" w:space="0" w:color="auto"/>
            <w:right w:val="none" w:sz="0" w:space="0" w:color="auto"/>
          </w:divBdr>
          <w:divsChild>
            <w:div w:id="16992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900">
                <a:solidFill>
                  <a:sysClr val="windowText" lastClr="000000"/>
                </a:solidFill>
              </a:rPr>
              <a:t>Views on the 23rd June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Views on the 23rd June</c:v>
                </c:pt>
              </c:strCache>
            </c:strRef>
          </c:tx>
          <c:dPt>
            <c:idx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2-51D9-42FE-B68E-C593F64E78B5}"/>
              </c:ext>
            </c:extLst>
          </c:dPt>
          <c:dPt>
            <c:idx val="1"/>
            <c:bubble3D val="0"/>
            <c:spPr>
              <a:solidFill>
                <a:schemeClr val="dk1">
                  <a:tint val="55000"/>
                </a:schemeClr>
              </a:solidFill>
              <a:ln w="19050">
                <a:solidFill>
                  <a:schemeClr val="lt1"/>
                </a:solidFill>
              </a:ln>
              <a:effectLst/>
            </c:spPr>
            <c:extLst>
              <c:ext xmlns:c16="http://schemas.microsoft.com/office/drawing/2014/chart" uri="{C3380CC4-5D6E-409C-BE32-E72D297353CC}">
                <c16:uniqueId val="{00000001-51D9-42FE-B68E-C593F64E78B5}"/>
              </c:ext>
            </c:extLst>
          </c:dPt>
          <c:dLbls>
            <c:dLbl>
              <c:idx val="0"/>
              <c:tx>
                <c:rich>
                  <a:bodyPr/>
                  <a:lstStyle/>
                  <a:p>
                    <a:fld id="{FF8168B3-4AED-45C3-B260-98408978EDE3}" type="CATEGORYNAME">
                      <a:rPr lang="en-US" sz="800">
                        <a:solidFill>
                          <a:schemeClr val="bg1"/>
                        </a:solidFill>
                      </a:rPr>
                      <a:pPr/>
                      <a:t>[CATEGORY NAME]</a:t>
                    </a:fld>
                    <a:r>
                      <a:rPr lang="en-US" sz="800" baseline="0">
                        <a:solidFill>
                          <a:schemeClr val="bg1"/>
                        </a:solidFill>
                      </a:rPr>
                      <a:t>, </a:t>
                    </a:r>
                    <a:fld id="{27C7A127-4CA9-47F4-85A6-C87C5126A0C4}" type="VALUE">
                      <a:rPr lang="en-US" sz="800" baseline="0">
                        <a:solidFill>
                          <a:schemeClr val="bg1"/>
                        </a:solidFill>
                      </a:rPr>
                      <a:pPr/>
                      <a:t>[VALUE]</a:t>
                    </a:fld>
                    <a:endParaRPr lang="en-US" sz="800" baseline="0">
                      <a:solidFill>
                        <a:schemeClr val="bg1"/>
                      </a:solidFill>
                    </a:endParaRP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51D9-42FE-B68E-C593F64E78B5}"/>
                </c:ext>
              </c:extLst>
            </c:dLbl>
            <c:dLbl>
              <c:idx val="1"/>
              <c:layout>
                <c:manualLayout>
                  <c:x val="0.22828194495715345"/>
                  <c:y val="-0.24338820032816999"/>
                </c:manualLayout>
              </c:layout>
              <c:tx>
                <c:rich>
                  <a:bodyPr/>
                  <a:lstStyle/>
                  <a:p>
                    <a:fld id="{3CFD52EC-845E-4C85-A620-B30B2FC74D59}" type="CATEGORYNAME">
                      <a:rPr lang="en-US" b="1"/>
                      <a:pPr/>
                      <a:t>[CATEGORY NAME]</a:t>
                    </a:fld>
                    <a:r>
                      <a:rPr lang="en-US" b="1" baseline="0"/>
                      <a:t>
</a:t>
                    </a:r>
                    <a:fld id="{477B638B-74CA-4BF5-83E7-B61C395FDEEA}" type="PERCENTAGE">
                      <a:rPr lang="en-US" b="1" baseline="0"/>
                      <a:pPr/>
                      <a:t>[PERCENTAGE]</a:t>
                    </a:fld>
                    <a:endParaRPr lang="en-US" b="1" baseline="0"/>
                  </a:p>
                </c:rich>
              </c:tx>
              <c:showLegendKey val="0"/>
              <c:showVal val="0"/>
              <c:showCatName val="1"/>
              <c:showSerName val="0"/>
              <c:showPercent val="1"/>
              <c:showBubbleSize val="0"/>
              <c:extLst>
                <c:ext xmlns:c15="http://schemas.microsoft.com/office/drawing/2012/chart" uri="{CE6537A1-D6FC-4f65-9D91-7224C49458BB}">
                  <c15:layout>
                    <c:manualLayout>
                      <c:w val="0.30894419376458232"/>
                      <c:h val="0.18849299800827649"/>
                    </c:manualLayout>
                  </c15:layout>
                  <c15:dlblFieldTable/>
                  <c15:showDataLabelsRange val="0"/>
                </c:ext>
                <c:ext xmlns:c16="http://schemas.microsoft.com/office/drawing/2014/chart" uri="{C3380CC4-5D6E-409C-BE32-E72D297353CC}">
                  <c16:uniqueId val="{00000001-51D9-42FE-B68E-C593F64E78B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Pro-Brexit</c:v>
                </c:pt>
                <c:pt idx="1">
                  <c:v>Against-Brexit</c:v>
                </c:pt>
              </c:strCache>
            </c:strRef>
          </c:cat>
          <c:val>
            <c:numRef>
              <c:f>Sheet1!$B$2:$B$3</c:f>
              <c:numCache>
                <c:formatCode>0%</c:formatCode>
                <c:ptCount val="2"/>
                <c:pt idx="0">
                  <c:v>0.13</c:v>
                </c:pt>
                <c:pt idx="1">
                  <c:v>0.87</c:v>
                </c:pt>
              </c:numCache>
            </c:numRef>
          </c:val>
          <c:extLst>
            <c:ext xmlns:c16="http://schemas.microsoft.com/office/drawing/2014/chart" uri="{C3380CC4-5D6E-409C-BE32-E72D297353CC}">
              <c16:uniqueId val="{00000000-51D9-42FE-B68E-C593F64E78B5}"/>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900">
                <a:solidFill>
                  <a:sysClr val="windowText" lastClr="000000"/>
                </a:solidFill>
              </a:rPr>
              <a:t>Views now in 2018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Views now in 2018</c:v>
                </c:pt>
              </c:strCache>
            </c:strRef>
          </c:tx>
          <c:dPt>
            <c:idx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1-4F4E-4E22-A919-983099A7182B}"/>
              </c:ext>
            </c:extLst>
          </c:dPt>
          <c:dPt>
            <c:idx val="1"/>
            <c:bubble3D val="0"/>
            <c:spPr>
              <a:solidFill>
                <a:schemeClr val="dk1">
                  <a:tint val="55000"/>
                </a:schemeClr>
              </a:solidFill>
              <a:ln w="19050">
                <a:solidFill>
                  <a:schemeClr val="lt1"/>
                </a:solidFill>
              </a:ln>
              <a:effectLst/>
            </c:spPr>
            <c:extLst>
              <c:ext xmlns:c16="http://schemas.microsoft.com/office/drawing/2014/chart" uri="{C3380CC4-5D6E-409C-BE32-E72D297353CC}">
                <c16:uniqueId val="{00000003-4F4E-4E22-A919-983099A7182B}"/>
              </c:ext>
            </c:extLst>
          </c:dPt>
          <c:dLbls>
            <c:dLbl>
              <c:idx val="0"/>
              <c:layout>
                <c:manualLayout>
                  <c:x val="-0.15020482476103778"/>
                  <c:y val="0.2066381151897297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sz="800">
                        <a:solidFill>
                          <a:schemeClr val="bg1"/>
                        </a:solidFill>
                      </a:rPr>
                      <a:t>Pro-</a:t>
                    </a:r>
                  </a:p>
                  <a:p>
                    <a:pPr>
                      <a:defRPr/>
                    </a:pPr>
                    <a:r>
                      <a:rPr lang="en-US" sz="800" baseline="0">
                        <a:solidFill>
                          <a:schemeClr val="bg1"/>
                        </a:solidFill>
                      </a:rPr>
                      <a:t>Brexit, </a:t>
                    </a:r>
                  </a:p>
                  <a:p>
                    <a:pPr>
                      <a:defRPr/>
                    </a:pPr>
                    <a:fld id="{27C7A127-4CA9-47F4-85A6-C87C5126A0C4}" type="VALUE">
                      <a:rPr lang="en-US" sz="800" baseline="0">
                        <a:solidFill>
                          <a:schemeClr val="bg1"/>
                        </a:solidFill>
                      </a:rPr>
                      <a:pPr>
                        <a:defRPr/>
                      </a:pPr>
                      <a:t>[VALUE]</a:t>
                    </a:fld>
                    <a:endParaRPr lang="en-GB"/>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1847974510696405"/>
                      <c:h val="0.22149410222804719"/>
                    </c:manualLayout>
                  </c15:layout>
                  <c15:dlblFieldTable/>
                  <c15:showDataLabelsRange val="0"/>
                </c:ext>
                <c:ext xmlns:c16="http://schemas.microsoft.com/office/drawing/2014/chart" uri="{C3380CC4-5D6E-409C-BE32-E72D297353CC}">
                  <c16:uniqueId val="{00000001-4F4E-4E22-A919-983099A7182B}"/>
                </c:ext>
              </c:extLst>
            </c:dLbl>
            <c:dLbl>
              <c:idx val="1"/>
              <c:layout>
                <c:manualLayout>
                  <c:x val="0.23055795483461702"/>
                  <c:y val="-0.24076696834913985"/>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3CFD52EC-845E-4C85-A620-B30B2FC74D59}" type="CATEGORYNAME">
                      <a:rPr lang="en-US" b="1"/>
                      <a:pPr>
                        <a:defRPr/>
                      </a:pPr>
                      <a:t>[CATEGORY NAME]</a:t>
                    </a:fld>
                    <a:r>
                      <a:rPr lang="en-US" b="1" baseline="0"/>
                      <a:t>
</a:t>
                    </a:r>
                    <a:fld id="{477B638B-74CA-4BF5-83E7-B61C395FDEEA}" type="PERCENTAGE">
                      <a:rPr lang="en-US" b="1" baseline="0"/>
                      <a:pPr>
                        <a:defRPr/>
                      </a:pPr>
                      <a:t>[PERCENTAGE]</a:t>
                    </a:fld>
                    <a:endParaRPr lang="en-US" b="1"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1333636777423762"/>
                      <c:h val="0.19373546196633679"/>
                    </c:manualLayout>
                  </c15:layout>
                  <c15:dlblFieldTable/>
                  <c15:showDataLabelsRange val="0"/>
                </c:ext>
                <c:ext xmlns:c16="http://schemas.microsoft.com/office/drawing/2014/chart" uri="{C3380CC4-5D6E-409C-BE32-E72D297353CC}">
                  <c16:uniqueId val="{00000003-4F4E-4E22-A919-983099A7182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Pro-Brexit</c:v>
                </c:pt>
                <c:pt idx="1">
                  <c:v>Against-Brexit</c:v>
                </c:pt>
              </c:strCache>
            </c:strRef>
          </c:cat>
          <c:val>
            <c:numRef>
              <c:f>Sheet1!$B$2:$B$3</c:f>
              <c:numCache>
                <c:formatCode>0%</c:formatCode>
                <c:ptCount val="2"/>
                <c:pt idx="0">
                  <c:v>0.11</c:v>
                </c:pt>
                <c:pt idx="1">
                  <c:v>0.87</c:v>
                </c:pt>
              </c:numCache>
            </c:numRef>
          </c:val>
          <c:extLst>
            <c:ext xmlns:c16="http://schemas.microsoft.com/office/drawing/2014/chart" uri="{C3380CC4-5D6E-409C-BE32-E72D297353CC}">
              <c16:uniqueId val="{00000004-4F4E-4E22-A919-983099A7182B}"/>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Remain</c:v>
                </c:pt>
              </c:strCache>
            </c:strRef>
          </c:tx>
          <c:spPr>
            <a:pattFill prst="narHorz">
              <a:fgClr>
                <a:schemeClr val="dk1">
                  <a:tint val="88500"/>
                </a:schemeClr>
              </a:fgClr>
              <a:bgClr>
                <a:schemeClr val="dk1">
                  <a:tint val="88500"/>
                  <a:lumMod val="20000"/>
                  <a:lumOff val="80000"/>
                </a:schemeClr>
              </a:bgClr>
            </a:pattFill>
            <a:ln>
              <a:noFill/>
            </a:ln>
            <a:effectLst>
              <a:innerShdw blurRad="114300">
                <a:schemeClr val="dk1">
                  <a:tint val="885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Aged 18-24</c:v>
                </c:pt>
                <c:pt idx="1">
                  <c:v>Aged 25-49</c:v>
                </c:pt>
                <c:pt idx="2">
                  <c:v>Aged 50-64</c:v>
                </c:pt>
                <c:pt idx="3">
                  <c:v>Aged 65+</c:v>
                </c:pt>
              </c:strCache>
            </c:strRef>
          </c:cat>
          <c:val>
            <c:numRef>
              <c:f>Sheet1!$B$2:$B$5</c:f>
              <c:numCache>
                <c:formatCode>General</c:formatCode>
                <c:ptCount val="4"/>
                <c:pt idx="0">
                  <c:v>71</c:v>
                </c:pt>
                <c:pt idx="1">
                  <c:v>54</c:v>
                </c:pt>
                <c:pt idx="2">
                  <c:v>40</c:v>
                </c:pt>
                <c:pt idx="3">
                  <c:v>36</c:v>
                </c:pt>
              </c:numCache>
            </c:numRef>
          </c:val>
          <c:extLst>
            <c:ext xmlns:c16="http://schemas.microsoft.com/office/drawing/2014/chart" uri="{C3380CC4-5D6E-409C-BE32-E72D297353CC}">
              <c16:uniqueId val="{00000000-5EC3-4DA3-AAA9-42A64AC7F499}"/>
            </c:ext>
          </c:extLst>
        </c:ser>
        <c:ser>
          <c:idx val="1"/>
          <c:order val="1"/>
          <c:tx>
            <c:strRef>
              <c:f>Sheet1!$C$1</c:f>
              <c:strCache>
                <c:ptCount val="1"/>
                <c:pt idx="0">
                  <c:v>Leave</c:v>
                </c:pt>
              </c:strCache>
            </c:strRef>
          </c:tx>
          <c:spPr>
            <a:pattFill prst="narHorz">
              <a:fgClr>
                <a:schemeClr val="dk1">
                  <a:tint val="55000"/>
                </a:schemeClr>
              </a:fgClr>
              <a:bgClr>
                <a:schemeClr val="dk1">
                  <a:tint val="55000"/>
                  <a:lumMod val="20000"/>
                  <a:lumOff val="80000"/>
                </a:schemeClr>
              </a:bgClr>
            </a:pattFill>
            <a:ln>
              <a:noFill/>
            </a:ln>
            <a:effectLst>
              <a:innerShdw blurRad="114300">
                <a:schemeClr val="dk1">
                  <a:tint val="55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Aged 18-24</c:v>
                </c:pt>
                <c:pt idx="1">
                  <c:v>Aged 25-49</c:v>
                </c:pt>
                <c:pt idx="2">
                  <c:v>Aged 50-64</c:v>
                </c:pt>
                <c:pt idx="3">
                  <c:v>Aged 65+</c:v>
                </c:pt>
              </c:strCache>
            </c:strRef>
          </c:cat>
          <c:val>
            <c:numRef>
              <c:f>Sheet1!$C$2:$C$5</c:f>
              <c:numCache>
                <c:formatCode>General</c:formatCode>
                <c:ptCount val="4"/>
                <c:pt idx="0">
                  <c:v>29</c:v>
                </c:pt>
                <c:pt idx="1">
                  <c:v>46</c:v>
                </c:pt>
                <c:pt idx="2">
                  <c:v>60</c:v>
                </c:pt>
                <c:pt idx="3">
                  <c:v>64</c:v>
                </c:pt>
              </c:numCache>
            </c:numRef>
          </c:val>
          <c:extLst>
            <c:ext xmlns:c16="http://schemas.microsoft.com/office/drawing/2014/chart" uri="{C3380CC4-5D6E-409C-BE32-E72D297353CC}">
              <c16:uniqueId val="{00000001-5EC3-4DA3-AAA9-42A64AC7F499}"/>
            </c:ext>
          </c:extLst>
        </c:ser>
        <c:dLbls>
          <c:dLblPos val="outEnd"/>
          <c:showLegendKey val="0"/>
          <c:showVal val="1"/>
          <c:showCatName val="0"/>
          <c:showSerName val="0"/>
          <c:showPercent val="0"/>
          <c:showBubbleSize val="0"/>
        </c:dLbls>
        <c:gapWidth val="164"/>
        <c:overlap val="-22"/>
        <c:axId val="368074048"/>
        <c:axId val="368074376"/>
      </c:barChart>
      <c:catAx>
        <c:axId val="36807404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074376"/>
        <c:crosses val="autoZero"/>
        <c:auto val="1"/>
        <c:lblAlgn val="ctr"/>
        <c:lblOffset val="100"/>
        <c:noMultiLvlLbl val="0"/>
      </c:catAx>
      <c:valAx>
        <c:axId val="3680743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0740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Sheet1!$B$1</c:f>
              <c:strCache>
                <c:ptCount val="1"/>
                <c:pt idx="0">
                  <c:v>Pro-Brexit Sentiments (+) minus Anti-Brexit Sentiments (-)</c:v>
                </c:pt>
              </c:strCache>
            </c:strRef>
          </c:tx>
          <c:spPr>
            <a:solidFill>
              <a:schemeClr val="accent3">
                <a:tint val="65000"/>
                <a:alpha val="70000"/>
              </a:schemeClr>
            </a:solidFill>
            <a:ln>
              <a:noFill/>
            </a:ln>
            <a:effectLst/>
          </c:spPr>
          <c:invertIfNegative val="0"/>
          <c:cat>
            <c:strRef>
              <c:f>Sheet1!$A$2:$A$10</c:f>
              <c:strCache>
                <c:ptCount val="9"/>
                <c:pt idx="0">
                  <c:v>Employability After Graduation</c:v>
                </c:pt>
                <c:pt idx="1">
                  <c:v>Long-Term Career Prospects</c:v>
                </c:pt>
                <c:pt idx="2">
                  <c:v>Economic Prosperity </c:v>
                </c:pt>
                <c:pt idx="3">
                  <c:v>Effect on University Experience</c:v>
                </c:pt>
                <c:pt idx="4">
                  <c:v>Effect on Legal Education</c:v>
                </c:pt>
                <c:pt idx="5">
                  <c:v>Study More Areas of Comparative Law</c:v>
                </c:pt>
                <c:pt idx="6">
                  <c:v>Study More Areas of EU Law</c:v>
                </c:pt>
                <c:pt idx="7">
                  <c:v>Effect on Travel Options Outside UK (General)</c:v>
                </c:pt>
                <c:pt idx="8">
                  <c:v>Effect on Field Trips (Whilst Studying)</c:v>
                </c:pt>
              </c:strCache>
            </c:strRef>
          </c:cat>
          <c:val>
            <c:numRef>
              <c:f>Sheet1!$B$2:$B$10</c:f>
              <c:numCache>
                <c:formatCode>General</c:formatCode>
                <c:ptCount val="9"/>
                <c:pt idx="0">
                  <c:v>-217</c:v>
                </c:pt>
                <c:pt idx="1">
                  <c:v>-437</c:v>
                </c:pt>
                <c:pt idx="2">
                  <c:v>-642</c:v>
                </c:pt>
                <c:pt idx="3">
                  <c:v>-354</c:v>
                </c:pt>
                <c:pt idx="4">
                  <c:v>-269</c:v>
                </c:pt>
                <c:pt idx="5">
                  <c:v>182</c:v>
                </c:pt>
                <c:pt idx="6">
                  <c:v>84</c:v>
                </c:pt>
                <c:pt idx="7">
                  <c:v>-420</c:v>
                </c:pt>
                <c:pt idx="8">
                  <c:v>-400</c:v>
                </c:pt>
              </c:numCache>
            </c:numRef>
          </c:val>
          <c:extLst>
            <c:ext xmlns:c16="http://schemas.microsoft.com/office/drawing/2014/chart" uri="{C3380CC4-5D6E-409C-BE32-E72D297353CC}">
              <c16:uniqueId val="{00000000-4CDE-4DCD-8F84-042AE3066553}"/>
            </c:ext>
          </c:extLst>
        </c:ser>
        <c:ser>
          <c:idx val="1"/>
          <c:order val="1"/>
          <c:tx>
            <c:strRef>
              <c:f>Sheet1!$C$1</c:f>
              <c:strCache>
                <c:ptCount val="1"/>
                <c:pt idx="0">
                  <c:v>Neither Agree or Disagree</c:v>
                </c:pt>
              </c:strCache>
            </c:strRef>
          </c:tx>
          <c:spPr>
            <a:solidFill>
              <a:schemeClr val="accent3">
                <a:alpha val="70000"/>
              </a:schemeClr>
            </a:solidFill>
            <a:ln>
              <a:noFill/>
            </a:ln>
            <a:effectLst/>
          </c:spPr>
          <c:invertIfNegative val="0"/>
          <c:cat>
            <c:strRef>
              <c:f>Sheet1!$A$2:$A$10</c:f>
              <c:strCache>
                <c:ptCount val="9"/>
                <c:pt idx="0">
                  <c:v>Employability After Graduation</c:v>
                </c:pt>
                <c:pt idx="1">
                  <c:v>Long-Term Career Prospects</c:v>
                </c:pt>
                <c:pt idx="2">
                  <c:v>Economic Prosperity </c:v>
                </c:pt>
                <c:pt idx="3">
                  <c:v>Effect on University Experience</c:v>
                </c:pt>
                <c:pt idx="4">
                  <c:v>Effect on Legal Education</c:v>
                </c:pt>
                <c:pt idx="5">
                  <c:v>Study More Areas of Comparative Law</c:v>
                </c:pt>
                <c:pt idx="6">
                  <c:v>Study More Areas of EU Law</c:v>
                </c:pt>
                <c:pt idx="7">
                  <c:v>Effect on Travel Options Outside UK (General)</c:v>
                </c:pt>
                <c:pt idx="8">
                  <c:v>Effect on Field Trips (Whilst Studying)</c:v>
                </c:pt>
              </c:strCache>
            </c:strRef>
          </c:cat>
          <c:val>
            <c:numRef>
              <c:f>Sheet1!$C$2:$C$10</c:f>
              <c:numCache>
                <c:formatCode>General</c:formatCode>
                <c:ptCount val="9"/>
                <c:pt idx="0">
                  <c:v>85</c:v>
                </c:pt>
                <c:pt idx="1">
                  <c:v>125</c:v>
                </c:pt>
                <c:pt idx="2">
                  <c:v>115</c:v>
                </c:pt>
                <c:pt idx="3">
                  <c:v>145</c:v>
                </c:pt>
                <c:pt idx="4">
                  <c:v>220</c:v>
                </c:pt>
                <c:pt idx="5">
                  <c:v>225</c:v>
                </c:pt>
                <c:pt idx="6">
                  <c:v>155</c:v>
                </c:pt>
                <c:pt idx="7">
                  <c:v>120</c:v>
                </c:pt>
                <c:pt idx="8">
                  <c:v>150</c:v>
                </c:pt>
              </c:numCache>
            </c:numRef>
          </c:val>
          <c:extLst>
            <c:ext xmlns:c16="http://schemas.microsoft.com/office/drawing/2014/chart" uri="{C3380CC4-5D6E-409C-BE32-E72D297353CC}">
              <c16:uniqueId val="{00000001-4CDE-4DCD-8F84-042AE3066553}"/>
            </c:ext>
          </c:extLst>
        </c:ser>
        <c:ser>
          <c:idx val="2"/>
          <c:order val="2"/>
          <c:tx>
            <c:strRef>
              <c:f>Sheet1!$D$1</c:f>
              <c:strCache>
                <c:ptCount val="1"/>
                <c:pt idx="0">
                  <c:v>Do Not Know</c:v>
                </c:pt>
              </c:strCache>
            </c:strRef>
          </c:tx>
          <c:spPr>
            <a:solidFill>
              <a:schemeClr val="accent3">
                <a:shade val="65000"/>
                <a:alpha val="70000"/>
              </a:schemeClr>
            </a:solidFill>
            <a:ln>
              <a:noFill/>
            </a:ln>
            <a:effectLst/>
          </c:spPr>
          <c:invertIfNegative val="0"/>
          <c:cat>
            <c:strRef>
              <c:f>Sheet1!$A$2:$A$10</c:f>
              <c:strCache>
                <c:ptCount val="9"/>
                <c:pt idx="0">
                  <c:v>Employability After Graduation</c:v>
                </c:pt>
                <c:pt idx="1">
                  <c:v>Long-Term Career Prospects</c:v>
                </c:pt>
                <c:pt idx="2">
                  <c:v>Economic Prosperity </c:v>
                </c:pt>
                <c:pt idx="3">
                  <c:v>Effect on University Experience</c:v>
                </c:pt>
                <c:pt idx="4">
                  <c:v>Effect on Legal Education</c:v>
                </c:pt>
                <c:pt idx="5">
                  <c:v>Study More Areas of Comparative Law</c:v>
                </c:pt>
                <c:pt idx="6">
                  <c:v>Study More Areas of EU Law</c:v>
                </c:pt>
                <c:pt idx="7">
                  <c:v>Effect on Travel Options Outside UK (General)</c:v>
                </c:pt>
                <c:pt idx="8">
                  <c:v>Effect on Field Trips (Whilst Studying)</c:v>
                </c:pt>
              </c:strCache>
            </c:strRef>
          </c:cat>
          <c:val>
            <c:numRef>
              <c:f>Sheet1!$D$2:$D$10</c:f>
              <c:numCache>
                <c:formatCode>General</c:formatCode>
                <c:ptCount val="9"/>
                <c:pt idx="0">
                  <c:v>5</c:v>
                </c:pt>
                <c:pt idx="1">
                  <c:v>46</c:v>
                </c:pt>
                <c:pt idx="2">
                  <c:v>46</c:v>
                </c:pt>
                <c:pt idx="3">
                  <c:v>21</c:v>
                </c:pt>
                <c:pt idx="4">
                  <c:v>30</c:v>
                </c:pt>
                <c:pt idx="5">
                  <c:v>36</c:v>
                </c:pt>
                <c:pt idx="6">
                  <c:v>30</c:v>
                </c:pt>
                <c:pt idx="7">
                  <c:v>22</c:v>
                </c:pt>
                <c:pt idx="8">
                  <c:v>52</c:v>
                </c:pt>
              </c:numCache>
            </c:numRef>
          </c:val>
          <c:extLst>
            <c:ext xmlns:c16="http://schemas.microsoft.com/office/drawing/2014/chart" uri="{C3380CC4-5D6E-409C-BE32-E72D297353CC}">
              <c16:uniqueId val="{00000002-4CDE-4DCD-8F84-042AE3066553}"/>
            </c:ext>
          </c:extLst>
        </c:ser>
        <c:dLbls>
          <c:showLegendKey val="0"/>
          <c:showVal val="0"/>
          <c:showCatName val="0"/>
          <c:showSerName val="0"/>
          <c:showPercent val="0"/>
          <c:showBubbleSize val="0"/>
        </c:dLbls>
        <c:gapWidth val="150"/>
        <c:axId val="321963072"/>
        <c:axId val="321961896"/>
      </c:barChart>
      <c:catAx>
        <c:axId val="32196307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500" b="0" i="0" u="none" strike="noStrike" kern="1200" cap="none" spc="20" normalizeH="0" baseline="0">
                <a:solidFill>
                  <a:schemeClr val="tx1">
                    <a:lumMod val="65000"/>
                    <a:lumOff val="35000"/>
                  </a:schemeClr>
                </a:solidFill>
                <a:latin typeface="+mn-lt"/>
                <a:ea typeface="+mn-ea"/>
                <a:cs typeface="+mn-cs"/>
              </a:defRPr>
            </a:pPr>
            <a:endParaRPr lang="en-US"/>
          </a:p>
        </c:txPr>
        <c:crossAx val="321961896"/>
        <c:crosses val="autoZero"/>
        <c:auto val="1"/>
        <c:lblAlgn val="ctr"/>
        <c:lblOffset val="100"/>
        <c:noMultiLvlLbl val="0"/>
      </c:catAx>
      <c:valAx>
        <c:axId val="321961896"/>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500" b="0" i="0" u="none" strike="noStrike" kern="1200" cap="all" baseline="0">
                    <a:solidFill>
                      <a:schemeClr val="tx1">
                        <a:lumMod val="65000"/>
                        <a:lumOff val="35000"/>
                      </a:schemeClr>
                    </a:solidFill>
                    <a:latin typeface="+mn-lt"/>
                    <a:ea typeface="+mn-ea"/>
                    <a:cs typeface="+mn-cs"/>
                  </a:defRPr>
                </a:pPr>
                <a:r>
                  <a:rPr lang="en-GB" sz="700"/>
                  <a:t>Anti</a:t>
                </a:r>
                <a:r>
                  <a:rPr lang="en-GB" sz="700" baseline="0"/>
                  <a:t> brexit views (&lt;0)  vS. PRO BREXIT VIEWS (&gt;0)</a:t>
                </a:r>
                <a:endParaRPr lang="en-GB" sz="700"/>
              </a:p>
            </c:rich>
          </c:tx>
          <c:layout>
            <c:manualLayout>
              <c:xMode val="edge"/>
              <c:yMode val="edge"/>
              <c:x val="0.24586597040905134"/>
              <c:y val="3.4057058258165039E-2"/>
            </c:manualLayout>
          </c:layout>
          <c:overlay val="0"/>
          <c:spPr>
            <a:noFill/>
            <a:ln>
              <a:noFill/>
            </a:ln>
            <a:effectLst/>
          </c:spPr>
          <c:txPr>
            <a:bodyPr rot="-5400000" spcFirstLastPara="1" vertOverflow="ellipsis" vert="horz" wrap="square" anchor="ctr" anchorCtr="1"/>
            <a:lstStyle/>
            <a:p>
              <a:pPr>
                <a:defRPr sz="5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spc="20" baseline="0">
                <a:solidFill>
                  <a:schemeClr val="tx1">
                    <a:lumMod val="65000"/>
                    <a:lumOff val="35000"/>
                  </a:schemeClr>
                </a:solidFill>
                <a:latin typeface="+mn-lt"/>
                <a:ea typeface="+mn-ea"/>
                <a:cs typeface="+mn-cs"/>
              </a:defRPr>
            </a:pPr>
            <a:endParaRPr lang="en-US"/>
          </a:p>
        </c:txPr>
        <c:crossAx val="32196307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5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noFill/>
      <a:round/>
    </a:ln>
    <a:effectLst/>
  </c:spPr>
  <c:txPr>
    <a:bodyPr/>
    <a:lstStyle/>
    <a:p>
      <a:pPr>
        <a:defRPr sz="50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Sheet1!$B$1</c:f>
              <c:strCache>
                <c:ptCount val="1"/>
                <c:pt idx="0">
                  <c:v>Very of Fairly Likely</c:v>
                </c:pt>
              </c:strCache>
            </c:strRef>
          </c:tx>
          <c:spPr>
            <a:solidFill>
              <a:schemeClr val="accent3">
                <a:tint val="65000"/>
              </a:schemeClr>
            </a:solidFill>
            <a:ln>
              <a:noFill/>
            </a:ln>
            <a:effectLst/>
          </c:spPr>
          <c:invertIfNegative val="0"/>
          <c:cat>
            <c:strRef>
              <c:f>Sheet1!$A$2:$A$13</c:f>
              <c:strCache>
                <c:ptCount val="12"/>
                <c:pt idx="0">
                  <c:v>UK</c:v>
                </c:pt>
                <c:pt idx="1">
                  <c:v>Holland</c:v>
                </c:pt>
                <c:pt idx="2">
                  <c:v>Germany</c:v>
                </c:pt>
                <c:pt idx="3">
                  <c:v>France</c:v>
                </c:pt>
                <c:pt idx="4">
                  <c:v>Italy</c:v>
                </c:pt>
                <c:pt idx="5">
                  <c:v>Denmark</c:v>
                </c:pt>
                <c:pt idx="6">
                  <c:v>Finland</c:v>
                </c:pt>
                <c:pt idx="7">
                  <c:v>Lithuania</c:v>
                </c:pt>
                <c:pt idx="8">
                  <c:v>Poland</c:v>
                </c:pt>
                <c:pt idx="9">
                  <c:v>Romania</c:v>
                </c:pt>
                <c:pt idx="10">
                  <c:v>Spain</c:v>
                </c:pt>
                <c:pt idx="11">
                  <c:v>Sweden</c:v>
                </c:pt>
              </c:strCache>
            </c:strRef>
          </c:cat>
          <c:val>
            <c:numRef>
              <c:f>Sheet1!$B$2:$B$13</c:f>
              <c:numCache>
                <c:formatCode>General</c:formatCode>
                <c:ptCount val="12"/>
                <c:pt idx="0">
                  <c:v>76</c:v>
                </c:pt>
                <c:pt idx="1">
                  <c:v>27</c:v>
                </c:pt>
                <c:pt idx="2">
                  <c:v>10</c:v>
                </c:pt>
                <c:pt idx="3">
                  <c:v>22</c:v>
                </c:pt>
                <c:pt idx="4">
                  <c:v>23</c:v>
                </c:pt>
                <c:pt idx="5">
                  <c:v>23</c:v>
                </c:pt>
                <c:pt idx="6">
                  <c:v>21</c:v>
                </c:pt>
                <c:pt idx="7">
                  <c:v>18</c:v>
                </c:pt>
                <c:pt idx="8">
                  <c:v>22</c:v>
                </c:pt>
                <c:pt idx="9">
                  <c:v>22</c:v>
                </c:pt>
                <c:pt idx="10">
                  <c:v>18</c:v>
                </c:pt>
                <c:pt idx="11">
                  <c:v>15</c:v>
                </c:pt>
              </c:numCache>
            </c:numRef>
          </c:val>
          <c:extLst>
            <c:ext xmlns:c16="http://schemas.microsoft.com/office/drawing/2014/chart" uri="{C3380CC4-5D6E-409C-BE32-E72D297353CC}">
              <c16:uniqueId val="{00000000-0C49-4C02-BA54-C3DF8B940B5B}"/>
            </c:ext>
          </c:extLst>
        </c:ser>
        <c:ser>
          <c:idx val="1"/>
          <c:order val="1"/>
          <c:tx>
            <c:strRef>
              <c:f>Sheet1!$C$1</c:f>
              <c:strCache>
                <c:ptCount val="1"/>
                <c:pt idx="0">
                  <c:v>Fairly or Very Unlikely</c:v>
                </c:pt>
              </c:strCache>
            </c:strRef>
          </c:tx>
          <c:spPr>
            <a:solidFill>
              <a:schemeClr val="accent3"/>
            </a:solidFill>
            <a:ln>
              <a:noFill/>
            </a:ln>
            <a:effectLst/>
          </c:spPr>
          <c:invertIfNegative val="0"/>
          <c:cat>
            <c:strRef>
              <c:f>Sheet1!$A$2:$A$13</c:f>
              <c:strCache>
                <c:ptCount val="12"/>
                <c:pt idx="0">
                  <c:v>UK</c:v>
                </c:pt>
                <c:pt idx="1">
                  <c:v>Holland</c:v>
                </c:pt>
                <c:pt idx="2">
                  <c:v>Germany</c:v>
                </c:pt>
                <c:pt idx="3">
                  <c:v>France</c:v>
                </c:pt>
                <c:pt idx="4">
                  <c:v>Italy</c:v>
                </c:pt>
                <c:pt idx="5">
                  <c:v>Denmark</c:v>
                </c:pt>
                <c:pt idx="6">
                  <c:v>Finland</c:v>
                </c:pt>
                <c:pt idx="7">
                  <c:v>Lithuania</c:v>
                </c:pt>
                <c:pt idx="8">
                  <c:v>Poland</c:v>
                </c:pt>
                <c:pt idx="9">
                  <c:v>Romania</c:v>
                </c:pt>
                <c:pt idx="10">
                  <c:v>Spain</c:v>
                </c:pt>
                <c:pt idx="11">
                  <c:v>Sweden</c:v>
                </c:pt>
              </c:strCache>
            </c:strRef>
          </c:cat>
          <c:val>
            <c:numRef>
              <c:f>Sheet1!$C$2:$C$13</c:f>
              <c:numCache>
                <c:formatCode>General</c:formatCode>
                <c:ptCount val="12"/>
                <c:pt idx="0">
                  <c:v>10</c:v>
                </c:pt>
                <c:pt idx="1">
                  <c:v>60</c:v>
                </c:pt>
                <c:pt idx="2">
                  <c:v>75</c:v>
                </c:pt>
                <c:pt idx="3">
                  <c:v>60</c:v>
                </c:pt>
                <c:pt idx="4">
                  <c:v>64</c:v>
                </c:pt>
                <c:pt idx="5">
                  <c:v>62.5</c:v>
                </c:pt>
                <c:pt idx="6">
                  <c:v>62</c:v>
                </c:pt>
                <c:pt idx="7">
                  <c:v>71</c:v>
                </c:pt>
                <c:pt idx="8">
                  <c:v>62</c:v>
                </c:pt>
                <c:pt idx="9">
                  <c:v>65</c:v>
                </c:pt>
                <c:pt idx="10">
                  <c:v>67</c:v>
                </c:pt>
                <c:pt idx="11">
                  <c:v>67.5</c:v>
                </c:pt>
              </c:numCache>
            </c:numRef>
          </c:val>
          <c:extLst>
            <c:ext xmlns:c16="http://schemas.microsoft.com/office/drawing/2014/chart" uri="{C3380CC4-5D6E-409C-BE32-E72D297353CC}">
              <c16:uniqueId val="{00000001-0C49-4C02-BA54-C3DF8B940B5B}"/>
            </c:ext>
          </c:extLst>
        </c:ser>
        <c:ser>
          <c:idx val="2"/>
          <c:order val="2"/>
          <c:tx>
            <c:strRef>
              <c:f>Sheet1!$D$1</c:f>
              <c:strCache>
                <c:ptCount val="1"/>
                <c:pt idx="0">
                  <c:v>Do not know</c:v>
                </c:pt>
              </c:strCache>
            </c:strRef>
          </c:tx>
          <c:spPr>
            <a:solidFill>
              <a:schemeClr val="accent3">
                <a:shade val="65000"/>
              </a:schemeClr>
            </a:solidFill>
            <a:ln>
              <a:noFill/>
            </a:ln>
            <a:effectLst/>
          </c:spPr>
          <c:invertIfNegative val="0"/>
          <c:cat>
            <c:strRef>
              <c:f>Sheet1!$A$2:$A$13</c:f>
              <c:strCache>
                <c:ptCount val="12"/>
                <c:pt idx="0">
                  <c:v>UK</c:v>
                </c:pt>
                <c:pt idx="1">
                  <c:v>Holland</c:v>
                </c:pt>
                <c:pt idx="2">
                  <c:v>Germany</c:v>
                </c:pt>
                <c:pt idx="3">
                  <c:v>France</c:v>
                </c:pt>
                <c:pt idx="4">
                  <c:v>Italy</c:v>
                </c:pt>
                <c:pt idx="5">
                  <c:v>Denmark</c:v>
                </c:pt>
                <c:pt idx="6">
                  <c:v>Finland</c:v>
                </c:pt>
                <c:pt idx="7">
                  <c:v>Lithuania</c:v>
                </c:pt>
                <c:pt idx="8">
                  <c:v>Poland</c:v>
                </c:pt>
                <c:pt idx="9">
                  <c:v>Romania</c:v>
                </c:pt>
                <c:pt idx="10">
                  <c:v>Spain</c:v>
                </c:pt>
                <c:pt idx="11">
                  <c:v>Sweden</c:v>
                </c:pt>
              </c:strCache>
            </c:strRef>
          </c:cat>
          <c:val>
            <c:numRef>
              <c:f>Sheet1!$D$2:$D$13</c:f>
              <c:numCache>
                <c:formatCode>General</c:formatCode>
                <c:ptCount val="12"/>
                <c:pt idx="0">
                  <c:v>14</c:v>
                </c:pt>
                <c:pt idx="1">
                  <c:v>13</c:v>
                </c:pt>
                <c:pt idx="2">
                  <c:v>15</c:v>
                </c:pt>
                <c:pt idx="3">
                  <c:v>18</c:v>
                </c:pt>
                <c:pt idx="4">
                  <c:v>13</c:v>
                </c:pt>
                <c:pt idx="5">
                  <c:v>14.5</c:v>
                </c:pt>
                <c:pt idx="6">
                  <c:v>17</c:v>
                </c:pt>
                <c:pt idx="7">
                  <c:v>11</c:v>
                </c:pt>
                <c:pt idx="8">
                  <c:v>16</c:v>
                </c:pt>
                <c:pt idx="9">
                  <c:v>13</c:v>
                </c:pt>
                <c:pt idx="10">
                  <c:v>15</c:v>
                </c:pt>
                <c:pt idx="11">
                  <c:v>17.5</c:v>
                </c:pt>
              </c:numCache>
            </c:numRef>
          </c:val>
          <c:extLst>
            <c:ext xmlns:c16="http://schemas.microsoft.com/office/drawing/2014/chart" uri="{C3380CC4-5D6E-409C-BE32-E72D297353CC}">
              <c16:uniqueId val="{00000002-0C49-4C02-BA54-C3DF8B940B5B}"/>
            </c:ext>
          </c:extLst>
        </c:ser>
        <c:dLbls>
          <c:showLegendKey val="0"/>
          <c:showVal val="0"/>
          <c:showCatName val="0"/>
          <c:showSerName val="0"/>
          <c:showPercent val="0"/>
          <c:showBubbleSize val="0"/>
        </c:dLbls>
        <c:gapWidth val="219"/>
        <c:overlap val="-27"/>
        <c:axId val="388756120"/>
        <c:axId val="388756776"/>
      </c:barChart>
      <c:catAx>
        <c:axId val="388756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756776"/>
        <c:crosses val="autoZero"/>
        <c:auto val="1"/>
        <c:lblAlgn val="ctr"/>
        <c:lblOffset val="100"/>
        <c:noMultiLvlLbl val="0"/>
      </c:catAx>
      <c:valAx>
        <c:axId val="388756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756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withinLinearReversed" id="23">
  <a:schemeClr val="accent3"/>
</cs:colorStyle>
</file>

<file path=word/charts/colors5.xml><?xml version="1.0" encoding="utf-8"?>
<cs:colorStyle xmlns:cs="http://schemas.microsoft.com/office/drawing/2012/chartStyle" xmlns:a="http://schemas.openxmlformats.org/drawingml/2006/main" meth="withinLinearReversed" id="23">
  <a:schemeClr val="accent3"/>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1B5BF-8302-408C-94B6-E47CA15B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9587</Words>
  <Characters>54647</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Clear</dc:creator>
  <cp:keywords/>
  <dc:description/>
  <cp:lastModifiedBy>Stephen Clear</cp:lastModifiedBy>
  <cp:revision>2</cp:revision>
  <cp:lastPrinted>2018-10-12T14:12:00Z</cp:lastPrinted>
  <dcterms:created xsi:type="dcterms:W3CDTF">2018-10-15T08:56:00Z</dcterms:created>
  <dcterms:modified xsi:type="dcterms:W3CDTF">2018-10-15T08:56:00Z</dcterms:modified>
</cp:coreProperties>
</file>