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503B" w14:textId="31050B9D" w:rsidR="000B3F34" w:rsidRDefault="00C062FA" w:rsidP="008A7BD9">
      <w:pPr>
        <w:spacing w:after="0" w:line="240" w:lineRule="auto"/>
        <w:rPr>
          <w:rFonts w:ascii="Times New Roman" w:hAnsi="Times New Roman" w:cs="Times New Roman"/>
          <w:sz w:val="28"/>
          <w:szCs w:val="28"/>
        </w:rPr>
      </w:pPr>
      <w:bookmarkStart w:id="0" w:name="_Hlk516066070"/>
      <w:bookmarkStart w:id="1" w:name="_GoBack"/>
      <w:bookmarkEnd w:id="1"/>
      <w:r>
        <w:rPr>
          <w:rFonts w:ascii="Times New Roman" w:hAnsi="Times New Roman" w:cs="Times New Roman"/>
          <w:sz w:val="28"/>
          <w:szCs w:val="28"/>
        </w:rPr>
        <w:t>E</w:t>
      </w:r>
      <w:r w:rsidR="000B3F34" w:rsidRPr="00C062FA">
        <w:rPr>
          <w:rFonts w:ascii="Times New Roman" w:hAnsi="Times New Roman" w:cs="Times New Roman"/>
          <w:sz w:val="28"/>
          <w:szCs w:val="28"/>
        </w:rPr>
        <w:t>volving perspectives on the evolving arm’s length principle and formulary apportionment</w:t>
      </w:r>
    </w:p>
    <w:p w14:paraId="1A3F0043" w14:textId="079D7273" w:rsidR="00C062FA" w:rsidRDefault="00C062FA" w:rsidP="008A7BD9">
      <w:pPr>
        <w:spacing w:after="0" w:line="240" w:lineRule="auto"/>
        <w:rPr>
          <w:rFonts w:ascii="Times New Roman" w:hAnsi="Times New Roman" w:cs="Times New Roman"/>
          <w:sz w:val="28"/>
          <w:szCs w:val="28"/>
        </w:rPr>
      </w:pPr>
    </w:p>
    <w:p w14:paraId="3E3C6970" w14:textId="1F243D85" w:rsidR="00093E8B" w:rsidRPr="00201DB3" w:rsidRDefault="00093E8B"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Helen Rogers and Lynne Oats</w:t>
      </w:r>
    </w:p>
    <w:bookmarkEnd w:id="0"/>
    <w:p w14:paraId="684601FE" w14:textId="77777777" w:rsidR="00783D03" w:rsidRPr="00F85CCA" w:rsidRDefault="00783D03" w:rsidP="00201DB3">
      <w:pPr>
        <w:spacing w:after="0" w:line="240" w:lineRule="auto"/>
        <w:rPr>
          <w:rFonts w:ascii="Times New Roman" w:hAnsi="Times New Roman" w:cs="Times New Roman"/>
          <w:sz w:val="22"/>
          <w:szCs w:val="22"/>
        </w:rPr>
      </w:pPr>
    </w:p>
    <w:p w14:paraId="4489BF35" w14:textId="28499080" w:rsidR="00201DB3" w:rsidRPr="00201DB3" w:rsidRDefault="00783D03"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Abstract</w:t>
      </w:r>
      <w:r w:rsidR="004D15B7" w:rsidRPr="00201DB3">
        <w:rPr>
          <w:rFonts w:ascii="Times New Roman" w:hAnsi="Times New Roman" w:cs="Times New Roman"/>
          <w:b/>
          <w:sz w:val="22"/>
          <w:szCs w:val="22"/>
        </w:rPr>
        <w:t xml:space="preserve"> </w:t>
      </w:r>
    </w:p>
    <w:p w14:paraId="553852F5" w14:textId="3F337BBA" w:rsidR="00F03156" w:rsidRPr="00201DB3" w:rsidRDefault="00F03156" w:rsidP="00201DB3">
      <w:pPr>
        <w:spacing w:after="0" w:line="240" w:lineRule="auto"/>
        <w:rPr>
          <w:rFonts w:ascii="Times New Roman" w:hAnsi="Times New Roman" w:cs="Times New Roman"/>
          <w:sz w:val="22"/>
          <w:szCs w:val="22"/>
        </w:rPr>
      </w:pPr>
    </w:p>
    <w:p w14:paraId="062DE12B" w14:textId="6DBC485E" w:rsidR="00F03156" w:rsidRPr="00201DB3" w:rsidRDefault="00F03156"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A decade ago, the arm’s length principle on which transfer pricing rules </w:t>
      </w:r>
      <w:r w:rsidR="009622BB" w:rsidRPr="00201DB3">
        <w:rPr>
          <w:rFonts w:ascii="Times New Roman" w:hAnsi="Times New Roman" w:cs="Times New Roman"/>
          <w:sz w:val="22"/>
          <w:szCs w:val="22"/>
        </w:rPr>
        <w:t xml:space="preserve">and practices </w:t>
      </w:r>
      <w:r w:rsidRPr="00201DB3">
        <w:rPr>
          <w:rFonts w:ascii="Times New Roman" w:hAnsi="Times New Roman" w:cs="Times New Roman"/>
          <w:sz w:val="22"/>
          <w:szCs w:val="22"/>
        </w:rPr>
        <w:t>are based</w:t>
      </w:r>
      <w:r w:rsidR="00E90847" w:rsidRPr="00201DB3">
        <w:rPr>
          <w:rFonts w:ascii="Times New Roman" w:hAnsi="Times New Roman" w:cs="Times New Roman"/>
          <w:sz w:val="22"/>
          <w:szCs w:val="22"/>
        </w:rPr>
        <w:t>,</w:t>
      </w:r>
      <w:r w:rsidRPr="00201DB3">
        <w:rPr>
          <w:rFonts w:ascii="Times New Roman" w:hAnsi="Times New Roman" w:cs="Times New Roman"/>
          <w:sz w:val="22"/>
          <w:szCs w:val="22"/>
        </w:rPr>
        <w:t xml:space="preserve"> was ent</w:t>
      </w:r>
      <w:r w:rsidR="00647206" w:rsidRPr="00201DB3">
        <w:rPr>
          <w:rFonts w:ascii="Times New Roman" w:hAnsi="Times New Roman" w:cs="Times New Roman"/>
          <w:sz w:val="22"/>
          <w:szCs w:val="22"/>
        </w:rPr>
        <w:t>r</w:t>
      </w:r>
      <w:r w:rsidRPr="00201DB3">
        <w:rPr>
          <w:rFonts w:ascii="Times New Roman" w:hAnsi="Times New Roman" w:cs="Times New Roman"/>
          <w:sz w:val="22"/>
          <w:szCs w:val="22"/>
        </w:rPr>
        <w:t>enched</w:t>
      </w:r>
      <w:r w:rsidR="009622BB" w:rsidRPr="00201DB3">
        <w:rPr>
          <w:rFonts w:ascii="Times New Roman" w:hAnsi="Times New Roman" w:cs="Times New Roman"/>
          <w:sz w:val="22"/>
          <w:szCs w:val="22"/>
        </w:rPr>
        <w:t xml:space="preserve">, and suggestions for change minimal and largely dismissed by practitioners. In this article we discuss more recent calls for a change in approach, many of which focus on some form of formulary apportionment. While there is an increasing body of academic literature on formulary apportionment, it is much less referred to in the practitioner literature and has received less focus </w:t>
      </w:r>
      <w:r w:rsidR="00CA204D" w:rsidRPr="00201DB3">
        <w:rPr>
          <w:rFonts w:ascii="Times New Roman" w:hAnsi="Times New Roman" w:cs="Times New Roman"/>
          <w:sz w:val="22"/>
          <w:szCs w:val="22"/>
        </w:rPr>
        <w:t>i</w:t>
      </w:r>
      <w:r w:rsidR="009622BB" w:rsidRPr="00201DB3">
        <w:rPr>
          <w:rFonts w:ascii="Times New Roman" w:hAnsi="Times New Roman" w:cs="Times New Roman"/>
          <w:sz w:val="22"/>
          <w:szCs w:val="22"/>
        </w:rPr>
        <w:t>n the context of tax practitioners. We present evidence from a longitudinal study, of a change in attitude among senior transfer pricing professionals, from strong support for arm’s length pricing coupled with a dismissal of formulary apportion</w:t>
      </w:r>
      <w:r w:rsidR="00CA204D" w:rsidRPr="00201DB3">
        <w:rPr>
          <w:rFonts w:ascii="Times New Roman" w:hAnsi="Times New Roman" w:cs="Times New Roman"/>
          <w:sz w:val="22"/>
          <w:szCs w:val="22"/>
        </w:rPr>
        <w:t>ment</w:t>
      </w:r>
      <w:r w:rsidR="009622BB" w:rsidRPr="00201DB3">
        <w:rPr>
          <w:rFonts w:ascii="Times New Roman" w:hAnsi="Times New Roman" w:cs="Times New Roman"/>
          <w:sz w:val="22"/>
          <w:szCs w:val="22"/>
        </w:rPr>
        <w:t>, towards greater willingness to raise the limitations of arm’s length pricing, coupled with a muted acceptance, and application, of some formulary approaches.</w:t>
      </w:r>
    </w:p>
    <w:p w14:paraId="17C16686" w14:textId="77777777" w:rsidR="00C062FA" w:rsidRPr="00201DB3" w:rsidRDefault="00C062FA" w:rsidP="00201DB3">
      <w:pPr>
        <w:spacing w:after="0" w:line="240" w:lineRule="auto"/>
        <w:rPr>
          <w:rFonts w:ascii="Times New Roman" w:hAnsi="Times New Roman" w:cs="Times New Roman"/>
          <w:sz w:val="22"/>
          <w:szCs w:val="22"/>
        </w:rPr>
      </w:pPr>
    </w:p>
    <w:p w14:paraId="2F259527" w14:textId="77777777" w:rsidR="00A346F7" w:rsidRPr="00201DB3" w:rsidRDefault="00A346F7" w:rsidP="00201DB3">
      <w:pPr>
        <w:spacing w:after="0" w:line="240" w:lineRule="auto"/>
        <w:rPr>
          <w:rFonts w:ascii="Times New Roman" w:hAnsi="Times New Roman" w:cs="Times New Roman"/>
          <w:sz w:val="22"/>
          <w:szCs w:val="22"/>
          <w:u w:val="single"/>
        </w:rPr>
      </w:pPr>
    </w:p>
    <w:p w14:paraId="622BFC52" w14:textId="78ECC109" w:rsidR="00617307" w:rsidRDefault="006419FB"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Introduction</w:t>
      </w:r>
    </w:p>
    <w:p w14:paraId="2DB67114" w14:textId="77777777" w:rsidR="00201DB3" w:rsidRPr="00201DB3" w:rsidRDefault="00201DB3" w:rsidP="00201DB3">
      <w:pPr>
        <w:spacing w:after="0" w:line="240" w:lineRule="auto"/>
        <w:rPr>
          <w:rFonts w:ascii="Times New Roman" w:hAnsi="Times New Roman" w:cs="Times New Roman"/>
          <w:sz w:val="22"/>
          <w:szCs w:val="22"/>
        </w:rPr>
      </w:pPr>
    </w:p>
    <w:p w14:paraId="25CAECC0" w14:textId="3CED70B4" w:rsidR="00B74043" w:rsidRPr="00201DB3" w:rsidRDefault="00945669"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Established t</w:t>
      </w:r>
      <w:r w:rsidR="00617307" w:rsidRPr="00201DB3">
        <w:rPr>
          <w:rFonts w:ascii="Times New Roman" w:hAnsi="Times New Roman" w:cs="Times New Roman"/>
          <w:sz w:val="22"/>
          <w:szCs w:val="22"/>
        </w:rPr>
        <w:t xml:space="preserve">ransfer pricing </w:t>
      </w:r>
      <w:r w:rsidR="007769CB" w:rsidRPr="00201DB3">
        <w:rPr>
          <w:rFonts w:ascii="Times New Roman" w:hAnsi="Times New Roman" w:cs="Times New Roman"/>
          <w:sz w:val="22"/>
          <w:szCs w:val="22"/>
        </w:rPr>
        <w:t xml:space="preserve">practices </w:t>
      </w:r>
      <w:r w:rsidR="00617307" w:rsidRPr="00201DB3">
        <w:rPr>
          <w:rFonts w:ascii="Times New Roman" w:hAnsi="Times New Roman" w:cs="Times New Roman"/>
          <w:sz w:val="22"/>
          <w:szCs w:val="22"/>
        </w:rPr>
        <w:t>rest on two widely accepted fundamental principles; firstly, separate treatment of parts of a multinational enterprise (MNE) that have a presence in separate tax jurisdictions (separate accounting) and secondly, the arm’s length principle</w:t>
      </w:r>
      <w:r w:rsidR="004D15B7" w:rsidRPr="00201DB3">
        <w:rPr>
          <w:rFonts w:ascii="Times New Roman" w:hAnsi="Times New Roman" w:cs="Times New Roman"/>
          <w:sz w:val="22"/>
          <w:szCs w:val="22"/>
        </w:rPr>
        <w:t xml:space="preserve"> (ALP)</w:t>
      </w:r>
      <w:r w:rsidR="00617307" w:rsidRPr="00201DB3">
        <w:rPr>
          <w:rFonts w:ascii="Times New Roman" w:hAnsi="Times New Roman" w:cs="Times New Roman"/>
          <w:sz w:val="22"/>
          <w:szCs w:val="22"/>
        </w:rPr>
        <w:t xml:space="preserve">.  </w:t>
      </w:r>
      <w:r w:rsidR="00994266" w:rsidRPr="00201DB3">
        <w:rPr>
          <w:rFonts w:ascii="Times New Roman" w:hAnsi="Times New Roman" w:cs="Times New Roman"/>
          <w:sz w:val="22"/>
          <w:szCs w:val="22"/>
        </w:rPr>
        <w:t>Notwithstanding that t</w:t>
      </w:r>
      <w:r w:rsidR="007769CB" w:rsidRPr="00201DB3">
        <w:rPr>
          <w:rFonts w:ascii="Times New Roman" w:hAnsi="Times New Roman" w:cs="Times New Roman"/>
          <w:sz w:val="22"/>
          <w:szCs w:val="22"/>
        </w:rPr>
        <w:t>h</w:t>
      </w:r>
      <w:r w:rsidR="006419FB" w:rsidRPr="00201DB3">
        <w:rPr>
          <w:rFonts w:ascii="Times New Roman" w:hAnsi="Times New Roman" w:cs="Times New Roman"/>
          <w:sz w:val="22"/>
          <w:szCs w:val="22"/>
        </w:rPr>
        <w:t xml:space="preserve">e </w:t>
      </w:r>
      <w:r w:rsidR="004D15B7" w:rsidRPr="00201DB3">
        <w:rPr>
          <w:rFonts w:ascii="Times New Roman" w:hAnsi="Times New Roman" w:cs="Times New Roman"/>
          <w:sz w:val="22"/>
          <w:szCs w:val="22"/>
        </w:rPr>
        <w:t>ALP</w:t>
      </w:r>
      <w:r w:rsidR="00F3101F" w:rsidRPr="00201DB3">
        <w:rPr>
          <w:rFonts w:ascii="Times New Roman" w:hAnsi="Times New Roman" w:cs="Times New Roman"/>
          <w:sz w:val="22"/>
          <w:szCs w:val="22"/>
        </w:rPr>
        <w:t xml:space="preserve"> </w:t>
      </w:r>
      <w:r w:rsidR="00994266" w:rsidRPr="00201DB3">
        <w:rPr>
          <w:rFonts w:ascii="Times New Roman" w:hAnsi="Times New Roman" w:cs="Times New Roman"/>
          <w:sz w:val="22"/>
          <w:szCs w:val="22"/>
        </w:rPr>
        <w:t>is insufficiently underpinned by a coherent theory</w:t>
      </w:r>
      <w:r w:rsidR="00994266" w:rsidRPr="00201DB3">
        <w:rPr>
          <w:rStyle w:val="FootnoteReference"/>
          <w:rFonts w:ascii="Times New Roman" w:hAnsi="Times New Roman" w:cs="Times New Roman"/>
          <w:sz w:val="22"/>
          <w:szCs w:val="22"/>
        </w:rPr>
        <w:footnoteReference w:id="1"/>
      </w:r>
      <w:r w:rsidR="00994266" w:rsidRPr="00201DB3">
        <w:rPr>
          <w:rFonts w:ascii="Times New Roman" w:hAnsi="Times New Roman" w:cs="Times New Roman"/>
          <w:sz w:val="22"/>
          <w:szCs w:val="22"/>
        </w:rPr>
        <w:t xml:space="preserve">, </w:t>
      </w:r>
      <w:r w:rsidR="00600DDE" w:rsidRPr="00201DB3">
        <w:rPr>
          <w:rFonts w:ascii="Times New Roman" w:hAnsi="Times New Roman" w:cs="Times New Roman"/>
          <w:sz w:val="22"/>
          <w:szCs w:val="22"/>
        </w:rPr>
        <w:t>the principle, based on what unrelated third parties would do,</w:t>
      </w:r>
      <w:r w:rsidR="00994266" w:rsidRPr="00201DB3">
        <w:rPr>
          <w:rFonts w:ascii="Times New Roman" w:hAnsi="Times New Roman" w:cs="Times New Roman"/>
          <w:sz w:val="22"/>
          <w:szCs w:val="22"/>
        </w:rPr>
        <w:t xml:space="preserve"> </w:t>
      </w:r>
      <w:r w:rsidR="00B76713" w:rsidRPr="00201DB3">
        <w:rPr>
          <w:rFonts w:ascii="Times New Roman" w:hAnsi="Times New Roman" w:cs="Times New Roman"/>
          <w:sz w:val="22"/>
          <w:szCs w:val="22"/>
        </w:rPr>
        <w:t>remains</w:t>
      </w:r>
      <w:r w:rsidR="006419FB" w:rsidRPr="00201DB3">
        <w:rPr>
          <w:rFonts w:ascii="Times New Roman" w:hAnsi="Times New Roman" w:cs="Times New Roman"/>
          <w:sz w:val="22"/>
          <w:szCs w:val="22"/>
        </w:rPr>
        <w:t xml:space="preserve"> the cornerstone of tax transfer pricing in most countries</w:t>
      </w:r>
      <w:r w:rsidR="009C78FB">
        <w:rPr>
          <w:rFonts w:ascii="Times New Roman" w:hAnsi="Times New Roman" w:cs="Times New Roman"/>
          <w:sz w:val="22"/>
          <w:szCs w:val="22"/>
        </w:rPr>
        <w:t xml:space="preserve">. However, </w:t>
      </w:r>
      <w:r w:rsidR="0055726C" w:rsidRPr="00201DB3">
        <w:rPr>
          <w:rFonts w:ascii="Times New Roman" w:hAnsi="Times New Roman" w:cs="Times New Roman"/>
          <w:sz w:val="22"/>
          <w:szCs w:val="22"/>
        </w:rPr>
        <w:t>increasingly</w:t>
      </w:r>
      <w:r w:rsidR="009C78FB">
        <w:rPr>
          <w:rFonts w:ascii="Times New Roman" w:hAnsi="Times New Roman" w:cs="Times New Roman"/>
          <w:sz w:val="22"/>
          <w:szCs w:val="22"/>
        </w:rPr>
        <w:t>,</w:t>
      </w:r>
      <w:r w:rsidR="0055726C" w:rsidRPr="00201DB3">
        <w:rPr>
          <w:rFonts w:ascii="Times New Roman" w:hAnsi="Times New Roman" w:cs="Times New Roman"/>
          <w:sz w:val="22"/>
          <w:szCs w:val="22"/>
        </w:rPr>
        <w:t xml:space="preserve"> attention </w:t>
      </w:r>
      <w:r w:rsidRPr="00201DB3">
        <w:rPr>
          <w:rFonts w:ascii="Times New Roman" w:hAnsi="Times New Roman" w:cs="Times New Roman"/>
          <w:sz w:val="22"/>
          <w:szCs w:val="22"/>
        </w:rPr>
        <w:t>is being</w:t>
      </w:r>
      <w:r w:rsidR="0055726C" w:rsidRPr="00201DB3">
        <w:rPr>
          <w:rFonts w:ascii="Times New Roman" w:hAnsi="Times New Roman" w:cs="Times New Roman"/>
          <w:sz w:val="22"/>
          <w:szCs w:val="22"/>
        </w:rPr>
        <w:t xml:space="preserve"> paid </w:t>
      </w:r>
      <w:r w:rsidR="00C234EF" w:rsidRPr="00201DB3">
        <w:rPr>
          <w:rFonts w:ascii="Times New Roman" w:hAnsi="Times New Roman" w:cs="Times New Roman"/>
          <w:sz w:val="22"/>
          <w:szCs w:val="22"/>
        </w:rPr>
        <w:t xml:space="preserve">to </w:t>
      </w:r>
      <w:r w:rsidR="00BD3A24" w:rsidRPr="00201DB3">
        <w:rPr>
          <w:rFonts w:ascii="Times New Roman" w:hAnsi="Times New Roman" w:cs="Times New Roman"/>
          <w:sz w:val="22"/>
          <w:szCs w:val="22"/>
        </w:rPr>
        <w:t xml:space="preserve">its </w:t>
      </w:r>
      <w:r w:rsidR="0016573E" w:rsidRPr="00201DB3">
        <w:rPr>
          <w:rFonts w:ascii="Times New Roman" w:hAnsi="Times New Roman" w:cs="Times New Roman"/>
          <w:sz w:val="22"/>
          <w:szCs w:val="22"/>
        </w:rPr>
        <w:t>short-comings. W</w:t>
      </w:r>
      <w:r w:rsidR="000B3F34" w:rsidRPr="00201DB3">
        <w:rPr>
          <w:rFonts w:ascii="Times New Roman" w:hAnsi="Times New Roman" w:cs="Times New Roman"/>
          <w:sz w:val="22"/>
          <w:szCs w:val="22"/>
        </w:rPr>
        <w:t xml:space="preserve">hile there are differing views on how to address these, there has been </w:t>
      </w:r>
      <w:r w:rsidR="00F11E98" w:rsidRPr="00201DB3">
        <w:rPr>
          <w:rFonts w:ascii="Times New Roman" w:hAnsi="Times New Roman" w:cs="Times New Roman"/>
          <w:sz w:val="22"/>
          <w:szCs w:val="22"/>
        </w:rPr>
        <w:t xml:space="preserve">an increase in </w:t>
      </w:r>
      <w:r w:rsidR="006419FB" w:rsidRPr="00201DB3">
        <w:rPr>
          <w:rFonts w:ascii="Times New Roman" w:hAnsi="Times New Roman" w:cs="Times New Roman"/>
          <w:sz w:val="22"/>
          <w:szCs w:val="22"/>
        </w:rPr>
        <w:t xml:space="preserve">calls for a </w:t>
      </w:r>
      <w:r w:rsidR="00F91759" w:rsidRPr="00201DB3">
        <w:rPr>
          <w:rFonts w:ascii="Times New Roman" w:hAnsi="Times New Roman" w:cs="Times New Roman"/>
          <w:sz w:val="22"/>
          <w:szCs w:val="22"/>
        </w:rPr>
        <w:t xml:space="preserve">change to </w:t>
      </w:r>
      <w:r w:rsidR="006419FB" w:rsidRPr="00201DB3">
        <w:rPr>
          <w:rFonts w:ascii="Times New Roman" w:hAnsi="Times New Roman" w:cs="Times New Roman"/>
          <w:sz w:val="22"/>
          <w:szCs w:val="22"/>
        </w:rPr>
        <w:t xml:space="preserve">formulary </w:t>
      </w:r>
      <w:r w:rsidR="00A17EA5" w:rsidRPr="00201DB3">
        <w:rPr>
          <w:rFonts w:ascii="Times New Roman" w:hAnsi="Times New Roman" w:cs="Times New Roman"/>
          <w:sz w:val="22"/>
          <w:szCs w:val="22"/>
        </w:rPr>
        <w:t>apportionment,</w:t>
      </w:r>
      <w:r w:rsidR="00BD3A24" w:rsidRPr="00201DB3">
        <w:rPr>
          <w:rFonts w:ascii="Times New Roman" w:hAnsi="Times New Roman" w:cs="Times New Roman"/>
          <w:sz w:val="22"/>
          <w:szCs w:val="22"/>
        </w:rPr>
        <w:t xml:space="preserve"> the allocation of </w:t>
      </w:r>
      <w:r w:rsidR="00901C47" w:rsidRPr="00201DB3">
        <w:rPr>
          <w:rFonts w:ascii="Times New Roman" w:hAnsi="Times New Roman" w:cs="Times New Roman"/>
          <w:sz w:val="22"/>
          <w:szCs w:val="22"/>
        </w:rPr>
        <w:t>the profits of a</w:t>
      </w:r>
      <w:r w:rsidR="00BD3A24" w:rsidRPr="00201DB3">
        <w:rPr>
          <w:rFonts w:ascii="Times New Roman" w:hAnsi="Times New Roman" w:cs="Times New Roman"/>
          <w:sz w:val="22"/>
          <w:szCs w:val="22"/>
        </w:rPr>
        <w:t xml:space="preserve">n </w:t>
      </w:r>
      <w:r w:rsidR="00901C47" w:rsidRPr="00201DB3">
        <w:rPr>
          <w:rFonts w:ascii="Times New Roman" w:hAnsi="Times New Roman" w:cs="Times New Roman"/>
          <w:sz w:val="22"/>
          <w:szCs w:val="22"/>
        </w:rPr>
        <w:t>MNE</w:t>
      </w:r>
      <w:r w:rsidR="00113163" w:rsidRPr="00201DB3">
        <w:rPr>
          <w:rFonts w:ascii="Times New Roman" w:hAnsi="Times New Roman" w:cs="Times New Roman"/>
          <w:sz w:val="22"/>
          <w:szCs w:val="22"/>
        </w:rPr>
        <w:t xml:space="preserve"> to each taxing jurisdiction </w:t>
      </w:r>
      <w:r w:rsidR="00901C47" w:rsidRPr="00201DB3">
        <w:rPr>
          <w:rFonts w:ascii="Times New Roman" w:hAnsi="Times New Roman" w:cs="Times New Roman"/>
          <w:sz w:val="22"/>
          <w:szCs w:val="22"/>
        </w:rPr>
        <w:t>according to a pre</w:t>
      </w:r>
      <w:r w:rsidR="00317FC1" w:rsidRPr="00201DB3">
        <w:rPr>
          <w:rFonts w:ascii="Times New Roman" w:hAnsi="Times New Roman" w:cs="Times New Roman"/>
          <w:sz w:val="22"/>
          <w:szCs w:val="22"/>
        </w:rPr>
        <w:t>determined</w:t>
      </w:r>
      <w:r w:rsidR="00901C47" w:rsidRPr="00201DB3">
        <w:rPr>
          <w:rFonts w:ascii="Times New Roman" w:hAnsi="Times New Roman" w:cs="Times New Roman"/>
          <w:sz w:val="22"/>
          <w:szCs w:val="22"/>
        </w:rPr>
        <w:t xml:space="preserve"> formul</w:t>
      </w:r>
      <w:r w:rsidR="007769CB" w:rsidRPr="00201DB3">
        <w:rPr>
          <w:rFonts w:ascii="Times New Roman" w:hAnsi="Times New Roman" w:cs="Times New Roman"/>
          <w:sz w:val="22"/>
          <w:szCs w:val="22"/>
        </w:rPr>
        <w:t>a.</w:t>
      </w:r>
      <w:r w:rsidR="0088429C" w:rsidRPr="00201DB3">
        <w:rPr>
          <w:rStyle w:val="FootnoteReference"/>
          <w:rFonts w:ascii="Times New Roman" w:hAnsi="Times New Roman" w:cs="Times New Roman"/>
          <w:sz w:val="22"/>
          <w:szCs w:val="22"/>
        </w:rPr>
        <w:footnoteReference w:id="2"/>
      </w:r>
      <w:r w:rsidR="000B3F34" w:rsidRPr="00201DB3">
        <w:rPr>
          <w:rFonts w:ascii="Times New Roman" w:hAnsi="Times New Roman" w:cs="Times New Roman"/>
          <w:sz w:val="22"/>
          <w:szCs w:val="22"/>
        </w:rPr>
        <w:t xml:space="preserve"> </w:t>
      </w:r>
      <w:r w:rsidR="00C550EF" w:rsidRPr="00201DB3">
        <w:rPr>
          <w:rFonts w:ascii="Times New Roman" w:hAnsi="Times New Roman" w:cs="Times New Roman"/>
          <w:sz w:val="22"/>
          <w:szCs w:val="22"/>
        </w:rPr>
        <w:t xml:space="preserve">There </w:t>
      </w:r>
      <w:r w:rsidR="002751C3" w:rsidRPr="00201DB3">
        <w:rPr>
          <w:rFonts w:ascii="Times New Roman" w:hAnsi="Times New Roman" w:cs="Times New Roman"/>
          <w:sz w:val="22"/>
          <w:szCs w:val="22"/>
        </w:rPr>
        <w:t xml:space="preserve">is </w:t>
      </w:r>
      <w:r w:rsidR="00113163" w:rsidRPr="00201DB3">
        <w:rPr>
          <w:rFonts w:ascii="Times New Roman" w:hAnsi="Times New Roman" w:cs="Times New Roman"/>
          <w:sz w:val="22"/>
          <w:szCs w:val="22"/>
        </w:rPr>
        <w:t>a</w:t>
      </w:r>
      <w:r w:rsidR="002751C3" w:rsidRPr="00201DB3">
        <w:rPr>
          <w:rFonts w:ascii="Times New Roman" w:hAnsi="Times New Roman" w:cs="Times New Roman"/>
          <w:sz w:val="22"/>
          <w:szCs w:val="22"/>
        </w:rPr>
        <w:t xml:space="preserve"> growing</w:t>
      </w:r>
      <w:r w:rsidR="00113163" w:rsidRPr="00201DB3">
        <w:rPr>
          <w:rFonts w:ascii="Times New Roman" w:hAnsi="Times New Roman" w:cs="Times New Roman"/>
          <w:sz w:val="22"/>
          <w:szCs w:val="22"/>
        </w:rPr>
        <w:t xml:space="preserve"> </w:t>
      </w:r>
      <w:r w:rsidR="00C550EF" w:rsidRPr="00201DB3">
        <w:rPr>
          <w:rFonts w:ascii="Times New Roman" w:hAnsi="Times New Roman" w:cs="Times New Roman"/>
          <w:sz w:val="22"/>
          <w:szCs w:val="22"/>
        </w:rPr>
        <w:t>body of academic literature on formulary apportionment</w:t>
      </w:r>
      <w:r w:rsidR="00600DDE" w:rsidRPr="00201DB3">
        <w:rPr>
          <w:rFonts w:ascii="Times New Roman" w:hAnsi="Times New Roman" w:cs="Times New Roman"/>
          <w:sz w:val="22"/>
          <w:szCs w:val="22"/>
        </w:rPr>
        <w:t>,</w:t>
      </w:r>
      <w:r w:rsidR="000C6FEB" w:rsidRPr="00201DB3">
        <w:rPr>
          <w:rFonts w:ascii="Times New Roman" w:hAnsi="Times New Roman" w:cs="Times New Roman"/>
          <w:sz w:val="22"/>
          <w:szCs w:val="22"/>
        </w:rPr>
        <w:t xml:space="preserve"> and other </w:t>
      </w:r>
      <w:r w:rsidR="00DA2554" w:rsidRPr="00201DB3">
        <w:rPr>
          <w:rFonts w:ascii="Times New Roman" w:hAnsi="Times New Roman" w:cs="Times New Roman"/>
          <w:sz w:val="22"/>
          <w:szCs w:val="22"/>
        </w:rPr>
        <w:t xml:space="preserve">alternatives to </w:t>
      </w:r>
      <w:r w:rsidR="00C234EF" w:rsidRPr="00201DB3">
        <w:rPr>
          <w:rFonts w:ascii="Times New Roman" w:hAnsi="Times New Roman" w:cs="Times New Roman"/>
          <w:sz w:val="22"/>
          <w:szCs w:val="22"/>
        </w:rPr>
        <w:t xml:space="preserve">the </w:t>
      </w:r>
      <w:r w:rsidR="00DA2554" w:rsidRPr="00201DB3">
        <w:rPr>
          <w:rFonts w:ascii="Times New Roman" w:hAnsi="Times New Roman" w:cs="Times New Roman"/>
          <w:sz w:val="22"/>
          <w:szCs w:val="22"/>
        </w:rPr>
        <w:t>ALP</w:t>
      </w:r>
      <w:r w:rsidR="00600DDE" w:rsidRPr="00201DB3">
        <w:rPr>
          <w:rFonts w:ascii="Times New Roman" w:hAnsi="Times New Roman" w:cs="Times New Roman"/>
          <w:sz w:val="22"/>
          <w:szCs w:val="22"/>
        </w:rPr>
        <w:t>,</w:t>
      </w:r>
      <w:r w:rsidR="00DA2554" w:rsidRPr="00201DB3">
        <w:rPr>
          <w:rFonts w:ascii="Times New Roman" w:hAnsi="Times New Roman" w:cs="Times New Roman"/>
          <w:sz w:val="22"/>
          <w:szCs w:val="22"/>
        </w:rPr>
        <w:t xml:space="preserve"> including </w:t>
      </w:r>
      <w:r w:rsidR="00C234EF" w:rsidRPr="00201DB3">
        <w:rPr>
          <w:rFonts w:ascii="Times New Roman" w:hAnsi="Times New Roman" w:cs="Times New Roman"/>
          <w:sz w:val="22"/>
          <w:szCs w:val="22"/>
        </w:rPr>
        <w:t>destination-based</w:t>
      </w:r>
      <w:r w:rsidR="00DA2554" w:rsidRPr="00201DB3">
        <w:rPr>
          <w:rFonts w:ascii="Times New Roman" w:hAnsi="Times New Roman" w:cs="Times New Roman"/>
          <w:sz w:val="22"/>
          <w:szCs w:val="22"/>
        </w:rPr>
        <w:t xml:space="preserve"> cash flow tax</w:t>
      </w:r>
      <w:r w:rsidR="00DA2554" w:rsidRPr="00201DB3">
        <w:rPr>
          <w:rStyle w:val="FootnoteReference"/>
          <w:rFonts w:ascii="Times New Roman" w:hAnsi="Times New Roman" w:cs="Times New Roman"/>
          <w:sz w:val="22"/>
          <w:szCs w:val="22"/>
        </w:rPr>
        <w:footnoteReference w:id="3"/>
      </w:r>
      <w:r w:rsidR="00DA2554" w:rsidRPr="00201DB3">
        <w:rPr>
          <w:rFonts w:ascii="Times New Roman" w:hAnsi="Times New Roman" w:cs="Times New Roman"/>
          <w:sz w:val="22"/>
          <w:szCs w:val="22"/>
        </w:rPr>
        <w:t xml:space="preserve"> and speculatively, a residence based formulary apportionment system</w:t>
      </w:r>
      <w:r w:rsidR="00DA2554" w:rsidRPr="00201DB3">
        <w:rPr>
          <w:rStyle w:val="FootnoteReference"/>
          <w:rFonts w:ascii="Times New Roman" w:hAnsi="Times New Roman" w:cs="Times New Roman"/>
          <w:sz w:val="22"/>
          <w:szCs w:val="22"/>
        </w:rPr>
        <w:footnoteReference w:id="4"/>
      </w:r>
      <w:r w:rsidR="00C550EF" w:rsidRPr="00201DB3">
        <w:rPr>
          <w:rFonts w:ascii="Times New Roman" w:hAnsi="Times New Roman" w:cs="Times New Roman"/>
          <w:sz w:val="22"/>
          <w:szCs w:val="22"/>
        </w:rPr>
        <w:t>. However, a</w:t>
      </w:r>
      <w:r w:rsidR="00451144" w:rsidRPr="00201DB3">
        <w:rPr>
          <w:rFonts w:ascii="Times New Roman" w:hAnsi="Times New Roman" w:cs="Times New Roman"/>
          <w:sz w:val="22"/>
          <w:szCs w:val="22"/>
        </w:rPr>
        <w:t xml:space="preserve">mong those calling for </w:t>
      </w:r>
      <w:r w:rsidR="00F3101F" w:rsidRPr="00201DB3">
        <w:rPr>
          <w:rFonts w:ascii="Times New Roman" w:hAnsi="Times New Roman" w:cs="Times New Roman"/>
          <w:sz w:val="22"/>
          <w:szCs w:val="22"/>
        </w:rPr>
        <w:t xml:space="preserve">a </w:t>
      </w:r>
      <w:r w:rsidR="00600DDE" w:rsidRPr="00201DB3">
        <w:rPr>
          <w:rFonts w:ascii="Times New Roman" w:hAnsi="Times New Roman" w:cs="Times New Roman"/>
          <w:sz w:val="22"/>
          <w:szCs w:val="22"/>
        </w:rPr>
        <w:t xml:space="preserve">change to a </w:t>
      </w:r>
      <w:r w:rsidR="00F3101F" w:rsidRPr="00201DB3">
        <w:rPr>
          <w:rFonts w:ascii="Times New Roman" w:hAnsi="Times New Roman" w:cs="Times New Roman"/>
          <w:sz w:val="22"/>
          <w:szCs w:val="22"/>
        </w:rPr>
        <w:t>formulary approach</w:t>
      </w:r>
      <w:r w:rsidR="00451144" w:rsidRPr="00201DB3">
        <w:rPr>
          <w:rFonts w:ascii="Times New Roman" w:hAnsi="Times New Roman" w:cs="Times New Roman"/>
          <w:sz w:val="22"/>
          <w:szCs w:val="22"/>
        </w:rPr>
        <w:t xml:space="preserve"> it has been observed that </w:t>
      </w:r>
      <w:r w:rsidR="009F0DC3" w:rsidRPr="00201DB3">
        <w:rPr>
          <w:rFonts w:ascii="Times New Roman" w:hAnsi="Times New Roman" w:cs="Times New Roman"/>
          <w:sz w:val="22"/>
          <w:szCs w:val="22"/>
        </w:rPr>
        <w:t>senior officials and pra</w:t>
      </w:r>
      <w:r w:rsidR="00B76713" w:rsidRPr="00201DB3">
        <w:rPr>
          <w:rFonts w:ascii="Times New Roman" w:hAnsi="Times New Roman" w:cs="Times New Roman"/>
          <w:sz w:val="22"/>
          <w:szCs w:val="22"/>
        </w:rPr>
        <w:t>c</w:t>
      </w:r>
      <w:r w:rsidR="009F0DC3" w:rsidRPr="00201DB3">
        <w:rPr>
          <w:rFonts w:ascii="Times New Roman" w:hAnsi="Times New Roman" w:cs="Times New Roman"/>
          <w:sz w:val="22"/>
          <w:szCs w:val="22"/>
        </w:rPr>
        <w:t>ti</w:t>
      </w:r>
      <w:r w:rsidR="00B76713" w:rsidRPr="00201DB3">
        <w:rPr>
          <w:rFonts w:ascii="Times New Roman" w:hAnsi="Times New Roman" w:cs="Times New Roman"/>
          <w:sz w:val="22"/>
          <w:szCs w:val="22"/>
        </w:rPr>
        <w:t>tioners</w:t>
      </w:r>
      <w:r w:rsidR="009F0DC3" w:rsidRPr="00201DB3">
        <w:rPr>
          <w:rFonts w:ascii="Times New Roman" w:hAnsi="Times New Roman" w:cs="Times New Roman"/>
          <w:sz w:val="22"/>
          <w:szCs w:val="22"/>
        </w:rPr>
        <w:t xml:space="preserve"> have</w:t>
      </w:r>
      <w:r w:rsidR="00B76713" w:rsidRPr="00201DB3">
        <w:rPr>
          <w:rFonts w:ascii="Times New Roman" w:hAnsi="Times New Roman" w:cs="Times New Roman"/>
          <w:sz w:val="22"/>
          <w:szCs w:val="22"/>
        </w:rPr>
        <w:t xml:space="preserve"> </w:t>
      </w:r>
      <w:r w:rsidR="006F32CA" w:rsidRPr="00201DB3">
        <w:rPr>
          <w:rFonts w:ascii="Times New Roman" w:hAnsi="Times New Roman" w:cs="Times New Roman"/>
          <w:sz w:val="22"/>
          <w:szCs w:val="22"/>
        </w:rPr>
        <w:t>“</w:t>
      </w:r>
      <w:r w:rsidR="00A11394" w:rsidRPr="00201DB3">
        <w:rPr>
          <w:rFonts w:ascii="Times New Roman" w:hAnsi="Times New Roman" w:cs="Times New Roman"/>
          <w:sz w:val="22"/>
          <w:szCs w:val="22"/>
        </w:rPr>
        <w:t>strenuously</w:t>
      </w:r>
      <w:r w:rsidR="007F0D64" w:rsidRPr="00201DB3">
        <w:rPr>
          <w:rFonts w:ascii="Times New Roman" w:hAnsi="Times New Roman" w:cs="Times New Roman"/>
          <w:sz w:val="22"/>
          <w:szCs w:val="22"/>
        </w:rPr>
        <w:t xml:space="preserve"> opposed replacing current transfer pricing rules with a formulary system, and there is no indication that this opposition is weakening</w:t>
      </w:r>
      <w:r w:rsidR="003C5332" w:rsidRPr="00201DB3">
        <w:rPr>
          <w:rFonts w:ascii="Times New Roman" w:hAnsi="Times New Roman" w:cs="Times New Roman"/>
          <w:sz w:val="22"/>
          <w:szCs w:val="22"/>
        </w:rPr>
        <w:t>.</w:t>
      </w:r>
      <w:r w:rsidR="007F0D64"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5"/>
      </w:r>
      <w:r w:rsidR="00A11394" w:rsidRPr="00201DB3">
        <w:rPr>
          <w:rFonts w:ascii="Times New Roman" w:hAnsi="Times New Roman" w:cs="Times New Roman"/>
          <w:sz w:val="22"/>
          <w:szCs w:val="22"/>
        </w:rPr>
        <w:t xml:space="preserve"> </w:t>
      </w:r>
    </w:p>
    <w:p w14:paraId="33EAA9E1" w14:textId="77777777" w:rsidR="00B74043" w:rsidRPr="00201DB3" w:rsidRDefault="00B74043" w:rsidP="00201DB3">
      <w:pPr>
        <w:spacing w:after="0" w:line="240" w:lineRule="auto"/>
        <w:rPr>
          <w:rFonts w:ascii="Times New Roman" w:hAnsi="Times New Roman" w:cs="Times New Roman"/>
          <w:sz w:val="22"/>
          <w:szCs w:val="22"/>
        </w:rPr>
      </w:pPr>
    </w:p>
    <w:p w14:paraId="71778989" w14:textId="1EC40AA1" w:rsidR="00E76F34" w:rsidRPr="00201DB3" w:rsidRDefault="006419FB"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This </w:t>
      </w:r>
      <w:r w:rsidR="00CF1873" w:rsidRPr="00201DB3">
        <w:rPr>
          <w:rFonts w:ascii="Times New Roman" w:hAnsi="Times New Roman" w:cs="Times New Roman"/>
          <w:sz w:val="22"/>
          <w:szCs w:val="22"/>
        </w:rPr>
        <w:t xml:space="preserve">article </w:t>
      </w:r>
      <w:r w:rsidRPr="00201DB3">
        <w:rPr>
          <w:rFonts w:ascii="Times New Roman" w:hAnsi="Times New Roman" w:cs="Times New Roman"/>
          <w:sz w:val="22"/>
          <w:szCs w:val="22"/>
        </w:rPr>
        <w:t>contributes to th</w:t>
      </w:r>
      <w:r w:rsidR="00901C47" w:rsidRPr="00201DB3">
        <w:rPr>
          <w:rFonts w:ascii="Times New Roman" w:hAnsi="Times New Roman" w:cs="Times New Roman"/>
          <w:sz w:val="22"/>
          <w:szCs w:val="22"/>
        </w:rPr>
        <w:t>is</w:t>
      </w:r>
      <w:r w:rsidRPr="00201DB3">
        <w:rPr>
          <w:rFonts w:ascii="Times New Roman" w:hAnsi="Times New Roman" w:cs="Times New Roman"/>
          <w:sz w:val="22"/>
          <w:szCs w:val="22"/>
        </w:rPr>
        <w:t xml:space="preserve"> ongoing debate</w:t>
      </w:r>
      <w:r w:rsidR="00180C34" w:rsidRPr="00201DB3">
        <w:rPr>
          <w:rFonts w:ascii="Times New Roman" w:hAnsi="Times New Roman" w:cs="Times New Roman"/>
          <w:sz w:val="22"/>
          <w:szCs w:val="22"/>
        </w:rPr>
        <w:t>,</w:t>
      </w:r>
      <w:r w:rsidRPr="00201DB3">
        <w:rPr>
          <w:rFonts w:ascii="Times New Roman" w:hAnsi="Times New Roman" w:cs="Times New Roman"/>
          <w:sz w:val="22"/>
          <w:szCs w:val="22"/>
        </w:rPr>
        <w:t xml:space="preserve"> </w:t>
      </w:r>
      <w:r w:rsidR="00F11E98" w:rsidRPr="00201DB3">
        <w:rPr>
          <w:rFonts w:ascii="Times New Roman" w:hAnsi="Times New Roman" w:cs="Times New Roman"/>
          <w:sz w:val="22"/>
          <w:szCs w:val="22"/>
        </w:rPr>
        <w:t xml:space="preserve">firstly by </w:t>
      </w:r>
      <w:r w:rsidR="00617307" w:rsidRPr="00201DB3">
        <w:rPr>
          <w:rFonts w:ascii="Times New Roman" w:hAnsi="Times New Roman" w:cs="Times New Roman"/>
          <w:sz w:val="22"/>
          <w:szCs w:val="22"/>
        </w:rPr>
        <w:t xml:space="preserve">reviewing and </w:t>
      </w:r>
      <w:r w:rsidR="00F11E98" w:rsidRPr="00201DB3">
        <w:rPr>
          <w:rFonts w:ascii="Times New Roman" w:hAnsi="Times New Roman" w:cs="Times New Roman"/>
          <w:sz w:val="22"/>
          <w:szCs w:val="22"/>
        </w:rPr>
        <w:t>considerin</w:t>
      </w:r>
      <w:r w:rsidR="00C550EF" w:rsidRPr="00201DB3">
        <w:rPr>
          <w:rFonts w:ascii="Times New Roman" w:hAnsi="Times New Roman" w:cs="Times New Roman"/>
          <w:sz w:val="22"/>
          <w:szCs w:val="22"/>
        </w:rPr>
        <w:t>g</w:t>
      </w:r>
      <w:r w:rsidR="00F11E98" w:rsidRPr="00201DB3">
        <w:rPr>
          <w:rFonts w:ascii="Times New Roman" w:hAnsi="Times New Roman" w:cs="Times New Roman"/>
          <w:sz w:val="22"/>
          <w:szCs w:val="22"/>
        </w:rPr>
        <w:t xml:space="preserve"> </w:t>
      </w:r>
      <w:r w:rsidR="00617307" w:rsidRPr="00201DB3">
        <w:rPr>
          <w:rFonts w:ascii="Times New Roman" w:hAnsi="Times New Roman" w:cs="Times New Roman"/>
          <w:sz w:val="22"/>
          <w:szCs w:val="22"/>
        </w:rPr>
        <w:t xml:space="preserve">some of the </w:t>
      </w:r>
      <w:r w:rsidR="00F11E98" w:rsidRPr="00201DB3">
        <w:rPr>
          <w:rFonts w:ascii="Times New Roman" w:hAnsi="Times New Roman" w:cs="Times New Roman"/>
          <w:sz w:val="22"/>
          <w:szCs w:val="22"/>
        </w:rPr>
        <w:t xml:space="preserve">theoretical </w:t>
      </w:r>
      <w:r w:rsidR="00DE0CDB" w:rsidRPr="00201DB3">
        <w:rPr>
          <w:rFonts w:ascii="Times New Roman" w:hAnsi="Times New Roman" w:cs="Times New Roman"/>
          <w:sz w:val="22"/>
          <w:szCs w:val="22"/>
        </w:rPr>
        <w:t xml:space="preserve">arguments for, and </w:t>
      </w:r>
      <w:r w:rsidR="00F11E98" w:rsidRPr="00201DB3">
        <w:rPr>
          <w:rFonts w:ascii="Times New Roman" w:hAnsi="Times New Roman" w:cs="Times New Roman"/>
          <w:sz w:val="22"/>
          <w:szCs w:val="22"/>
        </w:rPr>
        <w:t>concerns about</w:t>
      </w:r>
      <w:r w:rsidR="00617307" w:rsidRPr="00201DB3">
        <w:rPr>
          <w:rFonts w:ascii="Times New Roman" w:hAnsi="Times New Roman" w:cs="Times New Roman"/>
          <w:sz w:val="22"/>
          <w:szCs w:val="22"/>
        </w:rPr>
        <w:t>,</w:t>
      </w:r>
      <w:r w:rsidR="00F11E98" w:rsidRPr="00201DB3">
        <w:rPr>
          <w:rFonts w:ascii="Times New Roman" w:hAnsi="Times New Roman" w:cs="Times New Roman"/>
          <w:sz w:val="22"/>
          <w:szCs w:val="22"/>
        </w:rPr>
        <w:t xml:space="preserve"> formulary apportionment</w:t>
      </w:r>
      <w:r w:rsidR="00DE0CDB" w:rsidRPr="00201DB3">
        <w:rPr>
          <w:rFonts w:ascii="Times New Roman" w:hAnsi="Times New Roman" w:cs="Times New Roman"/>
          <w:sz w:val="22"/>
          <w:szCs w:val="22"/>
        </w:rPr>
        <w:t>. Then,</w:t>
      </w:r>
      <w:r w:rsidR="00201118" w:rsidRPr="00201DB3">
        <w:rPr>
          <w:rFonts w:ascii="Times New Roman" w:hAnsi="Times New Roman" w:cs="Times New Roman"/>
          <w:sz w:val="22"/>
          <w:szCs w:val="22"/>
        </w:rPr>
        <w:t xml:space="preserve"> within the context of that d</w:t>
      </w:r>
      <w:r w:rsidR="00DE0CDB" w:rsidRPr="00201DB3">
        <w:rPr>
          <w:rFonts w:ascii="Times New Roman" w:hAnsi="Times New Roman" w:cs="Times New Roman"/>
          <w:sz w:val="22"/>
          <w:szCs w:val="22"/>
        </w:rPr>
        <w:t>ebate</w:t>
      </w:r>
      <w:r w:rsidR="00201118" w:rsidRPr="00201DB3">
        <w:rPr>
          <w:rFonts w:ascii="Times New Roman" w:hAnsi="Times New Roman" w:cs="Times New Roman"/>
          <w:sz w:val="22"/>
          <w:szCs w:val="22"/>
        </w:rPr>
        <w:t>,</w:t>
      </w:r>
      <w:r w:rsidR="00F11E98" w:rsidRPr="00201DB3">
        <w:rPr>
          <w:rFonts w:ascii="Times New Roman" w:hAnsi="Times New Roman" w:cs="Times New Roman"/>
          <w:sz w:val="22"/>
          <w:szCs w:val="22"/>
        </w:rPr>
        <w:t xml:space="preserve"> </w:t>
      </w:r>
      <w:r w:rsidR="00DE0CDB" w:rsidRPr="00201DB3">
        <w:rPr>
          <w:rFonts w:ascii="Times New Roman" w:hAnsi="Times New Roman" w:cs="Times New Roman"/>
          <w:sz w:val="22"/>
          <w:szCs w:val="22"/>
        </w:rPr>
        <w:t xml:space="preserve">we </w:t>
      </w:r>
      <w:r w:rsidR="00F11E98" w:rsidRPr="00201DB3">
        <w:rPr>
          <w:rFonts w:ascii="Times New Roman" w:hAnsi="Times New Roman" w:cs="Times New Roman"/>
          <w:sz w:val="22"/>
          <w:szCs w:val="22"/>
        </w:rPr>
        <w:t>present</w:t>
      </w:r>
      <w:r w:rsidR="00DE0CDB" w:rsidRPr="00201DB3">
        <w:rPr>
          <w:rFonts w:ascii="Times New Roman" w:hAnsi="Times New Roman" w:cs="Times New Roman"/>
          <w:sz w:val="22"/>
          <w:szCs w:val="22"/>
        </w:rPr>
        <w:t xml:space="preserve"> and discuss </w:t>
      </w:r>
      <w:r w:rsidRPr="00201DB3">
        <w:rPr>
          <w:rFonts w:ascii="Times New Roman" w:hAnsi="Times New Roman" w:cs="Times New Roman"/>
          <w:sz w:val="22"/>
          <w:szCs w:val="22"/>
        </w:rPr>
        <w:t xml:space="preserve">qualitative </w:t>
      </w:r>
      <w:r w:rsidR="00B76713" w:rsidRPr="00201DB3">
        <w:rPr>
          <w:rFonts w:ascii="Times New Roman" w:hAnsi="Times New Roman" w:cs="Times New Roman"/>
          <w:sz w:val="22"/>
          <w:szCs w:val="22"/>
        </w:rPr>
        <w:t xml:space="preserve">data </w:t>
      </w:r>
      <w:r w:rsidRPr="00201DB3">
        <w:rPr>
          <w:rFonts w:ascii="Times New Roman" w:hAnsi="Times New Roman" w:cs="Times New Roman"/>
          <w:sz w:val="22"/>
          <w:szCs w:val="22"/>
        </w:rPr>
        <w:t>from</w:t>
      </w:r>
      <w:r w:rsidR="00B76713" w:rsidRPr="00201DB3">
        <w:rPr>
          <w:rFonts w:ascii="Times New Roman" w:hAnsi="Times New Roman" w:cs="Times New Roman"/>
          <w:sz w:val="22"/>
          <w:szCs w:val="22"/>
        </w:rPr>
        <w:t xml:space="preserve"> </w:t>
      </w:r>
      <w:r w:rsidR="00DB703B" w:rsidRPr="00201DB3">
        <w:rPr>
          <w:rFonts w:ascii="Times New Roman" w:hAnsi="Times New Roman" w:cs="Times New Roman"/>
          <w:sz w:val="22"/>
          <w:szCs w:val="22"/>
        </w:rPr>
        <w:t xml:space="preserve">34 </w:t>
      </w:r>
      <w:r w:rsidRPr="00201DB3">
        <w:rPr>
          <w:rFonts w:ascii="Times New Roman" w:hAnsi="Times New Roman" w:cs="Times New Roman"/>
          <w:sz w:val="22"/>
          <w:szCs w:val="22"/>
        </w:rPr>
        <w:t>intervi</w:t>
      </w:r>
      <w:r w:rsidR="00A63BF1" w:rsidRPr="00201DB3">
        <w:rPr>
          <w:rFonts w:ascii="Times New Roman" w:hAnsi="Times New Roman" w:cs="Times New Roman"/>
          <w:sz w:val="22"/>
          <w:szCs w:val="22"/>
        </w:rPr>
        <w:t>ews with</w:t>
      </w:r>
      <w:r w:rsidRPr="00201DB3">
        <w:rPr>
          <w:rFonts w:ascii="Times New Roman" w:hAnsi="Times New Roman" w:cs="Times New Roman"/>
          <w:sz w:val="22"/>
          <w:szCs w:val="22"/>
        </w:rPr>
        <w:t xml:space="preserve"> </w:t>
      </w:r>
      <w:r w:rsidR="004F1C7E" w:rsidRPr="00201DB3">
        <w:rPr>
          <w:rFonts w:ascii="Times New Roman" w:hAnsi="Times New Roman" w:cs="Times New Roman"/>
          <w:sz w:val="22"/>
          <w:szCs w:val="22"/>
        </w:rPr>
        <w:t xml:space="preserve">international tax practitioners working </w:t>
      </w:r>
      <w:r w:rsidRPr="00201DB3">
        <w:rPr>
          <w:rFonts w:ascii="Times New Roman" w:hAnsi="Times New Roman" w:cs="Times New Roman"/>
          <w:sz w:val="22"/>
          <w:szCs w:val="22"/>
        </w:rPr>
        <w:t xml:space="preserve">at the most senior level in </w:t>
      </w:r>
      <w:r w:rsidR="0032026D" w:rsidRPr="00201DB3">
        <w:rPr>
          <w:rFonts w:ascii="Times New Roman" w:hAnsi="Times New Roman" w:cs="Times New Roman"/>
          <w:sz w:val="22"/>
          <w:szCs w:val="22"/>
        </w:rPr>
        <w:t xml:space="preserve">respect of </w:t>
      </w:r>
      <w:r w:rsidR="00113163" w:rsidRPr="00201DB3">
        <w:rPr>
          <w:rFonts w:ascii="Times New Roman" w:hAnsi="Times New Roman" w:cs="Times New Roman"/>
          <w:sz w:val="22"/>
          <w:szCs w:val="22"/>
        </w:rPr>
        <w:t>transfer pricing in t</w:t>
      </w:r>
      <w:r w:rsidR="0032026D" w:rsidRPr="00201DB3">
        <w:rPr>
          <w:rFonts w:ascii="Times New Roman" w:hAnsi="Times New Roman" w:cs="Times New Roman"/>
          <w:sz w:val="22"/>
          <w:szCs w:val="22"/>
        </w:rPr>
        <w:t>he UK and th</w:t>
      </w:r>
      <w:r w:rsidRPr="00201DB3">
        <w:rPr>
          <w:rFonts w:ascii="Times New Roman" w:hAnsi="Times New Roman" w:cs="Times New Roman"/>
          <w:sz w:val="22"/>
          <w:szCs w:val="22"/>
        </w:rPr>
        <w:t>e US</w:t>
      </w:r>
      <w:r w:rsidR="0032026D" w:rsidRPr="00201DB3">
        <w:rPr>
          <w:rFonts w:ascii="Times New Roman" w:hAnsi="Times New Roman" w:cs="Times New Roman"/>
          <w:sz w:val="22"/>
          <w:szCs w:val="22"/>
        </w:rPr>
        <w:t>.</w:t>
      </w:r>
      <w:r w:rsidR="00C30638" w:rsidRPr="00201DB3">
        <w:rPr>
          <w:rFonts w:ascii="Times New Roman" w:hAnsi="Times New Roman" w:cs="Times New Roman"/>
          <w:sz w:val="22"/>
          <w:szCs w:val="22"/>
        </w:rPr>
        <w:t xml:space="preserve"> </w:t>
      </w:r>
      <w:r w:rsidR="00A63BF1" w:rsidRPr="00201DB3">
        <w:rPr>
          <w:rFonts w:ascii="Times New Roman" w:hAnsi="Times New Roman" w:cs="Times New Roman"/>
          <w:sz w:val="22"/>
          <w:szCs w:val="22"/>
        </w:rPr>
        <w:t>The interviews took place in 2006 and 2016</w:t>
      </w:r>
      <w:r w:rsidR="000941D8" w:rsidRPr="00201DB3">
        <w:rPr>
          <w:rFonts w:ascii="Times New Roman" w:hAnsi="Times New Roman" w:cs="Times New Roman"/>
          <w:sz w:val="22"/>
          <w:szCs w:val="22"/>
        </w:rPr>
        <w:t>/17</w:t>
      </w:r>
      <w:r w:rsidR="00C30638" w:rsidRPr="00201DB3">
        <w:rPr>
          <w:rFonts w:ascii="Times New Roman" w:hAnsi="Times New Roman" w:cs="Times New Roman"/>
          <w:sz w:val="22"/>
          <w:szCs w:val="22"/>
        </w:rPr>
        <w:t xml:space="preserve">, </w:t>
      </w:r>
      <w:r w:rsidR="00BD3A24" w:rsidRPr="00201DB3">
        <w:rPr>
          <w:rFonts w:ascii="Times New Roman" w:hAnsi="Times New Roman" w:cs="Times New Roman"/>
          <w:sz w:val="22"/>
          <w:szCs w:val="22"/>
        </w:rPr>
        <w:t xml:space="preserve">with overlapping interviewees, </w:t>
      </w:r>
      <w:r w:rsidR="00C30638" w:rsidRPr="00201DB3">
        <w:rPr>
          <w:rFonts w:ascii="Times New Roman" w:hAnsi="Times New Roman" w:cs="Times New Roman"/>
          <w:sz w:val="22"/>
          <w:szCs w:val="22"/>
        </w:rPr>
        <w:t xml:space="preserve">allowing us to isolate </w:t>
      </w:r>
      <w:r w:rsidR="00901C47" w:rsidRPr="00201DB3">
        <w:rPr>
          <w:rFonts w:ascii="Times New Roman" w:hAnsi="Times New Roman" w:cs="Times New Roman"/>
          <w:sz w:val="22"/>
          <w:szCs w:val="22"/>
        </w:rPr>
        <w:t>changes in attitude</w:t>
      </w:r>
      <w:r w:rsidRPr="00201DB3">
        <w:rPr>
          <w:rFonts w:ascii="Times New Roman" w:hAnsi="Times New Roman" w:cs="Times New Roman"/>
          <w:sz w:val="22"/>
          <w:szCs w:val="22"/>
        </w:rPr>
        <w:t xml:space="preserve"> over </w:t>
      </w:r>
      <w:r w:rsidR="00B76713" w:rsidRPr="00201DB3">
        <w:rPr>
          <w:rFonts w:ascii="Times New Roman" w:hAnsi="Times New Roman" w:cs="Times New Roman"/>
          <w:sz w:val="22"/>
          <w:szCs w:val="22"/>
        </w:rPr>
        <w:t>a period</w:t>
      </w:r>
      <w:r w:rsidRPr="00201DB3">
        <w:rPr>
          <w:rFonts w:ascii="Times New Roman" w:hAnsi="Times New Roman" w:cs="Times New Roman"/>
          <w:sz w:val="22"/>
          <w:szCs w:val="22"/>
        </w:rPr>
        <w:t xml:space="preserve"> </w:t>
      </w:r>
      <w:r w:rsidR="00C30638" w:rsidRPr="00201DB3">
        <w:rPr>
          <w:rFonts w:ascii="Times New Roman" w:hAnsi="Times New Roman" w:cs="Times New Roman"/>
          <w:sz w:val="22"/>
          <w:szCs w:val="22"/>
        </w:rPr>
        <w:t xml:space="preserve">of time in which </w:t>
      </w:r>
      <w:r w:rsidR="0088429C" w:rsidRPr="00201DB3">
        <w:rPr>
          <w:rFonts w:ascii="Times New Roman" w:hAnsi="Times New Roman" w:cs="Times New Roman"/>
          <w:sz w:val="22"/>
          <w:szCs w:val="22"/>
        </w:rPr>
        <w:t xml:space="preserve">there was a change </w:t>
      </w:r>
      <w:r w:rsidR="00113163" w:rsidRPr="00201DB3">
        <w:rPr>
          <w:rFonts w:ascii="Times New Roman" w:hAnsi="Times New Roman" w:cs="Times New Roman"/>
          <w:sz w:val="22"/>
          <w:szCs w:val="22"/>
        </w:rPr>
        <w:t xml:space="preserve">in the profile of </w:t>
      </w:r>
      <w:r w:rsidR="00C30638" w:rsidRPr="00201DB3">
        <w:rPr>
          <w:rFonts w:ascii="Times New Roman" w:hAnsi="Times New Roman" w:cs="Times New Roman"/>
          <w:sz w:val="22"/>
          <w:szCs w:val="22"/>
        </w:rPr>
        <w:t>transfer pricing</w:t>
      </w:r>
      <w:r w:rsidR="00A17EA5" w:rsidRPr="00201DB3">
        <w:rPr>
          <w:rFonts w:ascii="Times New Roman" w:hAnsi="Times New Roman" w:cs="Times New Roman"/>
          <w:sz w:val="22"/>
          <w:szCs w:val="22"/>
        </w:rPr>
        <w:t xml:space="preserve">: </w:t>
      </w:r>
      <w:r w:rsidR="00113163" w:rsidRPr="00201DB3">
        <w:rPr>
          <w:rFonts w:ascii="Times New Roman" w:hAnsi="Times New Roman" w:cs="Times New Roman"/>
          <w:sz w:val="22"/>
          <w:szCs w:val="22"/>
        </w:rPr>
        <w:lastRenderedPageBreak/>
        <w:t>it moved from</w:t>
      </w:r>
      <w:r w:rsidR="00C30638" w:rsidRPr="00201DB3">
        <w:rPr>
          <w:rFonts w:ascii="Times New Roman" w:hAnsi="Times New Roman" w:cs="Times New Roman"/>
          <w:sz w:val="22"/>
          <w:szCs w:val="22"/>
        </w:rPr>
        <w:t xml:space="preserve"> </w:t>
      </w:r>
      <w:r w:rsidR="000B5B84" w:rsidRPr="00201DB3">
        <w:rPr>
          <w:rFonts w:ascii="Times New Roman" w:hAnsi="Times New Roman" w:cs="Times New Roman"/>
          <w:sz w:val="22"/>
          <w:szCs w:val="22"/>
        </w:rPr>
        <w:t xml:space="preserve">being </w:t>
      </w:r>
      <w:r w:rsidR="00D46ADB" w:rsidRPr="00201DB3">
        <w:rPr>
          <w:rFonts w:ascii="Times New Roman" w:hAnsi="Times New Roman" w:cs="Times New Roman"/>
          <w:sz w:val="22"/>
          <w:szCs w:val="22"/>
        </w:rPr>
        <w:t xml:space="preserve">seen </w:t>
      </w:r>
      <w:r w:rsidR="000B5B84" w:rsidRPr="00201DB3">
        <w:rPr>
          <w:rFonts w:ascii="Times New Roman" w:hAnsi="Times New Roman" w:cs="Times New Roman"/>
          <w:sz w:val="22"/>
          <w:szCs w:val="22"/>
        </w:rPr>
        <w:t>a</w:t>
      </w:r>
      <w:r w:rsidR="00D46ADB" w:rsidRPr="00201DB3">
        <w:rPr>
          <w:rFonts w:ascii="Times New Roman" w:hAnsi="Times New Roman" w:cs="Times New Roman"/>
          <w:sz w:val="22"/>
          <w:szCs w:val="22"/>
        </w:rPr>
        <w:t>s a</w:t>
      </w:r>
      <w:r w:rsidR="00C550EF" w:rsidRPr="00201DB3">
        <w:rPr>
          <w:rFonts w:ascii="Times New Roman" w:hAnsi="Times New Roman" w:cs="Times New Roman"/>
          <w:sz w:val="22"/>
          <w:szCs w:val="22"/>
        </w:rPr>
        <w:t xml:space="preserve"> technical specialism </w:t>
      </w:r>
      <w:r w:rsidR="000B5B84" w:rsidRPr="00201DB3">
        <w:rPr>
          <w:rFonts w:ascii="Times New Roman" w:hAnsi="Times New Roman" w:cs="Times New Roman"/>
          <w:sz w:val="22"/>
          <w:szCs w:val="22"/>
        </w:rPr>
        <w:t>of interest to some</w:t>
      </w:r>
      <w:r w:rsidR="00C550EF" w:rsidRPr="00201DB3">
        <w:rPr>
          <w:rFonts w:ascii="Times New Roman" w:hAnsi="Times New Roman" w:cs="Times New Roman"/>
          <w:sz w:val="22"/>
          <w:szCs w:val="22"/>
        </w:rPr>
        <w:t xml:space="preserve"> tax practitioners</w:t>
      </w:r>
      <w:r w:rsidR="000B5B84" w:rsidRPr="00201DB3">
        <w:rPr>
          <w:rFonts w:ascii="Times New Roman" w:hAnsi="Times New Roman" w:cs="Times New Roman"/>
          <w:sz w:val="22"/>
          <w:szCs w:val="22"/>
        </w:rPr>
        <w:t>,</w:t>
      </w:r>
      <w:r w:rsidR="00C550EF" w:rsidRPr="00201DB3">
        <w:rPr>
          <w:rFonts w:ascii="Times New Roman" w:hAnsi="Times New Roman" w:cs="Times New Roman"/>
          <w:sz w:val="22"/>
          <w:szCs w:val="22"/>
        </w:rPr>
        <w:t xml:space="preserve"> to an area </w:t>
      </w:r>
      <w:r w:rsidR="0032026D" w:rsidRPr="00201DB3">
        <w:rPr>
          <w:rFonts w:ascii="Times New Roman" w:hAnsi="Times New Roman" w:cs="Times New Roman"/>
          <w:sz w:val="22"/>
          <w:szCs w:val="22"/>
        </w:rPr>
        <w:t xml:space="preserve">of much wider interest, </w:t>
      </w:r>
      <w:r w:rsidR="00BD3A24" w:rsidRPr="00201DB3">
        <w:rPr>
          <w:rFonts w:ascii="Times New Roman" w:hAnsi="Times New Roman" w:cs="Times New Roman"/>
          <w:sz w:val="22"/>
          <w:szCs w:val="22"/>
        </w:rPr>
        <w:t xml:space="preserve">subject to </w:t>
      </w:r>
      <w:r w:rsidR="00C550EF" w:rsidRPr="00201DB3">
        <w:rPr>
          <w:rFonts w:ascii="Times New Roman" w:hAnsi="Times New Roman" w:cs="Times New Roman"/>
          <w:sz w:val="22"/>
          <w:szCs w:val="22"/>
        </w:rPr>
        <w:t>increasing media scrutiny.</w:t>
      </w:r>
      <w:r w:rsidR="00201118" w:rsidRPr="00201DB3">
        <w:rPr>
          <w:rFonts w:ascii="Times New Roman" w:hAnsi="Times New Roman" w:cs="Times New Roman"/>
          <w:sz w:val="22"/>
          <w:szCs w:val="22"/>
        </w:rPr>
        <w:t xml:space="preserve"> </w:t>
      </w:r>
      <w:r w:rsidR="00C30638" w:rsidRPr="00201DB3">
        <w:rPr>
          <w:rFonts w:ascii="Times New Roman" w:hAnsi="Times New Roman" w:cs="Times New Roman"/>
          <w:sz w:val="22"/>
          <w:szCs w:val="22"/>
        </w:rPr>
        <w:t>Specifically,</w:t>
      </w:r>
      <w:r w:rsidR="00B76713" w:rsidRPr="00201DB3">
        <w:rPr>
          <w:rFonts w:ascii="Times New Roman" w:hAnsi="Times New Roman" w:cs="Times New Roman"/>
          <w:sz w:val="22"/>
          <w:szCs w:val="22"/>
        </w:rPr>
        <w:t xml:space="preserve"> </w:t>
      </w:r>
      <w:r w:rsidR="00A11394" w:rsidRPr="00201DB3">
        <w:rPr>
          <w:rFonts w:ascii="Times New Roman" w:hAnsi="Times New Roman" w:cs="Times New Roman"/>
          <w:sz w:val="22"/>
          <w:szCs w:val="22"/>
        </w:rPr>
        <w:t xml:space="preserve">our longitudinal data shows </w:t>
      </w:r>
      <w:r w:rsidR="00E76F34" w:rsidRPr="00201DB3">
        <w:rPr>
          <w:rFonts w:ascii="Times New Roman" w:hAnsi="Times New Roman" w:cs="Times New Roman"/>
          <w:sz w:val="22"/>
          <w:szCs w:val="22"/>
        </w:rPr>
        <w:t xml:space="preserve">that there has been a </w:t>
      </w:r>
      <w:r w:rsidR="00A87773" w:rsidRPr="00201DB3">
        <w:rPr>
          <w:rFonts w:ascii="Times New Roman" w:hAnsi="Times New Roman" w:cs="Times New Roman"/>
          <w:sz w:val="22"/>
          <w:szCs w:val="22"/>
        </w:rPr>
        <w:t xml:space="preserve">weakening </w:t>
      </w:r>
      <w:r w:rsidR="00F23709" w:rsidRPr="00201DB3">
        <w:rPr>
          <w:rFonts w:ascii="Times New Roman" w:hAnsi="Times New Roman" w:cs="Times New Roman"/>
          <w:sz w:val="22"/>
          <w:szCs w:val="22"/>
        </w:rPr>
        <w:t xml:space="preserve">of </w:t>
      </w:r>
      <w:r w:rsidR="00A87773" w:rsidRPr="00201DB3">
        <w:rPr>
          <w:rFonts w:ascii="Times New Roman" w:hAnsi="Times New Roman" w:cs="Times New Roman"/>
          <w:sz w:val="22"/>
          <w:szCs w:val="22"/>
        </w:rPr>
        <w:t xml:space="preserve">confidence in, and increased frustration with, </w:t>
      </w:r>
      <w:r w:rsidR="00B76713" w:rsidRPr="00201DB3">
        <w:rPr>
          <w:rFonts w:ascii="Times New Roman" w:hAnsi="Times New Roman" w:cs="Times New Roman"/>
          <w:sz w:val="22"/>
          <w:szCs w:val="22"/>
        </w:rPr>
        <w:t xml:space="preserve">the </w:t>
      </w:r>
      <w:r w:rsidR="00A87773" w:rsidRPr="00201DB3">
        <w:rPr>
          <w:rFonts w:ascii="Times New Roman" w:hAnsi="Times New Roman" w:cs="Times New Roman"/>
          <w:sz w:val="22"/>
          <w:szCs w:val="22"/>
        </w:rPr>
        <w:t>ALP among senior transfer pricing professionals</w:t>
      </w:r>
      <w:r w:rsidR="00451144" w:rsidRPr="00201DB3">
        <w:rPr>
          <w:rFonts w:ascii="Times New Roman" w:hAnsi="Times New Roman" w:cs="Times New Roman"/>
          <w:sz w:val="22"/>
          <w:szCs w:val="22"/>
        </w:rPr>
        <w:t>,</w:t>
      </w:r>
      <w:r w:rsidR="00A87773" w:rsidRPr="00201DB3">
        <w:rPr>
          <w:rFonts w:ascii="Times New Roman" w:hAnsi="Times New Roman" w:cs="Times New Roman"/>
          <w:sz w:val="22"/>
          <w:szCs w:val="22"/>
        </w:rPr>
        <w:t xml:space="preserve"> and a</w:t>
      </w:r>
      <w:r w:rsidR="009F0DC3" w:rsidRPr="00201DB3">
        <w:rPr>
          <w:rFonts w:ascii="Times New Roman" w:hAnsi="Times New Roman" w:cs="Times New Roman"/>
          <w:sz w:val="22"/>
          <w:szCs w:val="22"/>
        </w:rPr>
        <w:t xml:space="preserve"> l</w:t>
      </w:r>
      <w:r w:rsidR="00A11394" w:rsidRPr="00201DB3">
        <w:rPr>
          <w:rFonts w:ascii="Times New Roman" w:hAnsi="Times New Roman" w:cs="Times New Roman"/>
          <w:sz w:val="22"/>
          <w:szCs w:val="22"/>
        </w:rPr>
        <w:t>oosening</w:t>
      </w:r>
      <w:r w:rsidR="009F0DC3" w:rsidRPr="00201DB3">
        <w:rPr>
          <w:rFonts w:ascii="Times New Roman" w:hAnsi="Times New Roman" w:cs="Times New Roman"/>
          <w:sz w:val="22"/>
          <w:szCs w:val="22"/>
        </w:rPr>
        <w:t xml:space="preserve"> in the </w:t>
      </w:r>
      <w:r w:rsidR="00C21561" w:rsidRPr="00201DB3">
        <w:rPr>
          <w:rFonts w:ascii="Times New Roman" w:hAnsi="Times New Roman" w:cs="Times New Roman"/>
          <w:sz w:val="22"/>
          <w:szCs w:val="22"/>
        </w:rPr>
        <w:t xml:space="preserve">strenuous </w:t>
      </w:r>
      <w:r w:rsidR="009F0DC3" w:rsidRPr="00201DB3">
        <w:rPr>
          <w:rFonts w:ascii="Times New Roman" w:hAnsi="Times New Roman" w:cs="Times New Roman"/>
          <w:sz w:val="22"/>
          <w:szCs w:val="22"/>
        </w:rPr>
        <w:t xml:space="preserve">opposition to </w:t>
      </w:r>
      <w:r w:rsidR="00F3101F" w:rsidRPr="00201DB3">
        <w:rPr>
          <w:rFonts w:ascii="Times New Roman" w:hAnsi="Times New Roman" w:cs="Times New Roman"/>
          <w:sz w:val="22"/>
          <w:szCs w:val="22"/>
        </w:rPr>
        <w:t>formulary apportionment.</w:t>
      </w:r>
      <w:r w:rsidR="00DE0CDB" w:rsidRPr="00201DB3">
        <w:rPr>
          <w:rFonts w:ascii="Times New Roman" w:hAnsi="Times New Roman" w:cs="Times New Roman"/>
          <w:sz w:val="22"/>
          <w:szCs w:val="22"/>
        </w:rPr>
        <w:t xml:space="preserve"> </w:t>
      </w:r>
    </w:p>
    <w:p w14:paraId="086B41D9" w14:textId="66A7F334" w:rsidR="00C550EF" w:rsidRPr="00201DB3" w:rsidRDefault="00C550EF" w:rsidP="00201DB3">
      <w:pPr>
        <w:spacing w:after="0" w:line="240" w:lineRule="auto"/>
        <w:rPr>
          <w:rFonts w:ascii="Times New Roman" w:hAnsi="Times New Roman" w:cs="Times New Roman"/>
          <w:sz w:val="22"/>
          <w:szCs w:val="22"/>
        </w:rPr>
      </w:pPr>
    </w:p>
    <w:p w14:paraId="4812D534" w14:textId="7C096D0C" w:rsidR="00161ADC" w:rsidRPr="00201DB3" w:rsidRDefault="00161ADC"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The next sectio</w:t>
      </w:r>
      <w:r w:rsidR="009F15C2" w:rsidRPr="00201DB3">
        <w:rPr>
          <w:rFonts w:ascii="Times New Roman" w:hAnsi="Times New Roman" w:cs="Times New Roman"/>
          <w:sz w:val="22"/>
          <w:szCs w:val="22"/>
        </w:rPr>
        <w:t>n</w:t>
      </w:r>
      <w:r w:rsidRPr="00201DB3">
        <w:rPr>
          <w:rFonts w:ascii="Times New Roman" w:hAnsi="Times New Roman" w:cs="Times New Roman"/>
          <w:sz w:val="22"/>
          <w:szCs w:val="22"/>
        </w:rPr>
        <w:t xml:space="preserve"> discusses the transfer pricing environment, drawing on literature that charts the development of the evolving ALP. Much of this highlights the importance of </w:t>
      </w:r>
      <w:r w:rsidR="00113163" w:rsidRPr="00201DB3">
        <w:rPr>
          <w:rFonts w:ascii="Times New Roman" w:hAnsi="Times New Roman" w:cs="Times New Roman"/>
          <w:sz w:val="22"/>
          <w:szCs w:val="22"/>
        </w:rPr>
        <w:t xml:space="preserve">the role of </w:t>
      </w:r>
      <w:r w:rsidRPr="00201DB3">
        <w:rPr>
          <w:rFonts w:ascii="Times New Roman" w:hAnsi="Times New Roman" w:cs="Times New Roman"/>
          <w:sz w:val="22"/>
          <w:szCs w:val="22"/>
        </w:rPr>
        <w:t xml:space="preserve">international consensus on the ALP, and how the strength of this consensus has fluctuated over time. This provides context to underpin the subsequent discussion of the large body of literature on calls for reform and a move to </w:t>
      </w:r>
      <w:r w:rsidR="00790571" w:rsidRPr="00201DB3">
        <w:rPr>
          <w:rFonts w:ascii="Times New Roman" w:hAnsi="Times New Roman" w:cs="Times New Roman"/>
          <w:sz w:val="22"/>
          <w:szCs w:val="22"/>
        </w:rPr>
        <w:t>formulary apportionment</w:t>
      </w:r>
      <w:r w:rsidRPr="00201DB3">
        <w:rPr>
          <w:rFonts w:ascii="Times New Roman" w:hAnsi="Times New Roman" w:cs="Times New Roman"/>
          <w:sz w:val="22"/>
          <w:szCs w:val="22"/>
        </w:rPr>
        <w:t xml:space="preserve">. </w:t>
      </w:r>
      <w:r w:rsidR="00823166" w:rsidRPr="00201DB3">
        <w:rPr>
          <w:rFonts w:ascii="Times New Roman" w:hAnsi="Times New Roman" w:cs="Times New Roman"/>
          <w:sz w:val="22"/>
          <w:szCs w:val="22"/>
        </w:rPr>
        <w:t>It also provides context for the interviews carried out in 2006 and 2016/17</w:t>
      </w:r>
      <w:r w:rsidR="003F77C9" w:rsidRPr="00201DB3">
        <w:rPr>
          <w:rFonts w:ascii="Times New Roman" w:hAnsi="Times New Roman" w:cs="Times New Roman"/>
          <w:sz w:val="22"/>
          <w:szCs w:val="22"/>
        </w:rPr>
        <w:t>.</w:t>
      </w:r>
      <w:r w:rsidR="00823166" w:rsidRPr="00201DB3">
        <w:rPr>
          <w:rFonts w:ascii="Times New Roman" w:hAnsi="Times New Roman" w:cs="Times New Roman"/>
          <w:sz w:val="22"/>
          <w:szCs w:val="22"/>
        </w:rPr>
        <w:t xml:space="preserve"> </w:t>
      </w:r>
      <w:r w:rsidRPr="00201DB3">
        <w:rPr>
          <w:rFonts w:ascii="Times New Roman" w:hAnsi="Times New Roman" w:cs="Times New Roman"/>
          <w:sz w:val="22"/>
          <w:szCs w:val="22"/>
        </w:rPr>
        <w:t>W</w:t>
      </w:r>
      <w:r w:rsidR="000B5B84" w:rsidRPr="00201DB3">
        <w:rPr>
          <w:rFonts w:ascii="Times New Roman" w:hAnsi="Times New Roman" w:cs="Times New Roman"/>
          <w:sz w:val="22"/>
          <w:szCs w:val="22"/>
        </w:rPr>
        <w:t>e</w:t>
      </w:r>
      <w:r w:rsidRPr="00201DB3">
        <w:rPr>
          <w:rFonts w:ascii="Times New Roman" w:hAnsi="Times New Roman" w:cs="Times New Roman"/>
          <w:sz w:val="22"/>
          <w:szCs w:val="22"/>
        </w:rPr>
        <w:t xml:space="preserve"> then discuss the evolving attitudes of senior transfer pricing practitioners to these issues. The </w:t>
      </w:r>
      <w:r w:rsidR="00113163" w:rsidRPr="00201DB3">
        <w:rPr>
          <w:rFonts w:ascii="Times New Roman" w:hAnsi="Times New Roman" w:cs="Times New Roman"/>
          <w:sz w:val="22"/>
          <w:szCs w:val="22"/>
        </w:rPr>
        <w:t xml:space="preserve">changing </w:t>
      </w:r>
      <w:r w:rsidRPr="00201DB3">
        <w:rPr>
          <w:rFonts w:ascii="Times New Roman" w:hAnsi="Times New Roman" w:cs="Times New Roman"/>
          <w:sz w:val="22"/>
          <w:szCs w:val="22"/>
        </w:rPr>
        <w:t>challenges that we raise and discuss suggest areas for attention and future research.</w:t>
      </w:r>
    </w:p>
    <w:p w14:paraId="542A0009" w14:textId="77777777" w:rsidR="00161ADC" w:rsidRPr="00201DB3" w:rsidRDefault="00161ADC" w:rsidP="00201DB3">
      <w:pPr>
        <w:spacing w:after="0" w:line="240" w:lineRule="auto"/>
        <w:rPr>
          <w:rFonts w:ascii="Times New Roman" w:hAnsi="Times New Roman" w:cs="Times New Roman"/>
          <w:sz w:val="22"/>
          <w:szCs w:val="22"/>
        </w:rPr>
      </w:pPr>
    </w:p>
    <w:p w14:paraId="0C0BF17D" w14:textId="10A96664" w:rsidR="00201DB3" w:rsidRDefault="00201DB3" w:rsidP="00201DB3">
      <w:pPr>
        <w:spacing w:after="0" w:line="240" w:lineRule="auto"/>
        <w:rPr>
          <w:rFonts w:ascii="Times New Roman" w:hAnsi="Times New Roman" w:cs="Times New Roman"/>
          <w:b/>
          <w:sz w:val="22"/>
          <w:szCs w:val="22"/>
        </w:rPr>
      </w:pPr>
    </w:p>
    <w:p w14:paraId="116B8AC5" w14:textId="38CC2DF5" w:rsidR="00783D03" w:rsidRPr="00201DB3" w:rsidRDefault="00180C34"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 xml:space="preserve">Background and related </w:t>
      </w:r>
      <w:r w:rsidR="00E76F34" w:rsidRPr="00201DB3">
        <w:rPr>
          <w:rFonts w:ascii="Times New Roman" w:hAnsi="Times New Roman" w:cs="Times New Roman"/>
          <w:b/>
          <w:sz w:val="22"/>
          <w:szCs w:val="22"/>
        </w:rPr>
        <w:t>literature</w:t>
      </w:r>
    </w:p>
    <w:p w14:paraId="18A3D469" w14:textId="77777777" w:rsidR="00D63C18" w:rsidRPr="00201DB3" w:rsidRDefault="00D63C18" w:rsidP="00201DB3">
      <w:pPr>
        <w:spacing w:after="0" w:line="240" w:lineRule="auto"/>
        <w:rPr>
          <w:rFonts w:ascii="Times New Roman" w:hAnsi="Times New Roman" w:cs="Times New Roman"/>
          <w:sz w:val="22"/>
          <w:szCs w:val="22"/>
        </w:rPr>
      </w:pPr>
    </w:p>
    <w:p w14:paraId="02D65915" w14:textId="466400F2" w:rsidR="0068358B" w:rsidRPr="00201DB3" w:rsidRDefault="00E76F34" w:rsidP="00201DB3">
      <w:pPr>
        <w:spacing w:after="0" w:line="240" w:lineRule="auto"/>
        <w:rPr>
          <w:rFonts w:ascii="Times New Roman" w:hAnsi="Times New Roman" w:cs="Times New Roman"/>
          <w:sz w:val="22"/>
          <w:szCs w:val="22"/>
        </w:rPr>
      </w:pPr>
      <w:bookmarkStart w:id="2" w:name="_Hlk514783542"/>
      <w:r w:rsidRPr="00201DB3">
        <w:rPr>
          <w:rFonts w:ascii="Times New Roman" w:hAnsi="Times New Roman" w:cs="Times New Roman"/>
          <w:i/>
          <w:sz w:val="22"/>
          <w:szCs w:val="22"/>
        </w:rPr>
        <w:t>Transfer pricing background</w:t>
      </w:r>
      <w:r w:rsidR="007748EE" w:rsidRPr="00201DB3">
        <w:rPr>
          <w:rFonts w:ascii="Times New Roman" w:hAnsi="Times New Roman" w:cs="Times New Roman"/>
          <w:i/>
          <w:sz w:val="22"/>
          <w:szCs w:val="22"/>
        </w:rPr>
        <w:t xml:space="preserve"> </w:t>
      </w:r>
      <w:bookmarkEnd w:id="2"/>
    </w:p>
    <w:p w14:paraId="098793B5" w14:textId="13EDF178" w:rsidR="00C062FA" w:rsidRPr="00201DB3" w:rsidRDefault="0047605E"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The</w:t>
      </w:r>
      <w:r w:rsidR="00BD3A24" w:rsidRPr="00201DB3">
        <w:rPr>
          <w:rFonts w:ascii="Times New Roman" w:hAnsi="Times New Roman" w:cs="Times New Roman"/>
          <w:sz w:val="22"/>
          <w:szCs w:val="22"/>
        </w:rPr>
        <w:t xml:space="preserve"> ALP</w:t>
      </w:r>
      <w:r w:rsidRPr="00201DB3">
        <w:rPr>
          <w:rFonts w:ascii="Times New Roman" w:hAnsi="Times New Roman" w:cs="Times New Roman"/>
          <w:sz w:val="22"/>
          <w:szCs w:val="22"/>
        </w:rPr>
        <w:t>, based on the benchmark of what an independent enterprise would do, dates back to the 1930s</w:t>
      </w:r>
      <w:r w:rsidR="003C5332" w:rsidRPr="00201DB3">
        <w:rPr>
          <w:rStyle w:val="FootnoteReference"/>
          <w:rFonts w:ascii="Times New Roman" w:hAnsi="Times New Roman" w:cs="Times New Roman"/>
          <w:sz w:val="22"/>
          <w:szCs w:val="22"/>
        </w:rPr>
        <w:footnoteReference w:id="6"/>
      </w:r>
      <w:r w:rsidRPr="00201DB3">
        <w:rPr>
          <w:rFonts w:ascii="Times New Roman" w:hAnsi="Times New Roman" w:cs="Times New Roman"/>
          <w:sz w:val="22"/>
          <w:szCs w:val="22"/>
        </w:rPr>
        <w:t xml:space="preserve">  and the vagueness of the principle has allowed it to evolve and be reinterpreted over time. The OECD has been one of the most important influences in </w:t>
      </w:r>
      <w:r w:rsidR="00600DDE" w:rsidRPr="00201DB3">
        <w:rPr>
          <w:rFonts w:ascii="Times New Roman" w:hAnsi="Times New Roman" w:cs="Times New Roman"/>
          <w:sz w:val="22"/>
          <w:szCs w:val="22"/>
        </w:rPr>
        <w:t xml:space="preserve">building consensus for the ALP, </w:t>
      </w:r>
      <w:r w:rsidRPr="00201DB3">
        <w:rPr>
          <w:rFonts w:ascii="Times New Roman" w:hAnsi="Times New Roman" w:cs="Times New Roman"/>
          <w:sz w:val="22"/>
          <w:szCs w:val="22"/>
        </w:rPr>
        <w:t xml:space="preserve">diffusing </w:t>
      </w:r>
      <w:r w:rsidR="00600DDE" w:rsidRPr="00201DB3">
        <w:rPr>
          <w:rFonts w:ascii="Times New Roman" w:hAnsi="Times New Roman" w:cs="Times New Roman"/>
          <w:sz w:val="22"/>
          <w:szCs w:val="22"/>
        </w:rPr>
        <w:t>i</w:t>
      </w:r>
      <w:r w:rsidRPr="00201DB3">
        <w:rPr>
          <w:rFonts w:ascii="Times New Roman" w:hAnsi="Times New Roman" w:cs="Times New Roman"/>
          <w:sz w:val="22"/>
          <w:szCs w:val="22"/>
        </w:rPr>
        <w:t>t</w:t>
      </w:r>
      <w:r w:rsidR="00600DDE" w:rsidRPr="00201DB3">
        <w:rPr>
          <w:rFonts w:ascii="Times New Roman" w:hAnsi="Times New Roman" w:cs="Times New Roman"/>
          <w:sz w:val="22"/>
          <w:szCs w:val="22"/>
        </w:rPr>
        <w:t xml:space="preserve"> </w:t>
      </w:r>
      <w:r w:rsidRPr="00201DB3">
        <w:rPr>
          <w:rFonts w:ascii="Times New Roman" w:hAnsi="Times New Roman" w:cs="Times New Roman"/>
          <w:sz w:val="22"/>
          <w:szCs w:val="22"/>
        </w:rPr>
        <w:t>through its guidelines and model convention</w:t>
      </w:r>
      <w:r w:rsidR="003C5332" w:rsidRPr="00201DB3">
        <w:rPr>
          <w:rStyle w:val="FootnoteReference"/>
          <w:rFonts w:ascii="Times New Roman" w:hAnsi="Times New Roman" w:cs="Times New Roman"/>
          <w:sz w:val="22"/>
          <w:szCs w:val="22"/>
        </w:rPr>
        <w:footnoteReference w:id="7"/>
      </w:r>
      <w:r w:rsidRPr="00201DB3">
        <w:rPr>
          <w:rFonts w:ascii="Times New Roman" w:hAnsi="Times New Roman" w:cs="Times New Roman"/>
          <w:sz w:val="22"/>
          <w:szCs w:val="22"/>
        </w:rPr>
        <w:t xml:space="preserve">. </w:t>
      </w:r>
      <w:r w:rsidR="00C062FA" w:rsidRPr="00201DB3">
        <w:rPr>
          <w:rFonts w:ascii="Times New Roman" w:hAnsi="Times New Roman" w:cs="Times New Roman"/>
          <w:sz w:val="22"/>
          <w:szCs w:val="22"/>
        </w:rPr>
        <w:t>In 1992 it appeared that international consensus on arm’s length transfer pricing, based on “the legal fiction of the separate entity approach”</w:t>
      </w:r>
      <w:r w:rsidR="00C062FA" w:rsidRPr="00201DB3">
        <w:rPr>
          <w:rStyle w:val="FootnoteReference"/>
          <w:rFonts w:ascii="Times New Roman" w:hAnsi="Times New Roman" w:cs="Times New Roman"/>
          <w:sz w:val="22"/>
          <w:szCs w:val="22"/>
        </w:rPr>
        <w:footnoteReference w:id="8"/>
      </w:r>
      <w:r w:rsidR="00C062FA" w:rsidRPr="00201DB3">
        <w:rPr>
          <w:rFonts w:ascii="Times New Roman" w:hAnsi="Times New Roman" w:cs="Times New Roman"/>
          <w:sz w:val="22"/>
          <w:szCs w:val="22"/>
        </w:rPr>
        <w:t xml:space="preserve"> was under threat, jeopardized by the US issuing new transfer pricing regulations, with a move away from basing the ALP on comparable transactions, to looking at comparable profits. In response, an OECD Task Group worked with the US Treasury to amend the US regulations and to reissue the OECD Guidelines</w:t>
      </w:r>
      <w:r w:rsidR="00C062FA" w:rsidRPr="00201DB3">
        <w:rPr>
          <w:rStyle w:val="FootnoteReference"/>
          <w:rFonts w:ascii="Times New Roman" w:hAnsi="Times New Roman" w:cs="Times New Roman"/>
          <w:sz w:val="22"/>
          <w:szCs w:val="22"/>
        </w:rPr>
        <w:footnoteReference w:id="9"/>
      </w:r>
      <w:r w:rsidR="00C062FA" w:rsidRPr="00201DB3">
        <w:rPr>
          <w:rFonts w:ascii="Times New Roman" w:hAnsi="Times New Roman" w:cs="Times New Roman"/>
          <w:sz w:val="22"/>
          <w:szCs w:val="22"/>
        </w:rPr>
        <w:t>.  A major effort of the OECD was to build consensus and avoid the US defecting from international cooperation built around the ALP.</w:t>
      </w:r>
      <w:r w:rsidR="00C062FA" w:rsidRPr="00201DB3">
        <w:rPr>
          <w:rStyle w:val="FootnoteReference"/>
          <w:rFonts w:ascii="Times New Roman" w:hAnsi="Times New Roman" w:cs="Times New Roman"/>
          <w:sz w:val="22"/>
          <w:szCs w:val="22"/>
        </w:rPr>
        <w:footnoteReference w:id="10"/>
      </w:r>
      <w:r w:rsidR="00C062FA" w:rsidRPr="00201DB3">
        <w:rPr>
          <w:rFonts w:ascii="Times New Roman" w:hAnsi="Times New Roman" w:cs="Times New Roman"/>
          <w:sz w:val="22"/>
          <w:szCs w:val="22"/>
        </w:rPr>
        <w:t xml:space="preserve"> </w:t>
      </w:r>
    </w:p>
    <w:p w14:paraId="2248D610" w14:textId="77777777" w:rsidR="00C062FA" w:rsidRPr="00201DB3" w:rsidRDefault="00C062FA" w:rsidP="00201DB3">
      <w:pPr>
        <w:spacing w:after="0" w:line="240" w:lineRule="auto"/>
        <w:rPr>
          <w:rFonts w:ascii="Times New Roman" w:hAnsi="Times New Roman" w:cs="Times New Roman"/>
          <w:sz w:val="22"/>
          <w:szCs w:val="22"/>
        </w:rPr>
      </w:pPr>
    </w:p>
    <w:p w14:paraId="438F2B89" w14:textId="0B6BE3AD" w:rsidR="0047605E" w:rsidRPr="00201DB3" w:rsidRDefault="0047605E"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In 1995 the OECD Transfer </w:t>
      </w:r>
      <w:r w:rsidR="00C234EF" w:rsidRPr="00201DB3">
        <w:rPr>
          <w:rFonts w:ascii="Times New Roman" w:hAnsi="Times New Roman" w:cs="Times New Roman"/>
          <w:sz w:val="22"/>
          <w:szCs w:val="22"/>
        </w:rPr>
        <w:t>P</w:t>
      </w:r>
      <w:r w:rsidRPr="00201DB3">
        <w:rPr>
          <w:rFonts w:ascii="Times New Roman" w:hAnsi="Times New Roman" w:cs="Times New Roman"/>
          <w:sz w:val="22"/>
          <w:szCs w:val="22"/>
        </w:rPr>
        <w:t xml:space="preserve">ricing </w:t>
      </w:r>
      <w:r w:rsidR="00C234EF" w:rsidRPr="00201DB3">
        <w:rPr>
          <w:rFonts w:ascii="Times New Roman" w:hAnsi="Times New Roman" w:cs="Times New Roman"/>
          <w:sz w:val="22"/>
          <w:szCs w:val="22"/>
        </w:rPr>
        <w:t>G</w:t>
      </w:r>
      <w:r w:rsidRPr="00201DB3">
        <w:rPr>
          <w:rFonts w:ascii="Times New Roman" w:hAnsi="Times New Roman" w:cs="Times New Roman"/>
          <w:sz w:val="22"/>
          <w:szCs w:val="22"/>
        </w:rPr>
        <w:t xml:space="preserve">uidelines for multinational enterprises and tax administrations were reissued (OECD 1995 Guidelines) and the chapter on the </w:t>
      </w:r>
      <w:r w:rsidR="00647206" w:rsidRPr="00201DB3">
        <w:rPr>
          <w:rFonts w:ascii="Times New Roman" w:hAnsi="Times New Roman" w:cs="Times New Roman"/>
          <w:sz w:val="22"/>
          <w:szCs w:val="22"/>
        </w:rPr>
        <w:t>ALP</w:t>
      </w:r>
      <w:r w:rsidRPr="00201DB3">
        <w:rPr>
          <w:rFonts w:ascii="Times New Roman" w:hAnsi="Times New Roman" w:cs="Times New Roman"/>
          <w:sz w:val="22"/>
          <w:szCs w:val="22"/>
        </w:rPr>
        <w:t xml:space="preserve"> “</w:t>
      </w:r>
      <w:r w:rsidR="00FF34EE" w:rsidRPr="00201DB3">
        <w:rPr>
          <w:rFonts w:ascii="Times New Roman" w:hAnsi="Times New Roman" w:cs="Times New Roman"/>
          <w:sz w:val="22"/>
          <w:szCs w:val="22"/>
        </w:rPr>
        <w:t xml:space="preserve">reaffirm[ed] </w:t>
      </w:r>
      <w:r w:rsidRPr="00201DB3">
        <w:rPr>
          <w:rFonts w:ascii="Times New Roman" w:hAnsi="Times New Roman" w:cs="Times New Roman"/>
          <w:sz w:val="22"/>
          <w:szCs w:val="22"/>
        </w:rPr>
        <w:t>its status as the international standard</w:t>
      </w:r>
      <w:r w:rsidR="000C1EC9" w:rsidRPr="00201DB3">
        <w:rPr>
          <w:rFonts w:ascii="Times New Roman" w:hAnsi="Times New Roman" w:cs="Times New Roman"/>
          <w:sz w:val="22"/>
          <w:szCs w:val="22"/>
        </w:rPr>
        <w:t>.</w:t>
      </w:r>
      <w:r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11"/>
      </w:r>
      <w:r w:rsidRPr="00201DB3">
        <w:rPr>
          <w:rFonts w:ascii="Times New Roman" w:hAnsi="Times New Roman" w:cs="Times New Roman"/>
          <w:sz w:val="22"/>
          <w:szCs w:val="22"/>
        </w:rPr>
        <w:t xml:space="preserve"> </w:t>
      </w:r>
      <w:r w:rsidR="000C1EC9" w:rsidRPr="00201DB3">
        <w:rPr>
          <w:rFonts w:ascii="Times New Roman" w:hAnsi="Times New Roman" w:cs="Times New Roman"/>
          <w:sz w:val="22"/>
          <w:szCs w:val="22"/>
        </w:rPr>
        <w:t>T</w:t>
      </w:r>
      <w:r w:rsidRPr="00201DB3">
        <w:rPr>
          <w:rFonts w:ascii="Times New Roman" w:hAnsi="Times New Roman" w:cs="Times New Roman"/>
          <w:sz w:val="22"/>
          <w:szCs w:val="22"/>
        </w:rPr>
        <w:t xml:space="preserve">he </w:t>
      </w:r>
      <w:r w:rsidR="000C1EC9" w:rsidRPr="00201DB3">
        <w:rPr>
          <w:rFonts w:ascii="Times New Roman" w:hAnsi="Times New Roman" w:cs="Times New Roman"/>
          <w:sz w:val="22"/>
          <w:szCs w:val="22"/>
        </w:rPr>
        <w:t xml:space="preserve">OECD </w:t>
      </w:r>
      <w:r w:rsidR="00C234EF" w:rsidRPr="00201DB3">
        <w:rPr>
          <w:rFonts w:ascii="Times New Roman" w:hAnsi="Times New Roman" w:cs="Times New Roman"/>
          <w:sz w:val="22"/>
          <w:szCs w:val="22"/>
        </w:rPr>
        <w:t xml:space="preserve">1995 </w:t>
      </w:r>
      <w:r w:rsidRPr="00201DB3">
        <w:rPr>
          <w:rFonts w:ascii="Times New Roman" w:hAnsi="Times New Roman" w:cs="Times New Roman"/>
          <w:sz w:val="22"/>
          <w:szCs w:val="22"/>
        </w:rPr>
        <w:t>Guidelines set out five acceptable pricing methods</w:t>
      </w:r>
      <w:r w:rsidR="000C1EC9" w:rsidRPr="00201DB3">
        <w:rPr>
          <w:rFonts w:ascii="Times New Roman" w:hAnsi="Times New Roman" w:cs="Times New Roman"/>
          <w:sz w:val="22"/>
          <w:szCs w:val="22"/>
        </w:rPr>
        <w:t>; t</w:t>
      </w:r>
      <w:r w:rsidRPr="00201DB3">
        <w:rPr>
          <w:rFonts w:ascii="Times New Roman" w:hAnsi="Times New Roman" w:cs="Times New Roman"/>
          <w:sz w:val="22"/>
          <w:szCs w:val="22"/>
        </w:rPr>
        <w:t xml:space="preserve">he preferred method being the use of a comparable uncontrolled price, </w:t>
      </w:r>
      <w:r w:rsidR="000C1EC9" w:rsidRPr="00201DB3">
        <w:rPr>
          <w:rFonts w:ascii="Times New Roman" w:hAnsi="Times New Roman" w:cs="Times New Roman"/>
          <w:sz w:val="22"/>
          <w:szCs w:val="22"/>
        </w:rPr>
        <w:t xml:space="preserve">requiring the identification of an identical, or very similar, transaction between unrelated parties, </w:t>
      </w:r>
      <w:r w:rsidRPr="00201DB3">
        <w:rPr>
          <w:rFonts w:ascii="Times New Roman" w:hAnsi="Times New Roman" w:cs="Times New Roman"/>
          <w:sz w:val="22"/>
          <w:szCs w:val="22"/>
        </w:rPr>
        <w:t>although in practice, with a small handful of exceptions, there will not be a directly comparable price</w:t>
      </w:r>
      <w:r w:rsidR="003C5332" w:rsidRPr="00201DB3">
        <w:rPr>
          <w:rStyle w:val="FootnoteReference"/>
          <w:rFonts w:ascii="Times New Roman" w:hAnsi="Times New Roman" w:cs="Times New Roman"/>
          <w:sz w:val="22"/>
          <w:szCs w:val="22"/>
        </w:rPr>
        <w:footnoteReference w:id="12"/>
      </w:r>
      <w:r w:rsidRPr="00201DB3">
        <w:rPr>
          <w:rFonts w:ascii="Times New Roman" w:hAnsi="Times New Roman" w:cs="Times New Roman"/>
          <w:sz w:val="22"/>
          <w:szCs w:val="22"/>
        </w:rPr>
        <w:t xml:space="preserve">. The profit split approach was listed </w:t>
      </w:r>
      <w:r w:rsidR="00E65C18" w:rsidRPr="00201DB3">
        <w:rPr>
          <w:rFonts w:ascii="Times New Roman" w:hAnsi="Times New Roman" w:cs="Times New Roman"/>
          <w:sz w:val="22"/>
          <w:szCs w:val="22"/>
        </w:rPr>
        <w:t xml:space="preserve">at this time </w:t>
      </w:r>
      <w:r w:rsidRPr="00201DB3">
        <w:rPr>
          <w:rFonts w:ascii="Times New Roman" w:hAnsi="Times New Roman" w:cs="Times New Roman"/>
          <w:sz w:val="22"/>
          <w:szCs w:val="22"/>
        </w:rPr>
        <w:t>as the method of “last resort”</w:t>
      </w:r>
      <w:r w:rsidR="003C5332" w:rsidRPr="00201DB3">
        <w:rPr>
          <w:rStyle w:val="FootnoteReference"/>
          <w:rFonts w:ascii="Times New Roman" w:hAnsi="Times New Roman" w:cs="Times New Roman"/>
          <w:sz w:val="22"/>
          <w:szCs w:val="22"/>
        </w:rPr>
        <w:footnoteReference w:id="13"/>
      </w:r>
      <w:r w:rsidRPr="00201DB3">
        <w:rPr>
          <w:rFonts w:ascii="Times New Roman" w:hAnsi="Times New Roman" w:cs="Times New Roman"/>
          <w:sz w:val="22"/>
          <w:szCs w:val="22"/>
        </w:rPr>
        <w:t xml:space="preserve">: </w:t>
      </w:r>
      <w:r w:rsidR="00C062FA" w:rsidRPr="00201DB3">
        <w:rPr>
          <w:rFonts w:ascii="Times New Roman" w:hAnsi="Times New Roman" w:cs="Times New Roman"/>
          <w:sz w:val="22"/>
          <w:szCs w:val="22"/>
        </w:rPr>
        <w:t>S</w:t>
      </w:r>
      <w:r w:rsidRPr="00201DB3">
        <w:rPr>
          <w:rFonts w:ascii="Times New Roman" w:hAnsi="Times New Roman" w:cs="Times New Roman"/>
          <w:sz w:val="22"/>
          <w:szCs w:val="22"/>
        </w:rPr>
        <w:t xml:space="preserve">ome countries objected to the </w:t>
      </w:r>
      <w:r w:rsidR="00BD3A24" w:rsidRPr="00201DB3">
        <w:rPr>
          <w:rFonts w:ascii="Times New Roman" w:hAnsi="Times New Roman" w:cs="Times New Roman"/>
          <w:sz w:val="22"/>
          <w:szCs w:val="22"/>
        </w:rPr>
        <w:t xml:space="preserve">inclusion of the </w:t>
      </w:r>
      <w:r w:rsidRPr="00201DB3">
        <w:rPr>
          <w:rFonts w:ascii="Times New Roman" w:hAnsi="Times New Roman" w:cs="Times New Roman"/>
          <w:sz w:val="22"/>
          <w:szCs w:val="22"/>
        </w:rPr>
        <w:t>profit split method as it did not rely on comparabl</w:t>
      </w:r>
      <w:r w:rsidR="00C062FA" w:rsidRPr="00201DB3">
        <w:rPr>
          <w:rFonts w:ascii="Times New Roman" w:hAnsi="Times New Roman" w:cs="Times New Roman"/>
          <w:sz w:val="22"/>
          <w:szCs w:val="22"/>
        </w:rPr>
        <w:t>e</w:t>
      </w:r>
      <w:r w:rsidRPr="00201DB3">
        <w:rPr>
          <w:rFonts w:ascii="Times New Roman" w:hAnsi="Times New Roman" w:cs="Times New Roman"/>
          <w:sz w:val="22"/>
          <w:szCs w:val="22"/>
        </w:rPr>
        <w:t>s</w:t>
      </w:r>
      <w:r w:rsidR="003C5332" w:rsidRPr="00201DB3">
        <w:rPr>
          <w:rStyle w:val="FootnoteReference"/>
          <w:rFonts w:ascii="Times New Roman" w:hAnsi="Times New Roman" w:cs="Times New Roman"/>
          <w:sz w:val="22"/>
          <w:szCs w:val="22"/>
        </w:rPr>
        <w:footnoteReference w:id="14"/>
      </w:r>
      <w:r w:rsidRPr="00201DB3">
        <w:rPr>
          <w:rFonts w:ascii="Times New Roman" w:hAnsi="Times New Roman" w:cs="Times New Roman"/>
          <w:sz w:val="22"/>
          <w:szCs w:val="22"/>
        </w:rPr>
        <w:t xml:space="preserve">. This </w:t>
      </w:r>
      <w:r w:rsidR="009C78FB">
        <w:rPr>
          <w:rFonts w:ascii="Times New Roman" w:hAnsi="Times New Roman" w:cs="Times New Roman"/>
          <w:sz w:val="22"/>
          <w:szCs w:val="22"/>
        </w:rPr>
        <w:t xml:space="preserve">inclusion </w:t>
      </w:r>
      <w:r w:rsidRPr="00201DB3">
        <w:rPr>
          <w:rFonts w:ascii="Times New Roman" w:hAnsi="Times New Roman" w:cs="Times New Roman"/>
          <w:sz w:val="22"/>
          <w:szCs w:val="22"/>
        </w:rPr>
        <w:t>was largely</w:t>
      </w:r>
      <w:r w:rsidR="00C234EF" w:rsidRPr="00201DB3">
        <w:rPr>
          <w:rFonts w:ascii="Times New Roman" w:hAnsi="Times New Roman" w:cs="Times New Roman"/>
          <w:sz w:val="22"/>
          <w:szCs w:val="22"/>
        </w:rPr>
        <w:t xml:space="preserve"> done</w:t>
      </w:r>
      <w:r w:rsidRPr="00201DB3">
        <w:rPr>
          <w:rFonts w:ascii="Times New Roman" w:hAnsi="Times New Roman" w:cs="Times New Roman"/>
          <w:sz w:val="22"/>
          <w:szCs w:val="22"/>
        </w:rPr>
        <w:t xml:space="preserve"> </w:t>
      </w:r>
      <w:r w:rsidR="00C234EF" w:rsidRPr="00201DB3">
        <w:rPr>
          <w:rFonts w:ascii="Times New Roman" w:hAnsi="Times New Roman" w:cs="Times New Roman"/>
          <w:sz w:val="22"/>
          <w:szCs w:val="22"/>
        </w:rPr>
        <w:t>by fr</w:t>
      </w:r>
      <w:r w:rsidRPr="00201DB3">
        <w:rPr>
          <w:rFonts w:ascii="Times New Roman" w:hAnsi="Times New Roman" w:cs="Times New Roman"/>
          <w:sz w:val="22"/>
          <w:szCs w:val="22"/>
        </w:rPr>
        <w:t xml:space="preserve">aming the </w:t>
      </w:r>
      <w:r w:rsidR="00647206" w:rsidRPr="00201DB3">
        <w:rPr>
          <w:rFonts w:ascii="Times New Roman" w:hAnsi="Times New Roman" w:cs="Times New Roman"/>
          <w:sz w:val="22"/>
          <w:szCs w:val="22"/>
        </w:rPr>
        <w:lastRenderedPageBreak/>
        <w:t>ALP</w:t>
      </w:r>
      <w:r w:rsidRPr="00201DB3">
        <w:rPr>
          <w:rFonts w:ascii="Times New Roman" w:hAnsi="Times New Roman" w:cs="Times New Roman"/>
          <w:sz w:val="22"/>
          <w:szCs w:val="22"/>
        </w:rPr>
        <w:t xml:space="preserve"> in broad terms: the OECD guidelines and US regulation were generally consistent in approach, but with differences in emphasis</w:t>
      </w:r>
      <w:r w:rsidR="00C234EF" w:rsidRPr="00201DB3">
        <w:rPr>
          <w:rFonts w:ascii="Times New Roman" w:hAnsi="Times New Roman" w:cs="Times New Roman"/>
          <w:sz w:val="22"/>
          <w:szCs w:val="22"/>
        </w:rPr>
        <w:t>. Therefore “</w:t>
      </w:r>
      <w:r w:rsidR="00564355" w:rsidRPr="00201DB3">
        <w:rPr>
          <w:rFonts w:ascii="Times New Roman" w:hAnsi="Times New Roman" w:cs="Times New Roman"/>
          <w:sz w:val="22"/>
          <w:szCs w:val="22"/>
        </w:rPr>
        <w:t>a</w:t>
      </w:r>
      <w:r w:rsidRPr="00201DB3">
        <w:rPr>
          <w:rFonts w:ascii="Times New Roman" w:hAnsi="Times New Roman" w:cs="Times New Roman"/>
          <w:sz w:val="22"/>
          <w:szCs w:val="22"/>
        </w:rPr>
        <w:t>n apparent consensus was maintained, by the insistence that all these methods comply with the arm’s length principle</w:t>
      </w:r>
      <w:r w:rsidR="00564355" w:rsidRPr="00201DB3">
        <w:rPr>
          <w:rFonts w:ascii="Times New Roman" w:hAnsi="Times New Roman" w:cs="Times New Roman"/>
          <w:sz w:val="22"/>
          <w:szCs w:val="22"/>
        </w:rPr>
        <w:t>.</w:t>
      </w:r>
      <w:r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15"/>
      </w:r>
      <w:r w:rsidRPr="00201DB3">
        <w:rPr>
          <w:rFonts w:ascii="Times New Roman" w:hAnsi="Times New Roman" w:cs="Times New Roman"/>
          <w:sz w:val="22"/>
          <w:szCs w:val="22"/>
        </w:rPr>
        <w:t xml:space="preserve"> </w:t>
      </w:r>
      <w:r w:rsidR="00600DDE" w:rsidRPr="00201DB3">
        <w:rPr>
          <w:rFonts w:ascii="Times New Roman" w:hAnsi="Times New Roman" w:cs="Times New Roman"/>
          <w:sz w:val="22"/>
          <w:szCs w:val="22"/>
        </w:rPr>
        <w:t xml:space="preserve">Following </w:t>
      </w:r>
      <w:r w:rsidRPr="00201DB3">
        <w:rPr>
          <w:rFonts w:ascii="Times New Roman" w:hAnsi="Times New Roman" w:cs="Times New Roman"/>
          <w:sz w:val="22"/>
          <w:szCs w:val="22"/>
        </w:rPr>
        <w:t xml:space="preserve"> publication of the </w:t>
      </w:r>
      <w:r w:rsidR="00600DDE" w:rsidRPr="00201DB3">
        <w:rPr>
          <w:rFonts w:ascii="Times New Roman" w:hAnsi="Times New Roman" w:cs="Times New Roman"/>
          <w:sz w:val="22"/>
          <w:szCs w:val="22"/>
        </w:rPr>
        <w:t>19</w:t>
      </w:r>
      <w:r w:rsidRPr="00201DB3">
        <w:rPr>
          <w:rFonts w:ascii="Times New Roman" w:hAnsi="Times New Roman" w:cs="Times New Roman"/>
          <w:sz w:val="22"/>
          <w:szCs w:val="22"/>
        </w:rPr>
        <w:t>95 OECD Guidelines there was a “torrent”</w:t>
      </w:r>
      <w:r w:rsidR="003C5332" w:rsidRPr="00201DB3">
        <w:rPr>
          <w:rStyle w:val="FootnoteReference"/>
          <w:rFonts w:ascii="Times New Roman" w:hAnsi="Times New Roman" w:cs="Times New Roman"/>
          <w:sz w:val="22"/>
          <w:szCs w:val="22"/>
        </w:rPr>
        <w:footnoteReference w:id="16"/>
      </w:r>
      <w:r w:rsidRPr="00201DB3">
        <w:rPr>
          <w:rFonts w:ascii="Times New Roman" w:hAnsi="Times New Roman" w:cs="Times New Roman"/>
          <w:sz w:val="22"/>
          <w:szCs w:val="22"/>
        </w:rPr>
        <w:t xml:space="preserve"> of different, often inconsistent national rules, falling within the broad ambit of the</w:t>
      </w:r>
      <w:r w:rsidR="00647206" w:rsidRPr="00201DB3">
        <w:rPr>
          <w:rFonts w:ascii="Times New Roman" w:hAnsi="Times New Roman" w:cs="Times New Roman"/>
          <w:sz w:val="22"/>
          <w:szCs w:val="22"/>
        </w:rPr>
        <w:t xml:space="preserve"> ALP</w:t>
      </w:r>
      <w:r w:rsidR="007D0D21" w:rsidRPr="00201DB3">
        <w:rPr>
          <w:rFonts w:ascii="Times New Roman" w:hAnsi="Times New Roman" w:cs="Times New Roman"/>
          <w:sz w:val="22"/>
          <w:szCs w:val="22"/>
        </w:rPr>
        <w:t xml:space="preserve">. A 2006 survey reported </w:t>
      </w:r>
      <w:r w:rsidR="009C78FB">
        <w:rPr>
          <w:rFonts w:ascii="Times New Roman" w:hAnsi="Times New Roman" w:cs="Times New Roman"/>
          <w:sz w:val="22"/>
          <w:szCs w:val="22"/>
        </w:rPr>
        <w:t>“</w:t>
      </w:r>
      <w:r w:rsidR="007D0D21" w:rsidRPr="00201DB3">
        <w:rPr>
          <w:rFonts w:ascii="Times New Roman" w:hAnsi="Times New Roman" w:cs="Times New Roman"/>
          <w:sz w:val="22"/>
          <w:szCs w:val="22"/>
        </w:rPr>
        <w:t>a significant shift towards broader acceptance of the [ALP} on a basis consistent with the OECD Guidelines</w:t>
      </w:r>
      <w:r w:rsidR="009C78FB">
        <w:rPr>
          <w:rFonts w:ascii="Times New Roman" w:hAnsi="Times New Roman" w:cs="Times New Roman"/>
          <w:sz w:val="22"/>
          <w:szCs w:val="22"/>
        </w:rPr>
        <w:t>”</w:t>
      </w:r>
      <w:r w:rsidR="007D0D21" w:rsidRPr="00201DB3">
        <w:rPr>
          <w:rStyle w:val="FootnoteReference"/>
          <w:rFonts w:ascii="Times New Roman" w:hAnsi="Times New Roman" w:cs="Times New Roman"/>
          <w:sz w:val="22"/>
          <w:szCs w:val="22"/>
        </w:rPr>
        <w:footnoteReference w:id="17"/>
      </w:r>
      <w:r w:rsidR="007D0D21" w:rsidRPr="00201DB3">
        <w:rPr>
          <w:rFonts w:ascii="Times New Roman" w:hAnsi="Times New Roman" w:cs="Times New Roman"/>
          <w:sz w:val="22"/>
          <w:szCs w:val="22"/>
        </w:rPr>
        <w:t xml:space="preserve"> albeit with a degree of divergence in approach between countries</w:t>
      </w:r>
      <w:r w:rsidRPr="00201DB3">
        <w:rPr>
          <w:rFonts w:ascii="Times New Roman" w:hAnsi="Times New Roman" w:cs="Times New Roman"/>
          <w:sz w:val="22"/>
          <w:szCs w:val="22"/>
        </w:rPr>
        <w:t xml:space="preserve">. </w:t>
      </w:r>
    </w:p>
    <w:p w14:paraId="6685EE8C" w14:textId="77777777" w:rsidR="0047605E" w:rsidRPr="00201DB3" w:rsidRDefault="0047605E" w:rsidP="00201DB3">
      <w:pPr>
        <w:spacing w:after="0" w:line="240" w:lineRule="auto"/>
        <w:rPr>
          <w:rFonts w:ascii="Times New Roman" w:hAnsi="Times New Roman" w:cs="Times New Roman"/>
          <w:sz w:val="22"/>
          <w:szCs w:val="22"/>
        </w:rPr>
      </w:pPr>
    </w:p>
    <w:p w14:paraId="3B1D7183" w14:textId="501A50C0" w:rsidR="0047605E" w:rsidRPr="0098279D" w:rsidRDefault="0047605E" w:rsidP="00201DB3">
      <w:pPr>
        <w:spacing w:after="0" w:line="240" w:lineRule="auto"/>
        <w:rPr>
          <w:rFonts w:ascii="Times New Roman" w:hAnsi="Times New Roman" w:cs="Times New Roman"/>
          <w:i/>
          <w:sz w:val="22"/>
          <w:szCs w:val="22"/>
        </w:rPr>
      </w:pPr>
      <w:r w:rsidRPr="00201DB3">
        <w:rPr>
          <w:rFonts w:ascii="Times New Roman" w:hAnsi="Times New Roman" w:cs="Times New Roman"/>
          <w:sz w:val="22"/>
          <w:szCs w:val="22"/>
        </w:rPr>
        <w:t xml:space="preserve">In addition to the maintenance of international consensus, the </w:t>
      </w:r>
      <w:r w:rsidR="00E65C18" w:rsidRPr="00201DB3">
        <w:rPr>
          <w:rFonts w:ascii="Times New Roman" w:hAnsi="Times New Roman" w:cs="Times New Roman"/>
          <w:sz w:val="22"/>
          <w:szCs w:val="22"/>
        </w:rPr>
        <w:t xml:space="preserve">ambiguity of the </w:t>
      </w:r>
      <w:r w:rsidRPr="00201DB3">
        <w:rPr>
          <w:rFonts w:ascii="Times New Roman" w:hAnsi="Times New Roman" w:cs="Times New Roman"/>
          <w:sz w:val="22"/>
          <w:szCs w:val="22"/>
        </w:rPr>
        <w:t>ALP also</w:t>
      </w:r>
      <w:r w:rsidR="0016573E" w:rsidRPr="00201DB3">
        <w:rPr>
          <w:rFonts w:ascii="Times New Roman" w:hAnsi="Times New Roman" w:cs="Times New Roman"/>
          <w:sz w:val="22"/>
          <w:szCs w:val="22"/>
        </w:rPr>
        <w:t xml:space="preserve"> </w:t>
      </w:r>
      <w:r w:rsidRPr="00201DB3">
        <w:rPr>
          <w:rFonts w:ascii="Times New Roman" w:hAnsi="Times New Roman" w:cs="Times New Roman"/>
          <w:sz w:val="22"/>
          <w:szCs w:val="22"/>
        </w:rPr>
        <w:t>offers the advantage of flexibility to cover very different transactions and situations. However, the disadvantage of such flexibility is the consequent lack of certainty as to whether transfer prices will be acceptable to the relevant tax authorities</w:t>
      </w:r>
      <w:r w:rsidR="009C78FB">
        <w:rPr>
          <w:rFonts w:ascii="Times New Roman" w:hAnsi="Times New Roman" w:cs="Times New Roman"/>
          <w:sz w:val="22"/>
          <w:szCs w:val="22"/>
        </w:rPr>
        <w:t>.</w:t>
      </w:r>
      <w:r w:rsidRPr="00201DB3">
        <w:rPr>
          <w:rFonts w:ascii="Times New Roman" w:hAnsi="Times New Roman" w:cs="Times New Roman"/>
          <w:sz w:val="22"/>
          <w:szCs w:val="22"/>
        </w:rPr>
        <w:t xml:space="preserve"> This is</w:t>
      </w:r>
      <w:r w:rsidR="00E65C18" w:rsidRPr="00201DB3">
        <w:rPr>
          <w:rFonts w:ascii="Times New Roman" w:hAnsi="Times New Roman" w:cs="Times New Roman"/>
          <w:sz w:val="22"/>
          <w:szCs w:val="22"/>
        </w:rPr>
        <w:t>, of course,</w:t>
      </w:r>
      <w:r w:rsidRPr="00201DB3">
        <w:rPr>
          <w:rFonts w:ascii="Times New Roman" w:hAnsi="Times New Roman" w:cs="Times New Roman"/>
          <w:sz w:val="22"/>
          <w:szCs w:val="22"/>
        </w:rPr>
        <w:t xml:space="preserve"> problematic within large, highly integrated MNEs, where there are interdependencies and transactions that would not arise in an arm’s length situation and particularly when where there are intangibles</w:t>
      </w:r>
      <w:r w:rsidR="000D5889"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18"/>
      </w:r>
      <w:r w:rsidRPr="00201DB3">
        <w:rPr>
          <w:rFonts w:ascii="Times New Roman" w:hAnsi="Times New Roman" w:cs="Times New Roman"/>
          <w:sz w:val="22"/>
          <w:szCs w:val="22"/>
        </w:rPr>
        <w:t xml:space="preserve"> Determining appropriate transfer prices became a fact intensive and context-specific process, requiring the maintenance of large amounts of documentation, including functional analysis and risk analysis, and economic analysis of databases as evidence to justify the prices used, with </w:t>
      </w:r>
      <w:r w:rsidR="00613728" w:rsidRPr="00201DB3">
        <w:rPr>
          <w:rFonts w:ascii="Times New Roman" w:hAnsi="Times New Roman" w:cs="Times New Roman"/>
          <w:sz w:val="22"/>
          <w:szCs w:val="22"/>
        </w:rPr>
        <w:t xml:space="preserve">varying </w:t>
      </w:r>
      <w:r w:rsidRPr="00201DB3">
        <w:rPr>
          <w:rFonts w:ascii="Times New Roman" w:hAnsi="Times New Roman" w:cs="Times New Roman"/>
          <w:sz w:val="22"/>
          <w:szCs w:val="22"/>
        </w:rPr>
        <w:t xml:space="preserve">documentation requirements in different countries. </w:t>
      </w:r>
      <w:r w:rsidR="00613728" w:rsidRPr="00201DB3">
        <w:rPr>
          <w:rFonts w:ascii="Times New Roman" w:hAnsi="Times New Roman" w:cs="Times New Roman"/>
          <w:sz w:val="22"/>
          <w:szCs w:val="22"/>
        </w:rPr>
        <w:t xml:space="preserve">The subjectivity in applying </w:t>
      </w:r>
      <w:r w:rsidR="00AF4261" w:rsidRPr="00201DB3">
        <w:rPr>
          <w:rFonts w:ascii="Times New Roman" w:hAnsi="Times New Roman" w:cs="Times New Roman"/>
          <w:sz w:val="22"/>
          <w:szCs w:val="22"/>
        </w:rPr>
        <w:t xml:space="preserve">the </w:t>
      </w:r>
      <w:r w:rsidR="00613728" w:rsidRPr="00201DB3">
        <w:rPr>
          <w:rFonts w:ascii="Times New Roman" w:hAnsi="Times New Roman" w:cs="Times New Roman"/>
          <w:sz w:val="22"/>
          <w:szCs w:val="22"/>
        </w:rPr>
        <w:t>ALP created</w:t>
      </w:r>
      <w:r w:rsidRPr="00201DB3">
        <w:rPr>
          <w:rFonts w:ascii="Times New Roman" w:hAnsi="Times New Roman" w:cs="Times New Roman"/>
          <w:sz w:val="22"/>
          <w:szCs w:val="22"/>
        </w:rPr>
        <w:t xml:space="preserve"> scope for disagreement between taxpayers and tax authorities</w:t>
      </w:r>
      <w:r w:rsidR="00AF4261" w:rsidRPr="00201DB3">
        <w:rPr>
          <w:rFonts w:ascii="Times New Roman" w:hAnsi="Times New Roman" w:cs="Times New Roman"/>
          <w:sz w:val="22"/>
          <w:szCs w:val="22"/>
        </w:rPr>
        <w:t>,</w:t>
      </w:r>
      <w:r w:rsidRPr="00201DB3">
        <w:rPr>
          <w:rFonts w:ascii="Times New Roman" w:hAnsi="Times New Roman" w:cs="Times New Roman"/>
          <w:sz w:val="22"/>
          <w:szCs w:val="22"/>
        </w:rPr>
        <w:t xml:space="preserve"> but also between different tax authorities</w:t>
      </w:r>
      <w:r w:rsidR="00613728" w:rsidRPr="00201DB3">
        <w:rPr>
          <w:rFonts w:ascii="Times New Roman" w:hAnsi="Times New Roman" w:cs="Times New Roman"/>
          <w:sz w:val="22"/>
          <w:szCs w:val="22"/>
        </w:rPr>
        <w:t xml:space="preserve"> and i</w:t>
      </w:r>
      <w:r w:rsidRPr="00201DB3">
        <w:rPr>
          <w:rFonts w:ascii="Times New Roman" w:hAnsi="Times New Roman" w:cs="Times New Roman"/>
          <w:sz w:val="22"/>
          <w:szCs w:val="22"/>
        </w:rPr>
        <w:t xml:space="preserve">ndeed, different views between those in the same tax authority or same advisory firm or in-house tax department. </w:t>
      </w:r>
      <w:r w:rsidR="00966ACB" w:rsidRPr="00201DB3">
        <w:rPr>
          <w:rFonts w:ascii="Times New Roman" w:hAnsi="Times New Roman" w:cs="Times New Roman"/>
          <w:sz w:val="22"/>
          <w:szCs w:val="22"/>
        </w:rPr>
        <w:t>The prospect of</w:t>
      </w:r>
      <w:r w:rsidRPr="00201DB3">
        <w:rPr>
          <w:rFonts w:ascii="Times New Roman" w:hAnsi="Times New Roman" w:cs="Times New Roman"/>
          <w:sz w:val="22"/>
          <w:szCs w:val="22"/>
        </w:rPr>
        <w:t xml:space="preserve"> disputes, double taxation, tax penalties </w:t>
      </w:r>
      <w:r w:rsidR="00966ACB" w:rsidRPr="00201DB3">
        <w:rPr>
          <w:rFonts w:ascii="Times New Roman" w:hAnsi="Times New Roman" w:cs="Times New Roman"/>
          <w:sz w:val="22"/>
          <w:szCs w:val="22"/>
        </w:rPr>
        <w:t xml:space="preserve">as well as </w:t>
      </w:r>
      <w:r w:rsidRPr="00201DB3">
        <w:rPr>
          <w:rFonts w:ascii="Times New Roman" w:hAnsi="Times New Roman" w:cs="Times New Roman"/>
          <w:sz w:val="22"/>
          <w:szCs w:val="22"/>
        </w:rPr>
        <w:t>negative publicity</w:t>
      </w:r>
      <w:r w:rsidR="00966ACB" w:rsidRPr="00201DB3">
        <w:rPr>
          <w:rFonts w:ascii="Times New Roman" w:hAnsi="Times New Roman" w:cs="Times New Roman"/>
          <w:sz w:val="22"/>
          <w:szCs w:val="22"/>
        </w:rPr>
        <w:t xml:space="preserve"> began to increase at this time</w:t>
      </w:r>
      <w:r w:rsidRPr="00201DB3">
        <w:rPr>
          <w:rFonts w:ascii="Times New Roman" w:hAnsi="Times New Roman" w:cs="Times New Roman"/>
          <w:sz w:val="22"/>
          <w:szCs w:val="22"/>
        </w:rPr>
        <w:t xml:space="preserve">. Disputes between taxpayers and tax authorities, or between different tax authorities, </w:t>
      </w:r>
      <w:r w:rsidR="00966ACB" w:rsidRPr="00201DB3">
        <w:rPr>
          <w:rFonts w:ascii="Times New Roman" w:hAnsi="Times New Roman" w:cs="Times New Roman"/>
          <w:sz w:val="22"/>
          <w:szCs w:val="22"/>
        </w:rPr>
        <w:t>were</w:t>
      </w:r>
      <w:r w:rsidRPr="00201DB3">
        <w:rPr>
          <w:rFonts w:ascii="Times New Roman" w:hAnsi="Times New Roman" w:cs="Times New Roman"/>
          <w:sz w:val="22"/>
          <w:szCs w:val="22"/>
        </w:rPr>
        <w:t xml:space="preserve"> protracted under the Mutual Agreement Procedure (MAP) and there </w:t>
      </w:r>
      <w:r w:rsidR="00966ACB" w:rsidRPr="00201DB3">
        <w:rPr>
          <w:rFonts w:ascii="Times New Roman" w:hAnsi="Times New Roman" w:cs="Times New Roman"/>
          <w:sz w:val="22"/>
          <w:szCs w:val="22"/>
        </w:rPr>
        <w:t xml:space="preserve">was </w:t>
      </w:r>
      <w:r w:rsidRPr="00201DB3">
        <w:rPr>
          <w:rFonts w:ascii="Times New Roman" w:hAnsi="Times New Roman" w:cs="Times New Roman"/>
          <w:sz w:val="22"/>
          <w:szCs w:val="22"/>
        </w:rPr>
        <w:t xml:space="preserve">no obligation on tax authorities to reach agreement. </w:t>
      </w:r>
      <w:r w:rsidR="00600DDE" w:rsidRPr="00201DB3">
        <w:rPr>
          <w:rFonts w:ascii="Times New Roman" w:hAnsi="Times New Roman" w:cs="Times New Roman"/>
          <w:sz w:val="22"/>
          <w:szCs w:val="22"/>
        </w:rPr>
        <w:t xml:space="preserve"> The </w:t>
      </w:r>
      <w:r w:rsidRPr="00201DB3">
        <w:rPr>
          <w:rFonts w:ascii="Times New Roman" w:hAnsi="Times New Roman" w:cs="Times New Roman"/>
          <w:sz w:val="22"/>
          <w:szCs w:val="22"/>
        </w:rPr>
        <w:t>Advance Pricing Agreement</w:t>
      </w:r>
      <w:r w:rsidR="00600DDE" w:rsidRPr="00201DB3">
        <w:rPr>
          <w:rFonts w:ascii="Times New Roman" w:hAnsi="Times New Roman" w:cs="Times New Roman"/>
          <w:sz w:val="22"/>
          <w:szCs w:val="22"/>
        </w:rPr>
        <w:t xml:space="preserve"> (APA) mechanism, used </w:t>
      </w:r>
      <w:r w:rsidRPr="00201DB3">
        <w:rPr>
          <w:rFonts w:ascii="Times New Roman" w:hAnsi="Times New Roman" w:cs="Times New Roman"/>
          <w:sz w:val="22"/>
          <w:szCs w:val="22"/>
        </w:rPr>
        <w:t xml:space="preserve">to obtain tax authority agreement </w:t>
      </w:r>
      <w:r w:rsidR="00F52D11" w:rsidRPr="00201DB3">
        <w:rPr>
          <w:rFonts w:ascii="Times New Roman" w:hAnsi="Times New Roman" w:cs="Times New Roman"/>
          <w:sz w:val="22"/>
          <w:szCs w:val="22"/>
        </w:rPr>
        <w:t>w</w:t>
      </w:r>
      <w:r w:rsidR="00AF4261" w:rsidRPr="00201DB3">
        <w:rPr>
          <w:rFonts w:ascii="Times New Roman" w:hAnsi="Times New Roman" w:cs="Times New Roman"/>
          <w:sz w:val="22"/>
          <w:szCs w:val="22"/>
        </w:rPr>
        <w:t>as</w:t>
      </w:r>
      <w:r w:rsidRPr="00201DB3">
        <w:rPr>
          <w:rFonts w:ascii="Times New Roman" w:hAnsi="Times New Roman" w:cs="Times New Roman"/>
          <w:sz w:val="22"/>
          <w:szCs w:val="22"/>
        </w:rPr>
        <w:t xml:space="preserve"> </w:t>
      </w:r>
      <w:r w:rsidR="009511D0" w:rsidRPr="00201DB3">
        <w:rPr>
          <w:rFonts w:ascii="Times New Roman" w:hAnsi="Times New Roman" w:cs="Times New Roman"/>
          <w:sz w:val="22"/>
          <w:szCs w:val="22"/>
        </w:rPr>
        <w:t xml:space="preserve">seen as </w:t>
      </w:r>
      <w:r w:rsidRPr="00201DB3">
        <w:rPr>
          <w:rFonts w:ascii="Times New Roman" w:hAnsi="Times New Roman" w:cs="Times New Roman"/>
          <w:sz w:val="22"/>
          <w:szCs w:val="22"/>
        </w:rPr>
        <w:t>costly and time consuming</w:t>
      </w:r>
      <w:r w:rsidR="000D5889"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19"/>
      </w:r>
      <w:r w:rsidRPr="00201DB3">
        <w:rPr>
          <w:rFonts w:ascii="Times New Roman" w:hAnsi="Times New Roman" w:cs="Times New Roman"/>
          <w:sz w:val="22"/>
          <w:szCs w:val="22"/>
        </w:rPr>
        <w:t xml:space="preserve"> </w:t>
      </w:r>
      <w:r w:rsidR="00BD3A24" w:rsidRPr="00201DB3">
        <w:rPr>
          <w:rFonts w:ascii="Times New Roman" w:hAnsi="Times New Roman" w:cs="Times New Roman"/>
          <w:sz w:val="22"/>
          <w:szCs w:val="22"/>
        </w:rPr>
        <w:t xml:space="preserve"> </w:t>
      </w:r>
      <w:r w:rsidR="00600DDE" w:rsidRPr="00201DB3">
        <w:rPr>
          <w:rFonts w:ascii="Times New Roman" w:hAnsi="Times New Roman" w:cs="Times New Roman"/>
          <w:sz w:val="22"/>
          <w:szCs w:val="22"/>
        </w:rPr>
        <w:t>Although MNE applications to use this procedure vary by industry sector, o</w:t>
      </w:r>
      <w:r w:rsidR="00BD3A24" w:rsidRPr="00201DB3">
        <w:rPr>
          <w:rFonts w:ascii="Times New Roman" w:hAnsi="Times New Roman" w:cs="Times New Roman"/>
          <w:sz w:val="22"/>
          <w:szCs w:val="22"/>
        </w:rPr>
        <w:t>nly a small number of MNEs proceed</w:t>
      </w:r>
      <w:r w:rsidR="00F52D11" w:rsidRPr="00201DB3">
        <w:rPr>
          <w:rFonts w:ascii="Times New Roman" w:hAnsi="Times New Roman" w:cs="Times New Roman"/>
          <w:sz w:val="22"/>
          <w:szCs w:val="22"/>
        </w:rPr>
        <w:t>ed</w:t>
      </w:r>
      <w:r w:rsidR="00BD3A24" w:rsidRPr="00201DB3">
        <w:rPr>
          <w:rFonts w:ascii="Times New Roman" w:hAnsi="Times New Roman" w:cs="Times New Roman"/>
          <w:sz w:val="22"/>
          <w:szCs w:val="22"/>
        </w:rPr>
        <w:t xml:space="preserve"> with an APA</w:t>
      </w:r>
      <w:r w:rsidR="000D5889" w:rsidRPr="00201DB3">
        <w:rPr>
          <w:rFonts w:ascii="Times New Roman" w:hAnsi="Times New Roman" w:cs="Times New Roman"/>
          <w:sz w:val="22"/>
          <w:szCs w:val="22"/>
        </w:rPr>
        <w:t xml:space="preserve">; </w:t>
      </w:r>
      <w:r w:rsidR="002E3747" w:rsidRPr="00201DB3">
        <w:rPr>
          <w:rFonts w:ascii="Times New Roman" w:hAnsi="Times New Roman" w:cs="Times New Roman"/>
          <w:sz w:val="22"/>
          <w:szCs w:val="22"/>
        </w:rPr>
        <w:t>typically a lower number than the Mutual Agreement Procedure (MAP)</w:t>
      </w:r>
      <w:r w:rsidR="0055722A" w:rsidRPr="00201DB3">
        <w:rPr>
          <w:rFonts w:ascii="Times New Roman" w:hAnsi="Times New Roman" w:cs="Times New Roman"/>
          <w:sz w:val="22"/>
          <w:szCs w:val="22"/>
        </w:rPr>
        <w:t>,</w:t>
      </w:r>
      <w:r w:rsidR="002E3747" w:rsidRPr="00201DB3">
        <w:rPr>
          <w:rFonts w:ascii="Times New Roman" w:hAnsi="Times New Roman" w:cs="Times New Roman"/>
          <w:sz w:val="22"/>
          <w:szCs w:val="22"/>
        </w:rPr>
        <w:t xml:space="preserve"> </w:t>
      </w:r>
      <w:r w:rsidR="0055722A" w:rsidRPr="00201DB3">
        <w:rPr>
          <w:rFonts w:ascii="Times New Roman" w:hAnsi="Times New Roman" w:cs="Times New Roman"/>
          <w:sz w:val="22"/>
          <w:szCs w:val="22"/>
        </w:rPr>
        <w:t xml:space="preserve">and </w:t>
      </w:r>
      <w:r w:rsidR="002E3747" w:rsidRPr="00201DB3">
        <w:rPr>
          <w:rFonts w:ascii="Times New Roman" w:hAnsi="Times New Roman" w:cs="Times New Roman"/>
          <w:sz w:val="22"/>
          <w:szCs w:val="22"/>
        </w:rPr>
        <w:t xml:space="preserve">historically the majority of MAP cases relate to transfer </w:t>
      </w:r>
      <w:r w:rsidR="002E3747" w:rsidRPr="009C78FB">
        <w:rPr>
          <w:rFonts w:ascii="Times New Roman" w:hAnsi="Times New Roman" w:cs="Times New Roman"/>
          <w:sz w:val="22"/>
          <w:szCs w:val="22"/>
        </w:rPr>
        <w:t>pricing.</w:t>
      </w:r>
      <w:r w:rsidR="002E3747" w:rsidRPr="009C78FB">
        <w:rPr>
          <w:rStyle w:val="FootnoteReference"/>
          <w:rFonts w:ascii="Times New Roman" w:hAnsi="Times New Roman" w:cs="Times New Roman"/>
          <w:sz w:val="22"/>
          <w:szCs w:val="22"/>
        </w:rPr>
        <w:footnoteReference w:id="20"/>
      </w:r>
    </w:p>
    <w:p w14:paraId="739883B5" w14:textId="77777777" w:rsidR="0047605E" w:rsidRPr="00201DB3" w:rsidRDefault="0047605E" w:rsidP="00201DB3">
      <w:pPr>
        <w:spacing w:after="0" w:line="240" w:lineRule="auto"/>
        <w:rPr>
          <w:rFonts w:ascii="Times New Roman" w:hAnsi="Times New Roman" w:cs="Times New Roman"/>
          <w:sz w:val="22"/>
          <w:szCs w:val="22"/>
        </w:rPr>
      </w:pPr>
    </w:p>
    <w:p w14:paraId="0DA2F8D9" w14:textId="2DA08E56" w:rsidR="0047605E" w:rsidRPr="00201DB3" w:rsidRDefault="008B19EE" w:rsidP="00201DB3">
      <w:pPr>
        <w:spacing w:after="0" w:line="240" w:lineRule="auto"/>
        <w:rPr>
          <w:rFonts w:ascii="Times New Roman" w:hAnsi="Times New Roman" w:cs="Times New Roman"/>
          <w:sz w:val="22"/>
          <w:szCs w:val="22"/>
        </w:rPr>
      </w:pPr>
      <w:r w:rsidRPr="00201DB3">
        <w:rPr>
          <w:rFonts w:ascii="Times New Roman" w:eastAsia="Batang" w:hAnsi="Times New Roman" w:cs="Times New Roman"/>
          <w:sz w:val="22"/>
          <w:szCs w:val="22"/>
          <w:lang w:eastAsia="ko-KR"/>
        </w:rPr>
        <w:t xml:space="preserve">The </w:t>
      </w:r>
      <w:r w:rsidR="0047605E" w:rsidRPr="00201DB3">
        <w:rPr>
          <w:rFonts w:ascii="Times New Roman" w:eastAsia="Batang" w:hAnsi="Times New Roman" w:cs="Times New Roman"/>
          <w:sz w:val="22"/>
          <w:szCs w:val="22"/>
          <w:lang w:eastAsia="ko-KR"/>
        </w:rPr>
        <w:t xml:space="preserve">2010 revised </w:t>
      </w:r>
      <w:r w:rsidRPr="00201DB3">
        <w:rPr>
          <w:rFonts w:ascii="Times New Roman" w:eastAsia="Batang" w:hAnsi="Times New Roman" w:cs="Times New Roman"/>
          <w:sz w:val="22"/>
          <w:szCs w:val="22"/>
          <w:lang w:eastAsia="ko-KR"/>
        </w:rPr>
        <w:t xml:space="preserve">OECD </w:t>
      </w:r>
      <w:r w:rsidR="0047605E" w:rsidRPr="00201DB3">
        <w:rPr>
          <w:rFonts w:ascii="Times New Roman" w:eastAsia="Batang" w:hAnsi="Times New Roman" w:cs="Times New Roman"/>
          <w:sz w:val="22"/>
          <w:szCs w:val="22"/>
          <w:lang w:eastAsia="ko-KR"/>
        </w:rPr>
        <w:t>Transfer Pricing Guidelines reiterated “support for the consensus on the use of the arm's length principle</w:t>
      </w:r>
      <w:r w:rsidR="008F7F10" w:rsidRPr="00201DB3">
        <w:rPr>
          <w:rFonts w:ascii="Times New Roman" w:eastAsia="Batang" w:hAnsi="Times New Roman" w:cs="Times New Roman"/>
          <w:sz w:val="22"/>
          <w:szCs w:val="22"/>
          <w:lang w:eastAsia="ko-KR"/>
        </w:rPr>
        <w:t>.</w:t>
      </w:r>
      <w:r w:rsidR="0047605E" w:rsidRPr="00201DB3">
        <w:rPr>
          <w:rFonts w:ascii="Times New Roman" w:eastAsia="Batang" w:hAnsi="Times New Roman" w:cs="Times New Roman"/>
          <w:sz w:val="22"/>
          <w:szCs w:val="22"/>
          <w:lang w:eastAsia="ko-KR"/>
        </w:rPr>
        <w:t>”</w:t>
      </w:r>
      <w:r w:rsidR="003C5332" w:rsidRPr="00201DB3">
        <w:rPr>
          <w:rStyle w:val="FootnoteReference"/>
          <w:rFonts w:ascii="Times New Roman" w:eastAsia="Batang" w:hAnsi="Times New Roman" w:cs="Times New Roman"/>
          <w:sz w:val="22"/>
          <w:szCs w:val="22"/>
          <w:lang w:eastAsia="ko-KR"/>
        </w:rPr>
        <w:footnoteReference w:id="21"/>
      </w:r>
      <w:r w:rsidR="008F7F10" w:rsidRPr="00201DB3">
        <w:rPr>
          <w:rFonts w:ascii="Times New Roman" w:eastAsia="Batang" w:hAnsi="Times New Roman" w:cs="Times New Roman"/>
          <w:sz w:val="22"/>
          <w:szCs w:val="22"/>
          <w:lang w:eastAsia="ko-KR"/>
        </w:rPr>
        <w:t>A</w:t>
      </w:r>
      <w:r w:rsidRPr="00201DB3">
        <w:rPr>
          <w:rFonts w:ascii="Times New Roman" w:eastAsia="Batang" w:hAnsi="Times New Roman" w:cs="Times New Roman"/>
          <w:sz w:val="22"/>
          <w:szCs w:val="22"/>
          <w:lang w:eastAsia="ko-KR"/>
        </w:rPr>
        <w:t xml:space="preserve">lthough much </w:t>
      </w:r>
      <w:r w:rsidR="0047605E" w:rsidRPr="00201DB3">
        <w:rPr>
          <w:rFonts w:ascii="Times New Roman" w:eastAsia="Batang" w:hAnsi="Times New Roman" w:cs="Times New Roman"/>
          <w:sz w:val="22"/>
          <w:szCs w:val="22"/>
          <w:lang w:eastAsia="ko-KR"/>
        </w:rPr>
        <w:t>was unaltered</w:t>
      </w:r>
      <w:r w:rsidR="008F7F10" w:rsidRPr="00201DB3">
        <w:rPr>
          <w:rFonts w:ascii="Times New Roman" w:eastAsia="Batang" w:hAnsi="Times New Roman" w:cs="Times New Roman"/>
          <w:sz w:val="22"/>
          <w:szCs w:val="22"/>
          <w:lang w:eastAsia="ko-KR"/>
        </w:rPr>
        <w:t>,</w:t>
      </w:r>
      <w:r w:rsidRPr="00201DB3">
        <w:rPr>
          <w:rFonts w:ascii="Times New Roman" w:eastAsia="Batang" w:hAnsi="Times New Roman" w:cs="Times New Roman"/>
          <w:sz w:val="22"/>
          <w:szCs w:val="22"/>
          <w:lang w:eastAsia="ko-KR"/>
        </w:rPr>
        <w:t xml:space="preserve"> </w:t>
      </w:r>
      <w:r w:rsidR="0047605E" w:rsidRPr="00201DB3">
        <w:rPr>
          <w:rFonts w:ascii="Times New Roman" w:eastAsia="Batang" w:hAnsi="Times New Roman" w:cs="Times New Roman"/>
          <w:sz w:val="22"/>
          <w:szCs w:val="22"/>
          <w:lang w:eastAsia="ko-KR"/>
        </w:rPr>
        <w:t>changes included</w:t>
      </w:r>
      <w:r w:rsidR="008F7F10" w:rsidRPr="00201DB3">
        <w:rPr>
          <w:rFonts w:ascii="Times New Roman" w:eastAsia="Batang" w:hAnsi="Times New Roman" w:cs="Times New Roman"/>
          <w:sz w:val="22"/>
          <w:szCs w:val="22"/>
          <w:lang w:eastAsia="ko-KR"/>
        </w:rPr>
        <w:t>:</w:t>
      </w:r>
      <w:r w:rsidR="0047605E" w:rsidRPr="00201DB3">
        <w:rPr>
          <w:rFonts w:ascii="Times New Roman" w:eastAsia="Batang" w:hAnsi="Times New Roman" w:cs="Times New Roman"/>
          <w:sz w:val="22"/>
          <w:szCs w:val="22"/>
          <w:lang w:eastAsia="ko-KR"/>
        </w:rPr>
        <w:t xml:space="preserve"> </w:t>
      </w:r>
      <w:r w:rsidR="008F7F10" w:rsidRPr="00201DB3">
        <w:rPr>
          <w:rFonts w:ascii="Times New Roman" w:eastAsia="Batang" w:hAnsi="Times New Roman" w:cs="Times New Roman"/>
          <w:sz w:val="22"/>
          <w:szCs w:val="22"/>
          <w:lang w:eastAsia="ko-KR"/>
        </w:rPr>
        <w:t xml:space="preserve">profit split methods no longer being described as the method of last resort, </w:t>
      </w:r>
      <w:r w:rsidR="0047605E" w:rsidRPr="00201DB3">
        <w:rPr>
          <w:rFonts w:ascii="Times New Roman" w:eastAsia="Batang" w:hAnsi="Times New Roman" w:cs="Times New Roman"/>
          <w:sz w:val="22"/>
          <w:szCs w:val="22"/>
          <w:lang w:eastAsia="ko-KR"/>
        </w:rPr>
        <w:t>a new chapter on business restructuring and new guidance on comparability. This was against a backdrop of t</w:t>
      </w:r>
      <w:r w:rsidR="0047605E" w:rsidRPr="00201DB3">
        <w:rPr>
          <w:rFonts w:ascii="Times New Roman" w:hAnsi="Times New Roman" w:cs="Times New Roman"/>
          <w:sz w:val="22"/>
          <w:szCs w:val="22"/>
        </w:rPr>
        <w:t>he continued rise in integrated MNEs, an increasingly complex system to try to address this</w:t>
      </w:r>
      <w:r w:rsidR="003C5332" w:rsidRPr="00201DB3">
        <w:rPr>
          <w:rStyle w:val="FootnoteReference"/>
          <w:rFonts w:ascii="Times New Roman" w:hAnsi="Times New Roman" w:cs="Times New Roman"/>
          <w:sz w:val="22"/>
          <w:szCs w:val="22"/>
        </w:rPr>
        <w:footnoteReference w:id="22"/>
      </w:r>
      <w:r w:rsidR="0047605E" w:rsidRPr="00201DB3">
        <w:rPr>
          <w:rFonts w:ascii="Times New Roman" w:hAnsi="Times New Roman" w:cs="Times New Roman"/>
          <w:sz w:val="22"/>
          <w:szCs w:val="22"/>
        </w:rPr>
        <w:t xml:space="preserve"> and increased e commerce and digitalization</w:t>
      </w:r>
      <w:r w:rsidR="003C5332"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23"/>
      </w:r>
      <w:r w:rsidR="0047605E" w:rsidRPr="00201DB3">
        <w:rPr>
          <w:rFonts w:ascii="Times New Roman" w:hAnsi="Times New Roman" w:cs="Times New Roman"/>
          <w:sz w:val="22"/>
          <w:szCs w:val="22"/>
        </w:rPr>
        <w:t xml:space="preserve"> </w:t>
      </w:r>
      <w:r w:rsidR="00113163" w:rsidRPr="00201DB3">
        <w:rPr>
          <w:rFonts w:ascii="Times New Roman" w:hAnsi="Times New Roman" w:cs="Times New Roman"/>
          <w:sz w:val="22"/>
          <w:szCs w:val="22"/>
        </w:rPr>
        <w:t>Following the financial crisis t</w:t>
      </w:r>
      <w:r w:rsidR="0047605E" w:rsidRPr="00201DB3">
        <w:rPr>
          <w:rFonts w:ascii="Times New Roman" w:hAnsi="Times New Roman" w:cs="Times New Roman"/>
          <w:sz w:val="22"/>
          <w:szCs w:val="22"/>
        </w:rPr>
        <w:t xml:space="preserve">here was </w:t>
      </w:r>
      <w:r w:rsidR="00BD3A24" w:rsidRPr="00201DB3">
        <w:rPr>
          <w:rFonts w:ascii="Times New Roman" w:hAnsi="Times New Roman" w:cs="Times New Roman"/>
          <w:sz w:val="22"/>
          <w:szCs w:val="22"/>
        </w:rPr>
        <w:t xml:space="preserve">rising </w:t>
      </w:r>
      <w:r w:rsidR="0047605E" w:rsidRPr="00201DB3">
        <w:rPr>
          <w:rFonts w:ascii="Times New Roman" w:hAnsi="Times New Roman" w:cs="Times New Roman"/>
          <w:sz w:val="22"/>
          <w:szCs w:val="22"/>
        </w:rPr>
        <w:t xml:space="preserve">media attention and scrutiny of high-profile cases of corporate tax avoidance </w:t>
      </w:r>
      <w:r w:rsidR="002E3747" w:rsidRPr="00201DB3">
        <w:rPr>
          <w:rFonts w:ascii="Times New Roman" w:hAnsi="Times New Roman" w:cs="Times New Roman"/>
          <w:sz w:val="22"/>
          <w:szCs w:val="22"/>
        </w:rPr>
        <w:t>in both the US</w:t>
      </w:r>
      <w:r w:rsidR="003C5332" w:rsidRPr="00201DB3">
        <w:rPr>
          <w:rStyle w:val="FootnoteReference"/>
          <w:rFonts w:ascii="Times New Roman" w:hAnsi="Times New Roman" w:cs="Times New Roman"/>
          <w:sz w:val="22"/>
          <w:szCs w:val="22"/>
        </w:rPr>
        <w:footnoteReference w:id="24"/>
      </w:r>
      <w:r w:rsidR="002E3747" w:rsidRPr="00201DB3">
        <w:rPr>
          <w:rFonts w:ascii="Times New Roman" w:hAnsi="Times New Roman" w:cs="Times New Roman"/>
          <w:sz w:val="22"/>
          <w:szCs w:val="22"/>
        </w:rPr>
        <w:t xml:space="preserve"> and the UK, </w:t>
      </w:r>
      <w:r w:rsidR="0047605E" w:rsidRPr="00201DB3">
        <w:rPr>
          <w:rFonts w:ascii="Times New Roman" w:hAnsi="Times New Roman" w:cs="Times New Roman"/>
          <w:sz w:val="22"/>
          <w:szCs w:val="22"/>
        </w:rPr>
        <w:t xml:space="preserve">including </w:t>
      </w:r>
      <w:r w:rsidR="00AF4261" w:rsidRPr="00201DB3">
        <w:rPr>
          <w:rFonts w:ascii="Times New Roman" w:hAnsi="Times New Roman" w:cs="Times New Roman"/>
          <w:sz w:val="22"/>
          <w:szCs w:val="22"/>
        </w:rPr>
        <w:t xml:space="preserve">for example, </w:t>
      </w:r>
      <w:r w:rsidR="0047605E" w:rsidRPr="00201DB3">
        <w:rPr>
          <w:rFonts w:ascii="Times New Roman" w:hAnsi="Times New Roman" w:cs="Times New Roman"/>
          <w:sz w:val="22"/>
          <w:szCs w:val="22"/>
        </w:rPr>
        <w:t>publicity of Starbucks</w:t>
      </w:r>
      <w:r w:rsidR="002E7A37" w:rsidRPr="00201DB3">
        <w:rPr>
          <w:rFonts w:ascii="Times New Roman" w:hAnsi="Times New Roman" w:cs="Times New Roman"/>
          <w:sz w:val="22"/>
          <w:szCs w:val="22"/>
        </w:rPr>
        <w:t>’</w:t>
      </w:r>
      <w:r w:rsidR="0047605E" w:rsidRPr="00201DB3">
        <w:rPr>
          <w:rFonts w:ascii="Times New Roman" w:hAnsi="Times New Roman" w:cs="Times New Roman"/>
          <w:sz w:val="22"/>
          <w:szCs w:val="22"/>
        </w:rPr>
        <w:t xml:space="preserve"> low </w:t>
      </w:r>
      <w:r w:rsidR="00113163" w:rsidRPr="00201DB3">
        <w:rPr>
          <w:rFonts w:ascii="Times New Roman" w:hAnsi="Times New Roman" w:cs="Times New Roman"/>
          <w:sz w:val="22"/>
          <w:szCs w:val="22"/>
        </w:rPr>
        <w:t xml:space="preserve">corporation tax </w:t>
      </w:r>
      <w:r w:rsidR="0047605E" w:rsidRPr="00201DB3">
        <w:rPr>
          <w:rFonts w:ascii="Times New Roman" w:hAnsi="Times New Roman" w:cs="Times New Roman"/>
          <w:sz w:val="22"/>
          <w:szCs w:val="22"/>
        </w:rPr>
        <w:t>payments in the UK</w:t>
      </w:r>
      <w:r w:rsidR="008F7F10" w:rsidRPr="00201DB3">
        <w:rPr>
          <w:rFonts w:ascii="Times New Roman" w:hAnsi="Times New Roman" w:cs="Times New Roman"/>
          <w:sz w:val="22"/>
          <w:szCs w:val="22"/>
        </w:rPr>
        <w:t>.</w:t>
      </w:r>
      <w:r w:rsidR="00064D0B" w:rsidRPr="00201DB3">
        <w:rPr>
          <w:rStyle w:val="FootnoteReference"/>
          <w:rFonts w:ascii="Times New Roman" w:hAnsi="Times New Roman" w:cs="Times New Roman"/>
          <w:sz w:val="22"/>
          <w:szCs w:val="22"/>
        </w:rPr>
        <w:footnoteReference w:id="25"/>
      </w:r>
    </w:p>
    <w:p w14:paraId="40315C26" w14:textId="77777777" w:rsidR="0047605E" w:rsidRPr="00201DB3" w:rsidRDefault="0047605E" w:rsidP="00201DB3">
      <w:pPr>
        <w:spacing w:after="0" w:line="240" w:lineRule="auto"/>
        <w:rPr>
          <w:rFonts w:ascii="Times New Roman" w:hAnsi="Times New Roman" w:cs="Times New Roman"/>
          <w:sz w:val="22"/>
          <w:szCs w:val="22"/>
        </w:rPr>
      </w:pPr>
    </w:p>
    <w:p w14:paraId="0951C132" w14:textId="36D20B49" w:rsidR="00823166" w:rsidRPr="00201DB3" w:rsidRDefault="0047605E"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The continuing media reports of alleged corporate tax avoidance, and the aftermath of the financial crisis and its impact on public finances, led to the calling by the G20 for further work</w:t>
      </w:r>
      <w:r w:rsidR="003C5332" w:rsidRPr="00201DB3">
        <w:rPr>
          <w:rStyle w:val="FootnoteReference"/>
          <w:rFonts w:ascii="Times New Roman" w:hAnsi="Times New Roman" w:cs="Times New Roman"/>
          <w:sz w:val="22"/>
          <w:szCs w:val="22"/>
        </w:rPr>
        <w:footnoteReference w:id="26"/>
      </w:r>
      <w:r w:rsidRPr="00201DB3">
        <w:rPr>
          <w:rFonts w:ascii="Times New Roman" w:hAnsi="Times New Roman" w:cs="Times New Roman"/>
          <w:sz w:val="22"/>
          <w:szCs w:val="22"/>
        </w:rPr>
        <w:t xml:space="preserve"> and the initiation of the Base Erosion and Profits Shifting (BEPS) project in 2013, carried out through the OECD, although with the involvement and growing prominence of non-OECD members including India and China</w:t>
      </w:r>
      <w:r w:rsidR="003C5332" w:rsidRPr="00201DB3">
        <w:rPr>
          <w:rStyle w:val="FootnoteReference"/>
          <w:rFonts w:ascii="Times New Roman" w:hAnsi="Times New Roman" w:cs="Times New Roman"/>
          <w:sz w:val="22"/>
          <w:szCs w:val="22"/>
        </w:rPr>
        <w:footnoteReference w:id="27"/>
      </w:r>
      <w:r w:rsidRPr="00201DB3">
        <w:rPr>
          <w:rFonts w:ascii="Times New Roman" w:hAnsi="Times New Roman" w:cs="Times New Roman"/>
          <w:sz w:val="22"/>
          <w:szCs w:val="22"/>
        </w:rPr>
        <w:t>. The ALP had been targeted by some of the most vocal critics of corporate tax avoidance</w:t>
      </w:r>
      <w:r w:rsidR="00DD2A06" w:rsidRPr="00201DB3">
        <w:rPr>
          <w:rFonts w:ascii="Times New Roman" w:hAnsi="Times New Roman" w:cs="Times New Roman"/>
          <w:sz w:val="22"/>
          <w:szCs w:val="22"/>
        </w:rPr>
        <w:t xml:space="preserve"> as a </w:t>
      </w:r>
      <w:r w:rsidR="008B19EE" w:rsidRPr="00201DB3">
        <w:rPr>
          <w:rFonts w:ascii="Times New Roman" w:hAnsi="Times New Roman" w:cs="Times New Roman"/>
          <w:sz w:val="22"/>
          <w:szCs w:val="22"/>
        </w:rPr>
        <w:t>facilitator of profit</w:t>
      </w:r>
      <w:r w:rsidR="00DD2A06" w:rsidRPr="00201DB3">
        <w:rPr>
          <w:rFonts w:ascii="Times New Roman" w:hAnsi="Times New Roman" w:cs="Times New Roman"/>
          <w:sz w:val="22"/>
          <w:szCs w:val="22"/>
        </w:rPr>
        <w:t xml:space="preserve"> shifting by MNEs</w:t>
      </w:r>
      <w:r w:rsidRPr="00201DB3">
        <w:rPr>
          <w:rFonts w:ascii="Times New Roman" w:hAnsi="Times New Roman" w:cs="Times New Roman"/>
          <w:sz w:val="22"/>
          <w:szCs w:val="22"/>
        </w:rPr>
        <w:t xml:space="preserve">, so it was politically imperative </w:t>
      </w:r>
      <w:r w:rsidR="00DD2A06" w:rsidRPr="00201DB3">
        <w:rPr>
          <w:rFonts w:ascii="Times New Roman" w:hAnsi="Times New Roman" w:cs="Times New Roman"/>
          <w:sz w:val="22"/>
          <w:szCs w:val="22"/>
        </w:rPr>
        <w:t>t</w:t>
      </w:r>
      <w:r w:rsidRPr="00201DB3">
        <w:rPr>
          <w:rFonts w:ascii="Times New Roman" w:hAnsi="Times New Roman" w:cs="Times New Roman"/>
          <w:sz w:val="22"/>
          <w:szCs w:val="22"/>
        </w:rPr>
        <w:t xml:space="preserve">hat </w:t>
      </w:r>
      <w:r w:rsidR="00DD2A06" w:rsidRPr="00201DB3">
        <w:rPr>
          <w:rFonts w:ascii="Times New Roman" w:hAnsi="Times New Roman" w:cs="Times New Roman"/>
          <w:sz w:val="22"/>
          <w:szCs w:val="22"/>
        </w:rPr>
        <w:t xml:space="preserve">transfer pricing was </w:t>
      </w:r>
      <w:r w:rsidRPr="00201DB3">
        <w:rPr>
          <w:rFonts w:ascii="Times New Roman" w:hAnsi="Times New Roman" w:cs="Times New Roman"/>
          <w:sz w:val="22"/>
          <w:szCs w:val="22"/>
        </w:rPr>
        <w:t>one of the main areas of focus of BEPS</w:t>
      </w:r>
      <w:r w:rsidR="003C5332" w:rsidRPr="00201DB3">
        <w:rPr>
          <w:rStyle w:val="FootnoteReference"/>
          <w:rFonts w:ascii="Times New Roman" w:hAnsi="Times New Roman" w:cs="Times New Roman"/>
          <w:sz w:val="22"/>
          <w:szCs w:val="22"/>
        </w:rPr>
        <w:footnoteReference w:id="28"/>
      </w:r>
      <w:r w:rsidR="00DD2A06" w:rsidRPr="00201DB3">
        <w:rPr>
          <w:rFonts w:ascii="Times New Roman" w:hAnsi="Times New Roman" w:cs="Times New Roman"/>
          <w:sz w:val="22"/>
          <w:szCs w:val="22"/>
        </w:rPr>
        <w:t xml:space="preserve"> </w:t>
      </w:r>
      <w:r w:rsidRPr="00201DB3">
        <w:rPr>
          <w:rFonts w:ascii="Times New Roman" w:hAnsi="Times New Roman" w:cs="Times New Roman"/>
          <w:sz w:val="22"/>
          <w:szCs w:val="22"/>
        </w:rPr>
        <w:t xml:space="preserve">. </w:t>
      </w:r>
      <w:r w:rsidR="008B19EE" w:rsidRPr="00201DB3">
        <w:rPr>
          <w:rFonts w:ascii="Times New Roman" w:hAnsi="Times New Roman" w:cs="Times New Roman"/>
          <w:sz w:val="22"/>
          <w:szCs w:val="22"/>
        </w:rPr>
        <w:t>T</w:t>
      </w:r>
      <w:r w:rsidRPr="00201DB3">
        <w:rPr>
          <w:rFonts w:ascii="Times New Roman" w:hAnsi="Times New Roman" w:cs="Times New Roman"/>
          <w:sz w:val="22"/>
          <w:szCs w:val="22"/>
        </w:rPr>
        <w:t>he final BEPS report in 2015</w:t>
      </w:r>
      <w:r w:rsidR="008B19EE" w:rsidRPr="00201DB3">
        <w:rPr>
          <w:rFonts w:ascii="Times New Roman" w:hAnsi="Times New Roman" w:cs="Times New Roman"/>
          <w:sz w:val="22"/>
          <w:szCs w:val="22"/>
        </w:rPr>
        <w:t xml:space="preserve"> included </w:t>
      </w:r>
      <w:r w:rsidR="000263E7" w:rsidRPr="00201DB3">
        <w:rPr>
          <w:rFonts w:ascii="Times New Roman" w:hAnsi="Times New Roman" w:cs="Times New Roman"/>
          <w:sz w:val="22"/>
          <w:szCs w:val="22"/>
        </w:rPr>
        <w:t>s</w:t>
      </w:r>
      <w:r w:rsidRPr="00201DB3">
        <w:rPr>
          <w:rFonts w:ascii="Times New Roman" w:hAnsi="Times New Roman" w:cs="Times New Roman"/>
          <w:sz w:val="22"/>
          <w:szCs w:val="22"/>
        </w:rPr>
        <w:t>ignificant transfer pricing measures included templates for transfer pricing documentation and country-by-country reports. However, it did not set out measures to address the lack of comparables, and complexity arising from the fact intensive nature of transfer pricing</w:t>
      </w:r>
      <w:r w:rsidR="00C644F7" w:rsidRPr="00201DB3">
        <w:rPr>
          <w:rFonts w:ascii="Times New Roman" w:hAnsi="Times New Roman" w:cs="Times New Roman"/>
          <w:sz w:val="22"/>
          <w:szCs w:val="22"/>
        </w:rPr>
        <w:t>.</w:t>
      </w:r>
    </w:p>
    <w:p w14:paraId="1E40664D" w14:textId="77777777" w:rsidR="00823166" w:rsidRPr="00201DB3" w:rsidRDefault="00823166" w:rsidP="00201DB3">
      <w:pPr>
        <w:spacing w:after="0" w:line="240" w:lineRule="auto"/>
        <w:rPr>
          <w:rFonts w:ascii="Times New Roman" w:hAnsi="Times New Roman" w:cs="Times New Roman"/>
          <w:sz w:val="22"/>
          <w:szCs w:val="22"/>
        </w:rPr>
      </w:pPr>
    </w:p>
    <w:p w14:paraId="7D560EEB" w14:textId="4B15737E" w:rsidR="0039001C" w:rsidRPr="00201DB3" w:rsidRDefault="00C644F7"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This charting of transfer pricing developments provides the context </w:t>
      </w:r>
      <w:r w:rsidR="007769CB" w:rsidRPr="00201DB3">
        <w:rPr>
          <w:rFonts w:ascii="Times New Roman" w:hAnsi="Times New Roman" w:cs="Times New Roman"/>
          <w:sz w:val="22"/>
          <w:szCs w:val="22"/>
        </w:rPr>
        <w:t xml:space="preserve">and backdrop </w:t>
      </w:r>
      <w:r w:rsidRPr="00201DB3">
        <w:rPr>
          <w:rFonts w:ascii="Times New Roman" w:hAnsi="Times New Roman" w:cs="Times New Roman"/>
          <w:sz w:val="22"/>
          <w:szCs w:val="22"/>
        </w:rPr>
        <w:t xml:space="preserve">against which the research interviews took place. </w:t>
      </w:r>
      <w:r w:rsidR="00823166" w:rsidRPr="00201DB3">
        <w:rPr>
          <w:rFonts w:ascii="Times New Roman" w:hAnsi="Times New Roman" w:cs="Times New Roman"/>
          <w:sz w:val="22"/>
          <w:szCs w:val="22"/>
        </w:rPr>
        <w:t>Subsequently i</w:t>
      </w:r>
      <w:r w:rsidR="0047605E" w:rsidRPr="00201DB3">
        <w:rPr>
          <w:rFonts w:ascii="Times New Roman" w:hAnsi="Times New Roman" w:cs="Times New Roman"/>
          <w:sz w:val="22"/>
          <w:szCs w:val="22"/>
        </w:rPr>
        <w:t xml:space="preserve">n 2017 the OECD released amended OECD Transfer </w:t>
      </w:r>
      <w:r w:rsidR="00AF4261" w:rsidRPr="00201DB3">
        <w:rPr>
          <w:rFonts w:ascii="Times New Roman" w:hAnsi="Times New Roman" w:cs="Times New Roman"/>
          <w:sz w:val="22"/>
          <w:szCs w:val="22"/>
        </w:rPr>
        <w:t>P</w:t>
      </w:r>
      <w:r w:rsidR="0047605E" w:rsidRPr="00201DB3">
        <w:rPr>
          <w:rFonts w:ascii="Times New Roman" w:hAnsi="Times New Roman" w:cs="Times New Roman"/>
          <w:sz w:val="22"/>
          <w:szCs w:val="22"/>
        </w:rPr>
        <w:t xml:space="preserve">ricing </w:t>
      </w:r>
      <w:r w:rsidR="00AF4261" w:rsidRPr="00201DB3">
        <w:rPr>
          <w:rFonts w:ascii="Times New Roman" w:hAnsi="Times New Roman" w:cs="Times New Roman"/>
          <w:sz w:val="22"/>
          <w:szCs w:val="22"/>
        </w:rPr>
        <w:t>G</w:t>
      </w:r>
      <w:r w:rsidR="0047605E" w:rsidRPr="00201DB3">
        <w:rPr>
          <w:rFonts w:ascii="Times New Roman" w:hAnsi="Times New Roman" w:cs="Times New Roman"/>
          <w:sz w:val="22"/>
          <w:szCs w:val="22"/>
        </w:rPr>
        <w:t>uidelines</w:t>
      </w:r>
      <w:r w:rsidR="003C5332" w:rsidRPr="00201DB3">
        <w:rPr>
          <w:rStyle w:val="FootnoteReference"/>
          <w:rFonts w:ascii="Times New Roman" w:hAnsi="Times New Roman" w:cs="Times New Roman"/>
          <w:sz w:val="22"/>
          <w:szCs w:val="22"/>
        </w:rPr>
        <w:footnoteReference w:id="29"/>
      </w:r>
      <w:r w:rsidR="0047605E" w:rsidRPr="00201DB3">
        <w:rPr>
          <w:rFonts w:ascii="Times New Roman" w:hAnsi="Times New Roman" w:cs="Times New Roman"/>
          <w:sz w:val="22"/>
          <w:szCs w:val="22"/>
        </w:rPr>
        <w:t xml:space="preserve"> consolidating the BEPS amendments. The</w:t>
      </w:r>
      <w:r w:rsidR="00823166" w:rsidRPr="00201DB3">
        <w:rPr>
          <w:rFonts w:ascii="Times New Roman" w:hAnsi="Times New Roman" w:cs="Times New Roman"/>
          <w:sz w:val="22"/>
          <w:szCs w:val="22"/>
        </w:rPr>
        <w:t>re was</w:t>
      </w:r>
      <w:r w:rsidR="0047605E" w:rsidRPr="00201DB3">
        <w:rPr>
          <w:rFonts w:ascii="Times New Roman" w:hAnsi="Times New Roman" w:cs="Times New Roman"/>
          <w:sz w:val="22"/>
          <w:szCs w:val="22"/>
        </w:rPr>
        <w:t xml:space="preserve"> also a restatement of support for the ALP and a rejection of FA as </w:t>
      </w:r>
    </w:p>
    <w:p w14:paraId="037BF766" w14:textId="77777777" w:rsidR="0039001C" w:rsidRPr="00201DB3" w:rsidRDefault="0047605E" w:rsidP="0098279D">
      <w:pPr>
        <w:spacing w:after="0" w:line="240" w:lineRule="auto"/>
        <w:ind w:left="454" w:right="454"/>
        <w:rPr>
          <w:rFonts w:ascii="Times New Roman" w:hAnsi="Times New Roman" w:cs="Times New Roman"/>
          <w:sz w:val="22"/>
          <w:szCs w:val="22"/>
          <w:lang w:val="en"/>
        </w:rPr>
      </w:pPr>
      <w:r w:rsidRPr="00201DB3">
        <w:rPr>
          <w:rFonts w:ascii="Times New Roman" w:hAnsi="Times New Roman" w:cs="Times New Roman"/>
          <w:sz w:val="22"/>
          <w:szCs w:val="22"/>
        </w:rPr>
        <w:t>“</w:t>
      </w:r>
      <w:r w:rsidRPr="00201DB3">
        <w:rPr>
          <w:rFonts w:ascii="Times New Roman" w:hAnsi="Times New Roman" w:cs="Times New Roman"/>
          <w:sz w:val="22"/>
          <w:szCs w:val="22"/>
          <w:lang w:val="en"/>
        </w:rPr>
        <w:t>the adoption of alternative bases for transfer pricing, like formulary apportionment, would require development of an international consensus on a number of key issues, which countries do not believe to be attainable in the short or medium term.</w:t>
      </w:r>
      <w:r w:rsidR="009238C0" w:rsidRPr="00201DB3">
        <w:rPr>
          <w:rFonts w:ascii="Times New Roman" w:hAnsi="Times New Roman" w:cs="Times New Roman"/>
          <w:sz w:val="22"/>
          <w:szCs w:val="22"/>
          <w:lang w:val="en"/>
        </w:rPr>
        <w:t>”</w:t>
      </w:r>
      <w:r w:rsidR="000263E7" w:rsidRPr="00201DB3">
        <w:rPr>
          <w:rStyle w:val="FootnoteReference"/>
          <w:rFonts w:ascii="Times New Roman" w:hAnsi="Times New Roman" w:cs="Times New Roman"/>
          <w:sz w:val="22"/>
          <w:szCs w:val="22"/>
          <w:lang w:val="en"/>
        </w:rPr>
        <w:footnoteReference w:id="30"/>
      </w:r>
      <w:r w:rsidR="009238C0" w:rsidRPr="00201DB3">
        <w:rPr>
          <w:rFonts w:ascii="Times New Roman" w:hAnsi="Times New Roman" w:cs="Times New Roman"/>
          <w:sz w:val="22"/>
          <w:szCs w:val="22"/>
          <w:lang w:val="en"/>
        </w:rPr>
        <w:t xml:space="preserve"> </w:t>
      </w:r>
    </w:p>
    <w:p w14:paraId="2DAFC0ED" w14:textId="10FC8683" w:rsidR="0047605E" w:rsidRPr="00201DB3" w:rsidRDefault="001077C6"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In addition, the 2017 revised </w:t>
      </w:r>
      <w:r w:rsidR="008F7F10" w:rsidRPr="00201DB3">
        <w:rPr>
          <w:rFonts w:ascii="Times New Roman" w:hAnsi="Times New Roman" w:cs="Times New Roman"/>
          <w:sz w:val="22"/>
          <w:szCs w:val="22"/>
        </w:rPr>
        <w:t>OECD Transfer Pricing Guidelines aut</w:t>
      </w:r>
      <w:r w:rsidRPr="00201DB3">
        <w:rPr>
          <w:rFonts w:ascii="Times New Roman" w:hAnsi="Times New Roman" w:cs="Times New Roman"/>
          <w:sz w:val="22"/>
          <w:szCs w:val="22"/>
        </w:rPr>
        <w:t xml:space="preserve">horise tax authorities to recharacterize transactions and introduce more complex </w:t>
      </w:r>
      <w:r w:rsidR="00993BA4" w:rsidRPr="00201DB3">
        <w:rPr>
          <w:rFonts w:ascii="Times New Roman" w:hAnsi="Times New Roman" w:cs="Times New Roman"/>
          <w:sz w:val="22"/>
          <w:szCs w:val="22"/>
        </w:rPr>
        <w:t>analysis requirements</w:t>
      </w:r>
      <w:r w:rsidR="00AF4261" w:rsidRPr="00201DB3">
        <w:rPr>
          <w:rFonts w:ascii="Times New Roman" w:hAnsi="Times New Roman" w:cs="Times New Roman"/>
          <w:sz w:val="22"/>
          <w:szCs w:val="22"/>
        </w:rPr>
        <w:t>,</w:t>
      </w:r>
      <w:r w:rsidR="00993BA4" w:rsidRPr="00201DB3">
        <w:rPr>
          <w:rFonts w:ascii="Times New Roman" w:hAnsi="Times New Roman" w:cs="Times New Roman"/>
          <w:sz w:val="22"/>
          <w:szCs w:val="22"/>
        </w:rPr>
        <w:t xml:space="preserve"> for example in relation to risk and capital.</w:t>
      </w:r>
      <w:r w:rsidR="00970D1D" w:rsidRPr="00201DB3">
        <w:rPr>
          <w:rStyle w:val="FootnoteReference"/>
          <w:rFonts w:ascii="Times New Roman" w:hAnsi="Times New Roman" w:cs="Times New Roman"/>
          <w:sz w:val="22"/>
          <w:szCs w:val="22"/>
        </w:rPr>
        <w:footnoteReference w:id="31"/>
      </w:r>
      <w:r w:rsidR="00993BA4" w:rsidRPr="00201DB3">
        <w:rPr>
          <w:rFonts w:ascii="Times New Roman" w:hAnsi="Times New Roman" w:cs="Times New Roman"/>
          <w:sz w:val="22"/>
          <w:szCs w:val="22"/>
        </w:rPr>
        <w:t xml:space="preserve"> </w:t>
      </w:r>
      <w:r w:rsidR="0097720E" w:rsidRPr="00201DB3">
        <w:rPr>
          <w:rFonts w:ascii="Times New Roman" w:hAnsi="Times New Roman" w:cs="Times New Roman"/>
          <w:sz w:val="22"/>
          <w:szCs w:val="22"/>
        </w:rPr>
        <w:t>New guidance on group synergies effectively change</w:t>
      </w:r>
      <w:r w:rsidR="00AF4261" w:rsidRPr="00201DB3">
        <w:rPr>
          <w:rFonts w:ascii="Times New Roman" w:hAnsi="Times New Roman" w:cs="Times New Roman"/>
          <w:sz w:val="22"/>
          <w:szCs w:val="22"/>
        </w:rPr>
        <w:t>s</w:t>
      </w:r>
      <w:r w:rsidR="0097720E" w:rsidRPr="00201DB3">
        <w:rPr>
          <w:rFonts w:ascii="Times New Roman" w:hAnsi="Times New Roman" w:cs="Times New Roman"/>
          <w:sz w:val="22"/>
          <w:szCs w:val="22"/>
        </w:rPr>
        <w:t xml:space="preserve"> the object of inquiry from what unrelated parties would charge</w:t>
      </w:r>
      <w:r w:rsidR="00AF4261" w:rsidRPr="00201DB3">
        <w:rPr>
          <w:rFonts w:ascii="Times New Roman" w:hAnsi="Times New Roman" w:cs="Times New Roman"/>
          <w:sz w:val="22"/>
          <w:szCs w:val="22"/>
        </w:rPr>
        <w:t>,</w:t>
      </w:r>
      <w:r w:rsidR="0097720E" w:rsidRPr="00201DB3">
        <w:rPr>
          <w:rFonts w:ascii="Times New Roman" w:hAnsi="Times New Roman" w:cs="Times New Roman"/>
          <w:sz w:val="22"/>
          <w:szCs w:val="22"/>
        </w:rPr>
        <w:t xml:space="preserve"> to what the particular related parties in question would charge. </w:t>
      </w:r>
      <w:r w:rsidR="0097720E" w:rsidRPr="00201DB3">
        <w:rPr>
          <w:rStyle w:val="FootnoteReference"/>
          <w:rFonts w:ascii="Times New Roman" w:hAnsi="Times New Roman" w:cs="Times New Roman"/>
          <w:sz w:val="22"/>
          <w:szCs w:val="22"/>
        </w:rPr>
        <w:footnoteReference w:id="32"/>
      </w:r>
      <w:r w:rsidR="00993BA4" w:rsidRPr="00201DB3">
        <w:rPr>
          <w:rFonts w:ascii="Times New Roman" w:hAnsi="Times New Roman" w:cs="Times New Roman"/>
          <w:sz w:val="22"/>
          <w:szCs w:val="22"/>
        </w:rPr>
        <w:t xml:space="preserve">While aiming to correct the information asymmetry between taxpayers and tax authorities, the complexity </w:t>
      </w:r>
      <w:r w:rsidR="0097720E" w:rsidRPr="00201DB3">
        <w:rPr>
          <w:rFonts w:ascii="Times New Roman" w:hAnsi="Times New Roman" w:cs="Times New Roman"/>
          <w:sz w:val="22"/>
          <w:szCs w:val="22"/>
        </w:rPr>
        <w:t xml:space="preserve">of the revised guidelines </w:t>
      </w:r>
      <w:r w:rsidR="00993BA4" w:rsidRPr="00201DB3">
        <w:rPr>
          <w:rFonts w:ascii="Times New Roman" w:hAnsi="Times New Roman" w:cs="Times New Roman"/>
          <w:sz w:val="22"/>
          <w:szCs w:val="22"/>
        </w:rPr>
        <w:t xml:space="preserve">will create new challenges, and strain on resources, for tax administrations of all levels of sophistication, but particularly for developing countries. </w:t>
      </w:r>
      <w:r w:rsidR="00881F99" w:rsidRPr="00201DB3">
        <w:rPr>
          <w:rFonts w:ascii="Times New Roman" w:hAnsi="Times New Roman" w:cs="Times New Roman"/>
          <w:sz w:val="22"/>
          <w:szCs w:val="22"/>
        </w:rPr>
        <w:t>Many issues remain unresolved, for example</w:t>
      </w:r>
      <w:r w:rsidR="007D0D21" w:rsidRPr="00201DB3">
        <w:rPr>
          <w:rFonts w:ascii="Times New Roman" w:hAnsi="Times New Roman" w:cs="Times New Roman"/>
          <w:sz w:val="22"/>
          <w:szCs w:val="22"/>
        </w:rPr>
        <w:t xml:space="preserve"> the role of the ALP in evaluating capital structures. </w:t>
      </w:r>
    </w:p>
    <w:p w14:paraId="03385AB1" w14:textId="77777777" w:rsidR="00D46ADB" w:rsidRPr="00201DB3" w:rsidRDefault="00D46ADB" w:rsidP="00201DB3">
      <w:pPr>
        <w:spacing w:after="0" w:line="240" w:lineRule="auto"/>
        <w:rPr>
          <w:rFonts w:ascii="Times New Roman" w:hAnsi="Times New Roman" w:cs="Times New Roman"/>
          <w:sz w:val="22"/>
          <w:szCs w:val="22"/>
        </w:rPr>
      </w:pPr>
    </w:p>
    <w:p w14:paraId="57D185B7" w14:textId="2EE0DF2D" w:rsidR="008E3CA7" w:rsidRPr="00201DB3" w:rsidRDefault="00E76F34"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C</w:t>
      </w:r>
      <w:r w:rsidR="00F41106" w:rsidRPr="00201DB3">
        <w:rPr>
          <w:rFonts w:ascii="Times New Roman" w:hAnsi="Times New Roman" w:cs="Times New Roman"/>
          <w:i/>
          <w:sz w:val="22"/>
          <w:szCs w:val="22"/>
        </w:rPr>
        <w:t xml:space="preserve">alls for </w:t>
      </w:r>
      <w:r w:rsidR="001936EE" w:rsidRPr="00201DB3">
        <w:rPr>
          <w:rFonts w:ascii="Times New Roman" w:hAnsi="Times New Roman" w:cs="Times New Roman"/>
          <w:i/>
          <w:sz w:val="22"/>
          <w:szCs w:val="22"/>
        </w:rPr>
        <w:t>formulary apportionment</w:t>
      </w:r>
    </w:p>
    <w:p w14:paraId="116DFEEB" w14:textId="79D5D9E7" w:rsidR="00E84164" w:rsidRPr="00201DB3" w:rsidRDefault="00E84164"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An alternative way to determine the allocation of profits to each taxing jurisdiction is a formulary approach, not based on hypothetical prices for individual transactions, but on sharing profits between the different taxing jurisdictions according to a predetermined formula. </w:t>
      </w:r>
      <w:r w:rsidR="00B348B4" w:rsidRPr="00201DB3">
        <w:rPr>
          <w:rFonts w:ascii="Times New Roman" w:hAnsi="Times New Roman" w:cs="Times New Roman"/>
          <w:sz w:val="22"/>
          <w:szCs w:val="22"/>
        </w:rPr>
        <w:t>In 2001</w:t>
      </w:r>
      <w:r w:rsidR="006E1233" w:rsidRPr="00201DB3">
        <w:rPr>
          <w:rFonts w:ascii="Times New Roman" w:hAnsi="Times New Roman" w:cs="Times New Roman"/>
          <w:sz w:val="22"/>
          <w:szCs w:val="22"/>
        </w:rPr>
        <w:t>,</w:t>
      </w:r>
      <w:r w:rsidR="00B348B4" w:rsidRPr="00201DB3">
        <w:rPr>
          <w:rFonts w:ascii="Times New Roman" w:hAnsi="Times New Roman" w:cs="Times New Roman"/>
          <w:sz w:val="22"/>
          <w:szCs w:val="22"/>
        </w:rPr>
        <w:t xml:space="preserve"> the European Commission proposed to abolish the existing </w:t>
      </w:r>
      <w:r w:rsidR="008B19EE" w:rsidRPr="00201DB3">
        <w:rPr>
          <w:rFonts w:ascii="Times New Roman" w:hAnsi="Times New Roman" w:cs="Times New Roman"/>
          <w:sz w:val="22"/>
          <w:szCs w:val="22"/>
        </w:rPr>
        <w:t xml:space="preserve">separate accounting </w:t>
      </w:r>
      <w:r w:rsidR="00B348B4" w:rsidRPr="00201DB3">
        <w:rPr>
          <w:rFonts w:ascii="Times New Roman" w:hAnsi="Times New Roman" w:cs="Times New Roman"/>
          <w:sz w:val="22"/>
          <w:szCs w:val="22"/>
        </w:rPr>
        <w:t xml:space="preserve">system within the EU and to introduce </w:t>
      </w:r>
      <w:r w:rsidR="00790571" w:rsidRPr="00201DB3">
        <w:rPr>
          <w:rFonts w:ascii="Times New Roman" w:hAnsi="Times New Roman" w:cs="Times New Roman"/>
          <w:sz w:val="22"/>
          <w:szCs w:val="22"/>
        </w:rPr>
        <w:t>formulary apportionment</w:t>
      </w:r>
      <w:r w:rsidR="00B348B4" w:rsidRPr="00201DB3">
        <w:rPr>
          <w:rFonts w:ascii="Times New Roman" w:hAnsi="Times New Roman" w:cs="Times New Roman"/>
          <w:sz w:val="22"/>
          <w:szCs w:val="22"/>
        </w:rPr>
        <w:t>: the Common Consolidated Corporate Tax Base (C</w:t>
      </w:r>
      <w:r w:rsidR="00790571" w:rsidRPr="00201DB3">
        <w:rPr>
          <w:rFonts w:ascii="Times New Roman" w:hAnsi="Times New Roman" w:cs="Times New Roman"/>
          <w:sz w:val="22"/>
          <w:szCs w:val="22"/>
        </w:rPr>
        <w:t>C</w:t>
      </w:r>
      <w:r w:rsidR="00B348B4" w:rsidRPr="00201DB3">
        <w:rPr>
          <w:rFonts w:ascii="Times New Roman" w:hAnsi="Times New Roman" w:cs="Times New Roman"/>
          <w:sz w:val="22"/>
          <w:szCs w:val="22"/>
        </w:rPr>
        <w:t>CTB</w:t>
      </w:r>
      <w:r w:rsidR="008B19EE" w:rsidRPr="00201DB3">
        <w:rPr>
          <w:rFonts w:ascii="Times New Roman" w:hAnsi="Times New Roman" w:cs="Times New Roman"/>
          <w:sz w:val="22"/>
          <w:szCs w:val="22"/>
        </w:rPr>
        <w:t>).</w:t>
      </w:r>
      <w:r w:rsidR="00B348B4" w:rsidRPr="00201DB3">
        <w:rPr>
          <w:rFonts w:ascii="Times New Roman" w:hAnsi="Times New Roman" w:cs="Times New Roman"/>
          <w:sz w:val="22"/>
          <w:szCs w:val="22"/>
        </w:rPr>
        <w:t xml:space="preserve"> A three-factor formula </w:t>
      </w:r>
      <w:r w:rsidR="008B19EE" w:rsidRPr="00201DB3">
        <w:rPr>
          <w:rFonts w:ascii="Times New Roman" w:hAnsi="Times New Roman" w:cs="Times New Roman"/>
          <w:sz w:val="22"/>
          <w:szCs w:val="22"/>
        </w:rPr>
        <w:t>was</w:t>
      </w:r>
      <w:r w:rsidR="00B348B4" w:rsidRPr="00201DB3">
        <w:rPr>
          <w:rFonts w:ascii="Times New Roman" w:hAnsi="Times New Roman" w:cs="Times New Roman"/>
          <w:sz w:val="22"/>
          <w:szCs w:val="22"/>
        </w:rPr>
        <w:t xml:space="preserve"> proposed, similar to the US state apportionment factors. </w:t>
      </w:r>
      <w:r w:rsidRPr="00201DB3">
        <w:rPr>
          <w:rFonts w:ascii="Times New Roman" w:hAnsi="Times New Roman" w:cs="Times New Roman"/>
          <w:sz w:val="22"/>
          <w:szCs w:val="22"/>
        </w:rPr>
        <w:t>Th</w:t>
      </w:r>
      <w:r w:rsidR="00B348B4" w:rsidRPr="00201DB3">
        <w:rPr>
          <w:rFonts w:ascii="Times New Roman" w:hAnsi="Times New Roman" w:cs="Times New Roman"/>
          <w:sz w:val="22"/>
          <w:szCs w:val="22"/>
        </w:rPr>
        <w:t>is</w:t>
      </w:r>
      <w:r w:rsidRPr="00201DB3">
        <w:rPr>
          <w:rFonts w:ascii="Times New Roman" w:hAnsi="Times New Roman" w:cs="Times New Roman"/>
          <w:sz w:val="22"/>
          <w:szCs w:val="22"/>
        </w:rPr>
        <w:t xml:space="preserve"> is</w:t>
      </w:r>
      <w:r w:rsidR="00B348B4" w:rsidRPr="00201DB3">
        <w:rPr>
          <w:rFonts w:ascii="Times New Roman" w:hAnsi="Times New Roman" w:cs="Times New Roman"/>
          <w:sz w:val="22"/>
          <w:szCs w:val="22"/>
        </w:rPr>
        <w:t xml:space="preserve"> one of a</w:t>
      </w:r>
      <w:r w:rsidRPr="00201DB3">
        <w:rPr>
          <w:rFonts w:ascii="Times New Roman" w:hAnsi="Times New Roman" w:cs="Times New Roman"/>
          <w:sz w:val="22"/>
          <w:szCs w:val="22"/>
        </w:rPr>
        <w:t xml:space="preserve"> range of possible methods that could be used to determine the allocation of profits to taxing jurisdictions and</w:t>
      </w:r>
      <w:r w:rsidR="00AF4261" w:rsidRPr="00201DB3">
        <w:rPr>
          <w:rFonts w:ascii="Times New Roman" w:hAnsi="Times New Roman" w:cs="Times New Roman"/>
          <w:sz w:val="22"/>
          <w:szCs w:val="22"/>
        </w:rPr>
        <w:t>,</w:t>
      </w:r>
      <w:r w:rsidRPr="00201DB3">
        <w:rPr>
          <w:rFonts w:ascii="Times New Roman" w:hAnsi="Times New Roman" w:cs="Times New Roman"/>
          <w:sz w:val="22"/>
          <w:szCs w:val="22"/>
        </w:rPr>
        <w:t xml:space="preserve"> in this article, we use formulary apportionment as an umbrella term for an approach that applies a predetermined formula to the profits of a </w:t>
      </w:r>
      <w:r w:rsidR="008B19EE" w:rsidRPr="00201DB3">
        <w:rPr>
          <w:rFonts w:ascii="Times New Roman" w:hAnsi="Times New Roman" w:cs="Times New Roman"/>
          <w:sz w:val="22"/>
          <w:szCs w:val="22"/>
        </w:rPr>
        <w:t xml:space="preserve">multinational </w:t>
      </w:r>
      <w:r w:rsidRPr="00201DB3">
        <w:rPr>
          <w:rFonts w:ascii="Times New Roman" w:hAnsi="Times New Roman" w:cs="Times New Roman"/>
          <w:sz w:val="22"/>
          <w:szCs w:val="22"/>
        </w:rPr>
        <w:t>group.</w:t>
      </w:r>
    </w:p>
    <w:p w14:paraId="61959342" w14:textId="77777777" w:rsidR="00E84164" w:rsidRPr="00201DB3" w:rsidRDefault="00E84164" w:rsidP="00201DB3">
      <w:pPr>
        <w:spacing w:after="0" w:line="240" w:lineRule="auto"/>
        <w:rPr>
          <w:rFonts w:ascii="Times New Roman" w:hAnsi="Times New Roman" w:cs="Times New Roman"/>
          <w:sz w:val="22"/>
          <w:szCs w:val="22"/>
        </w:rPr>
      </w:pPr>
    </w:p>
    <w:p w14:paraId="3660287C" w14:textId="03BE9EDF" w:rsidR="003A587D" w:rsidRPr="00201DB3" w:rsidRDefault="00B348B4"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The profile of such an alternative approach is increasing, d</w:t>
      </w:r>
      <w:r w:rsidR="006419FB" w:rsidRPr="00201DB3">
        <w:rPr>
          <w:rFonts w:ascii="Times New Roman" w:hAnsi="Times New Roman" w:cs="Times New Roman"/>
          <w:sz w:val="22"/>
          <w:szCs w:val="22"/>
        </w:rPr>
        <w:t>espite continuin</w:t>
      </w:r>
      <w:r w:rsidR="00E76F34" w:rsidRPr="00201DB3">
        <w:rPr>
          <w:rFonts w:ascii="Times New Roman" w:hAnsi="Times New Roman" w:cs="Times New Roman"/>
          <w:sz w:val="22"/>
          <w:szCs w:val="22"/>
        </w:rPr>
        <w:t xml:space="preserve">g pronouncements from the OECD supporting </w:t>
      </w:r>
      <w:r w:rsidR="006419FB" w:rsidRPr="00201DB3">
        <w:rPr>
          <w:rFonts w:ascii="Times New Roman" w:hAnsi="Times New Roman" w:cs="Times New Roman"/>
          <w:sz w:val="22"/>
          <w:szCs w:val="22"/>
        </w:rPr>
        <w:t>the ALP</w:t>
      </w:r>
      <w:r w:rsidR="00AF4261" w:rsidRPr="00201DB3">
        <w:rPr>
          <w:rFonts w:ascii="Times New Roman" w:hAnsi="Times New Roman" w:cs="Times New Roman"/>
          <w:sz w:val="22"/>
          <w:szCs w:val="22"/>
        </w:rPr>
        <w:t>. T</w:t>
      </w:r>
      <w:r w:rsidR="006419FB" w:rsidRPr="00201DB3">
        <w:rPr>
          <w:rFonts w:ascii="Times New Roman" w:hAnsi="Times New Roman" w:cs="Times New Roman"/>
          <w:sz w:val="22"/>
          <w:szCs w:val="22"/>
        </w:rPr>
        <w:t xml:space="preserve">here has been a growing criticism of the ALP from </w:t>
      </w:r>
      <w:r w:rsidR="00562321" w:rsidRPr="00201DB3">
        <w:rPr>
          <w:rFonts w:ascii="Times New Roman" w:hAnsi="Times New Roman" w:cs="Times New Roman"/>
          <w:sz w:val="22"/>
          <w:szCs w:val="22"/>
        </w:rPr>
        <w:t xml:space="preserve">academic </w:t>
      </w:r>
      <w:r w:rsidR="006419FB" w:rsidRPr="00201DB3">
        <w:rPr>
          <w:rFonts w:ascii="Times New Roman" w:hAnsi="Times New Roman" w:cs="Times New Roman"/>
          <w:sz w:val="22"/>
          <w:szCs w:val="22"/>
        </w:rPr>
        <w:t xml:space="preserve">commentators and an increasing </w:t>
      </w:r>
      <w:r w:rsidR="00562321" w:rsidRPr="00201DB3">
        <w:rPr>
          <w:rFonts w:ascii="Times New Roman" w:hAnsi="Times New Roman" w:cs="Times New Roman"/>
          <w:sz w:val="22"/>
          <w:szCs w:val="22"/>
        </w:rPr>
        <w:t>focus</w:t>
      </w:r>
      <w:r w:rsidR="006419FB" w:rsidRPr="00201DB3">
        <w:rPr>
          <w:rFonts w:ascii="Times New Roman" w:hAnsi="Times New Roman" w:cs="Times New Roman"/>
          <w:sz w:val="22"/>
          <w:szCs w:val="22"/>
        </w:rPr>
        <w:t xml:space="preserve"> on </w:t>
      </w:r>
      <w:r w:rsidR="001936EE" w:rsidRPr="00201DB3">
        <w:rPr>
          <w:rFonts w:ascii="Times New Roman" w:hAnsi="Times New Roman" w:cs="Times New Roman"/>
          <w:sz w:val="22"/>
          <w:szCs w:val="22"/>
        </w:rPr>
        <w:t>formulary apportionment</w:t>
      </w:r>
      <w:r w:rsidR="006419FB" w:rsidRPr="00201DB3">
        <w:rPr>
          <w:rFonts w:ascii="Times New Roman" w:hAnsi="Times New Roman" w:cs="Times New Roman"/>
          <w:sz w:val="22"/>
          <w:szCs w:val="22"/>
        </w:rPr>
        <w:t>, with the discussion having evolved rapidly in recent years</w:t>
      </w:r>
      <w:r w:rsidR="003C5332" w:rsidRPr="00201DB3">
        <w:rPr>
          <w:rStyle w:val="FootnoteReference"/>
          <w:rFonts w:ascii="Times New Roman" w:hAnsi="Times New Roman" w:cs="Times New Roman"/>
          <w:sz w:val="22"/>
          <w:szCs w:val="22"/>
        </w:rPr>
        <w:footnoteReference w:id="33"/>
      </w:r>
      <w:r w:rsidR="000A2FC1" w:rsidRPr="00201DB3">
        <w:rPr>
          <w:rFonts w:ascii="Times New Roman" w:hAnsi="Times New Roman" w:cs="Times New Roman"/>
          <w:sz w:val="22"/>
          <w:szCs w:val="22"/>
        </w:rPr>
        <w:t xml:space="preserve"> </w:t>
      </w:r>
      <w:r w:rsidR="00BF1E9A" w:rsidRPr="00201DB3">
        <w:rPr>
          <w:rFonts w:ascii="Times New Roman" w:hAnsi="Times New Roman" w:cs="Times New Roman"/>
          <w:sz w:val="22"/>
          <w:szCs w:val="22"/>
        </w:rPr>
        <w:t>giving rise to a substantial body of scholarship</w:t>
      </w:r>
      <w:r w:rsidR="00276D07" w:rsidRPr="00201DB3">
        <w:rPr>
          <w:rFonts w:ascii="Times New Roman" w:hAnsi="Times New Roman" w:cs="Times New Roman"/>
          <w:sz w:val="22"/>
          <w:szCs w:val="22"/>
        </w:rPr>
        <w:t>.</w:t>
      </w:r>
      <w:r w:rsidR="0039001C" w:rsidRPr="00201DB3">
        <w:rPr>
          <w:rStyle w:val="FootnoteReference"/>
          <w:rFonts w:ascii="Times New Roman" w:hAnsi="Times New Roman" w:cs="Times New Roman"/>
          <w:sz w:val="22"/>
          <w:szCs w:val="22"/>
        </w:rPr>
        <w:footnoteReference w:id="34"/>
      </w:r>
      <w:r w:rsidR="005E7758" w:rsidRPr="00201DB3">
        <w:rPr>
          <w:rFonts w:ascii="Times New Roman" w:hAnsi="Times New Roman" w:cs="Times New Roman"/>
          <w:sz w:val="22"/>
          <w:szCs w:val="22"/>
        </w:rPr>
        <w:t xml:space="preserve"> </w:t>
      </w:r>
      <w:r w:rsidR="000D526B" w:rsidRPr="00201DB3">
        <w:rPr>
          <w:rFonts w:ascii="Times New Roman" w:hAnsi="Times New Roman" w:cs="Times New Roman"/>
          <w:sz w:val="22"/>
          <w:szCs w:val="22"/>
        </w:rPr>
        <w:t>Much of th</w:t>
      </w:r>
      <w:r w:rsidR="004A43E7" w:rsidRPr="00201DB3">
        <w:rPr>
          <w:rFonts w:ascii="Times New Roman" w:hAnsi="Times New Roman" w:cs="Times New Roman"/>
          <w:sz w:val="22"/>
          <w:szCs w:val="22"/>
        </w:rPr>
        <w:t>e increasing focus on for</w:t>
      </w:r>
      <w:r w:rsidRPr="00201DB3">
        <w:rPr>
          <w:rFonts w:ascii="Times New Roman" w:hAnsi="Times New Roman" w:cs="Times New Roman"/>
          <w:sz w:val="22"/>
          <w:szCs w:val="22"/>
        </w:rPr>
        <w:t>m</w:t>
      </w:r>
      <w:r w:rsidR="004A43E7" w:rsidRPr="00201DB3">
        <w:rPr>
          <w:rFonts w:ascii="Times New Roman" w:hAnsi="Times New Roman" w:cs="Times New Roman"/>
          <w:sz w:val="22"/>
          <w:szCs w:val="22"/>
        </w:rPr>
        <w:t xml:space="preserve">ulary apportionment </w:t>
      </w:r>
      <w:r w:rsidR="00DD3C40" w:rsidRPr="00201DB3">
        <w:rPr>
          <w:rFonts w:ascii="Times New Roman" w:hAnsi="Times New Roman" w:cs="Times New Roman"/>
          <w:sz w:val="22"/>
          <w:szCs w:val="22"/>
        </w:rPr>
        <w:t xml:space="preserve">stems </w:t>
      </w:r>
      <w:r w:rsidR="006419FB" w:rsidRPr="00201DB3">
        <w:rPr>
          <w:rFonts w:ascii="Times New Roman" w:hAnsi="Times New Roman" w:cs="Times New Roman"/>
          <w:sz w:val="22"/>
          <w:szCs w:val="22"/>
        </w:rPr>
        <w:t xml:space="preserve">from </w:t>
      </w:r>
      <w:r w:rsidR="00DD3C40" w:rsidRPr="00201DB3">
        <w:rPr>
          <w:rFonts w:ascii="Times New Roman" w:hAnsi="Times New Roman" w:cs="Times New Roman"/>
          <w:sz w:val="22"/>
          <w:szCs w:val="22"/>
        </w:rPr>
        <w:t xml:space="preserve">empirical </w:t>
      </w:r>
      <w:r w:rsidR="006419FB" w:rsidRPr="00201DB3">
        <w:rPr>
          <w:rFonts w:ascii="Times New Roman" w:hAnsi="Times New Roman" w:cs="Times New Roman"/>
          <w:sz w:val="22"/>
          <w:szCs w:val="22"/>
        </w:rPr>
        <w:t>evidence of distortions and income shifting under the ALP</w:t>
      </w:r>
      <w:r w:rsidR="003C5332" w:rsidRPr="00201DB3">
        <w:rPr>
          <w:rStyle w:val="FootnoteReference"/>
          <w:rFonts w:ascii="Times New Roman" w:hAnsi="Times New Roman" w:cs="Times New Roman"/>
          <w:sz w:val="22"/>
          <w:szCs w:val="22"/>
        </w:rPr>
        <w:footnoteReference w:id="35"/>
      </w:r>
      <w:r w:rsidR="006419FB" w:rsidRPr="00201DB3">
        <w:rPr>
          <w:rFonts w:ascii="Times New Roman" w:hAnsi="Times New Roman" w:cs="Times New Roman"/>
          <w:sz w:val="22"/>
          <w:szCs w:val="22"/>
        </w:rPr>
        <w:t xml:space="preserve"> </w:t>
      </w:r>
      <w:r w:rsidR="000A2FC1" w:rsidRPr="00201DB3">
        <w:rPr>
          <w:rFonts w:ascii="Times New Roman" w:hAnsi="Times New Roman" w:cs="Times New Roman"/>
          <w:sz w:val="22"/>
          <w:szCs w:val="22"/>
        </w:rPr>
        <w:t xml:space="preserve"> leading to the charge of extreme inequity. </w:t>
      </w:r>
      <w:r w:rsidR="003A587D" w:rsidRPr="00201DB3">
        <w:rPr>
          <w:rFonts w:ascii="Times New Roman" w:hAnsi="Times New Roman" w:cs="Times New Roman"/>
          <w:sz w:val="22"/>
          <w:szCs w:val="22"/>
        </w:rPr>
        <w:t>The potential for income shifting under the ALP can give rise to scope for zero taxation, or “homeless income</w:t>
      </w:r>
      <w:r w:rsidR="00093E8B" w:rsidRPr="00201DB3">
        <w:rPr>
          <w:rFonts w:ascii="Times New Roman" w:hAnsi="Times New Roman" w:cs="Times New Roman"/>
          <w:sz w:val="22"/>
          <w:szCs w:val="22"/>
        </w:rPr>
        <w:t>,</w:t>
      </w:r>
      <w:r w:rsidR="003A587D"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36"/>
      </w:r>
      <w:r w:rsidR="003A587D" w:rsidRPr="00201DB3">
        <w:rPr>
          <w:rFonts w:ascii="Times New Roman" w:hAnsi="Times New Roman" w:cs="Times New Roman"/>
          <w:sz w:val="22"/>
          <w:szCs w:val="22"/>
        </w:rPr>
        <w:t xml:space="preserve"> a phenomenon that, it has been observed </w:t>
      </w:r>
      <w:r w:rsidR="00C35853" w:rsidRPr="00201DB3">
        <w:rPr>
          <w:rFonts w:ascii="Times New Roman" w:hAnsi="Times New Roman" w:cs="Times New Roman"/>
          <w:sz w:val="22"/>
          <w:szCs w:val="22"/>
        </w:rPr>
        <w:t xml:space="preserve">“does not provoke taxpayer </w:t>
      </w:r>
      <w:r w:rsidR="00C86981" w:rsidRPr="00201DB3">
        <w:rPr>
          <w:rFonts w:ascii="Times New Roman" w:hAnsi="Times New Roman" w:cs="Times New Roman"/>
          <w:sz w:val="22"/>
          <w:szCs w:val="22"/>
        </w:rPr>
        <w:t>complaints</w:t>
      </w:r>
      <w:r w:rsidR="00093E8B" w:rsidRPr="00201DB3">
        <w:rPr>
          <w:rFonts w:ascii="Times New Roman" w:hAnsi="Times New Roman" w:cs="Times New Roman"/>
          <w:sz w:val="22"/>
          <w:szCs w:val="22"/>
        </w:rPr>
        <w:t>.</w:t>
      </w:r>
      <w:r w:rsidR="00C35853"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37"/>
      </w:r>
      <w:r w:rsidR="003A587D" w:rsidRPr="00201DB3">
        <w:rPr>
          <w:rFonts w:ascii="Times New Roman" w:hAnsi="Times New Roman" w:cs="Times New Roman"/>
          <w:sz w:val="22"/>
          <w:szCs w:val="22"/>
        </w:rPr>
        <w:t xml:space="preserve"> </w:t>
      </w:r>
      <w:r w:rsidR="00DD3C40" w:rsidRPr="00201DB3">
        <w:rPr>
          <w:rFonts w:ascii="Times New Roman" w:hAnsi="Times New Roman" w:cs="Times New Roman"/>
          <w:sz w:val="22"/>
          <w:szCs w:val="22"/>
        </w:rPr>
        <w:t>Many commentators argue that</w:t>
      </w:r>
      <w:r w:rsidR="003A587D" w:rsidRPr="00201DB3">
        <w:rPr>
          <w:rFonts w:ascii="Times New Roman" w:hAnsi="Times New Roman" w:cs="Times New Roman"/>
          <w:sz w:val="22"/>
          <w:szCs w:val="22"/>
        </w:rPr>
        <w:t xml:space="preserve"> </w:t>
      </w:r>
      <w:r w:rsidR="001936EE" w:rsidRPr="00201DB3">
        <w:rPr>
          <w:rFonts w:ascii="Times New Roman" w:hAnsi="Times New Roman" w:cs="Times New Roman"/>
          <w:sz w:val="22"/>
          <w:szCs w:val="22"/>
        </w:rPr>
        <w:t xml:space="preserve">formulary </w:t>
      </w:r>
      <w:r w:rsidR="00114F90" w:rsidRPr="00201DB3">
        <w:rPr>
          <w:rFonts w:ascii="Times New Roman" w:hAnsi="Times New Roman" w:cs="Times New Roman"/>
          <w:sz w:val="22"/>
          <w:szCs w:val="22"/>
        </w:rPr>
        <w:t>apportionment</w:t>
      </w:r>
      <w:r w:rsidR="003A587D" w:rsidRPr="00201DB3">
        <w:rPr>
          <w:rFonts w:ascii="Times New Roman" w:hAnsi="Times New Roman" w:cs="Times New Roman"/>
          <w:sz w:val="22"/>
          <w:szCs w:val="22"/>
        </w:rPr>
        <w:t xml:space="preserve"> reduces the incentive and ability to locate </w:t>
      </w:r>
      <w:r w:rsidR="007F56AC" w:rsidRPr="00201DB3">
        <w:rPr>
          <w:rFonts w:ascii="Times New Roman" w:hAnsi="Times New Roman" w:cs="Times New Roman"/>
          <w:sz w:val="22"/>
          <w:szCs w:val="22"/>
        </w:rPr>
        <w:t xml:space="preserve">taxable </w:t>
      </w:r>
      <w:r w:rsidR="003A587D" w:rsidRPr="00201DB3">
        <w:rPr>
          <w:rFonts w:ascii="Times New Roman" w:hAnsi="Times New Roman" w:cs="Times New Roman"/>
          <w:sz w:val="22"/>
          <w:szCs w:val="22"/>
        </w:rPr>
        <w:t xml:space="preserve">income in low tax countries </w:t>
      </w:r>
      <w:r w:rsidR="00994266" w:rsidRPr="00201DB3">
        <w:rPr>
          <w:rFonts w:ascii="Times New Roman" w:hAnsi="Times New Roman" w:cs="Times New Roman"/>
          <w:sz w:val="22"/>
          <w:szCs w:val="22"/>
        </w:rPr>
        <w:t>thereby</w:t>
      </w:r>
      <w:r w:rsidR="003A587D" w:rsidRPr="00201DB3">
        <w:rPr>
          <w:rFonts w:ascii="Times New Roman" w:hAnsi="Times New Roman" w:cs="Times New Roman"/>
          <w:sz w:val="22"/>
          <w:szCs w:val="22"/>
        </w:rPr>
        <w:t xml:space="preserve"> curbing tax base erosion  and preventing tax avoidance</w:t>
      </w:r>
      <w:r w:rsidR="009F6146" w:rsidRPr="00201DB3">
        <w:rPr>
          <w:rFonts w:ascii="Times New Roman" w:hAnsi="Times New Roman" w:cs="Times New Roman"/>
          <w:sz w:val="22"/>
          <w:szCs w:val="22"/>
        </w:rPr>
        <w:t>: “the core reason for considering a formulary approach is prevention of tax avoidance”</w:t>
      </w:r>
      <w:r w:rsidR="003C5332" w:rsidRPr="00201DB3">
        <w:rPr>
          <w:rStyle w:val="FootnoteReference"/>
          <w:rFonts w:ascii="Times New Roman" w:hAnsi="Times New Roman" w:cs="Times New Roman"/>
          <w:sz w:val="22"/>
          <w:szCs w:val="22"/>
        </w:rPr>
        <w:footnoteReference w:id="38"/>
      </w:r>
      <w:r w:rsidR="003A587D" w:rsidRPr="00201DB3">
        <w:rPr>
          <w:rFonts w:ascii="Times New Roman" w:hAnsi="Times New Roman" w:cs="Times New Roman"/>
          <w:sz w:val="22"/>
          <w:szCs w:val="22"/>
        </w:rPr>
        <w:t xml:space="preserve"> </w:t>
      </w:r>
    </w:p>
    <w:p w14:paraId="7C00A642" w14:textId="77777777" w:rsidR="003A587D" w:rsidRPr="00201DB3" w:rsidRDefault="003A587D" w:rsidP="00201DB3">
      <w:pPr>
        <w:spacing w:after="0" w:line="240" w:lineRule="auto"/>
        <w:rPr>
          <w:rFonts w:ascii="Times New Roman" w:hAnsi="Times New Roman" w:cs="Times New Roman"/>
          <w:sz w:val="22"/>
          <w:szCs w:val="22"/>
        </w:rPr>
      </w:pPr>
    </w:p>
    <w:p w14:paraId="26DA9B4F" w14:textId="7EEBD3B9" w:rsidR="00A01FC0" w:rsidRPr="00201DB3" w:rsidRDefault="006D542D"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The </w:t>
      </w:r>
      <w:r w:rsidR="00473F32" w:rsidRPr="00201DB3">
        <w:rPr>
          <w:rFonts w:ascii="Times New Roman" w:hAnsi="Times New Roman" w:cs="Times New Roman"/>
          <w:sz w:val="22"/>
          <w:szCs w:val="22"/>
        </w:rPr>
        <w:t>dissatisfaction</w:t>
      </w:r>
      <w:r w:rsidRPr="00201DB3">
        <w:rPr>
          <w:rFonts w:ascii="Times New Roman" w:hAnsi="Times New Roman" w:cs="Times New Roman"/>
          <w:sz w:val="22"/>
          <w:szCs w:val="22"/>
        </w:rPr>
        <w:t xml:space="preserve"> with the ALP, </w:t>
      </w:r>
      <w:r w:rsidR="007F56AC" w:rsidRPr="00201DB3">
        <w:rPr>
          <w:rFonts w:ascii="Times New Roman" w:hAnsi="Times New Roman" w:cs="Times New Roman"/>
          <w:sz w:val="22"/>
          <w:szCs w:val="22"/>
        </w:rPr>
        <w:t xml:space="preserve">on the basis that </w:t>
      </w:r>
      <w:r w:rsidRPr="00201DB3">
        <w:rPr>
          <w:rFonts w:ascii="Times New Roman" w:hAnsi="Times New Roman" w:cs="Times New Roman"/>
          <w:sz w:val="22"/>
          <w:szCs w:val="22"/>
        </w:rPr>
        <w:t>it facilitates tax avoidance</w:t>
      </w:r>
      <w:r w:rsidR="00CB024C" w:rsidRPr="00201DB3">
        <w:rPr>
          <w:rFonts w:ascii="Times New Roman" w:hAnsi="Times New Roman" w:cs="Times New Roman"/>
          <w:sz w:val="22"/>
          <w:szCs w:val="22"/>
        </w:rPr>
        <w:t>,</w:t>
      </w:r>
      <w:r w:rsidRPr="00201DB3">
        <w:rPr>
          <w:rFonts w:ascii="Times New Roman" w:hAnsi="Times New Roman" w:cs="Times New Roman"/>
          <w:sz w:val="22"/>
          <w:szCs w:val="22"/>
        </w:rPr>
        <w:t xml:space="preserve"> links to the</w:t>
      </w:r>
      <w:r w:rsidR="000A2FC1" w:rsidRPr="00201DB3">
        <w:rPr>
          <w:rFonts w:ascii="Times New Roman" w:hAnsi="Times New Roman" w:cs="Times New Roman"/>
          <w:sz w:val="22"/>
          <w:szCs w:val="22"/>
        </w:rPr>
        <w:t xml:space="preserve"> increasing concern about inequity</w:t>
      </w:r>
      <w:r w:rsidR="00212D06" w:rsidRPr="00201DB3">
        <w:rPr>
          <w:rFonts w:ascii="Times New Roman" w:hAnsi="Times New Roman" w:cs="Times New Roman"/>
          <w:sz w:val="22"/>
          <w:szCs w:val="22"/>
        </w:rPr>
        <w:t xml:space="preserve"> with a </w:t>
      </w:r>
      <w:r w:rsidR="00AD37A0" w:rsidRPr="00201DB3">
        <w:rPr>
          <w:rFonts w:ascii="Times New Roman" w:hAnsi="Times New Roman" w:cs="Times New Roman"/>
          <w:sz w:val="22"/>
          <w:szCs w:val="22"/>
        </w:rPr>
        <w:t xml:space="preserve">particular </w:t>
      </w:r>
      <w:r w:rsidR="00212D06" w:rsidRPr="00201DB3">
        <w:rPr>
          <w:rFonts w:ascii="Times New Roman" w:hAnsi="Times New Roman" w:cs="Times New Roman"/>
          <w:sz w:val="22"/>
          <w:szCs w:val="22"/>
        </w:rPr>
        <w:t>focus on developing countries</w:t>
      </w:r>
      <w:r w:rsidR="00AD37A0" w:rsidRPr="00201DB3">
        <w:rPr>
          <w:rFonts w:ascii="Times New Roman" w:hAnsi="Times New Roman" w:cs="Times New Roman"/>
          <w:sz w:val="22"/>
          <w:szCs w:val="22"/>
        </w:rPr>
        <w:t>’ eroded tax base</w:t>
      </w:r>
      <w:r w:rsidR="00DD3C40"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39"/>
      </w:r>
      <w:r w:rsidR="001319B3" w:rsidRPr="00201DB3">
        <w:rPr>
          <w:rFonts w:ascii="Times New Roman" w:hAnsi="Times New Roman" w:cs="Times New Roman"/>
          <w:sz w:val="22"/>
          <w:szCs w:val="22"/>
        </w:rPr>
        <w:t xml:space="preserve"> </w:t>
      </w:r>
      <w:r w:rsidR="00DC4447" w:rsidRPr="00201DB3">
        <w:rPr>
          <w:rFonts w:ascii="Times New Roman" w:hAnsi="Times New Roman" w:cs="Times New Roman"/>
          <w:sz w:val="22"/>
          <w:szCs w:val="22"/>
        </w:rPr>
        <w:t xml:space="preserve">Lower income counties are </w:t>
      </w:r>
      <w:r w:rsidR="00D852C2" w:rsidRPr="00201DB3">
        <w:rPr>
          <w:rFonts w:ascii="Times New Roman" w:hAnsi="Times New Roman" w:cs="Times New Roman"/>
          <w:sz w:val="22"/>
          <w:szCs w:val="22"/>
        </w:rPr>
        <w:t>generally</w:t>
      </w:r>
      <w:r w:rsidR="00DC4447" w:rsidRPr="00201DB3">
        <w:rPr>
          <w:rFonts w:ascii="Times New Roman" w:hAnsi="Times New Roman" w:cs="Times New Roman"/>
          <w:sz w:val="22"/>
          <w:szCs w:val="22"/>
        </w:rPr>
        <w:t xml:space="preserve"> more dependent, </w:t>
      </w:r>
      <w:r w:rsidR="00D852C2" w:rsidRPr="00201DB3">
        <w:rPr>
          <w:rFonts w:ascii="Times New Roman" w:hAnsi="Times New Roman" w:cs="Times New Roman"/>
          <w:sz w:val="22"/>
          <w:szCs w:val="22"/>
        </w:rPr>
        <w:t>relative</w:t>
      </w:r>
      <w:r w:rsidR="00DC4447" w:rsidRPr="00201DB3">
        <w:rPr>
          <w:rFonts w:ascii="Times New Roman" w:hAnsi="Times New Roman" w:cs="Times New Roman"/>
          <w:sz w:val="22"/>
          <w:szCs w:val="22"/>
        </w:rPr>
        <w:t xml:space="preserve"> to other counties, on revenues from corporate tax</w:t>
      </w:r>
      <w:r w:rsidR="003C5332" w:rsidRPr="00201DB3">
        <w:rPr>
          <w:rStyle w:val="FootnoteReference"/>
          <w:rFonts w:ascii="Times New Roman" w:hAnsi="Times New Roman" w:cs="Times New Roman"/>
          <w:sz w:val="22"/>
          <w:szCs w:val="22"/>
        </w:rPr>
        <w:footnoteReference w:id="40"/>
      </w:r>
      <w:r w:rsidR="00DC4447" w:rsidRPr="00201DB3">
        <w:rPr>
          <w:rFonts w:ascii="Times New Roman" w:hAnsi="Times New Roman" w:cs="Times New Roman"/>
          <w:sz w:val="22"/>
          <w:szCs w:val="22"/>
        </w:rPr>
        <w:t xml:space="preserve"> Furthermore, d</w:t>
      </w:r>
      <w:r w:rsidR="00615041" w:rsidRPr="00201DB3">
        <w:rPr>
          <w:rFonts w:ascii="Times New Roman" w:hAnsi="Times New Roman" w:cs="Times New Roman"/>
          <w:sz w:val="22"/>
          <w:szCs w:val="22"/>
        </w:rPr>
        <w:t xml:space="preserve">eveloping countries are disadvantaged because </w:t>
      </w:r>
      <w:r w:rsidR="000D5491" w:rsidRPr="00201DB3">
        <w:rPr>
          <w:rFonts w:ascii="Times New Roman" w:hAnsi="Times New Roman" w:cs="Times New Roman"/>
          <w:sz w:val="22"/>
          <w:szCs w:val="22"/>
        </w:rPr>
        <w:t>of a lack of public data on comparable enterprises</w:t>
      </w:r>
      <w:r w:rsidR="003C5332" w:rsidRPr="00201DB3">
        <w:rPr>
          <w:rStyle w:val="FootnoteReference"/>
          <w:rFonts w:ascii="Times New Roman" w:hAnsi="Times New Roman" w:cs="Times New Roman"/>
          <w:sz w:val="22"/>
          <w:szCs w:val="22"/>
        </w:rPr>
        <w:footnoteReference w:id="41"/>
      </w:r>
      <w:r w:rsidR="000D5491" w:rsidRPr="00201DB3">
        <w:rPr>
          <w:rFonts w:ascii="Times New Roman" w:hAnsi="Times New Roman" w:cs="Times New Roman"/>
          <w:sz w:val="22"/>
          <w:szCs w:val="22"/>
        </w:rPr>
        <w:t xml:space="preserve"> and </w:t>
      </w:r>
      <w:r w:rsidR="00615041" w:rsidRPr="00201DB3">
        <w:rPr>
          <w:rFonts w:ascii="Times New Roman" w:hAnsi="Times New Roman" w:cs="Times New Roman"/>
          <w:sz w:val="22"/>
          <w:szCs w:val="22"/>
        </w:rPr>
        <w:t>the</w:t>
      </w:r>
      <w:r w:rsidR="00E36845" w:rsidRPr="00201DB3">
        <w:rPr>
          <w:rFonts w:ascii="Times New Roman" w:hAnsi="Times New Roman" w:cs="Times New Roman"/>
          <w:sz w:val="22"/>
          <w:szCs w:val="22"/>
        </w:rPr>
        <w:t>ir</w:t>
      </w:r>
      <w:r w:rsidR="00615041" w:rsidRPr="00201DB3">
        <w:rPr>
          <w:rFonts w:ascii="Times New Roman" w:hAnsi="Times New Roman" w:cs="Times New Roman"/>
          <w:sz w:val="22"/>
          <w:szCs w:val="22"/>
        </w:rPr>
        <w:t xml:space="preserve"> domestic tax</w:t>
      </w:r>
      <w:r w:rsidR="00D852C2" w:rsidRPr="00201DB3">
        <w:rPr>
          <w:rFonts w:ascii="Times New Roman" w:hAnsi="Times New Roman" w:cs="Times New Roman"/>
          <w:sz w:val="22"/>
          <w:szCs w:val="22"/>
        </w:rPr>
        <w:t xml:space="preserve"> </w:t>
      </w:r>
      <w:r w:rsidR="00615041" w:rsidRPr="00201DB3">
        <w:rPr>
          <w:rFonts w:ascii="Times New Roman" w:hAnsi="Times New Roman" w:cs="Times New Roman"/>
          <w:sz w:val="22"/>
          <w:szCs w:val="22"/>
        </w:rPr>
        <w:t>administrative controls and enforcement mechanisms may be under resourced in</w:t>
      </w:r>
      <w:r w:rsidR="00980382" w:rsidRPr="00201DB3">
        <w:rPr>
          <w:rFonts w:ascii="Times New Roman" w:hAnsi="Times New Roman" w:cs="Times New Roman"/>
          <w:sz w:val="22"/>
          <w:szCs w:val="22"/>
        </w:rPr>
        <w:t xml:space="preserve"> the</w:t>
      </w:r>
      <w:r w:rsidR="00615041" w:rsidRPr="00201DB3">
        <w:rPr>
          <w:rFonts w:ascii="Times New Roman" w:hAnsi="Times New Roman" w:cs="Times New Roman"/>
          <w:sz w:val="22"/>
          <w:szCs w:val="22"/>
        </w:rPr>
        <w:t xml:space="preserve"> face of aggressive transfer pricing challenges</w:t>
      </w:r>
      <w:r w:rsidR="003C5332" w:rsidRPr="00201DB3">
        <w:rPr>
          <w:rStyle w:val="FootnoteReference"/>
          <w:rFonts w:ascii="Times New Roman" w:hAnsi="Times New Roman" w:cs="Times New Roman"/>
          <w:sz w:val="22"/>
          <w:szCs w:val="22"/>
        </w:rPr>
        <w:footnoteReference w:id="42"/>
      </w:r>
      <w:r w:rsidR="00615041" w:rsidRPr="00201DB3">
        <w:rPr>
          <w:rFonts w:ascii="Times New Roman" w:hAnsi="Times New Roman" w:cs="Times New Roman"/>
          <w:sz w:val="22"/>
          <w:szCs w:val="22"/>
        </w:rPr>
        <w:t xml:space="preserve"> </w:t>
      </w:r>
    </w:p>
    <w:p w14:paraId="34E0F870" w14:textId="35A7A360" w:rsidR="00646DB7" w:rsidRPr="00201DB3" w:rsidRDefault="00646DB7" w:rsidP="00201DB3">
      <w:pPr>
        <w:spacing w:after="0" w:line="240" w:lineRule="auto"/>
        <w:rPr>
          <w:rFonts w:ascii="Times New Roman" w:hAnsi="Times New Roman" w:cs="Times New Roman"/>
          <w:sz w:val="22"/>
          <w:szCs w:val="22"/>
        </w:rPr>
      </w:pPr>
    </w:p>
    <w:p w14:paraId="268BF2F8" w14:textId="7DD4F079" w:rsidR="00646DB7" w:rsidRPr="00201DB3" w:rsidRDefault="00DD3C40"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Proponents of formulary apportionment frequently cite</w:t>
      </w:r>
      <w:r w:rsidR="00646DB7" w:rsidRPr="00201DB3">
        <w:rPr>
          <w:rFonts w:ascii="Times New Roman" w:hAnsi="Times New Roman" w:cs="Times New Roman"/>
          <w:sz w:val="22"/>
          <w:szCs w:val="22"/>
        </w:rPr>
        <w:t xml:space="preserve"> instances where </w:t>
      </w:r>
      <w:r w:rsidRPr="00201DB3">
        <w:rPr>
          <w:rFonts w:ascii="Times New Roman" w:hAnsi="Times New Roman" w:cs="Times New Roman"/>
          <w:sz w:val="22"/>
          <w:szCs w:val="22"/>
        </w:rPr>
        <w:t>such an</w:t>
      </w:r>
      <w:r w:rsidR="00646DB7" w:rsidRPr="00201DB3">
        <w:rPr>
          <w:rFonts w:ascii="Times New Roman" w:hAnsi="Times New Roman" w:cs="Times New Roman"/>
          <w:sz w:val="22"/>
          <w:szCs w:val="22"/>
        </w:rPr>
        <w:t xml:space="preserve"> approach has operated for many years within a national context, including the US</w:t>
      </w:r>
      <w:r w:rsidR="00646DB7" w:rsidRPr="00201DB3">
        <w:rPr>
          <w:rStyle w:val="FootnoteReference"/>
          <w:rFonts w:ascii="Times New Roman" w:hAnsi="Times New Roman" w:cs="Times New Roman"/>
          <w:sz w:val="22"/>
          <w:szCs w:val="22"/>
        </w:rPr>
        <w:footnoteReference w:id="43"/>
      </w:r>
      <w:r w:rsidR="00646DB7" w:rsidRPr="00201DB3">
        <w:rPr>
          <w:rFonts w:ascii="Times New Roman" w:hAnsi="Times New Roman" w:cs="Times New Roman"/>
          <w:sz w:val="22"/>
          <w:szCs w:val="22"/>
        </w:rPr>
        <w:t>, Canada</w:t>
      </w:r>
      <w:r w:rsidR="00646DB7" w:rsidRPr="00201DB3">
        <w:rPr>
          <w:rStyle w:val="FootnoteReference"/>
          <w:rFonts w:ascii="Times New Roman" w:hAnsi="Times New Roman" w:cs="Times New Roman"/>
          <w:sz w:val="22"/>
          <w:szCs w:val="22"/>
        </w:rPr>
        <w:footnoteReference w:id="44"/>
      </w:r>
      <w:r w:rsidR="00646DB7" w:rsidRPr="00201DB3">
        <w:rPr>
          <w:rFonts w:ascii="Times New Roman" w:hAnsi="Times New Roman" w:cs="Times New Roman"/>
          <w:sz w:val="22"/>
          <w:szCs w:val="22"/>
        </w:rPr>
        <w:t xml:space="preserve"> and Germany</w:t>
      </w:r>
      <w:r w:rsidR="00093E8B" w:rsidRPr="00201DB3">
        <w:rPr>
          <w:rFonts w:ascii="Times New Roman" w:hAnsi="Times New Roman" w:cs="Times New Roman"/>
          <w:sz w:val="22"/>
          <w:szCs w:val="22"/>
        </w:rPr>
        <w:t>.</w:t>
      </w:r>
      <w:r w:rsidR="00646DB7" w:rsidRPr="00201DB3">
        <w:rPr>
          <w:rStyle w:val="FootnoteReference"/>
          <w:rFonts w:ascii="Times New Roman" w:hAnsi="Times New Roman" w:cs="Times New Roman"/>
          <w:sz w:val="22"/>
          <w:szCs w:val="22"/>
        </w:rPr>
        <w:footnoteReference w:id="45"/>
      </w:r>
      <w:r w:rsidR="00646DB7" w:rsidRPr="00201DB3">
        <w:rPr>
          <w:rFonts w:ascii="Times New Roman" w:hAnsi="Times New Roman" w:cs="Times New Roman"/>
          <w:sz w:val="22"/>
          <w:szCs w:val="22"/>
        </w:rPr>
        <w:t xml:space="preserve"> Some of the conclusions drawn from the work appraising formulary apportionment at a national level lend support to the adoption of an international formulary apportionment approach</w:t>
      </w:r>
      <w:r w:rsidR="00093E8B" w:rsidRPr="00201DB3">
        <w:rPr>
          <w:rFonts w:ascii="Times New Roman" w:hAnsi="Times New Roman" w:cs="Times New Roman"/>
          <w:sz w:val="22"/>
          <w:szCs w:val="22"/>
        </w:rPr>
        <w:t>,</w:t>
      </w:r>
      <w:r w:rsidR="00646DB7" w:rsidRPr="00201DB3">
        <w:rPr>
          <w:rStyle w:val="FootnoteReference"/>
          <w:rFonts w:ascii="Times New Roman" w:hAnsi="Times New Roman" w:cs="Times New Roman"/>
          <w:sz w:val="22"/>
          <w:szCs w:val="22"/>
        </w:rPr>
        <w:footnoteReference w:id="46"/>
      </w:r>
      <w:r w:rsidR="00646DB7" w:rsidRPr="00201DB3">
        <w:rPr>
          <w:rFonts w:ascii="Times New Roman" w:hAnsi="Times New Roman" w:cs="Times New Roman"/>
          <w:sz w:val="22"/>
          <w:szCs w:val="22"/>
        </w:rPr>
        <w:t xml:space="preserve"> although it also points to the scope for formulary apportionment to distort firm behaviour</w:t>
      </w:r>
      <w:r w:rsidR="00093E8B" w:rsidRPr="00201DB3">
        <w:rPr>
          <w:rFonts w:ascii="Times New Roman" w:hAnsi="Times New Roman" w:cs="Times New Roman"/>
          <w:sz w:val="22"/>
          <w:szCs w:val="22"/>
        </w:rPr>
        <w:t>.</w:t>
      </w:r>
      <w:r w:rsidR="00646DB7" w:rsidRPr="00201DB3">
        <w:rPr>
          <w:rStyle w:val="FootnoteReference"/>
          <w:rFonts w:ascii="Times New Roman" w:hAnsi="Times New Roman" w:cs="Times New Roman"/>
          <w:sz w:val="22"/>
          <w:szCs w:val="22"/>
        </w:rPr>
        <w:footnoteReference w:id="47"/>
      </w:r>
      <w:r w:rsidR="00646DB7" w:rsidRPr="00201DB3">
        <w:rPr>
          <w:rFonts w:ascii="Times New Roman" w:hAnsi="Times New Roman" w:cs="Times New Roman"/>
          <w:sz w:val="22"/>
          <w:szCs w:val="22"/>
        </w:rPr>
        <w:t xml:space="preserve"> Formulary apportionment may lead to factor shifting, that is, manipulation of the elements of the formula, instead of profit shifting</w:t>
      </w:r>
      <w:r w:rsidR="00F22330" w:rsidRPr="00201DB3">
        <w:rPr>
          <w:rFonts w:ascii="Times New Roman" w:hAnsi="Times New Roman" w:cs="Times New Roman"/>
          <w:sz w:val="22"/>
          <w:szCs w:val="22"/>
        </w:rPr>
        <w:t>;</w:t>
      </w:r>
      <w:r w:rsidR="00646DB7" w:rsidRPr="00201DB3">
        <w:rPr>
          <w:rStyle w:val="FootnoteReference"/>
          <w:rFonts w:ascii="Times New Roman" w:hAnsi="Times New Roman" w:cs="Times New Roman"/>
          <w:sz w:val="22"/>
          <w:szCs w:val="22"/>
        </w:rPr>
        <w:footnoteReference w:id="48"/>
      </w:r>
      <w:r w:rsidR="00F22330" w:rsidRPr="00201DB3">
        <w:rPr>
          <w:rFonts w:ascii="Times New Roman" w:hAnsi="Times New Roman" w:cs="Times New Roman"/>
          <w:sz w:val="22"/>
          <w:szCs w:val="22"/>
        </w:rPr>
        <w:t xml:space="preserve"> </w:t>
      </w:r>
      <w:r w:rsidR="0097720E" w:rsidRPr="00201DB3">
        <w:rPr>
          <w:rFonts w:ascii="Times New Roman" w:hAnsi="Times New Roman" w:cs="Times New Roman"/>
          <w:sz w:val="22"/>
          <w:szCs w:val="22"/>
        </w:rPr>
        <w:t>It is likely that new forms of avoidance would emerge</w:t>
      </w:r>
      <w:r w:rsidR="00F22330" w:rsidRPr="00201DB3">
        <w:rPr>
          <w:rStyle w:val="FootnoteReference"/>
          <w:rFonts w:ascii="Times New Roman" w:hAnsi="Times New Roman" w:cs="Times New Roman"/>
          <w:sz w:val="22"/>
          <w:szCs w:val="22"/>
        </w:rPr>
        <w:footnoteReference w:id="49"/>
      </w:r>
      <w:r w:rsidR="0097720E" w:rsidRPr="00201DB3">
        <w:rPr>
          <w:rFonts w:ascii="Times New Roman" w:hAnsi="Times New Roman" w:cs="Times New Roman"/>
          <w:sz w:val="22"/>
          <w:szCs w:val="22"/>
        </w:rPr>
        <w:t xml:space="preserve">, for example </w:t>
      </w:r>
      <w:r w:rsidR="00AF4261" w:rsidRPr="00201DB3">
        <w:rPr>
          <w:rFonts w:ascii="Times New Roman" w:hAnsi="Times New Roman" w:cs="Times New Roman"/>
          <w:sz w:val="22"/>
          <w:szCs w:val="22"/>
        </w:rPr>
        <w:t xml:space="preserve">with respect to </w:t>
      </w:r>
      <w:r w:rsidR="0097720E" w:rsidRPr="00201DB3">
        <w:rPr>
          <w:rFonts w:ascii="Times New Roman" w:hAnsi="Times New Roman" w:cs="Times New Roman"/>
          <w:sz w:val="22"/>
          <w:szCs w:val="22"/>
        </w:rPr>
        <w:t>the sales factor which can be inflated through the inclusion of, for example, hedging transactions.</w:t>
      </w:r>
      <w:r w:rsidR="0097720E" w:rsidRPr="00201DB3">
        <w:rPr>
          <w:rStyle w:val="FootnoteReference"/>
          <w:rFonts w:ascii="Times New Roman" w:hAnsi="Times New Roman" w:cs="Times New Roman"/>
          <w:sz w:val="22"/>
          <w:szCs w:val="22"/>
        </w:rPr>
        <w:footnoteReference w:id="50"/>
      </w:r>
      <w:r w:rsidR="0097720E" w:rsidRPr="00201DB3">
        <w:rPr>
          <w:rFonts w:ascii="Times New Roman" w:hAnsi="Times New Roman" w:cs="Times New Roman"/>
          <w:sz w:val="22"/>
          <w:szCs w:val="22"/>
        </w:rPr>
        <w:t xml:space="preserve"> </w:t>
      </w:r>
      <w:r w:rsidR="00646DB7" w:rsidRPr="00201DB3">
        <w:rPr>
          <w:rFonts w:ascii="Times New Roman" w:hAnsi="Times New Roman" w:cs="Times New Roman"/>
          <w:sz w:val="22"/>
          <w:szCs w:val="22"/>
        </w:rPr>
        <w:t>Furthermore, it is a significant challenge to obtain international consensus to a move to a formulary approach, and what formula to use is recognised.  Any major change or transition to formulary apportionment is likely to be a long process</w:t>
      </w:r>
      <w:r w:rsidR="00646DB7" w:rsidRPr="00201DB3">
        <w:rPr>
          <w:rStyle w:val="FootnoteReference"/>
          <w:rFonts w:ascii="Times New Roman" w:hAnsi="Times New Roman" w:cs="Times New Roman"/>
          <w:sz w:val="22"/>
          <w:szCs w:val="22"/>
        </w:rPr>
        <w:footnoteReference w:id="51"/>
      </w:r>
      <w:r w:rsidR="00646DB7" w:rsidRPr="00201DB3">
        <w:rPr>
          <w:rFonts w:ascii="Times New Roman" w:hAnsi="Times New Roman" w:cs="Times New Roman"/>
          <w:sz w:val="22"/>
          <w:szCs w:val="22"/>
        </w:rPr>
        <w:t xml:space="preserve"> with significant transaction costs</w:t>
      </w:r>
      <w:r w:rsidR="00646DB7" w:rsidRPr="00201DB3">
        <w:rPr>
          <w:rStyle w:val="FootnoteReference"/>
          <w:rFonts w:ascii="Times New Roman" w:hAnsi="Times New Roman" w:cs="Times New Roman"/>
          <w:sz w:val="22"/>
          <w:szCs w:val="22"/>
        </w:rPr>
        <w:footnoteReference w:id="52"/>
      </w:r>
      <w:r w:rsidR="00646DB7" w:rsidRPr="00201DB3">
        <w:rPr>
          <w:rFonts w:ascii="Times New Roman" w:hAnsi="Times New Roman" w:cs="Times New Roman"/>
          <w:sz w:val="22"/>
          <w:szCs w:val="22"/>
        </w:rPr>
        <w:t xml:space="preserve"> There are also recurring accounting concerns about the measurement of the formula components, the profits that form the tax base</w:t>
      </w:r>
      <w:r w:rsidR="00646DB7" w:rsidRPr="00201DB3">
        <w:rPr>
          <w:rStyle w:val="FootnoteReference"/>
          <w:rFonts w:ascii="Times New Roman" w:hAnsi="Times New Roman" w:cs="Times New Roman"/>
          <w:sz w:val="22"/>
          <w:szCs w:val="22"/>
        </w:rPr>
        <w:footnoteReference w:id="53"/>
      </w:r>
      <w:r w:rsidR="00646DB7" w:rsidRPr="00201DB3">
        <w:rPr>
          <w:rFonts w:ascii="Times New Roman" w:hAnsi="Times New Roman" w:cs="Times New Roman"/>
          <w:sz w:val="22"/>
          <w:szCs w:val="22"/>
        </w:rPr>
        <w:t xml:space="preserve"> and the companies that constitute the group</w:t>
      </w:r>
      <w:r w:rsidR="00646DB7" w:rsidRPr="00201DB3">
        <w:rPr>
          <w:rStyle w:val="FootnoteReference"/>
          <w:rFonts w:ascii="Times New Roman" w:hAnsi="Times New Roman" w:cs="Times New Roman"/>
          <w:sz w:val="22"/>
          <w:szCs w:val="22"/>
        </w:rPr>
        <w:footnoteReference w:id="54"/>
      </w:r>
      <w:r w:rsidR="00646DB7" w:rsidRPr="00201DB3">
        <w:rPr>
          <w:rFonts w:ascii="Times New Roman" w:hAnsi="Times New Roman" w:cs="Times New Roman"/>
          <w:sz w:val="22"/>
          <w:szCs w:val="22"/>
        </w:rPr>
        <w:t xml:space="preserve">. </w:t>
      </w:r>
    </w:p>
    <w:p w14:paraId="7B3366AC" w14:textId="77777777" w:rsidR="00646DB7" w:rsidRPr="00201DB3" w:rsidRDefault="00646DB7" w:rsidP="00201DB3">
      <w:pPr>
        <w:spacing w:after="0" w:line="240" w:lineRule="auto"/>
        <w:rPr>
          <w:rFonts w:ascii="Times New Roman" w:hAnsi="Times New Roman" w:cs="Times New Roman"/>
          <w:sz w:val="22"/>
          <w:szCs w:val="22"/>
        </w:rPr>
      </w:pPr>
    </w:p>
    <w:p w14:paraId="34D50A2A" w14:textId="21BB5E01" w:rsidR="006B2977" w:rsidRPr="00201DB3" w:rsidRDefault="00BD3A24"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Most proponents of formulary apportionment do not present it as a panacea to the challenges of international taxation, rather an approach that diminishes, rather than fully resolves, the incentive and opportunity for income shifting, and also the challenges of transfer pricing administration. </w:t>
      </w:r>
      <w:r w:rsidR="00EC15AA" w:rsidRPr="00201DB3">
        <w:rPr>
          <w:rFonts w:ascii="Times New Roman" w:hAnsi="Times New Roman" w:cs="Times New Roman"/>
          <w:sz w:val="22"/>
          <w:szCs w:val="22"/>
        </w:rPr>
        <w:t xml:space="preserve">In </w:t>
      </w:r>
      <w:r w:rsidR="00451144" w:rsidRPr="00201DB3">
        <w:rPr>
          <w:rFonts w:ascii="Times New Roman" w:hAnsi="Times New Roman" w:cs="Times New Roman"/>
          <w:sz w:val="22"/>
          <w:szCs w:val="22"/>
        </w:rPr>
        <w:t>terms of transfer pricing management and administration</w:t>
      </w:r>
      <w:r w:rsidR="00E66872" w:rsidRPr="00201DB3">
        <w:rPr>
          <w:rFonts w:ascii="Times New Roman" w:hAnsi="Times New Roman" w:cs="Times New Roman"/>
          <w:sz w:val="22"/>
          <w:szCs w:val="22"/>
        </w:rPr>
        <w:t>,</w:t>
      </w:r>
      <w:r w:rsidR="00EC15AA" w:rsidRPr="00201DB3">
        <w:rPr>
          <w:rFonts w:ascii="Times New Roman" w:hAnsi="Times New Roman" w:cs="Times New Roman"/>
          <w:sz w:val="22"/>
          <w:szCs w:val="22"/>
        </w:rPr>
        <w:t xml:space="preserve"> there is little disagreement as to the </w:t>
      </w:r>
      <w:r w:rsidR="00615041" w:rsidRPr="00201DB3">
        <w:rPr>
          <w:rFonts w:ascii="Times New Roman" w:hAnsi="Times New Roman" w:cs="Times New Roman"/>
          <w:sz w:val="22"/>
          <w:szCs w:val="22"/>
        </w:rPr>
        <w:t xml:space="preserve">nature of the </w:t>
      </w:r>
      <w:r w:rsidR="00EC15AA" w:rsidRPr="00201DB3">
        <w:rPr>
          <w:rFonts w:ascii="Times New Roman" w:hAnsi="Times New Roman" w:cs="Times New Roman"/>
          <w:sz w:val="22"/>
          <w:szCs w:val="22"/>
        </w:rPr>
        <w:t xml:space="preserve">respective advantages and disadvantages of the ALP and </w:t>
      </w:r>
      <w:r w:rsidR="001936EE" w:rsidRPr="00201DB3">
        <w:rPr>
          <w:rFonts w:ascii="Times New Roman" w:hAnsi="Times New Roman" w:cs="Times New Roman"/>
          <w:sz w:val="22"/>
          <w:szCs w:val="22"/>
        </w:rPr>
        <w:t>formulary apportionment</w:t>
      </w:r>
      <w:r w:rsidR="0080640D" w:rsidRPr="00201DB3">
        <w:rPr>
          <w:rFonts w:ascii="Times New Roman" w:hAnsi="Times New Roman" w:cs="Times New Roman"/>
          <w:sz w:val="22"/>
          <w:szCs w:val="22"/>
        </w:rPr>
        <w:t xml:space="preserve">; </w:t>
      </w:r>
      <w:r w:rsidR="00451144" w:rsidRPr="00201DB3">
        <w:rPr>
          <w:rFonts w:ascii="Times New Roman" w:hAnsi="Times New Roman" w:cs="Times New Roman"/>
          <w:sz w:val="22"/>
          <w:szCs w:val="22"/>
        </w:rPr>
        <w:t>rather disagreement stems from the weighting given to each of these</w:t>
      </w:r>
      <w:r w:rsidR="005E3768" w:rsidRPr="00201DB3">
        <w:rPr>
          <w:rFonts w:ascii="Times New Roman" w:hAnsi="Times New Roman" w:cs="Times New Roman"/>
          <w:sz w:val="22"/>
          <w:szCs w:val="22"/>
        </w:rPr>
        <w:t>.</w:t>
      </w:r>
      <w:r w:rsidR="00D852C2" w:rsidRPr="00201DB3">
        <w:rPr>
          <w:rFonts w:ascii="Times New Roman" w:hAnsi="Times New Roman" w:cs="Times New Roman"/>
          <w:sz w:val="22"/>
          <w:szCs w:val="22"/>
        </w:rPr>
        <w:t xml:space="preserve"> </w:t>
      </w:r>
      <w:r w:rsidR="00EC15AA" w:rsidRPr="00201DB3">
        <w:rPr>
          <w:rFonts w:ascii="Times New Roman" w:hAnsi="Times New Roman" w:cs="Times New Roman"/>
          <w:sz w:val="22"/>
          <w:szCs w:val="22"/>
        </w:rPr>
        <w:t>For the ALP</w:t>
      </w:r>
      <w:r w:rsidR="005E3768" w:rsidRPr="00201DB3">
        <w:rPr>
          <w:rFonts w:ascii="Times New Roman" w:hAnsi="Times New Roman" w:cs="Times New Roman"/>
          <w:sz w:val="22"/>
          <w:szCs w:val="22"/>
        </w:rPr>
        <w:t>,</w:t>
      </w:r>
      <w:r w:rsidR="00EC15AA" w:rsidRPr="00201DB3">
        <w:rPr>
          <w:rFonts w:ascii="Times New Roman" w:hAnsi="Times New Roman" w:cs="Times New Roman"/>
          <w:sz w:val="22"/>
          <w:szCs w:val="22"/>
        </w:rPr>
        <w:t xml:space="preserve"> there is a tension between the ability of a broad principle to adapt to different circumstances and the complexity and uncertainty this brings; </w:t>
      </w:r>
      <w:r w:rsidR="00287C00" w:rsidRPr="00201DB3">
        <w:rPr>
          <w:rFonts w:ascii="Times New Roman" w:hAnsi="Times New Roman" w:cs="Times New Roman"/>
          <w:sz w:val="22"/>
          <w:szCs w:val="22"/>
        </w:rPr>
        <w:t>conversely</w:t>
      </w:r>
      <w:r w:rsidR="00EC15AA" w:rsidRPr="00201DB3">
        <w:rPr>
          <w:rFonts w:ascii="Times New Roman" w:hAnsi="Times New Roman" w:cs="Times New Roman"/>
          <w:sz w:val="22"/>
          <w:szCs w:val="22"/>
        </w:rPr>
        <w:t xml:space="preserve"> </w:t>
      </w:r>
      <w:r w:rsidR="001936EE" w:rsidRPr="00201DB3">
        <w:rPr>
          <w:rFonts w:ascii="Times New Roman" w:hAnsi="Times New Roman" w:cs="Times New Roman"/>
          <w:sz w:val="22"/>
          <w:szCs w:val="22"/>
        </w:rPr>
        <w:t>formulary apportionment</w:t>
      </w:r>
      <w:r w:rsidR="00EC15AA" w:rsidRPr="00201DB3">
        <w:rPr>
          <w:rFonts w:ascii="Times New Roman" w:hAnsi="Times New Roman" w:cs="Times New Roman"/>
          <w:sz w:val="22"/>
          <w:szCs w:val="22"/>
        </w:rPr>
        <w:t xml:space="preserve"> </w:t>
      </w:r>
      <w:r w:rsidR="00287C00" w:rsidRPr="00201DB3">
        <w:rPr>
          <w:rFonts w:ascii="Times New Roman" w:hAnsi="Times New Roman" w:cs="Times New Roman"/>
          <w:sz w:val="22"/>
          <w:szCs w:val="22"/>
        </w:rPr>
        <w:t>involves</w:t>
      </w:r>
      <w:r w:rsidR="00EC15AA" w:rsidRPr="00201DB3">
        <w:rPr>
          <w:rFonts w:ascii="Times New Roman" w:hAnsi="Times New Roman" w:cs="Times New Roman"/>
          <w:sz w:val="22"/>
          <w:szCs w:val="22"/>
        </w:rPr>
        <w:t xml:space="preserve"> a tension between a more straightforward </w:t>
      </w:r>
      <w:r w:rsidR="0027496B" w:rsidRPr="00201DB3">
        <w:rPr>
          <w:rFonts w:ascii="Times New Roman" w:hAnsi="Times New Roman" w:cs="Times New Roman"/>
          <w:sz w:val="22"/>
          <w:szCs w:val="22"/>
        </w:rPr>
        <w:t>system that</w:t>
      </w:r>
      <w:r w:rsidR="00EC15AA" w:rsidRPr="00201DB3">
        <w:rPr>
          <w:rFonts w:ascii="Times New Roman" w:hAnsi="Times New Roman" w:cs="Times New Roman"/>
          <w:sz w:val="22"/>
          <w:szCs w:val="22"/>
        </w:rPr>
        <w:t xml:space="preserve"> is rigid and sometimes </w:t>
      </w:r>
      <w:bookmarkStart w:id="3" w:name="_Hlk2420204"/>
      <w:r w:rsidR="00EC15AA" w:rsidRPr="00201DB3">
        <w:rPr>
          <w:rFonts w:ascii="Times New Roman" w:hAnsi="Times New Roman" w:cs="Times New Roman"/>
          <w:sz w:val="22"/>
          <w:szCs w:val="22"/>
        </w:rPr>
        <w:t>distortive</w:t>
      </w:r>
      <w:r w:rsidR="004172DE" w:rsidRPr="00201DB3">
        <w:rPr>
          <w:rFonts w:ascii="Times New Roman" w:hAnsi="Times New Roman" w:cs="Times New Roman"/>
          <w:sz w:val="22"/>
          <w:szCs w:val="22"/>
        </w:rPr>
        <w:t xml:space="preserve"> in the sense that profit allocation is no longer </w:t>
      </w:r>
      <w:r w:rsidR="00656CDC" w:rsidRPr="00201DB3">
        <w:rPr>
          <w:rFonts w:ascii="Times New Roman" w:hAnsi="Times New Roman" w:cs="Times New Roman"/>
          <w:sz w:val="22"/>
          <w:szCs w:val="22"/>
        </w:rPr>
        <w:t xml:space="preserve">necessarily </w:t>
      </w:r>
      <w:r w:rsidR="004172DE" w:rsidRPr="00201DB3">
        <w:rPr>
          <w:rFonts w:ascii="Times New Roman" w:hAnsi="Times New Roman" w:cs="Times New Roman"/>
          <w:sz w:val="22"/>
          <w:szCs w:val="22"/>
        </w:rPr>
        <w:t xml:space="preserve">tied to </w:t>
      </w:r>
      <w:r w:rsidR="00656CDC" w:rsidRPr="00201DB3">
        <w:rPr>
          <w:rFonts w:ascii="Times New Roman" w:hAnsi="Times New Roman" w:cs="Times New Roman"/>
          <w:sz w:val="22"/>
          <w:szCs w:val="22"/>
        </w:rPr>
        <w:t>broader notions of economic activity</w:t>
      </w:r>
      <w:bookmarkEnd w:id="3"/>
      <w:r w:rsidR="00EC15AA" w:rsidRPr="00201DB3">
        <w:rPr>
          <w:rFonts w:ascii="Times New Roman" w:hAnsi="Times New Roman" w:cs="Times New Roman"/>
          <w:sz w:val="22"/>
          <w:szCs w:val="22"/>
        </w:rPr>
        <w:t>.</w:t>
      </w:r>
      <w:r w:rsidR="00656CDC" w:rsidRPr="00201DB3">
        <w:rPr>
          <w:rStyle w:val="FootnoteReference"/>
          <w:rFonts w:ascii="Times New Roman" w:hAnsi="Times New Roman" w:cs="Times New Roman"/>
          <w:sz w:val="22"/>
          <w:szCs w:val="22"/>
        </w:rPr>
        <w:footnoteReference w:id="55"/>
      </w:r>
      <w:r w:rsidR="005E7758" w:rsidRPr="00201DB3">
        <w:rPr>
          <w:rFonts w:ascii="Times New Roman" w:hAnsi="Times New Roman" w:cs="Times New Roman"/>
          <w:sz w:val="22"/>
          <w:szCs w:val="22"/>
        </w:rPr>
        <w:t xml:space="preserve"> </w:t>
      </w:r>
      <w:r w:rsidR="00E62FA2" w:rsidRPr="00201DB3">
        <w:rPr>
          <w:rFonts w:ascii="Times New Roman" w:hAnsi="Times New Roman" w:cs="Times New Roman"/>
          <w:sz w:val="22"/>
          <w:szCs w:val="22"/>
        </w:rPr>
        <w:t xml:space="preserve">The </w:t>
      </w:r>
      <w:r w:rsidR="00451144" w:rsidRPr="00201DB3">
        <w:rPr>
          <w:rFonts w:ascii="Times New Roman" w:hAnsi="Times New Roman" w:cs="Times New Roman"/>
          <w:sz w:val="22"/>
          <w:szCs w:val="22"/>
        </w:rPr>
        <w:t>vague</w:t>
      </w:r>
      <w:r w:rsidR="00B75D46" w:rsidRPr="00201DB3">
        <w:rPr>
          <w:rFonts w:ascii="Times New Roman" w:hAnsi="Times New Roman" w:cs="Times New Roman"/>
          <w:sz w:val="22"/>
          <w:szCs w:val="22"/>
        </w:rPr>
        <w:t xml:space="preserve">ness </w:t>
      </w:r>
      <w:r w:rsidR="0051193A" w:rsidRPr="00201DB3">
        <w:rPr>
          <w:rFonts w:ascii="Times New Roman" w:hAnsi="Times New Roman" w:cs="Times New Roman"/>
          <w:sz w:val="22"/>
          <w:szCs w:val="22"/>
        </w:rPr>
        <w:t>of the ALP</w:t>
      </w:r>
      <w:r w:rsidR="00451144" w:rsidRPr="00201DB3">
        <w:rPr>
          <w:rFonts w:ascii="Times New Roman" w:hAnsi="Times New Roman" w:cs="Times New Roman"/>
          <w:sz w:val="22"/>
          <w:szCs w:val="22"/>
        </w:rPr>
        <w:t xml:space="preserve"> </w:t>
      </w:r>
      <w:r w:rsidR="000E5C55" w:rsidRPr="00201DB3">
        <w:rPr>
          <w:rFonts w:ascii="Times New Roman" w:hAnsi="Times New Roman" w:cs="Times New Roman"/>
          <w:sz w:val="22"/>
          <w:szCs w:val="22"/>
        </w:rPr>
        <w:t xml:space="preserve">means it can evolve to accommodate different circumstances and can </w:t>
      </w:r>
      <w:r w:rsidR="00451144" w:rsidRPr="00201DB3">
        <w:rPr>
          <w:rFonts w:ascii="Times New Roman" w:hAnsi="Times New Roman" w:cs="Times New Roman"/>
          <w:sz w:val="22"/>
          <w:szCs w:val="22"/>
        </w:rPr>
        <w:t xml:space="preserve">cover very different transactions and situations. However, the disadvantage of such flexibility is the consequent lack of certainty as to whether transfer prices will be acceptable to the relevant tax authorities </w:t>
      </w:r>
      <w:r w:rsidR="00B348B4" w:rsidRPr="00201DB3">
        <w:rPr>
          <w:rFonts w:ascii="Times New Roman" w:hAnsi="Times New Roman" w:cs="Times New Roman"/>
          <w:sz w:val="22"/>
          <w:szCs w:val="22"/>
        </w:rPr>
        <w:t>giving rise to uncertainty and the risk of double taxation</w:t>
      </w:r>
      <w:r w:rsidR="008870C7" w:rsidRPr="00201DB3">
        <w:rPr>
          <w:rFonts w:ascii="Times New Roman" w:hAnsi="Times New Roman" w:cs="Times New Roman"/>
          <w:sz w:val="22"/>
          <w:szCs w:val="22"/>
        </w:rPr>
        <w:t xml:space="preserve">. </w:t>
      </w:r>
      <w:r w:rsidR="00615041" w:rsidRPr="00201DB3">
        <w:rPr>
          <w:rFonts w:ascii="Times New Roman" w:hAnsi="Times New Roman" w:cs="Times New Roman"/>
          <w:sz w:val="22"/>
          <w:szCs w:val="22"/>
        </w:rPr>
        <w:t>Uncertainty is largely due to the lack of comparables</w:t>
      </w:r>
      <w:r w:rsidR="00B55F12" w:rsidRPr="00201DB3">
        <w:rPr>
          <w:rFonts w:ascii="Times New Roman" w:hAnsi="Times New Roman" w:cs="Times New Roman"/>
          <w:sz w:val="22"/>
          <w:szCs w:val="22"/>
        </w:rPr>
        <w:t>,</w:t>
      </w:r>
      <w:r w:rsidR="00615041" w:rsidRPr="00201DB3">
        <w:rPr>
          <w:rFonts w:ascii="Times New Roman" w:hAnsi="Times New Roman" w:cs="Times New Roman"/>
          <w:sz w:val="22"/>
          <w:szCs w:val="22"/>
        </w:rPr>
        <w:t xml:space="preserve"> and a clear standard for ascertaining and judging compliance</w:t>
      </w:r>
      <w:r w:rsidR="0051193A" w:rsidRPr="00201DB3">
        <w:rPr>
          <w:rFonts w:ascii="Times New Roman" w:hAnsi="Times New Roman" w:cs="Times New Roman"/>
          <w:sz w:val="22"/>
          <w:szCs w:val="22"/>
        </w:rPr>
        <w:t>, which is evidenced by</w:t>
      </w:r>
      <w:r w:rsidR="00287C00" w:rsidRPr="00201DB3">
        <w:rPr>
          <w:rFonts w:ascii="Times New Roman" w:hAnsi="Times New Roman" w:cs="Times New Roman"/>
          <w:sz w:val="22"/>
          <w:szCs w:val="22"/>
        </w:rPr>
        <w:t xml:space="preserve"> “absurdly complex” </w:t>
      </w:r>
      <w:r w:rsidR="0051193A" w:rsidRPr="00201DB3">
        <w:rPr>
          <w:rFonts w:ascii="Times New Roman" w:hAnsi="Times New Roman" w:cs="Times New Roman"/>
          <w:sz w:val="22"/>
          <w:szCs w:val="22"/>
        </w:rPr>
        <w:t>documentation requirements</w:t>
      </w:r>
      <w:r w:rsidR="003C5332" w:rsidRPr="00201DB3">
        <w:rPr>
          <w:rStyle w:val="FootnoteReference"/>
          <w:rFonts w:ascii="Times New Roman" w:hAnsi="Times New Roman" w:cs="Times New Roman"/>
          <w:sz w:val="22"/>
          <w:szCs w:val="22"/>
        </w:rPr>
        <w:footnoteReference w:id="56"/>
      </w:r>
      <w:r w:rsidR="006B2977" w:rsidRPr="00201DB3">
        <w:rPr>
          <w:rFonts w:ascii="Times New Roman" w:hAnsi="Times New Roman" w:cs="Times New Roman"/>
          <w:sz w:val="22"/>
          <w:szCs w:val="22"/>
        </w:rPr>
        <w:t xml:space="preserve">. The fact intensive nature of transfer pricing management </w:t>
      </w:r>
      <w:r w:rsidR="009019C4" w:rsidRPr="00201DB3">
        <w:rPr>
          <w:rFonts w:ascii="Times New Roman" w:hAnsi="Times New Roman" w:cs="Times New Roman"/>
          <w:sz w:val="22"/>
          <w:szCs w:val="22"/>
        </w:rPr>
        <w:t xml:space="preserve">under the ALP </w:t>
      </w:r>
      <w:r w:rsidR="004272F9" w:rsidRPr="00201DB3">
        <w:rPr>
          <w:rFonts w:ascii="Times New Roman" w:hAnsi="Times New Roman" w:cs="Times New Roman"/>
          <w:sz w:val="22"/>
          <w:szCs w:val="22"/>
        </w:rPr>
        <w:t>can lead to</w:t>
      </w:r>
      <w:r w:rsidR="006B2977" w:rsidRPr="00201DB3">
        <w:rPr>
          <w:rFonts w:ascii="Times New Roman" w:hAnsi="Times New Roman" w:cs="Times New Roman"/>
          <w:sz w:val="22"/>
          <w:szCs w:val="22"/>
        </w:rPr>
        <w:t>,</w:t>
      </w:r>
      <w:r w:rsidR="004272F9" w:rsidRPr="00201DB3">
        <w:rPr>
          <w:rFonts w:ascii="Times New Roman" w:hAnsi="Times New Roman" w:cs="Times New Roman"/>
          <w:sz w:val="22"/>
          <w:szCs w:val="22"/>
        </w:rPr>
        <w:t xml:space="preserve"> </w:t>
      </w:r>
      <w:r w:rsidR="00324375" w:rsidRPr="00201DB3">
        <w:rPr>
          <w:rFonts w:ascii="Times New Roman" w:hAnsi="Times New Roman" w:cs="Times New Roman"/>
          <w:sz w:val="22"/>
          <w:szCs w:val="22"/>
        </w:rPr>
        <w:t>or exacerbate</w:t>
      </w:r>
      <w:r w:rsidR="006B2977" w:rsidRPr="00201DB3">
        <w:rPr>
          <w:rFonts w:ascii="Times New Roman" w:hAnsi="Times New Roman" w:cs="Times New Roman"/>
          <w:sz w:val="22"/>
          <w:szCs w:val="22"/>
        </w:rPr>
        <w:t>,</w:t>
      </w:r>
      <w:r w:rsidR="00324375" w:rsidRPr="00201DB3">
        <w:rPr>
          <w:rFonts w:ascii="Times New Roman" w:hAnsi="Times New Roman" w:cs="Times New Roman"/>
          <w:sz w:val="22"/>
          <w:szCs w:val="22"/>
        </w:rPr>
        <w:t xml:space="preserve"> </w:t>
      </w:r>
      <w:r w:rsidR="004272F9" w:rsidRPr="00201DB3">
        <w:rPr>
          <w:rFonts w:ascii="Times New Roman" w:hAnsi="Times New Roman" w:cs="Times New Roman"/>
          <w:sz w:val="22"/>
          <w:szCs w:val="22"/>
        </w:rPr>
        <w:t>disagreement between tax authorities</w:t>
      </w:r>
      <w:r w:rsidR="0088249B" w:rsidRPr="00201DB3">
        <w:rPr>
          <w:rFonts w:ascii="Times New Roman" w:hAnsi="Times New Roman" w:cs="Times New Roman"/>
          <w:sz w:val="22"/>
          <w:szCs w:val="22"/>
        </w:rPr>
        <w:t xml:space="preserve">, leading to </w:t>
      </w:r>
      <w:r w:rsidR="005E7758" w:rsidRPr="00201DB3">
        <w:rPr>
          <w:rFonts w:ascii="Times New Roman" w:hAnsi="Times New Roman" w:cs="Times New Roman"/>
          <w:sz w:val="22"/>
          <w:szCs w:val="22"/>
        </w:rPr>
        <w:t xml:space="preserve">unpredictable </w:t>
      </w:r>
      <w:r w:rsidR="0088249B" w:rsidRPr="00201DB3">
        <w:rPr>
          <w:rFonts w:ascii="Times New Roman" w:hAnsi="Times New Roman" w:cs="Times New Roman"/>
          <w:sz w:val="22"/>
          <w:szCs w:val="22"/>
        </w:rPr>
        <w:t>double taxation</w:t>
      </w:r>
      <w:r w:rsidR="008870C7" w:rsidRPr="00201DB3">
        <w:rPr>
          <w:rFonts w:ascii="Times New Roman" w:hAnsi="Times New Roman" w:cs="Times New Roman"/>
          <w:sz w:val="22"/>
          <w:szCs w:val="22"/>
        </w:rPr>
        <w:t>.</w:t>
      </w:r>
      <w:r w:rsidR="000E5C55" w:rsidRPr="00201DB3">
        <w:rPr>
          <w:rFonts w:ascii="Times New Roman" w:hAnsi="Times New Roman" w:cs="Times New Roman"/>
          <w:sz w:val="22"/>
          <w:szCs w:val="22"/>
        </w:rPr>
        <w:t xml:space="preserve"> </w:t>
      </w:r>
      <w:r w:rsidR="008870C7" w:rsidRPr="00201DB3">
        <w:rPr>
          <w:rFonts w:ascii="Times New Roman" w:hAnsi="Times New Roman" w:cs="Times New Roman"/>
          <w:sz w:val="22"/>
          <w:szCs w:val="22"/>
        </w:rPr>
        <w:t>There is potential for formulary apportionment to give rise to double taxation</w:t>
      </w:r>
      <w:r w:rsidR="00172F9E" w:rsidRPr="00201DB3">
        <w:rPr>
          <w:rFonts w:ascii="Times New Roman" w:hAnsi="Times New Roman" w:cs="Times New Roman"/>
          <w:sz w:val="22"/>
          <w:szCs w:val="22"/>
        </w:rPr>
        <w:t>, when some countries adopt different formulas</w:t>
      </w:r>
      <w:r w:rsidR="005E7758" w:rsidRPr="00201DB3">
        <w:rPr>
          <w:rFonts w:ascii="Times New Roman" w:hAnsi="Times New Roman" w:cs="Times New Roman"/>
          <w:sz w:val="22"/>
          <w:szCs w:val="22"/>
        </w:rPr>
        <w:t xml:space="preserve">; </w:t>
      </w:r>
      <w:r w:rsidR="008870C7" w:rsidRPr="00201DB3">
        <w:rPr>
          <w:rFonts w:ascii="Times New Roman" w:hAnsi="Times New Roman" w:cs="Times New Roman"/>
          <w:sz w:val="22"/>
          <w:szCs w:val="22"/>
        </w:rPr>
        <w:t xml:space="preserve">but </w:t>
      </w:r>
      <w:r w:rsidR="00821AAA" w:rsidRPr="00201DB3">
        <w:rPr>
          <w:rFonts w:ascii="Times New Roman" w:hAnsi="Times New Roman" w:cs="Times New Roman"/>
          <w:sz w:val="22"/>
          <w:szCs w:val="22"/>
        </w:rPr>
        <w:t xml:space="preserve">it has been countered that, </w:t>
      </w:r>
      <w:r w:rsidR="005E7758" w:rsidRPr="00201DB3">
        <w:rPr>
          <w:rFonts w:ascii="Times New Roman" w:hAnsi="Times New Roman" w:cs="Times New Roman"/>
          <w:sz w:val="22"/>
          <w:szCs w:val="22"/>
        </w:rPr>
        <w:t>under</w:t>
      </w:r>
      <w:r w:rsidR="00821AAA" w:rsidRPr="00201DB3">
        <w:rPr>
          <w:rFonts w:ascii="Times New Roman" w:hAnsi="Times New Roman" w:cs="Times New Roman"/>
          <w:sz w:val="22"/>
          <w:szCs w:val="22"/>
        </w:rPr>
        <w:t xml:space="preserve"> </w:t>
      </w:r>
      <w:r w:rsidR="005E7758" w:rsidRPr="00201DB3">
        <w:rPr>
          <w:rFonts w:ascii="Times New Roman" w:hAnsi="Times New Roman" w:cs="Times New Roman"/>
          <w:sz w:val="22"/>
          <w:szCs w:val="22"/>
        </w:rPr>
        <w:t xml:space="preserve">a fixed formulary </w:t>
      </w:r>
      <w:r w:rsidR="00821AAA" w:rsidRPr="00201DB3">
        <w:rPr>
          <w:rFonts w:ascii="Times New Roman" w:hAnsi="Times New Roman" w:cs="Times New Roman"/>
          <w:sz w:val="22"/>
          <w:szCs w:val="22"/>
        </w:rPr>
        <w:t>approach,</w:t>
      </w:r>
      <w:r w:rsidR="005E7758" w:rsidRPr="00201DB3">
        <w:rPr>
          <w:rFonts w:ascii="Times New Roman" w:hAnsi="Times New Roman" w:cs="Times New Roman"/>
          <w:sz w:val="22"/>
          <w:szCs w:val="22"/>
        </w:rPr>
        <w:t xml:space="preserve"> </w:t>
      </w:r>
      <w:r w:rsidR="00172F9E" w:rsidRPr="00201DB3">
        <w:rPr>
          <w:rFonts w:ascii="Times New Roman" w:hAnsi="Times New Roman" w:cs="Times New Roman"/>
          <w:sz w:val="22"/>
          <w:szCs w:val="22"/>
        </w:rPr>
        <w:t xml:space="preserve">at least </w:t>
      </w:r>
      <w:r w:rsidR="005E7758" w:rsidRPr="00201DB3">
        <w:rPr>
          <w:rFonts w:ascii="Times New Roman" w:hAnsi="Times New Roman" w:cs="Times New Roman"/>
          <w:sz w:val="22"/>
          <w:szCs w:val="22"/>
        </w:rPr>
        <w:t xml:space="preserve">any double tax would be </w:t>
      </w:r>
      <w:r w:rsidR="00735DB9" w:rsidRPr="00201DB3">
        <w:rPr>
          <w:rFonts w:ascii="Times New Roman" w:hAnsi="Times New Roman" w:cs="Times New Roman"/>
          <w:sz w:val="22"/>
          <w:szCs w:val="22"/>
        </w:rPr>
        <w:t>predictable</w:t>
      </w:r>
      <w:r w:rsidR="00D774CE"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57"/>
      </w:r>
      <w:r w:rsidR="00735DB9" w:rsidRPr="00201DB3">
        <w:rPr>
          <w:rFonts w:ascii="Times New Roman" w:hAnsi="Times New Roman" w:cs="Times New Roman"/>
          <w:sz w:val="22"/>
          <w:szCs w:val="22"/>
        </w:rPr>
        <w:t xml:space="preserve"> </w:t>
      </w:r>
    </w:p>
    <w:p w14:paraId="2E4FC0EA" w14:textId="7B6C43A8" w:rsidR="00137747" w:rsidRPr="00201DB3" w:rsidRDefault="00137747" w:rsidP="00201DB3">
      <w:pPr>
        <w:spacing w:after="0" w:line="240" w:lineRule="auto"/>
        <w:rPr>
          <w:rFonts w:ascii="Times New Roman" w:hAnsi="Times New Roman" w:cs="Times New Roman"/>
          <w:sz w:val="22"/>
          <w:szCs w:val="22"/>
        </w:rPr>
      </w:pPr>
    </w:p>
    <w:p w14:paraId="00133A56" w14:textId="0988AAC7" w:rsidR="006419FB" w:rsidRPr="00201DB3" w:rsidRDefault="003744DE"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Collectively, the extant research </w:t>
      </w:r>
      <w:r w:rsidR="009F0DC3" w:rsidRPr="00201DB3">
        <w:rPr>
          <w:rFonts w:ascii="Times New Roman" w:hAnsi="Times New Roman" w:cs="Times New Roman"/>
          <w:sz w:val="22"/>
          <w:szCs w:val="22"/>
        </w:rPr>
        <w:t>demonstrates increasing</w:t>
      </w:r>
      <w:r w:rsidR="006419FB" w:rsidRPr="00201DB3">
        <w:rPr>
          <w:rFonts w:ascii="Times New Roman" w:hAnsi="Times New Roman" w:cs="Times New Roman"/>
          <w:sz w:val="22"/>
          <w:szCs w:val="22"/>
        </w:rPr>
        <w:t xml:space="preserve"> </w:t>
      </w:r>
      <w:r w:rsidRPr="00201DB3">
        <w:rPr>
          <w:rFonts w:ascii="Times New Roman" w:hAnsi="Times New Roman" w:cs="Times New Roman"/>
          <w:sz w:val="22"/>
          <w:szCs w:val="22"/>
        </w:rPr>
        <w:t xml:space="preserve">concerns </w:t>
      </w:r>
      <w:r w:rsidR="006419FB" w:rsidRPr="00201DB3">
        <w:rPr>
          <w:rFonts w:ascii="Times New Roman" w:hAnsi="Times New Roman" w:cs="Times New Roman"/>
          <w:sz w:val="22"/>
          <w:szCs w:val="22"/>
        </w:rPr>
        <w:t xml:space="preserve">with the ALP and increasing favour for </w:t>
      </w:r>
      <w:r w:rsidR="001936EE" w:rsidRPr="00201DB3">
        <w:rPr>
          <w:rFonts w:ascii="Times New Roman" w:hAnsi="Times New Roman" w:cs="Times New Roman"/>
          <w:sz w:val="22"/>
          <w:szCs w:val="22"/>
        </w:rPr>
        <w:t>formulary apportionment</w:t>
      </w:r>
      <w:r w:rsidR="006419FB" w:rsidRPr="00201DB3">
        <w:rPr>
          <w:rFonts w:ascii="Times New Roman" w:hAnsi="Times New Roman" w:cs="Times New Roman"/>
          <w:sz w:val="22"/>
          <w:szCs w:val="22"/>
        </w:rPr>
        <w:t xml:space="preserve">; to what extent is this echoed among those </w:t>
      </w:r>
      <w:r w:rsidR="000666A7" w:rsidRPr="00201DB3">
        <w:rPr>
          <w:rFonts w:ascii="Times New Roman" w:hAnsi="Times New Roman" w:cs="Times New Roman"/>
          <w:sz w:val="22"/>
          <w:szCs w:val="22"/>
        </w:rPr>
        <w:t>at w</w:t>
      </w:r>
      <w:r w:rsidR="006419FB" w:rsidRPr="00201DB3">
        <w:rPr>
          <w:rFonts w:ascii="Times New Roman" w:hAnsi="Times New Roman" w:cs="Times New Roman"/>
          <w:sz w:val="22"/>
          <w:szCs w:val="22"/>
        </w:rPr>
        <w:t>ork</w:t>
      </w:r>
      <w:r w:rsidR="000666A7" w:rsidRPr="00201DB3">
        <w:rPr>
          <w:rFonts w:ascii="Times New Roman" w:hAnsi="Times New Roman" w:cs="Times New Roman"/>
          <w:sz w:val="22"/>
          <w:szCs w:val="22"/>
        </w:rPr>
        <w:t xml:space="preserve"> </w:t>
      </w:r>
      <w:r w:rsidR="006419FB" w:rsidRPr="00201DB3">
        <w:rPr>
          <w:rFonts w:ascii="Times New Roman" w:hAnsi="Times New Roman" w:cs="Times New Roman"/>
          <w:sz w:val="22"/>
          <w:szCs w:val="22"/>
        </w:rPr>
        <w:t>at the most</w:t>
      </w:r>
      <w:r w:rsidR="00783D03" w:rsidRPr="00201DB3">
        <w:rPr>
          <w:rFonts w:ascii="Times New Roman" w:hAnsi="Times New Roman" w:cs="Times New Roman"/>
          <w:sz w:val="22"/>
          <w:szCs w:val="22"/>
        </w:rPr>
        <w:t xml:space="preserve"> senior level in </w:t>
      </w:r>
      <w:r w:rsidR="00512147" w:rsidRPr="00201DB3">
        <w:rPr>
          <w:rFonts w:ascii="Times New Roman" w:hAnsi="Times New Roman" w:cs="Times New Roman"/>
          <w:sz w:val="22"/>
          <w:szCs w:val="22"/>
        </w:rPr>
        <w:t>transfer pricing?</w:t>
      </w:r>
    </w:p>
    <w:p w14:paraId="5B0C5A59" w14:textId="03F3022B" w:rsidR="00C062FA" w:rsidRPr="00201DB3" w:rsidRDefault="00C062FA" w:rsidP="00201DB3">
      <w:pPr>
        <w:spacing w:after="0" w:line="240" w:lineRule="auto"/>
        <w:rPr>
          <w:rFonts w:ascii="Times New Roman" w:hAnsi="Times New Roman" w:cs="Times New Roman"/>
          <w:sz w:val="22"/>
          <w:szCs w:val="22"/>
        </w:rPr>
      </w:pPr>
    </w:p>
    <w:p w14:paraId="75CDBD2D" w14:textId="77777777" w:rsidR="00C062FA" w:rsidRPr="00201DB3" w:rsidRDefault="00C062FA" w:rsidP="00201DB3">
      <w:pPr>
        <w:spacing w:after="0" w:line="240" w:lineRule="auto"/>
        <w:rPr>
          <w:rFonts w:ascii="Times New Roman" w:hAnsi="Times New Roman" w:cs="Times New Roman"/>
          <w:b/>
          <w:sz w:val="22"/>
          <w:szCs w:val="22"/>
        </w:rPr>
      </w:pPr>
    </w:p>
    <w:p w14:paraId="73F44C63" w14:textId="2C8B181F" w:rsidR="00C062FA" w:rsidRPr="00201DB3" w:rsidRDefault="006419FB"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Research method</w:t>
      </w:r>
      <w:r w:rsidR="00C062FA" w:rsidRPr="00201DB3">
        <w:rPr>
          <w:rFonts w:ascii="Times New Roman" w:hAnsi="Times New Roman" w:cs="Times New Roman"/>
          <w:b/>
          <w:sz w:val="22"/>
          <w:szCs w:val="22"/>
        </w:rPr>
        <w:t>s</w:t>
      </w:r>
    </w:p>
    <w:p w14:paraId="6F29203F" w14:textId="77777777" w:rsidR="00201DB3" w:rsidRPr="00201DB3" w:rsidRDefault="00201DB3" w:rsidP="00201DB3">
      <w:pPr>
        <w:spacing w:after="0" w:line="240" w:lineRule="auto"/>
        <w:rPr>
          <w:rFonts w:ascii="Times New Roman" w:hAnsi="Times New Roman" w:cs="Times New Roman"/>
          <w:b/>
          <w:sz w:val="22"/>
          <w:szCs w:val="22"/>
        </w:rPr>
      </w:pPr>
    </w:p>
    <w:p w14:paraId="038001E4" w14:textId="2C120649" w:rsidR="00CB0FAD" w:rsidRPr="00201DB3" w:rsidRDefault="006419FB" w:rsidP="00201DB3">
      <w:pPr>
        <w:spacing w:after="0" w:line="240" w:lineRule="auto"/>
        <w:rPr>
          <w:rFonts w:ascii="Times New Roman" w:eastAsia="MS Mincho" w:hAnsi="Times New Roman" w:cs="Times New Roman"/>
          <w:sz w:val="22"/>
          <w:szCs w:val="22"/>
        </w:rPr>
      </w:pPr>
      <w:r w:rsidRPr="00201DB3">
        <w:rPr>
          <w:rFonts w:ascii="Times New Roman" w:hAnsi="Times New Roman" w:cs="Times New Roman"/>
          <w:sz w:val="22"/>
          <w:szCs w:val="22"/>
        </w:rPr>
        <w:t xml:space="preserve">This study draws on data from </w:t>
      </w:r>
      <w:r w:rsidR="00A10D6E" w:rsidRPr="00201DB3">
        <w:rPr>
          <w:rFonts w:ascii="Times New Roman" w:hAnsi="Times New Roman" w:cs="Times New Roman"/>
          <w:sz w:val="22"/>
          <w:szCs w:val="22"/>
        </w:rPr>
        <w:t>two</w:t>
      </w:r>
      <w:r w:rsidRPr="00201DB3">
        <w:rPr>
          <w:rFonts w:ascii="Times New Roman" w:hAnsi="Times New Roman" w:cs="Times New Roman"/>
          <w:sz w:val="22"/>
          <w:szCs w:val="22"/>
        </w:rPr>
        <w:t xml:space="preserve"> rounds of interviews, over a 10-year time frame</w:t>
      </w:r>
      <w:r w:rsidR="00A22850" w:rsidRPr="00201DB3">
        <w:rPr>
          <w:rStyle w:val="FootnoteReference"/>
          <w:rFonts w:ascii="Times New Roman" w:hAnsi="Times New Roman" w:cs="Times New Roman"/>
          <w:sz w:val="22"/>
          <w:szCs w:val="22"/>
        </w:rPr>
        <w:footnoteReference w:id="58"/>
      </w:r>
      <w:r w:rsidR="00821AAA" w:rsidRPr="00201DB3">
        <w:rPr>
          <w:rFonts w:ascii="Times New Roman" w:hAnsi="Times New Roman" w:cs="Times New Roman"/>
          <w:sz w:val="22"/>
          <w:szCs w:val="22"/>
        </w:rPr>
        <w:t>. In 2006 17 research interviews were carried out, with interviewees drawn from those working a</w:t>
      </w:r>
      <w:r w:rsidR="00A10D6E" w:rsidRPr="00201DB3">
        <w:rPr>
          <w:rFonts w:ascii="Times New Roman" w:hAnsi="Times New Roman" w:cs="Times New Roman"/>
          <w:sz w:val="22"/>
          <w:szCs w:val="22"/>
        </w:rPr>
        <w:t>t</w:t>
      </w:r>
      <w:r w:rsidR="00821AAA" w:rsidRPr="00201DB3">
        <w:rPr>
          <w:rFonts w:ascii="Times New Roman" w:hAnsi="Times New Roman" w:cs="Times New Roman"/>
          <w:sz w:val="22"/>
          <w:szCs w:val="22"/>
        </w:rPr>
        <w:t xml:space="preserve"> the most senior level on transfer pricing, with respect to the UK and the US</w:t>
      </w:r>
      <w:r w:rsidR="00A10D6E" w:rsidRPr="00201DB3">
        <w:rPr>
          <w:rFonts w:ascii="Times New Roman" w:hAnsi="Times New Roman" w:cs="Times New Roman"/>
          <w:sz w:val="22"/>
          <w:szCs w:val="22"/>
        </w:rPr>
        <w:t>, seeking to gain an insight into transfer pricing management in practice</w:t>
      </w:r>
      <w:r w:rsidR="00821AAA" w:rsidRPr="00201DB3">
        <w:rPr>
          <w:rFonts w:ascii="Times New Roman" w:hAnsi="Times New Roman" w:cs="Times New Roman"/>
          <w:sz w:val="22"/>
          <w:szCs w:val="22"/>
        </w:rPr>
        <w:t xml:space="preserve">. These interviews generated extensive data on many themes in the context of transfer pricing, including findings in respect of UK-US APAs, previously published in the Britsh </w:t>
      </w:r>
      <w:r w:rsidR="00E108C7" w:rsidRPr="00201DB3">
        <w:rPr>
          <w:rFonts w:ascii="Times New Roman" w:hAnsi="Times New Roman" w:cs="Times New Roman"/>
          <w:sz w:val="22"/>
          <w:szCs w:val="22"/>
        </w:rPr>
        <w:t>T</w:t>
      </w:r>
      <w:r w:rsidR="00821AAA" w:rsidRPr="00201DB3">
        <w:rPr>
          <w:rFonts w:ascii="Times New Roman" w:hAnsi="Times New Roman" w:cs="Times New Roman"/>
          <w:sz w:val="22"/>
          <w:szCs w:val="22"/>
        </w:rPr>
        <w:t>ax Review</w:t>
      </w:r>
      <w:r w:rsidR="00276D07" w:rsidRPr="00201DB3">
        <w:rPr>
          <w:rStyle w:val="FootnoteReference"/>
          <w:rFonts w:ascii="Times New Roman" w:hAnsi="Times New Roman" w:cs="Times New Roman"/>
          <w:sz w:val="22"/>
          <w:szCs w:val="22"/>
        </w:rPr>
        <w:footnoteReference w:id="59"/>
      </w:r>
      <w:r w:rsidR="00821AAA" w:rsidRPr="00201DB3">
        <w:rPr>
          <w:rFonts w:ascii="Times New Roman" w:hAnsi="Times New Roman" w:cs="Times New Roman"/>
          <w:sz w:val="22"/>
          <w:szCs w:val="22"/>
        </w:rPr>
        <w:t>.</w:t>
      </w:r>
      <w:r w:rsidR="00E108C7" w:rsidRPr="00201DB3">
        <w:rPr>
          <w:rFonts w:ascii="Times New Roman" w:hAnsi="Times New Roman" w:cs="Times New Roman"/>
          <w:sz w:val="22"/>
          <w:szCs w:val="22"/>
        </w:rPr>
        <w:t xml:space="preserve"> Given the significant changes in the international tax and transfer pricing environment in the years after these interviews we sought to revisit the issues discussed, a decade later. </w:t>
      </w:r>
      <w:r w:rsidR="00E108C7" w:rsidRPr="00201DB3">
        <w:rPr>
          <w:rFonts w:ascii="Times New Roman" w:hAnsi="Times New Roman" w:cs="Times New Roman"/>
          <w:color w:val="000000" w:themeColor="text1"/>
          <w:sz w:val="22"/>
          <w:szCs w:val="22"/>
        </w:rPr>
        <w:t xml:space="preserve">Requests were made to those who were still working in international tax and transfer pricing for a further interview. Nearly half, 8, of the 2006 interviewees agreed to be interviewed again in 2016/17, providing an element of direct continuity to the study. The remaining </w:t>
      </w:r>
      <w:r w:rsidR="00CA204D" w:rsidRPr="00201DB3">
        <w:rPr>
          <w:rFonts w:ascii="Times New Roman" w:hAnsi="Times New Roman" w:cs="Times New Roman"/>
          <w:color w:val="000000" w:themeColor="text1"/>
          <w:sz w:val="22"/>
          <w:szCs w:val="22"/>
        </w:rPr>
        <w:t>second round</w:t>
      </w:r>
      <w:r w:rsidR="00E108C7" w:rsidRPr="00201DB3">
        <w:rPr>
          <w:rFonts w:ascii="Times New Roman" w:hAnsi="Times New Roman" w:cs="Times New Roman"/>
          <w:color w:val="000000" w:themeColor="text1"/>
          <w:sz w:val="22"/>
          <w:szCs w:val="22"/>
        </w:rPr>
        <w:t xml:space="preserve"> interviewees were individuals identified as occupying the roles previously occupied by some of the 2006 interviewees who had moved on. </w:t>
      </w:r>
      <w:r w:rsidR="000A136E" w:rsidRPr="00201DB3">
        <w:rPr>
          <w:rFonts w:ascii="Times New Roman" w:hAnsi="Times New Roman" w:cs="Times New Roman"/>
          <w:color w:val="000000" w:themeColor="text1"/>
          <w:sz w:val="22"/>
          <w:szCs w:val="22"/>
        </w:rPr>
        <w:t>In both rounds, e</w:t>
      </w:r>
      <w:r w:rsidR="00BF1E9A" w:rsidRPr="00201DB3">
        <w:rPr>
          <w:rFonts w:ascii="Times New Roman" w:hAnsi="Times New Roman" w:cs="Times New Roman"/>
          <w:sz w:val="22"/>
          <w:szCs w:val="22"/>
        </w:rPr>
        <w:t>ach interview began with an assurance of anonymity: interviewees were advised that quotations could be drawn on, but these would be unattributed. Some quotations are presented in this article to inform the discussion</w:t>
      </w:r>
      <w:r w:rsidR="00F76CAA" w:rsidRPr="00201DB3">
        <w:rPr>
          <w:rFonts w:ascii="Times New Roman" w:hAnsi="Times New Roman" w:cs="Times New Roman"/>
          <w:sz w:val="22"/>
          <w:szCs w:val="22"/>
        </w:rPr>
        <w:t>: these are anonymous, so quotes are denoted as</w:t>
      </w:r>
      <w:r w:rsidR="00CD3E7D" w:rsidRPr="00201DB3">
        <w:rPr>
          <w:rFonts w:ascii="Times New Roman" w:hAnsi="Times New Roman" w:cs="Times New Roman"/>
          <w:sz w:val="22"/>
          <w:szCs w:val="22"/>
        </w:rPr>
        <w:t xml:space="preserve"> </w:t>
      </w:r>
      <w:r w:rsidR="00D7061D" w:rsidRPr="00201DB3">
        <w:rPr>
          <w:rFonts w:ascii="Times New Roman" w:hAnsi="Times New Roman" w:cs="Times New Roman"/>
          <w:sz w:val="22"/>
          <w:szCs w:val="22"/>
        </w:rPr>
        <w:t>“</w:t>
      </w:r>
      <w:r w:rsidR="00D7061D" w:rsidRPr="00201DB3">
        <w:rPr>
          <w:rFonts w:ascii="Times New Roman" w:eastAsia="MS Mincho" w:hAnsi="Times New Roman" w:cs="Times New Roman"/>
          <w:sz w:val="22"/>
          <w:szCs w:val="22"/>
        </w:rPr>
        <w:t xml:space="preserve">I-int” </w:t>
      </w:r>
      <w:r w:rsidR="007E5D65" w:rsidRPr="00201DB3">
        <w:rPr>
          <w:rFonts w:ascii="Times New Roman" w:eastAsia="MS Mincho" w:hAnsi="Times New Roman" w:cs="Times New Roman"/>
          <w:sz w:val="22"/>
          <w:szCs w:val="22"/>
        </w:rPr>
        <w:t>for a direct quote from a first-round interviewee</w:t>
      </w:r>
      <w:r w:rsidR="00FD1BB8" w:rsidRPr="00201DB3">
        <w:rPr>
          <w:rFonts w:ascii="Times New Roman" w:eastAsia="MS Mincho" w:hAnsi="Times New Roman" w:cs="Times New Roman"/>
          <w:sz w:val="22"/>
          <w:szCs w:val="22"/>
        </w:rPr>
        <w:t>,</w:t>
      </w:r>
      <w:r w:rsidR="007E5D65" w:rsidRPr="00201DB3">
        <w:rPr>
          <w:rFonts w:ascii="Times New Roman" w:eastAsia="MS Mincho" w:hAnsi="Times New Roman" w:cs="Times New Roman"/>
          <w:sz w:val="22"/>
          <w:szCs w:val="22"/>
        </w:rPr>
        <w:t xml:space="preserve"> and </w:t>
      </w:r>
    </w:p>
    <w:p w14:paraId="269DE9FC" w14:textId="59E8BA47" w:rsidR="00E108C7" w:rsidRPr="00201DB3" w:rsidRDefault="00D7061D" w:rsidP="00201DB3">
      <w:pPr>
        <w:spacing w:after="0" w:line="240" w:lineRule="auto"/>
        <w:rPr>
          <w:rFonts w:ascii="Times New Roman" w:hAnsi="Times New Roman" w:cs="Times New Roman"/>
          <w:sz w:val="22"/>
          <w:szCs w:val="22"/>
        </w:rPr>
      </w:pPr>
      <w:r w:rsidRPr="00201DB3">
        <w:rPr>
          <w:rFonts w:ascii="Times New Roman" w:eastAsia="MS Mincho" w:hAnsi="Times New Roman" w:cs="Times New Roman"/>
          <w:sz w:val="22"/>
          <w:szCs w:val="22"/>
        </w:rPr>
        <w:t>“II-int”</w:t>
      </w:r>
      <w:r w:rsidR="007E5D65" w:rsidRPr="00201DB3">
        <w:rPr>
          <w:rFonts w:ascii="Times New Roman" w:eastAsia="MS Mincho" w:hAnsi="Times New Roman" w:cs="Times New Roman"/>
          <w:sz w:val="22"/>
          <w:szCs w:val="22"/>
        </w:rPr>
        <w:t xml:space="preserve"> denotes a direct quote from a second round interviewee.</w:t>
      </w:r>
      <w:r w:rsidR="007E5D65" w:rsidRPr="00201DB3">
        <w:rPr>
          <w:rFonts w:ascii="Times New Roman" w:hAnsi="Times New Roman" w:cs="Times New Roman"/>
          <w:sz w:val="22"/>
          <w:szCs w:val="22"/>
        </w:rPr>
        <w:t xml:space="preserve"> </w:t>
      </w:r>
      <w:r w:rsidR="00BF1E9A" w:rsidRPr="00201DB3">
        <w:rPr>
          <w:rFonts w:ascii="Times New Roman" w:hAnsi="Times New Roman" w:cs="Times New Roman"/>
          <w:sz w:val="22"/>
          <w:szCs w:val="22"/>
        </w:rPr>
        <w:t xml:space="preserve">The term arm’s length </w:t>
      </w:r>
      <w:r w:rsidR="00093E8B" w:rsidRPr="00201DB3">
        <w:rPr>
          <w:rFonts w:ascii="Times New Roman" w:hAnsi="Times New Roman" w:cs="Times New Roman"/>
          <w:sz w:val="22"/>
          <w:szCs w:val="22"/>
        </w:rPr>
        <w:t>principle</w:t>
      </w:r>
      <w:r w:rsidR="00BF1E9A" w:rsidRPr="00201DB3">
        <w:rPr>
          <w:rFonts w:ascii="Times New Roman" w:hAnsi="Times New Roman" w:cs="Times New Roman"/>
          <w:sz w:val="22"/>
          <w:szCs w:val="22"/>
        </w:rPr>
        <w:t xml:space="preserve"> is preferred and used by interviewees from the UK and the OECD</w:t>
      </w:r>
      <w:r w:rsidRPr="00201DB3">
        <w:rPr>
          <w:rFonts w:ascii="Times New Roman" w:hAnsi="Times New Roman" w:cs="Times New Roman"/>
          <w:sz w:val="22"/>
          <w:szCs w:val="22"/>
        </w:rPr>
        <w:t>,</w:t>
      </w:r>
      <w:r w:rsidR="00BF1E9A" w:rsidRPr="00201DB3">
        <w:rPr>
          <w:rFonts w:ascii="Times New Roman" w:hAnsi="Times New Roman" w:cs="Times New Roman"/>
          <w:sz w:val="22"/>
          <w:szCs w:val="22"/>
        </w:rPr>
        <w:t xml:space="preserve"> while the term arm’s length standard, is preferred by those from the US. In the quotes presented in this article, the term ALP has been substituted for ALS, where necessary, both for reasons of consistency and for preserving anonymity. </w:t>
      </w:r>
      <w:r w:rsidR="00E108C7" w:rsidRPr="00201DB3">
        <w:rPr>
          <w:rFonts w:ascii="Times New Roman" w:hAnsi="Times New Roman" w:cs="Times New Roman"/>
          <w:color w:val="000000" w:themeColor="text1"/>
          <w:sz w:val="22"/>
          <w:szCs w:val="22"/>
        </w:rPr>
        <w:t xml:space="preserve">The analysis of the extensive interview data was supplemented by reviewing OECD Guidelines and publications, BEPS reports and practitioner publications.  </w:t>
      </w:r>
    </w:p>
    <w:p w14:paraId="0595637B" w14:textId="59C3F0BC" w:rsidR="00821AAA" w:rsidRPr="00201DB3" w:rsidRDefault="00821AAA" w:rsidP="00201DB3">
      <w:pPr>
        <w:spacing w:after="0" w:line="240" w:lineRule="auto"/>
        <w:rPr>
          <w:rFonts w:ascii="Times New Roman" w:hAnsi="Times New Roman" w:cs="Times New Roman"/>
          <w:sz w:val="22"/>
          <w:szCs w:val="22"/>
        </w:rPr>
      </w:pPr>
    </w:p>
    <w:p w14:paraId="78E2501B" w14:textId="77777777" w:rsidR="006419FB" w:rsidRPr="00201DB3" w:rsidRDefault="006419FB" w:rsidP="00201DB3">
      <w:pPr>
        <w:spacing w:after="0" w:line="240" w:lineRule="auto"/>
        <w:rPr>
          <w:rFonts w:ascii="Times New Roman" w:hAnsi="Times New Roman" w:cs="Times New Roman"/>
          <w:sz w:val="22"/>
          <w:szCs w:val="22"/>
        </w:rPr>
      </w:pPr>
    </w:p>
    <w:p w14:paraId="2B85E14E" w14:textId="521DB1CE" w:rsidR="0085084F" w:rsidRPr="00201DB3" w:rsidRDefault="008D5EAB"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F</w:t>
      </w:r>
      <w:r w:rsidR="0085084F" w:rsidRPr="00201DB3">
        <w:rPr>
          <w:rFonts w:ascii="Times New Roman" w:hAnsi="Times New Roman" w:cs="Times New Roman"/>
          <w:b/>
          <w:sz w:val="22"/>
          <w:szCs w:val="22"/>
        </w:rPr>
        <w:t>indings and discussion</w:t>
      </w:r>
    </w:p>
    <w:p w14:paraId="0A92F8E9" w14:textId="73C99786" w:rsidR="003A44CC" w:rsidRPr="00201DB3" w:rsidRDefault="008D5EAB"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In both </w:t>
      </w:r>
      <w:r w:rsidR="00735DB9" w:rsidRPr="00201DB3">
        <w:rPr>
          <w:rFonts w:ascii="Times New Roman" w:hAnsi="Times New Roman" w:cs="Times New Roman"/>
          <w:sz w:val="22"/>
          <w:szCs w:val="22"/>
        </w:rPr>
        <w:t>2006 and 2016/17</w:t>
      </w:r>
      <w:r w:rsidR="00AF4261" w:rsidRPr="00201DB3">
        <w:rPr>
          <w:rFonts w:ascii="Times New Roman" w:hAnsi="Times New Roman" w:cs="Times New Roman"/>
          <w:sz w:val="22"/>
          <w:szCs w:val="22"/>
        </w:rPr>
        <w:t>,</w:t>
      </w:r>
      <w:r w:rsidR="00F91759" w:rsidRPr="00201DB3">
        <w:rPr>
          <w:rFonts w:ascii="Times New Roman" w:hAnsi="Times New Roman" w:cs="Times New Roman"/>
          <w:sz w:val="22"/>
          <w:szCs w:val="22"/>
        </w:rPr>
        <w:t xml:space="preserve"> </w:t>
      </w:r>
      <w:r w:rsidRPr="00201DB3">
        <w:rPr>
          <w:rFonts w:ascii="Times New Roman" w:hAnsi="Times New Roman" w:cs="Times New Roman"/>
          <w:sz w:val="22"/>
          <w:szCs w:val="22"/>
        </w:rPr>
        <w:t xml:space="preserve">interviewees were asked </w:t>
      </w:r>
      <w:r w:rsidR="00577F59" w:rsidRPr="00201DB3">
        <w:rPr>
          <w:rFonts w:ascii="Times New Roman" w:hAnsi="Times New Roman" w:cs="Times New Roman"/>
          <w:sz w:val="22"/>
          <w:szCs w:val="22"/>
        </w:rPr>
        <w:t>for their views of the A</w:t>
      </w:r>
      <w:r w:rsidRPr="00201DB3">
        <w:rPr>
          <w:rFonts w:ascii="Times New Roman" w:hAnsi="Times New Roman" w:cs="Times New Roman"/>
          <w:sz w:val="22"/>
          <w:szCs w:val="22"/>
        </w:rPr>
        <w:t>LP and the po</w:t>
      </w:r>
      <w:r w:rsidR="00577F59" w:rsidRPr="00201DB3">
        <w:rPr>
          <w:rFonts w:ascii="Times New Roman" w:hAnsi="Times New Roman" w:cs="Times New Roman"/>
          <w:sz w:val="22"/>
          <w:szCs w:val="22"/>
        </w:rPr>
        <w:t>tential</w:t>
      </w:r>
      <w:r w:rsidRPr="00201DB3">
        <w:rPr>
          <w:rFonts w:ascii="Times New Roman" w:hAnsi="Times New Roman" w:cs="Times New Roman"/>
          <w:sz w:val="22"/>
          <w:szCs w:val="22"/>
        </w:rPr>
        <w:t xml:space="preserve"> alternative approach of </w:t>
      </w:r>
      <w:r w:rsidR="001936EE" w:rsidRPr="00201DB3">
        <w:rPr>
          <w:rFonts w:ascii="Times New Roman" w:hAnsi="Times New Roman" w:cs="Times New Roman"/>
          <w:sz w:val="22"/>
          <w:szCs w:val="22"/>
        </w:rPr>
        <w:t>formulary apportionment</w:t>
      </w:r>
      <w:r w:rsidR="00C37EB0" w:rsidRPr="00201DB3">
        <w:rPr>
          <w:rFonts w:ascii="Times New Roman" w:hAnsi="Times New Roman" w:cs="Times New Roman"/>
          <w:sz w:val="22"/>
          <w:szCs w:val="22"/>
        </w:rPr>
        <w:t>.</w:t>
      </w:r>
      <w:r w:rsidR="00A71449" w:rsidRPr="00201DB3">
        <w:rPr>
          <w:rFonts w:ascii="Times New Roman" w:hAnsi="Times New Roman" w:cs="Times New Roman"/>
          <w:sz w:val="22"/>
          <w:szCs w:val="22"/>
        </w:rPr>
        <w:t xml:space="preserve"> </w:t>
      </w:r>
      <w:r w:rsidR="006F5A14" w:rsidRPr="00201DB3">
        <w:rPr>
          <w:rFonts w:ascii="Times New Roman" w:hAnsi="Times New Roman" w:cs="Times New Roman"/>
          <w:sz w:val="22"/>
          <w:szCs w:val="22"/>
        </w:rPr>
        <w:t>In general, a</w:t>
      </w:r>
      <w:r w:rsidR="00C37EB0" w:rsidRPr="00201DB3">
        <w:rPr>
          <w:rFonts w:ascii="Times New Roman" w:hAnsi="Times New Roman" w:cs="Times New Roman"/>
          <w:sz w:val="22"/>
          <w:szCs w:val="22"/>
        </w:rPr>
        <w:t xml:space="preserve">ttitudes to </w:t>
      </w:r>
      <w:r w:rsidRPr="00201DB3">
        <w:rPr>
          <w:rFonts w:ascii="Times New Roman" w:hAnsi="Times New Roman" w:cs="Times New Roman"/>
          <w:sz w:val="22"/>
          <w:szCs w:val="22"/>
        </w:rPr>
        <w:t>each these</w:t>
      </w:r>
      <w:r w:rsidR="009005A1" w:rsidRPr="00201DB3">
        <w:rPr>
          <w:rFonts w:ascii="Times New Roman" w:hAnsi="Times New Roman" w:cs="Times New Roman"/>
          <w:sz w:val="22"/>
          <w:szCs w:val="22"/>
        </w:rPr>
        <w:t xml:space="preserve"> approaches</w:t>
      </w:r>
      <w:r w:rsidRPr="00201DB3">
        <w:rPr>
          <w:rFonts w:ascii="Times New Roman" w:hAnsi="Times New Roman" w:cs="Times New Roman"/>
          <w:sz w:val="22"/>
          <w:szCs w:val="22"/>
        </w:rPr>
        <w:t xml:space="preserve"> </w:t>
      </w:r>
      <w:r w:rsidR="000A136E" w:rsidRPr="00201DB3">
        <w:rPr>
          <w:rFonts w:ascii="Times New Roman" w:hAnsi="Times New Roman" w:cs="Times New Roman"/>
          <w:sz w:val="22"/>
          <w:szCs w:val="22"/>
        </w:rPr>
        <w:t>are</w:t>
      </w:r>
      <w:r w:rsidRPr="00201DB3">
        <w:rPr>
          <w:rFonts w:ascii="Times New Roman" w:hAnsi="Times New Roman" w:cs="Times New Roman"/>
          <w:sz w:val="22"/>
          <w:szCs w:val="22"/>
        </w:rPr>
        <w:t xml:space="preserve"> linked</w:t>
      </w:r>
      <w:r w:rsidR="00C37EB0" w:rsidRPr="00201DB3">
        <w:rPr>
          <w:rFonts w:ascii="Times New Roman" w:hAnsi="Times New Roman" w:cs="Times New Roman"/>
          <w:sz w:val="22"/>
          <w:szCs w:val="22"/>
        </w:rPr>
        <w:t xml:space="preserve">: </w:t>
      </w:r>
      <w:r w:rsidR="0051193A" w:rsidRPr="00201DB3">
        <w:rPr>
          <w:rFonts w:ascii="Times New Roman" w:hAnsi="Times New Roman" w:cs="Times New Roman"/>
          <w:sz w:val="22"/>
          <w:szCs w:val="22"/>
        </w:rPr>
        <w:t xml:space="preserve">the merits and disadvantages of </w:t>
      </w:r>
      <w:r w:rsidR="001936EE" w:rsidRPr="00201DB3">
        <w:rPr>
          <w:rFonts w:ascii="Times New Roman" w:hAnsi="Times New Roman" w:cs="Times New Roman"/>
          <w:sz w:val="22"/>
          <w:szCs w:val="22"/>
        </w:rPr>
        <w:t>formulary apportionment</w:t>
      </w:r>
      <w:r w:rsidR="0051193A" w:rsidRPr="00201DB3">
        <w:rPr>
          <w:rFonts w:ascii="Times New Roman" w:hAnsi="Times New Roman" w:cs="Times New Roman"/>
          <w:sz w:val="22"/>
          <w:szCs w:val="22"/>
        </w:rPr>
        <w:t xml:space="preserve"> largely link to the disadvantages and advantages of the ALP.</w:t>
      </w:r>
      <w:r w:rsidR="00F75618" w:rsidRPr="00201DB3">
        <w:rPr>
          <w:rFonts w:ascii="Times New Roman" w:hAnsi="Times New Roman" w:cs="Times New Roman"/>
          <w:sz w:val="22"/>
          <w:szCs w:val="22"/>
        </w:rPr>
        <w:t xml:space="preserve"> </w:t>
      </w:r>
      <w:r w:rsidR="002F40CF" w:rsidRPr="00201DB3">
        <w:rPr>
          <w:rFonts w:ascii="Times New Roman" w:hAnsi="Times New Roman" w:cs="Times New Roman"/>
          <w:sz w:val="22"/>
          <w:szCs w:val="22"/>
        </w:rPr>
        <w:t xml:space="preserve">Therefore, often </w:t>
      </w:r>
      <w:r w:rsidR="00D9649B" w:rsidRPr="00201DB3">
        <w:rPr>
          <w:rFonts w:ascii="Times New Roman" w:hAnsi="Times New Roman" w:cs="Times New Roman"/>
          <w:sz w:val="22"/>
          <w:szCs w:val="22"/>
        </w:rPr>
        <w:t xml:space="preserve">the discussion of </w:t>
      </w:r>
      <w:r w:rsidR="003A44CC" w:rsidRPr="00201DB3">
        <w:rPr>
          <w:rFonts w:ascii="Times New Roman" w:hAnsi="Times New Roman" w:cs="Times New Roman"/>
          <w:sz w:val="22"/>
          <w:szCs w:val="22"/>
        </w:rPr>
        <w:t xml:space="preserve">the </w:t>
      </w:r>
      <w:r w:rsidR="002601A0" w:rsidRPr="00201DB3">
        <w:rPr>
          <w:rFonts w:ascii="Times New Roman" w:hAnsi="Times New Roman" w:cs="Times New Roman"/>
          <w:sz w:val="22"/>
          <w:szCs w:val="22"/>
        </w:rPr>
        <w:t xml:space="preserve">advantages (and </w:t>
      </w:r>
      <w:r w:rsidR="00D9649B" w:rsidRPr="00201DB3">
        <w:rPr>
          <w:rFonts w:ascii="Times New Roman" w:hAnsi="Times New Roman" w:cs="Times New Roman"/>
          <w:sz w:val="22"/>
          <w:szCs w:val="22"/>
        </w:rPr>
        <w:t>disad</w:t>
      </w:r>
      <w:r w:rsidR="003A44CC" w:rsidRPr="00201DB3">
        <w:rPr>
          <w:rFonts w:ascii="Times New Roman" w:hAnsi="Times New Roman" w:cs="Times New Roman"/>
          <w:sz w:val="22"/>
          <w:szCs w:val="22"/>
        </w:rPr>
        <w:t>vantage</w:t>
      </w:r>
      <w:r w:rsidR="00E5324C" w:rsidRPr="00201DB3">
        <w:rPr>
          <w:rFonts w:ascii="Times New Roman" w:hAnsi="Times New Roman" w:cs="Times New Roman"/>
          <w:sz w:val="22"/>
          <w:szCs w:val="22"/>
        </w:rPr>
        <w:t>s</w:t>
      </w:r>
      <w:r w:rsidR="002601A0" w:rsidRPr="00201DB3">
        <w:rPr>
          <w:rFonts w:ascii="Times New Roman" w:hAnsi="Times New Roman" w:cs="Times New Roman"/>
          <w:sz w:val="22"/>
          <w:szCs w:val="22"/>
        </w:rPr>
        <w:t>)</w:t>
      </w:r>
      <w:r w:rsidR="003A44CC" w:rsidRPr="00201DB3">
        <w:rPr>
          <w:rFonts w:ascii="Times New Roman" w:hAnsi="Times New Roman" w:cs="Times New Roman"/>
          <w:sz w:val="22"/>
          <w:szCs w:val="22"/>
        </w:rPr>
        <w:t xml:space="preserve"> of a particular approach, </w:t>
      </w:r>
      <w:r w:rsidR="00D9649B" w:rsidRPr="00201DB3">
        <w:rPr>
          <w:rFonts w:ascii="Times New Roman" w:hAnsi="Times New Roman" w:cs="Times New Roman"/>
          <w:sz w:val="22"/>
          <w:szCs w:val="22"/>
        </w:rPr>
        <w:t xml:space="preserve">can also </w:t>
      </w:r>
      <w:r w:rsidR="003A44CC" w:rsidRPr="00201DB3">
        <w:rPr>
          <w:rFonts w:ascii="Times New Roman" w:hAnsi="Times New Roman" w:cs="Times New Roman"/>
          <w:sz w:val="22"/>
          <w:szCs w:val="22"/>
        </w:rPr>
        <w:t xml:space="preserve">form the </w:t>
      </w:r>
      <w:r w:rsidR="00212D06" w:rsidRPr="00201DB3">
        <w:rPr>
          <w:rFonts w:ascii="Times New Roman" w:hAnsi="Times New Roman" w:cs="Times New Roman"/>
          <w:sz w:val="22"/>
          <w:szCs w:val="22"/>
        </w:rPr>
        <w:t xml:space="preserve">basis of the </w:t>
      </w:r>
      <w:r w:rsidR="003A44CC" w:rsidRPr="00201DB3">
        <w:rPr>
          <w:rFonts w:ascii="Times New Roman" w:hAnsi="Times New Roman" w:cs="Times New Roman"/>
          <w:sz w:val="22"/>
          <w:szCs w:val="22"/>
        </w:rPr>
        <w:t xml:space="preserve">discussion of potential </w:t>
      </w:r>
      <w:r w:rsidR="00E5324C" w:rsidRPr="00201DB3">
        <w:rPr>
          <w:rFonts w:ascii="Times New Roman" w:hAnsi="Times New Roman" w:cs="Times New Roman"/>
          <w:sz w:val="22"/>
          <w:szCs w:val="22"/>
        </w:rPr>
        <w:t>dis</w:t>
      </w:r>
      <w:r w:rsidR="003A44CC" w:rsidRPr="00201DB3">
        <w:rPr>
          <w:rFonts w:ascii="Times New Roman" w:hAnsi="Times New Roman" w:cs="Times New Roman"/>
          <w:sz w:val="22"/>
          <w:szCs w:val="22"/>
        </w:rPr>
        <w:t>advantage</w:t>
      </w:r>
      <w:r w:rsidR="00E5324C" w:rsidRPr="00201DB3">
        <w:rPr>
          <w:rFonts w:ascii="Times New Roman" w:hAnsi="Times New Roman" w:cs="Times New Roman"/>
          <w:sz w:val="22"/>
          <w:szCs w:val="22"/>
        </w:rPr>
        <w:t>s</w:t>
      </w:r>
      <w:r w:rsidR="003A44CC" w:rsidRPr="00201DB3">
        <w:rPr>
          <w:rFonts w:ascii="Times New Roman" w:hAnsi="Times New Roman" w:cs="Times New Roman"/>
          <w:sz w:val="22"/>
          <w:szCs w:val="22"/>
        </w:rPr>
        <w:t xml:space="preserve"> </w:t>
      </w:r>
      <w:r w:rsidR="002601A0" w:rsidRPr="00201DB3">
        <w:rPr>
          <w:rFonts w:ascii="Times New Roman" w:hAnsi="Times New Roman" w:cs="Times New Roman"/>
          <w:sz w:val="22"/>
          <w:szCs w:val="22"/>
        </w:rPr>
        <w:t xml:space="preserve">(and advantages) </w:t>
      </w:r>
      <w:r w:rsidR="003A44CC" w:rsidRPr="00201DB3">
        <w:rPr>
          <w:rFonts w:ascii="Times New Roman" w:hAnsi="Times New Roman" w:cs="Times New Roman"/>
          <w:sz w:val="22"/>
          <w:szCs w:val="22"/>
        </w:rPr>
        <w:t>of the alternative approach.</w:t>
      </w:r>
    </w:p>
    <w:p w14:paraId="07D79666" w14:textId="77777777" w:rsidR="008D5EAB" w:rsidRPr="00201DB3" w:rsidRDefault="008D5EAB" w:rsidP="00201DB3">
      <w:pPr>
        <w:spacing w:after="0" w:line="240" w:lineRule="auto"/>
        <w:rPr>
          <w:rFonts w:ascii="Times New Roman" w:hAnsi="Times New Roman" w:cs="Times New Roman"/>
          <w:sz w:val="22"/>
          <w:szCs w:val="22"/>
        </w:rPr>
      </w:pPr>
    </w:p>
    <w:p w14:paraId="31671E64" w14:textId="583B0BF8" w:rsidR="0085084F" w:rsidRPr="00201DB3" w:rsidRDefault="007D3323"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 xml:space="preserve">2006 </w:t>
      </w:r>
      <w:r w:rsidR="000E240B" w:rsidRPr="00201DB3">
        <w:rPr>
          <w:rFonts w:ascii="Times New Roman" w:hAnsi="Times New Roman" w:cs="Times New Roman"/>
          <w:i/>
          <w:sz w:val="22"/>
          <w:szCs w:val="22"/>
        </w:rPr>
        <w:t xml:space="preserve">Attitudes to </w:t>
      </w:r>
      <w:r w:rsidRPr="00201DB3">
        <w:rPr>
          <w:rFonts w:ascii="Times New Roman" w:hAnsi="Times New Roman" w:cs="Times New Roman"/>
          <w:i/>
          <w:sz w:val="22"/>
          <w:szCs w:val="22"/>
        </w:rPr>
        <w:t>the ALP</w:t>
      </w:r>
      <w:r w:rsidR="00790571" w:rsidRPr="00201DB3">
        <w:rPr>
          <w:rFonts w:ascii="Times New Roman" w:hAnsi="Times New Roman" w:cs="Times New Roman"/>
          <w:i/>
          <w:sz w:val="22"/>
          <w:szCs w:val="22"/>
        </w:rPr>
        <w:t xml:space="preserve">: flexibility and uncertainty </w:t>
      </w:r>
    </w:p>
    <w:p w14:paraId="6E6A7A36" w14:textId="261EBB97" w:rsidR="000E5C55" w:rsidRPr="00201DB3" w:rsidRDefault="008D5EAB" w:rsidP="00201DB3">
      <w:pPr>
        <w:spacing w:after="0" w:line="240" w:lineRule="auto"/>
        <w:rPr>
          <w:rFonts w:ascii="Times New Roman" w:eastAsia="Times New Roman" w:hAnsi="Times New Roman" w:cs="Times New Roman"/>
          <w:sz w:val="22"/>
          <w:szCs w:val="22"/>
          <w:lang w:eastAsia="en-GB"/>
        </w:rPr>
      </w:pPr>
      <w:r w:rsidRPr="00201DB3">
        <w:rPr>
          <w:rFonts w:ascii="Times New Roman" w:hAnsi="Times New Roman" w:cs="Times New Roman"/>
          <w:sz w:val="22"/>
          <w:szCs w:val="22"/>
        </w:rPr>
        <w:t xml:space="preserve">In </w:t>
      </w:r>
      <w:r w:rsidR="00324375" w:rsidRPr="00201DB3">
        <w:rPr>
          <w:rFonts w:ascii="Times New Roman" w:hAnsi="Times New Roman" w:cs="Times New Roman"/>
          <w:sz w:val="22"/>
          <w:szCs w:val="22"/>
        </w:rPr>
        <w:t xml:space="preserve">the </w:t>
      </w:r>
      <w:r w:rsidR="00FC4457" w:rsidRPr="00201DB3">
        <w:rPr>
          <w:rFonts w:ascii="Times New Roman" w:hAnsi="Times New Roman" w:cs="Times New Roman"/>
          <w:sz w:val="22"/>
          <w:szCs w:val="22"/>
        </w:rPr>
        <w:t>2006</w:t>
      </w:r>
      <w:r w:rsidR="00324375" w:rsidRPr="00201DB3">
        <w:rPr>
          <w:rFonts w:ascii="Times New Roman" w:hAnsi="Times New Roman" w:cs="Times New Roman"/>
          <w:sz w:val="22"/>
          <w:szCs w:val="22"/>
        </w:rPr>
        <w:t xml:space="preserve"> interviews, just over a decade after the </w:t>
      </w:r>
      <w:r w:rsidR="00C86981" w:rsidRPr="00201DB3">
        <w:rPr>
          <w:rFonts w:ascii="Times New Roman" w:hAnsi="Times New Roman" w:cs="Times New Roman"/>
          <w:sz w:val="22"/>
          <w:szCs w:val="22"/>
        </w:rPr>
        <w:t xml:space="preserve">publication of the </w:t>
      </w:r>
      <w:r w:rsidR="00324375" w:rsidRPr="00201DB3">
        <w:rPr>
          <w:rFonts w:ascii="Times New Roman" w:hAnsi="Times New Roman" w:cs="Times New Roman"/>
          <w:sz w:val="22"/>
          <w:szCs w:val="22"/>
        </w:rPr>
        <w:t xml:space="preserve">OECD </w:t>
      </w:r>
      <w:r w:rsidR="00530CA3" w:rsidRPr="00201DB3">
        <w:rPr>
          <w:rFonts w:ascii="Times New Roman" w:hAnsi="Times New Roman" w:cs="Times New Roman"/>
          <w:sz w:val="22"/>
          <w:szCs w:val="22"/>
        </w:rPr>
        <w:t xml:space="preserve">1995 </w:t>
      </w:r>
      <w:r w:rsidR="00324375" w:rsidRPr="00201DB3">
        <w:rPr>
          <w:rFonts w:ascii="Times New Roman" w:hAnsi="Times New Roman" w:cs="Times New Roman"/>
          <w:sz w:val="22"/>
          <w:szCs w:val="22"/>
        </w:rPr>
        <w:t xml:space="preserve">Guidelines, </w:t>
      </w:r>
      <w:r w:rsidRPr="00201DB3">
        <w:rPr>
          <w:rFonts w:ascii="Times New Roman" w:hAnsi="Times New Roman" w:cs="Times New Roman"/>
          <w:sz w:val="22"/>
          <w:szCs w:val="22"/>
        </w:rPr>
        <w:t xml:space="preserve">interviewees were </w:t>
      </w:r>
      <w:r w:rsidR="00D81BAE" w:rsidRPr="00201DB3">
        <w:rPr>
          <w:rFonts w:ascii="Times New Roman" w:hAnsi="Times New Roman" w:cs="Times New Roman"/>
          <w:sz w:val="22"/>
          <w:szCs w:val="22"/>
        </w:rPr>
        <w:t xml:space="preserve">generally </w:t>
      </w:r>
      <w:r w:rsidRPr="00201DB3">
        <w:rPr>
          <w:rFonts w:ascii="Times New Roman" w:hAnsi="Times New Roman" w:cs="Times New Roman"/>
          <w:sz w:val="22"/>
          <w:szCs w:val="22"/>
        </w:rPr>
        <w:t>supportive of the A</w:t>
      </w:r>
      <w:r w:rsidR="00577F59" w:rsidRPr="00201DB3">
        <w:rPr>
          <w:rFonts w:ascii="Times New Roman" w:hAnsi="Times New Roman" w:cs="Times New Roman"/>
          <w:sz w:val="22"/>
          <w:szCs w:val="22"/>
        </w:rPr>
        <w:t>LP</w:t>
      </w:r>
      <w:r w:rsidRPr="00201DB3">
        <w:rPr>
          <w:rFonts w:ascii="Times New Roman" w:hAnsi="Times New Roman" w:cs="Times New Roman"/>
          <w:sz w:val="22"/>
          <w:szCs w:val="22"/>
        </w:rPr>
        <w:t xml:space="preserve">, speaking positively about it. </w:t>
      </w:r>
      <w:r w:rsidR="00201118" w:rsidRPr="00201DB3">
        <w:rPr>
          <w:rFonts w:ascii="Times New Roman" w:hAnsi="Times New Roman" w:cs="Times New Roman"/>
          <w:sz w:val="22"/>
          <w:szCs w:val="22"/>
        </w:rPr>
        <w:t>Ad</w:t>
      </w:r>
      <w:r w:rsidR="004F4A61" w:rsidRPr="00201DB3">
        <w:rPr>
          <w:rFonts w:ascii="Times New Roman" w:hAnsi="Times New Roman" w:cs="Times New Roman"/>
          <w:sz w:val="22"/>
          <w:szCs w:val="22"/>
        </w:rPr>
        <w:t xml:space="preserve">vantages </w:t>
      </w:r>
      <w:r w:rsidR="00201118" w:rsidRPr="00201DB3">
        <w:rPr>
          <w:rFonts w:ascii="Times New Roman" w:hAnsi="Times New Roman" w:cs="Times New Roman"/>
          <w:sz w:val="22"/>
          <w:szCs w:val="22"/>
        </w:rPr>
        <w:t xml:space="preserve">put forward </w:t>
      </w:r>
      <w:r w:rsidR="004F4A61" w:rsidRPr="00201DB3">
        <w:rPr>
          <w:rFonts w:ascii="Times New Roman" w:hAnsi="Times New Roman" w:cs="Times New Roman"/>
          <w:sz w:val="22"/>
          <w:szCs w:val="22"/>
        </w:rPr>
        <w:t>included</w:t>
      </w:r>
      <w:r w:rsidRPr="00201DB3">
        <w:rPr>
          <w:rFonts w:ascii="Times New Roman" w:hAnsi="Times New Roman" w:cs="Times New Roman"/>
          <w:sz w:val="22"/>
          <w:szCs w:val="22"/>
        </w:rPr>
        <w:t xml:space="preserve"> the principled way it </w:t>
      </w:r>
      <w:r w:rsidR="005D4E35" w:rsidRPr="00201DB3">
        <w:rPr>
          <w:rFonts w:ascii="Times New Roman" w:hAnsi="Times New Roman" w:cs="Times New Roman"/>
          <w:sz w:val="22"/>
          <w:szCs w:val="22"/>
        </w:rPr>
        <w:t>took into account</w:t>
      </w:r>
      <w:r w:rsidRPr="00201DB3">
        <w:rPr>
          <w:rFonts w:ascii="Times New Roman" w:hAnsi="Times New Roman" w:cs="Times New Roman"/>
          <w:sz w:val="22"/>
          <w:szCs w:val="22"/>
        </w:rPr>
        <w:t xml:space="preserve"> the </w:t>
      </w:r>
      <w:r w:rsidR="00F75618" w:rsidRPr="00201DB3">
        <w:rPr>
          <w:rFonts w:ascii="Times New Roman" w:hAnsi="Times New Roman" w:cs="Times New Roman"/>
          <w:sz w:val="22"/>
          <w:szCs w:val="22"/>
        </w:rPr>
        <w:t xml:space="preserve">economic conditions and the </w:t>
      </w:r>
      <w:r w:rsidRPr="00201DB3">
        <w:rPr>
          <w:rFonts w:ascii="Times New Roman" w:hAnsi="Times New Roman" w:cs="Times New Roman"/>
          <w:sz w:val="22"/>
          <w:szCs w:val="22"/>
        </w:rPr>
        <w:t>market</w:t>
      </w:r>
      <w:r w:rsidR="00577F59" w:rsidRPr="00201DB3">
        <w:rPr>
          <w:rFonts w:ascii="Times New Roman" w:hAnsi="Times New Roman" w:cs="Times New Roman"/>
          <w:sz w:val="22"/>
          <w:szCs w:val="22"/>
        </w:rPr>
        <w:t xml:space="preserve">, </w:t>
      </w:r>
      <w:r w:rsidR="00212D06" w:rsidRPr="00201DB3">
        <w:rPr>
          <w:rFonts w:ascii="Times New Roman" w:hAnsi="Times New Roman" w:cs="Times New Roman"/>
          <w:sz w:val="22"/>
          <w:szCs w:val="22"/>
        </w:rPr>
        <w:t xml:space="preserve">and </w:t>
      </w:r>
      <w:r w:rsidR="005B23A5" w:rsidRPr="00201DB3">
        <w:rPr>
          <w:rFonts w:ascii="Times New Roman" w:hAnsi="Times New Roman" w:cs="Times New Roman"/>
          <w:sz w:val="22"/>
          <w:szCs w:val="22"/>
        </w:rPr>
        <w:t>its f</w:t>
      </w:r>
      <w:r w:rsidRPr="00201DB3">
        <w:rPr>
          <w:rFonts w:ascii="Times New Roman" w:hAnsi="Times New Roman" w:cs="Times New Roman"/>
          <w:sz w:val="22"/>
          <w:szCs w:val="22"/>
        </w:rPr>
        <w:t>lexibility</w:t>
      </w:r>
      <w:r w:rsidR="00861636" w:rsidRPr="00201DB3">
        <w:rPr>
          <w:rFonts w:ascii="Times New Roman" w:hAnsi="Times New Roman" w:cs="Times New Roman"/>
          <w:sz w:val="22"/>
          <w:szCs w:val="22"/>
        </w:rPr>
        <w:t>.</w:t>
      </w:r>
      <w:r w:rsidR="00D81BAE" w:rsidRPr="00201DB3">
        <w:rPr>
          <w:rFonts w:ascii="Times New Roman" w:hAnsi="Times New Roman" w:cs="Times New Roman"/>
          <w:sz w:val="22"/>
          <w:szCs w:val="22"/>
        </w:rPr>
        <w:t xml:space="preserve"> </w:t>
      </w:r>
      <w:r w:rsidRPr="00201DB3">
        <w:rPr>
          <w:rFonts w:ascii="Times New Roman" w:hAnsi="Times New Roman" w:cs="Times New Roman"/>
          <w:sz w:val="22"/>
          <w:szCs w:val="22"/>
        </w:rPr>
        <w:t>The ALP was</w:t>
      </w:r>
      <w:r w:rsidR="00D81BAE" w:rsidRPr="00201DB3">
        <w:rPr>
          <w:rFonts w:ascii="Times New Roman" w:hAnsi="Times New Roman" w:cs="Times New Roman"/>
          <w:sz w:val="22"/>
          <w:szCs w:val="22"/>
        </w:rPr>
        <w:t xml:space="preserve"> </w:t>
      </w:r>
      <w:r w:rsidRPr="00201DB3">
        <w:rPr>
          <w:rFonts w:ascii="Times New Roman" w:hAnsi="Times New Roman" w:cs="Times New Roman"/>
          <w:sz w:val="22"/>
          <w:szCs w:val="22"/>
        </w:rPr>
        <w:t xml:space="preserve">seen as a principled way of setting prices between related parties, </w:t>
      </w:r>
      <w:r w:rsidR="006B6D91" w:rsidRPr="00201DB3">
        <w:rPr>
          <w:rFonts w:ascii="Times New Roman" w:hAnsi="Times New Roman" w:cs="Times New Roman"/>
          <w:sz w:val="22"/>
          <w:szCs w:val="22"/>
        </w:rPr>
        <w:t>reflecting economic re</w:t>
      </w:r>
      <w:r w:rsidR="002C2AFB" w:rsidRPr="00201DB3">
        <w:rPr>
          <w:rFonts w:ascii="Times New Roman" w:hAnsi="Times New Roman" w:cs="Times New Roman"/>
          <w:sz w:val="22"/>
          <w:szCs w:val="22"/>
        </w:rPr>
        <w:t>ality</w:t>
      </w:r>
      <w:r w:rsidR="006B6D91" w:rsidRPr="00201DB3">
        <w:rPr>
          <w:rFonts w:ascii="Times New Roman" w:hAnsi="Times New Roman" w:cs="Times New Roman"/>
          <w:sz w:val="22"/>
          <w:szCs w:val="22"/>
        </w:rPr>
        <w:t xml:space="preserve"> </w:t>
      </w:r>
      <w:r w:rsidRPr="00201DB3">
        <w:rPr>
          <w:rFonts w:ascii="Times New Roman" w:hAnsi="Times New Roman" w:cs="Times New Roman"/>
          <w:sz w:val="22"/>
          <w:szCs w:val="22"/>
        </w:rPr>
        <w:t>by taking into account what unrelated parties would do</w:t>
      </w:r>
      <w:r w:rsidR="003B70F5" w:rsidRPr="00201DB3">
        <w:rPr>
          <w:rFonts w:ascii="Times New Roman" w:hAnsi="Times New Roman" w:cs="Times New Roman"/>
          <w:sz w:val="22"/>
          <w:szCs w:val="22"/>
        </w:rPr>
        <w:t xml:space="preserve"> in similar market conditions</w:t>
      </w:r>
      <w:r w:rsidR="0085084F" w:rsidRPr="00201DB3">
        <w:rPr>
          <w:rFonts w:ascii="Times New Roman" w:hAnsi="Times New Roman" w:cs="Times New Roman"/>
          <w:sz w:val="22"/>
          <w:szCs w:val="22"/>
        </w:rPr>
        <w:t>, in accordance with</w:t>
      </w:r>
      <w:r w:rsidR="0035440A" w:rsidRPr="00201DB3">
        <w:rPr>
          <w:rFonts w:ascii="Times New Roman" w:hAnsi="Times New Roman" w:cs="Times New Roman"/>
          <w:sz w:val="22"/>
          <w:szCs w:val="22"/>
        </w:rPr>
        <w:t xml:space="preserve"> the OECD Guidelines</w:t>
      </w:r>
      <w:r w:rsidR="00D7061D" w:rsidRPr="00201DB3">
        <w:rPr>
          <w:rFonts w:ascii="Times New Roman" w:hAnsi="Times New Roman" w:cs="Times New Roman"/>
          <w:sz w:val="22"/>
          <w:szCs w:val="22"/>
        </w:rPr>
        <w:t>. F</w:t>
      </w:r>
      <w:r w:rsidR="00A17EA5" w:rsidRPr="00201DB3">
        <w:rPr>
          <w:rFonts w:ascii="Times New Roman" w:eastAsia="Times New Roman" w:hAnsi="Times New Roman" w:cs="Times New Roman"/>
          <w:sz w:val="22"/>
          <w:szCs w:val="22"/>
          <w:lang w:eastAsia="en-GB"/>
        </w:rPr>
        <w:t>lexibility</w:t>
      </w:r>
      <w:r w:rsidR="000E5C55" w:rsidRPr="00201DB3">
        <w:rPr>
          <w:rFonts w:ascii="Times New Roman" w:eastAsia="Times New Roman" w:hAnsi="Times New Roman" w:cs="Times New Roman"/>
          <w:sz w:val="22"/>
          <w:szCs w:val="22"/>
          <w:lang w:eastAsia="en-GB"/>
        </w:rPr>
        <w:t xml:space="preserve"> was seen as an advantage, allowing the ALP to evolve over time to accommodate and respond to changes in the economy and the business environment:  “the whole point is to reflect what’s happening in the marketplace, the marketplace is always changing</w:t>
      </w:r>
      <w:r w:rsidR="00AF4261" w:rsidRPr="00201DB3">
        <w:rPr>
          <w:rFonts w:ascii="Times New Roman" w:eastAsia="Times New Roman" w:hAnsi="Times New Roman" w:cs="Times New Roman"/>
          <w:sz w:val="22"/>
          <w:szCs w:val="22"/>
          <w:lang w:eastAsia="en-GB"/>
        </w:rPr>
        <w:t>,</w:t>
      </w:r>
      <w:r w:rsidR="000E5C55" w:rsidRPr="00201DB3">
        <w:rPr>
          <w:rFonts w:ascii="Times New Roman" w:eastAsia="Times New Roman" w:hAnsi="Times New Roman" w:cs="Times New Roman"/>
          <w:sz w:val="22"/>
          <w:szCs w:val="22"/>
          <w:lang w:eastAsia="en-GB"/>
        </w:rPr>
        <w:t xml:space="preserve"> and so you can’t codify it”</w:t>
      </w:r>
      <w:r w:rsidR="00D7061D" w:rsidRPr="00201DB3">
        <w:rPr>
          <w:rFonts w:ascii="Times New Roman" w:eastAsia="Times New Roman" w:hAnsi="Times New Roman" w:cs="Times New Roman"/>
          <w:sz w:val="22"/>
          <w:szCs w:val="22"/>
          <w:lang w:eastAsia="en-GB"/>
        </w:rPr>
        <w:t xml:space="preserve"> </w:t>
      </w:r>
      <w:r w:rsidR="00D7061D" w:rsidRPr="00201DB3">
        <w:rPr>
          <w:rFonts w:ascii="Times New Roman" w:eastAsia="MS Mincho" w:hAnsi="Times New Roman" w:cs="Times New Roman"/>
          <w:sz w:val="22"/>
          <w:szCs w:val="22"/>
        </w:rPr>
        <w:t>(I-int).</w:t>
      </w:r>
    </w:p>
    <w:p w14:paraId="09A6145B" w14:textId="77777777" w:rsidR="004F4A61" w:rsidRPr="00201DB3" w:rsidRDefault="004F4A61" w:rsidP="00201DB3">
      <w:pPr>
        <w:spacing w:after="0" w:line="240" w:lineRule="auto"/>
        <w:rPr>
          <w:rFonts w:ascii="Times New Roman" w:eastAsia="Times New Roman" w:hAnsi="Times New Roman" w:cs="Times New Roman"/>
          <w:sz w:val="22"/>
          <w:szCs w:val="22"/>
          <w:lang w:eastAsia="en-GB"/>
        </w:rPr>
      </w:pPr>
    </w:p>
    <w:p w14:paraId="20B3A62B" w14:textId="1837CAD3" w:rsidR="00887D29" w:rsidRPr="00201DB3" w:rsidRDefault="000263E7" w:rsidP="00201DB3">
      <w:pPr>
        <w:spacing w:after="0" w:line="240" w:lineRule="auto"/>
        <w:rPr>
          <w:rFonts w:ascii="Times New Roman" w:hAnsi="Times New Roman" w:cs="Times New Roman"/>
          <w:sz w:val="22"/>
          <w:szCs w:val="22"/>
        </w:rPr>
      </w:pPr>
      <w:r w:rsidRPr="00201DB3">
        <w:rPr>
          <w:rFonts w:ascii="Times New Roman" w:eastAsia="Times New Roman" w:hAnsi="Times New Roman" w:cs="Times New Roman"/>
          <w:sz w:val="22"/>
          <w:szCs w:val="22"/>
          <w:lang w:eastAsia="en-GB"/>
        </w:rPr>
        <w:t>An</w:t>
      </w:r>
      <w:r w:rsidR="00E5324C" w:rsidRPr="00201DB3">
        <w:rPr>
          <w:rFonts w:ascii="Times New Roman" w:eastAsia="Times New Roman" w:hAnsi="Times New Roman" w:cs="Times New Roman"/>
          <w:sz w:val="22"/>
          <w:szCs w:val="22"/>
          <w:lang w:eastAsia="en-GB"/>
        </w:rPr>
        <w:t xml:space="preserve"> </w:t>
      </w:r>
      <w:r w:rsidR="004B0BC3" w:rsidRPr="00201DB3">
        <w:rPr>
          <w:rFonts w:ascii="Times New Roman" w:eastAsia="Times New Roman" w:hAnsi="Times New Roman" w:cs="Times New Roman"/>
          <w:sz w:val="22"/>
          <w:szCs w:val="22"/>
          <w:lang w:eastAsia="en-GB"/>
        </w:rPr>
        <w:t>inte</w:t>
      </w:r>
      <w:r w:rsidR="008D5EAB" w:rsidRPr="00201DB3">
        <w:rPr>
          <w:rFonts w:ascii="Times New Roman" w:hAnsi="Times New Roman" w:cs="Times New Roman"/>
          <w:sz w:val="22"/>
          <w:szCs w:val="22"/>
        </w:rPr>
        <w:t xml:space="preserve">rviewee </w:t>
      </w:r>
      <w:r w:rsidRPr="00201DB3">
        <w:rPr>
          <w:rFonts w:ascii="Times New Roman" w:hAnsi="Times New Roman" w:cs="Times New Roman"/>
          <w:sz w:val="22"/>
          <w:szCs w:val="22"/>
        </w:rPr>
        <w:t>described i</w:t>
      </w:r>
      <w:r w:rsidR="008D5EAB" w:rsidRPr="00201DB3">
        <w:rPr>
          <w:rFonts w:ascii="Times New Roman" w:hAnsi="Times New Roman" w:cs="Times New Roman"/>
          <w:sz w:val="22"/>
          <w:szCs w:val="22"/>
        </w:rPr>
        <w:t>ncreasing acceptance of the ALP</w:t>
      </w:r>
      <w:r w:rsidR="00577F59" w:rsidRPr="00201DB3">
        <w:rPr>
          <w:rFonts w:ascii="Times New Roman" w:hAnsi="Times New Roman" w:cs="Times New Roman"/>
          <w:sz w:val="22"/>
          <w:szCs w:val="22"/>
        </w:rPr>
        <w:t>, envisaging th</w:t>
      </w:r>
      <w:r w:rsidR="008D5EAB" w:rsidRPr="00201DB3">
        <w:rPr>
          <w:rFonts w:ascii="Times New Roman" w:hAnsi="Times New Roman" w:cs="Times New Roman"/>
          <w:sz w:val="22"/>
          <w:szCs w:val="22"/>
        </w:rPr>
        <w:t xml:space="preserve">at </w:t>
      </w:r>
      <w:r w:rsidRPr="00201DB3">
        <w:rPr>
          <w:rFonts w:ascii="Times New Roman" w:hAnsi="Times New Roman" w:cs="Times New Roman"/>
          <w:sz w:val="22"/>
          <w:szCs w:val="22"/>
        </w:rPr>
        <w:t xml:space="preserve">the application of it </w:t>
      </w:r>
      <w:r w:rsidR="00A71449" w:rsidRPr="00201DB3">
        <w:rPr>
          <w:rFonts w:ascii="Times New Roman" w:hAnsi="Times New Roman" w:cs="Times New Roman"/>
          <w:sz w:val="22"/>
          <w:szCs w:val="22"/>
        </w:rPr>
        <w:t>would</w:t>
      </w:r>
      <w:r w:rsidR="008D5EAB" w:rsidRPr="00201DB3">
        <w:rPr>
          <w:rFonts w:ascii="Times New Roman" w:hAnsi="Times New Roman" w:cs="Times New Roman"/>
          <w:sz w:val="22"/>
          <w:szCs w:val="22"/>
        </w:rPr>
        <w:t xml:space="preserve"> </w:t>
      </w:r>
      <w:r w:rsidR="0016573E" w:rsidRPr="00201DB3">
        <w:rPr>
          <w:rFonts w:ascii="Times New Roman" w:hAnsi="Times New Roman" w:cs="Times New Roman"/>
          <w:sz w:val="22"/>
          <w:szCs w:val="22"/>
        </w:rPr>
        <w:t xml:space="preserve">go on to </w:t>
      </w:r>
      <w:r w:rsidR="008D5EAB" w:rsidRPr="00201DB3">
        <w:rPr>
          <w:rFonts w:ascii="Times New Roman" w:hAnsi="Times New Roman" w:cs="Times New Roman"/>
          <w:sz w:val="22"/>
          <w:szCs w:val="22"/>
        </w:rPr>
        <w:t xml:space="preserve">work </w:t>
      </w:r>
      <w:r w:rsidR="00A22850" w:rsidRPr="00201DB3">
        <w:rPr>
          <w:rFonts w:ascii="Times New Roman" w:hAnsi="Times New Roman" w:cs="Times New Roman"/>
          <w:sz w:val="22"/>
          <w:szCs w:val="22"/>
        </w:rPr>
        <w:t>in an improved way</w:t>
      </w:r>
      <w:r w:rsidR="008D5EAB" w:rsidRPr="00201DB3">
        <w:rPr>
          <w:rFonts w:ascii="Times New Roman" w:hAnsi="Times New Roman" w:cs="Times New Roman"/>
          <w:sz w:val="22"/>
          <w:szCs w:val="22"/>
        </w:rPr>
        <w:t xml:space="preserve"> in the coming years: </w:t>
      </w:r>
    </w:p>
    <w:p w14:paraId="17F04AB7" w14:textId="5DFAA779" w:rsidR="005B23A5" w:rsidRPr="00201DB3" w:rsidRDefault="008D5EAB" w:rsidP="0098279D">
      <w:pPr>
        <w:spacing w:after="0" w:line="240" w:lineRule="auto"/>
        <w:ind w:left="454" w:right="454"/>
        <w:rPr>
          <w:rFonts w:ascii="Times New Roman" w:hAnsi="Times New Roman" w:cs="Times New Roman"/>
          <w:sz w:val="22"/>
          <w:szCs w:val="22"/>
        </w:rPr>
      </w:pPr>
      <w:r w:rsidRPr="00201DB3">
        <w:rPr>
          <w:rFonts w:ascii="Times New Roman" w:hAnsi="Times New Roman" w:cs="Times New Roman"/>
          <w:sz w:val="22"/>
          <w:szCs w:val="22"/>
        </w:rPr>
        <w:t xml:space="preserve">“the </w:t>
      </w:r>
      <w:r w:rsidR="000263E7" w:rsidRPr="00201DB3">
        <w:rPr>
          <w:rFonts w:ascii="Times New Roman" w:hAnsi="Times New Roman" w:cs="Times New Roman"/>
          <w:sz w:val="22"/>
          <w:szCs w:val="22"/>
        </w:rPr>
        <w:t xml:space="preserve">arm’s length principle </w:t>
      </w:r>
      <w:r w:rsidRPr="00201DB3">
        <w:rPr>
          <w:rFonts w:ascii="Times New Roman" w:hAnsi="Times New Roman" w:cs="Times New Roman"/>
          <w:sz w:val="22"/>
          <w:szCs w:val="22"/>
        </w:rPr>
        <w:t>is really bedding down…I think the general understanding of it is improving so that you get far less sort of outliers, I think its maybe less political than it’s been”</w:t>
      </w:r>
      <w:r w:rsidR="006C35B4" w:rsidRPr="00201DB3">
        <w:rPr>
          <w:rFonts w:ascii="Times New Roman" w:hAnsi="Times New Roman" w:cs="Times New Roman"/>
          <w:sz w:val="22"/>
          <w:szCs w:val="22"/>
        </w:rPr>
        <w:t xml:space="preserve"> </w:t>
      </w:r>
      <w:r w:rsidR="00D7061D" w:rsidRPr="00201DB3">
        <w:rPr>
          <w:rFonts w:ascii="Times New Roman" w:eastAsia="MS Mincho" w:hAnsi="Times New Roman" w:cs="Times New Roman"/>
          <w:sz w:val="22"/>
          <w:szCs w:val="22"/>
        </w:rPr>
        <w:t xml:space="preserve">(I-int). </w:t>
      </w:r>
    </w:p>
    <w:p w14:paraId="18E3CB12" w14:textId="61AF9088" w:rsidR="008D5EAB" w:rsidRPr="00201DB3" w:rsidRDefault="00897556"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Thus, in 2006, </w:t>
      </w:r>
      <w:r w:rsidR="00DC680C" w:rsidRPr="00201DB3">
        <w:rPr>
          <w:rFonts w:ascii="Times New Roman" w:hAnsi="Times New Roman" w:cs="Times New Roman"/>
          <w:sz w:val="22"/>
          <w:szCs w:val="22"/>
        </w:rPr>
        <w:t>just over a decade after the</w:t>
      </w:r>
      <w:r w:rsidR="00BC520A" w:rsidRPr="00201DB3">
        <w:rPr>
          <w:rFonts w:ascii="Times New Roman" w:hAnsi="Times New Roman" w:cs="Times New Roman"/>
          <w:sz w:val="22"/>
          <w:szCs w:val="22"/>
        </w:rPr>
        <w:t xml:space="preserve"> publication of the</w:t>
      </w:r>
      <w:r w:rsidR="00DC680C" w:rsidRPr="00201DB3">
        <w:rPr>
          <w:rFonts w:ascii="Times New Roman" w:hAnsi="Times New Roman" w:cs="Times New Roman"/>
          <w:sz w:val="22"/>
          <w:szCs w:val="22"/>
        </w:rPr>
        <w:t xml:space="preserve"> OECD Guidelines, this</w:t>
      </w:r>
      <w:r w:rsidR="008D5EAB" w:rsidRPr="00201DB3">
        <w:rPr>
          <w:rFonts w:ascii="Times New Roman" w:hAnsi="Times New Roman" w:cs="Times New Roman"/>
          <w:sz w:val="22"/>
          <w:szCs w:val="22"/>
        </w:rPr>
        <w:t xml:space="preserve"> bedding down of the ALP </w:t>
      </w:r>
      <w:r w:rsidR="003B70F5" w:rsidRPr="00201DB3">
        <w:rPr>
          <w:rFonts w:ascii="Times New Roman" w:hAnsi="Times New Roman" w:cs="Times New Roman"/>
          <w:sz w:val="22"/>
          <w:szCs w:val="22"/>
        </w:rPr>
        <w:t>indicate</w:t>
      </w:r>
      <w:r w:rsidR="00DC680C" w:rsidRPr="00201DB3">
        <w:rPr>
          <w:rFonts w:ascii="Times New Roman" w:hAnsi="Times New Roman" w:cs="Times New Roman"/>
          <w:sz w:val="22"/>
          <w:szCs w:val="22"/>
        </w:rPr>
        <w:t>d</w:t>
      </w:r>
      <w:r w:rsidR="005C0512" w:rsidRPr="00201DB3">
        <w:rPr>
          <w:rFonts w:ascii="Times New Roman" w:hAnsi="Times New Roman" w:cs="Times New Roman"/>
          <w:sz w:val="22"/>
          <w:szCs w:val="22"/>
        </w:rPr>
        <w:t xml:space="preserve"> </w:t>
      </w:r>
      <w:r w:rsidR="00EA5DAC" w:rsidRPr="00201DB3">
        <w:rPr>
          <w:rFonts w:ascii="Times New Roman" w:hAnsi="Times New Roman" w:cs="Times New Roman"/>
          <w:sz w:val="22"/>
          <w:szCs w:val="22"/>
        </w:rPr>
        <w:t xml:space="preserve">the potential for </w:t>
      </w:r>
      <w:r w:rsidR="005C0512" w:rsidRPr="00201DB3">
        <w:rPr>
          <w:rFonts w:ascii="Times New Roman" w:hAnsi="Times New Roman" w:cs="Times New Roman"/>
          <w:sz w:val="22"/>
          <w:szCs w:val="22"/>
        </w:rPr>
        <w:t xml:space="preserve">a </w:t>
      </w:r>
      <w:r w:rsidR="00D9649B" w:rsidRPr="00201DB3">
        <w:rPr>
          <w:rFonts w:ascii="Times New Roman" w:hAnsi="Times New Roman" w:cs="Times New Roman"/>
          <w:sz w:val="22"/>
          <w:szCs w:val="22"/>
        </w:rPr>
        <w:t>deepening</w:t>
      </w:r>
      <w:r w:rsidR="005C0512" w:rsidRPr="00201DB3">
        <w:rPr>
          <w:rFonts w:ascii="Times New Roman" w:hAnsi="Times New Roman" w:cs="Times New Roman"/>
          <w:sz w:val="22"/>
          <w:szCs w:val="22"/>
        </w:rPr>
        <w:t xml:space="preserve"> consensus</w:t>
      </w:r>
      <w:r w:rsidR="005B23A5" w:rsidRPr="00201DB3">
        <w:rPr>
          <w:rFonts w:ascii="Times New Roman" w:hAnsi="Times New Roman" w:cs="Times New Roman"/>
          <w:sz w:val="22"/>
          <w:szCs w:val="22"/>
        </w:rPr>
        <w:t xml:space="preserve"> on the ALP.</w:t>
      </w:r>
    </w:p>
    <w:p w14:paraId="78CE495E" w14:textId="77777777" w:rsidR="004F4A61" w:rsidRPr="00201DB3" w:rsidRDefault="004F4A61" w:rsidP="00201DB3">
      <w:pPr>
        <w:spacing w:after="0" w:line="240" w:lineRule="auto"/>
        <w:rPr>
          <w:rFonts w:ascii="Times New Roman" w:hAnsi="Times New Roman" w:cs="Times New Roman"/>
          <w:sz w:val="22"/>
          <w:szCs w:val="22"/>
        </w:rPr>
      </w:pPr>
    </w:p>
    <w:p w14:paraId="11F69336" w14:textId="73F7B721" w:rsidR="00CA204D" w:rsidRPr="00201DB3" w:rsidRDefault="000263E7"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w:t>
      </w:r>
      <w:r w:rsidR="00041340" w:rsidRPr="00201DB3">
        <w:rPr>
          <w:rFonts w:ascii="Times New Roman" w:hAnsi="Times New Roman" w:cs="Times New Roman"/>
          <w:sz w:val="22"/>
          <w:szCs w:val="22"/>
        </w:rPr>
        <w:t>here was recognition that, u</w:t>
      </w:r>
      <w:r w:rsidR="00861636" w:rsidRPr="00201DB3">
        <w:rPr>
          <w:rFonts w:ascii="Times New Roman" w:hAnsi="Times New Roman" w:cs="Times New Roman"/>
          <w:sz w:val="22"/>
          <w:szCs w:val="22"/>
        </w:rPr>
        <w:t>nder the flexibility of the ALP</w:t>
      </w:r>
      <w:r w:rsidR="00CB4984" w:rsidRPr="00201DB3">
        <w:rPr>
          <w:rFonts w:ascii="Times New Roman" w:hAnsi="Times New Roman" w:cs="Times New Roman"/>
          <w:sz w:val="22"/>
          <w:szCs w:val="22"/>
        </w:rPr>
        <w:t>,</w:t>
      </w:r>
      <w:r w:rsidR="00861636" w:rsidRPr="00201DB3">
        <w:rPr>
          <w:rFonts w:ascii="Times New Roman" w:hAnsi="Times New Roman" w:cs="Times New Roman"/>
          <w:sz w:val="22"/>
          <w:szCs w:val="22"/>
        </w:rPr>
        <w:t xml:space="preserve"> the use of a profit split method was becoming increasingly commonplace, despite it not being based on </w:t>
      </w:r>
      <w:r w:rsidR="00DC680C" w:rsidRPr="00201DB3">
        <w:rPr>
          <w:rFonts w:ascii="Times New Roman" w:hAnsi="Times New Roman" w:cs="Times New Roman"/>
          <w:sz w:val="22"/>
          <w:szCs w:val="22"/>
        </w:rPr>
        <w:t xml:space="preserve">arm’s length </w:t>
      </w:r>
      <w:r w:rsidR="00861636" w:rsidRPr="00201DB3">
        <w:rPr>
          <w:rFonts w:ascii="Times New Roman" w:hAnsi="Times New Roman" w:cs="Times New Roman"/>
          <w:sz w:val="22"/>
          <w:szCs w:val="22"/>
        </w:rPr>
        <w:t>comparable prices and the OECD’s presentation of it as the method of last resort</w:t>
      </w:r>
      <w:r w:rsidR="003D0F47" w:rsidRPr="00201DB3">
        <w:rPr>
          <w:rFonts w:ascii="Times New Roman" w:hAnsi="Times New Roman" w:cs="Times New Roman"/>
          <w:sz w:val="22"/>
          <w:szCs w:val="22"/>
        </w:rPr>
        <w:t xml:space="preserve">. </w:t>
      </w:r>
      <w:r w:rsidR="00861636" w:rsidRPr="00201DB3">
        <w:rPr>
          <w:rFonts w:ascii="Times New Roman" w:hAnsi="Times New Roman" w:cs="Times New Roman"/>
          <w:sz w:val="22"/>
          <w:szCs w:val="22"/>
        </w:rPr>
        <w:t>While this was a move away from the use of comparable transactions,</w:t>
      </w:r>
      <w:r w:rsidR="00041340" w:rsidRPr="00201DB3">
        <w:rPr>
          <w:rFonts w:ascii="Times New Roman" w:hAnsi="Times New Roman" w:cs="Times New Roman"/>
          <w:sz w:val="22"/>
          <w:szCs w:val="22"/>
        </w:rPr>
        <w:t xml:space="preserve"> interviewees </w:t>
      </w:r>
      <w:r w:rsidR="00861636" w:rsidRPr="00201DB3">
        <w:rPr>
          <w:rFonts w:ascii="Times New Roman" w:hAnsi="Times New Roman" w:cs="Times New Roman"/>
          <w:sz w:val="22"/>
          <w:szCs w:val="22"/>
        </w:rPr>
        <w:t>still considered</w:t>
      </w:r>
      <w:r w:rsidR="00DC680C" w:rsidRPr="00201DB3">
        <w:rPr>
          <w:rFonts w:ascii="Times New Roman" w:hAnsi="Times New Roman" w:cs="Times New Roman"/>
          <w:sz w:val="22"/>
          <w:szCs w:val="22"/>
        </w:rPr>
        <w:t xml:space="preserve"> it to </w:t>
      </w:r>
      <w:r w:rsidR="00B51DDB" w:rsidRPr="00201DB3">
        <w:rPr>
          <w:rFonts w:ascii="Times New Roman" w:hAnsi="Times New Roman" w:cs="Times New Roman"/>
          <w:sz w:val="22"/>
          <w:szCs w:val="22"/>
        </w:rPr>
        <w:t xml:space="preserve">be </w:t>
      </w:r>
      <w:r w:rsidR="00861636" w:rsidRPr="00201DB3">
        <w:rPr>
          <w:rFonts w:ascii="Times New Roman" w:hAnsi="Times New Roman" w:cs="Times New Roman"/>
          <w:sz w:val="22"/>
          <w:szCs w:val="22"/>
        </w:rPr>
        <w:t>consistent with the ALP</w:t>
      </w:r>
      <w:r w:rsidR="00CA204D" w:rsidRPr="00201DB3">
        <w:rPr>
          <w:rFonts w:ascii="Times New Roman" w:hAnsi="Times New Roman" w:cs="Times New Roman"/>
          <w:sz w:val="22"/>
          <w:szCs w:val="22"/>
        </w:rPr>
        <w:t>.</w:t>
      </w:r>
    </w:p>
    <w:p w14:paraId="22C2C43B" w14:textId="048EF9AC" w:rsidR="00CD7D42" w:rsidRPr="00201DB3" w:rsidRDefault="00DC680C" w:rsidP="00201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201DB3">
        <w:rPr>
          <w:rFonts w:ascii="Times New Roman" w:eastAsia="Times New Roman" w:hAnsi="Times New Roman" w:cs="Times New Roman"/>
          <w:sz w:val="22"/>
          <w:szCs w:val="22"/>
          <w:lang w:eastAsia="en-GB"/>
        </w:rPr>
        <w:t xml:space="preserve">The rise in </w:t>
      </w:r>
      <w:r w:rsidR="003B70F5" w:rsidRPr="00201DB3">
        <w:rPr>
          <w:rFonts w:ascii="Times New Roman" w:eastAsia="Times New Roman" w:hAnsi="Times New Roman" w:cs="Times New Roman"/>
          <w:sz w:val="22"/>
          <w:szCs w:val="22"/>
          <w:lang w:eastAsia="en-GB"/>
        </w:rPr>
        <w:t>highly integrated, complex MNEs</w:t>
      </w:r>
      <w:r w:rsidR="005A7833" w:rsidRPr="00201DB3">
        <w:rPr>
          <w:rFonts w:ascii="Times New Roman" w:eastAsia="Times New Roman" w:hAnsi="Times New Roman" w:cs="Times New Roman"/>
          <w:sz w:val="22"/>
          <w:szCs w:val="22"/>
          <w:lang w:eastAsia="en-GB"/>
        </w:rPr>
        <w:t xml:space="preserve"> poses difficulties</w:t>
      </w:r>
      <w:r w:rsidR="00376EA6" w:rsidRPr="00201DB3">
        <w:rPr>
          <w:rFonts w:ascii="Times New Roman" w:eastAsia="Times New Roman" w:hAnsi="Times New Roman" w:cs="Times New Roman"/>
          <w:sz w:val="22"/>
          <w:szCs w:val="22"/>
          <w:lang w:eastAsia="en-GB"/>
        </w:rPr>
        <w:t xml:space="preserve">, where it is </w:t>
      </w:r>
      <w:r w:rsidR="002F40CF" w:rsidRPr="00201DB3">
        <w:rPr>
          <w:rFonts w:ascii="Times New Roman" w:eastAsia="Times New Roman" w:hAnsi="Times New Roman" w:cs="Times New Roman"/>
          <w:sz w:val="22"/>
          <w:szCs w:val="22"/>
          <w:lang w:eastAsia="en-GB"/>
        </w:rPr>
        <w:t>difficult to identify comparables for gains (or losses) from integration</w:t>
      </w:r>
      <w:r w:rsidR="00EA5DAC" w:rsidRPr="00201DB3">
        <w:rPr>
          <w:rFonts w:ascii="Times New Roman" w:eastAsia="Times New Roman" w:hAnsi="Times New Roman" w:cs="Times New Roman"/>
          <w:sz w:val="22"/>
          <w:szCs w:val="22"/>
          <w:lang w:eastAsia="en-GB"/>
        </w:rPr>
        <w:t xml:space="preserve"> and so profit split was again seen as appropriate</w:t>
      </w:r>
      <w:r w:rsidR="00AF4261" w:rsidRPr="00201DB3">
        <w:rPr>
          <w:rFonts w:ascii="Times New Roman" w:eastAsia="Times New Roman" w:hAnsi="Times New Roman" w:cs="Times New Roman"/>
          <w:sz w:val="22"/>
          <w:szCs w:val="22"/>
          <w:lang w:eastAsia="en-GB"/>
        </w:rPr>
        <w:t xml:space="preserve"> and consistent with the </w:t>
      </w:r>
      <w:r w:rsidR="009C78FB">
        <w:rPr>
          <w:rFonts w:ascii="Times New Roman" w:eastAsia="Times New Roman" w:hAnsi="Times New Roman" w:cs="Times New Roman"/>
          <w:sz w:val="22"/>
          <w:szCs w:val="22"/>
          <w:lang w:eastAsia="en-GB"/>
        </w:rPr>
        <w:t xml:space="preserve">flexible </w:t>
      </w:r>
      <w:r w:rsidR="00AF4261" w:rsidRPr="00201DB3">
        <w:rPr>
          <w:rFonts w:ascii="Times New Roman" w:eastAsia="Times New Roman" w:hAnsi="Times New Roman" w:cs="Times New Roman"/>
          <w:sz w:val="22"/>
          <w:szCs w:val="22"/>
          <w:lang w:eastAsia="en-GB"/>
        </w:rPr>
        <w:t>ALP</w:t>
      </w:r>
      <w:r w:rsidR="009C78FB">
        <w:rPr>
          <w:rFonts w:ascii="Times New Roman" w:eastAsia="Times New Roman" w:hAnsi="Times New Roman" w:cs="Times New Roman"/>
          <w:sz w:val="22"/>
          <w:szCs w:val="22"/>
          <w:lang w:eastAsia="en-GB"/>
        </w:rPr>
        <w:t>.</w:t>
      </w:r>
      <w:r w:rsidR="003D0F47" w:rsidRPr="00201DB3">
        <w:rPr>
          <w:rFonts w:ascii="Times New Roman" w:eastAsia="Times New Roman" w:hAnsi="Times New Roman" w:cs="Times New Roman"/>
          <w:sz w:val="22"/>
          <w:szCs w:val="22"/>
          <w:lang w:eastAsia="en-GB"/>
        </w:rPr>
        <w:t xml:space="preserve"> </w:t>
      </w:r>
    </w:p>
    <w:p w14:paraId="60186FFB" w14:textId="3CD71803" w:rsidR="008D5EAB" w:rsidRPr="00201DB3" w:rsidRDefault="008D5EAB" w:rsidP="00201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97"/>
        <w:rPr>
          <w:rFonts w:ascii="Times New Roman" w:eastAsia="Times New Roman" w:hAnsi="Times New Roman" w:cs="Times New Roman"/>
          <w:sz w:val="22"/>
          <w:szCs w:val="22"/>
          <w:lang w:eastAsia="en-GB"/>
        </w:rPr>
      </w:pPr>
    </w:p>
    <w:p w14:paraId="45524A8C" w14:textId="08204054" w:rsidR="003D0F47" w:rsidRPr="00201DB3" w:rsidRDefault="007C076D"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In 2006, </w:t>
      </w:r>
      <w:r w:rsidR="00DC680C" w:rsidRPr="00201DB3">
        <w:rPr>
          <w:rFonts w:ascii="Times New Roman" w:hAnsi="Times New Roman" w:cs="Times New Roman"/>
          <w:sz w:val="22"/>
          <w:szCs w:val="22"/>
        </w:rPr>
        <w:t>i</w:t>
      </w:r>
      <w:r w:rsidR="008D5EAB" w:rsidRPr="00201DB3">
        <w:rPr>
          <w:rFonts w:ascii="Times New Roman" w:hAnsi="Times New Roman" w:cs="Times New Roman"/>
          <w:sz w:val="22"/>
          <w:szCs w:val="22"/>
        </w:rPr>
        <w:t xml:space="preserve">nterviewees raised and discussed </w:t>
      </w:r>
      <w:r w:rsidR="003040EE" w:rsidRPr="00201DB3">
        <w:rPr>
          <w:rFonts w:ascii="Times New Roman" w:hAnsi="Times New Roman" w:cs="Times New Roman"/>
          <w:sz w:val="22"/>
          <w:szCs w:val="22"/>
        </w:rPr>
        <w:t xml:space="preserve">some </w:t>
      </w:r>
      <w:r w:rsidR="008D5EAB" w:rsidRPr="00201DB3">
        <w:rPr>
          <w:rFonts w:ascii="Times New Roman" w:hAnsi="Times New Roman" w:cs="Times New Roman"/>
          <w:sz w:val="22"/>
          <w:szCs w:val="22"/>
        </w:rPr>
        <w:t>problems of applying the ALP in practice, including problems with comparability and</w:t>
      </w:r>
      <w:r w:rsidR="00BC13C3" w:rsidRPr="00201DB3">
        <w:rPr>
          <w:rFonts w:ascii="Times New Roman" w:hAnsi="Times New Roman" w:cs="Times New Roman"/>
          <w:sz w:val="22"/>
          <w:szCs w:val="22"/>
        </w:rPr>
        <w:t xml:space="preserve"> </w:t>
      </w:r>
      <w:r w:rsidR="00212D06" w:rsidRPr="00201DB3">
        <w:rPr>
          <w:rFonts w:ascii="Times New Roman" w:hAnsi="Times New Roman" w:cs="Times New Roman"/>
          <w:sz w:val="22"/>
          <w:szCs w:val="22"/>
        </w:rPr>
        <w:t xml:space="preserve">the </w:t>
      </w:r>
      <w:r w:rsidR="00BC13C3" w:rsidRPr="00201DB3">
        <w:rPr>
          <w:rFonts w:ascii="Times New Roman" w:hAnsi="Times New Roman" w:cs="Times New Roman"/>
          <w:sz w:val="22"/>
          <w:szCs w:val="22"/>
        </w:rPr>
        <w:t>consequent</w:t>
      </w:r>
      <w:r w:rsidR="008D5EAB" w:rsidRPr="00201DB3">
        <w:rPr>
          <w:rFonts w:ascii="Times New Roman" w:hAnsi="Times New Roman" w:cs="Times New Roman"/>
          <w:sz w:val="22"/>
          <w:szCs w:val="22"/>
        </w:rPr>
        <w:t xml:space="preserve"> uncertainty as to whether prices w</w:t>
      </w:r>
      <w:r w:rsidR="00BC13C3" w:rsidRPr="00201DB3">
        <w:rPr>
          <w:rFonts w:ascii="Times New Roman" w:hAnsi="Times New Roman" w:cs="Times New Roman"/>
          <w:sz w:val="22"/>
          <w:szCs w:val="22"/>
        </w:rPr>
        <w:t xml:space="preserve">ould be deemed as </w:t>
      </w:r>
      <w:r w:rsidR="008D5EAB" w:rsidRPr="00201DB3">
        <w:rPr>
          <w:rFonts w:ascii="Times New Roman" w:hAnsi="Times New Roman" w:cs="Times New Roman"/>
          <w:sz w:val="22"/>
          <w:szCs w:val="22"/>
        </w:rPr>
        <w:t>compliant with the requirements of all countries</w:t>
      </w:r>
      <w:r w:rsidR="00AF4261" w:rsidRPr="00201DB3">
        <w:rPr>
          <w:rFonts w:ascii="Times New Roman" w:hAnsi="Times New Roman" w:cs="Times New Roman"/>
          <w:sz w:val="22"/>
          <w:szCs w:val="22"/>
        </w:rPr>
        <w:t xml:space="preserve">. </w:t>
      </w:r>
    </w:p>
    <w:p w14:paraId="23648A74" w14:textId="77777777" w:rsidR="003D0F47" w:rsidRPr="00201DB3" w:rsidRDefault="003D0F47" w:rsidP="00201DB3">
      <w:pPr>
        <w:spacing w:after="0" w:line="240" w:lineRule="auto"/>
        <w:ind w:left="397"/>
        <w:rPr>
          <w:rFonts w:ascii="Times New Roman" w:hAnsi="Times New Roman" w:cs="Times New Roman"/>
          <w:sz w:val="22"/>
          <w:szCs w:val="22"/>
        </w:rPr>
      </w:pPr>
    </w:p>
    <w:p w14:paraId="21AEE0F5" w14:textId="7EF0B4C1" w:rsidR="008D5EAB" w:rsidRPr="00201DB3" w:rsidRDefault="007D3323"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 xml:space="preserve">2006 </w:t>
      </w:r>
      <w:bookmarkStart w:id="4" w:name="_Hlk525742445"/>
      <w:r w:rsidR="000E240B" w:rsidRPr="00201DB3">
        <w:rPr>
          <w:rFonts w:ascii="Times New Roman" w:hAnsi="Times New Roman" w:cs="Times New Roman"/>
          <w:i/>
          <w:sz w:val="22"/>
          <w:szCs w:val="22"/>
        </w:rPr>
        <w:t xml:space="preserve">Attitudes to </w:t>
      </w:r>
      <w:r w:rsidR="001936EE" w:rsidRPr="00201DB3">
        <w:rPr>
          <w:rFonts w:ascii="Times New Roman" w:hAnsi="Times New Roman" w:cs="Times New Roman"/>
          <w:i/>
          <w:sz w:val="22"/>
          <w:szCs w:val="22"/>
        </w:rPr>
        <w:t>formulary apportionment</w:t>
      </w:r>
      <w:r w:rsidR="00790571" w:rsidRPr="00201DB3">
        <w:rPr>
          <w:rFonts w:ascii="Times New Roman" w:hAnsi="Times New Roman" w:cs="Times New Roman"/>
          <w:i/>
          <w:sz w:val="22"/>
          <w:szCs w:val="22"/>
        </w:rPr>
        <w:t>: inflexibility and more certainty</w:t>
      </w:r>
    </w:p>
    <w:bookmarkEnd w:id="4"/>
    <w:p w14:paraId="6DFD4D74" w14:textId="5578D160" w:rsidR="008D5EAB" w:rsidRPr="00201DB3" w:rsidRDefault="000914A7" w:rsidP="0098279D">
      <w:pPr>
        <w:spacing w:after="0" w:line="240" w:lineRule="auto"/>
        <w:rPr>
          <w:rFonts w:ascii="Times New Roman" w:eastAsia="Times New Roman" w:hAnsi="Times New Roman" w:cs="Times New Roman"/>
          <w:sz w:val="22"/>
          <w:szCs w:val="22"/>
          <w:lang w:eastAsia="en-GB"/>
        </w:rPr>
      </w:pPr>
      <w:r w:rsidRPr="00201DB3">
        <w:rPr>
          <w:rFonts w:ascii="Times New Roman" w:hAnsi="Times New Roman" w:cs="Times New Roman"/>
          <w:sz w:val="22"/>
          <w:szCs w:val="22"/>
        </w:rPr>
        <w:t>T</w:t>
      </w:r>
      <w:r w:rsidR="008D5EAB" w:rsidRPr="00201DB3">
        <w:rPr>
          <w:rFonts w:ascii="Times New Roman" w:hAnsi="Times New Roman" w:cs="Times New Roman"/>
          <w:sz w:val="22"/>
          <w:szCs w:val="22"/>
        </w:rPr>
        <w:t xml:space="preserve">he strong support for the </w:t>
      </w:r>
      <w:r w:rsidR="004D15B7" w:rsidRPr="00201DB3">
        <w:rPr>
          <w:rFonts w:ascii="Times New Roman" w:hAnsi="Times New Roman" w:cs="Times New Roman"/>
          <w:sz w:val="22"/>
          <w:szCs w:val="22"/>
        </w:rPr>
        <w:t>ALP</w:t>
      </w:r>
      <w:r w:rsidR="008D5EAB" w:rsidRPr="00201DB3">
        <w:rPr>
          <w:rFonts w:ascii="Times New Roman" w:hAnsi="Times New Roman" w:cs="Times New Roman"/>
          <w:sz w:val="22"/>
          <w:szCs w:val="22"/>
        </w:rPr>
        <w:t xml:space="preserve"> was </w:t>
      </w:r>
      <w:r w:rsidRPr="00201DB3">
        <w:rPr>
          <w:rFonts w:ascii="Times New Roman" w:hAnsi="Times New Roman" w:cs="Times New Roman"/>
          <w:sz w:val="22"/>
          <w:szCs w:val="22"/>
        </w:rPr>
        <w:t xml:space="preserve">matched by a </w:t>
      </w:r>
      <w:r w:rsidR="008D5EAB" w:rsidRPr="00201DB3">
        <w:rPr>
          <w:rFonts w:ascii="Times New Roman" w:hAnsi="Times New Roman" w:cs="Times New Roman"/>
          <w:sz w:val="22"/>
          <w:szCs w:val="22"/>
        </w:rPr>
        <w:t>dearth of appetite for formulary apportionment</w:t>
      </w:r>
      <w:r w:rsidR="00636F42" w:rsidRPr="00201DB3">
        <w:rPr>
          <w:rFonts w:ascii="Times New Roman" w:hAnsi="Times New Roman" w:cs="Times New Roman"/>
          <w:sz w:val="22"/>
          <w:szCs w:val="22"/>
        </w:rPr>
        <w:t>.</w:t>
      </w:r>
      <w:r w:rsidR="008D5EAB" w:rsidRPr="00201DB3">
        <w:rPr>
          <w:rFonts w:ascii="Times New Roman" w:hAnsi="Times New Roman" w:cs="Times New Roman"/>
          <w:sz w:val="22"/>
          <w:szCs w:val="22"/>
        </w:rPr>
        <w:t xml:space="preserve"> </w:t>
      </w:r>
      <w:r w:rsidR="0049003F" w:rsidRPr="00201DB3">
        <w:rPr>
          <w:rFonts w:ascii="Times New Roman" w:hAnsi="Times New Roman" w:cs="Times New Roman"/>
          <w:sz w:val="22"/>
          <w:szCs w:val="22"/>
        </w:rPr>
        <w:t>Among many, there was a view that it was not worth even considering, as it would never happen: several interviewees dismissed it out of hand.</w:t>
      </w:r>
      <w:r w:rsidR="0049003F" w:rsidRPr="00201DB3">
        <w:rPr>
          <w:rFonts w:ascii="Times New Roman" w:hAnsi="Times New Roman" w:cs="Times New Roman"/>
          <w:sz w:val="22"/>
          <w:szCs w:val="22"/>
        </w:rPr>
        <w:t xml:space="preserve"> </w:t>
      </w:r>
      <w:r w:rsidR="00623F81" w:rsidRPr="00201DB3">
        <w:rPr>
          <w:rFonts w:ascii="Times New Roman" w:hAnsi="Times New Roman" w:cs="Times New Roman"/>
          <w:sz w:val="22"/>
          <w:szCs w:val="22"/>
        </w:rPr>
        <w:t>In 2006, r</w:t>
      </w:r>
      <w:r w:rsidR="008D5EAB" w:rsidRPr="00201DB3">
        <w:rPr>
          <w:rFonts w:ascii="Times New Roman" w:hAnsi="Times New Roman" w:cs="Times New Roman"/>
          <w:sz w:val="22"/>
          <w:szCs w:val="22"/>
        </w:rPr>
        <w:t xml:space="preserve">easons </w:t>
      </w:r>
      <w:r w:rsidR="003D0F47" w:rsidRPr="00201DB3">
        <w:rPr>
          <w:rFonts w:ascii="Times New Roman" w:hAnsi="Times New Roman" w:cs="Times New Roman"/>
          <w:sz w:val="22"/>
          <w:szCs w:val="22"/>
        </w:rPr>
        <w:t xml:space="preserve">put forward </w:t>
      </w:r>
      <w:r w:rsidR="008D5EAB" w:rsidRPr="00201DB3">
        <w:rPr>
          <w:rFonts w:ascii="Times New Roman" w:hAnsi="Times New Roman" w:cs="Times New Roman"/>
          <w:sz w:val="22"/>
          <w:szCs w:val="22"/>
        </w:rPr>
        <w:t xml:space="preserve">for opposition to </w:t>
      </w:r>
      <w:r w:rsidR="001936EE" w:rsidRPr="00201DB3">
        <w:rPr>
          <w:rFonts w:ascii="Times New Roman" w:hAnsi="Times New Roman" w:cs="Times New Roman"/>
          <w:sz w:val="22"/>
          <w:szCs w:val="22"/>
        </w:rPr>
        <w:t>formulary apportionment</w:t>
      </w:r>
      <w:r w:rsidR="008D5EAB" w:rsidRPr="00201DB3">
        <w:rPr>
          <w:rFonts w:ascii="Times New Roman" w:hAnsi="Times New Roman" w:cs="Times New Roman"/>
          <w:sz w:val="22"/>
          <w:szCs w:val="22"/>
        </w:rPr>
        <w:t xml:space="preserve"> included</w:t>
      </w:r>
      <w:r w:rsidR="00DC680C" w:rsidRPr="00201DB3">
        <w:rPr>
          <w:rFonts w:ascii="Times New Roman" w:hAnsi="Times New Roman" w:cs="Times New Roman"/>
          <w:sz w:val="22"/>
          <w:szCs w:val="22"/>
        </w:rPr>
        <w:t>: its</w:t>
      </w:r>
      <w:r w:rsidR="008D5EAB" w:rsidRPr="00201DB3">
        <w:rPr>
          <w:rFonts w:ascii="Times New Roman" w:hAnsi="Times New Roman" w:cs="Times New Roman"/>
          <w:sz w:val="22"/>
          <w:szCs w:val="22"/>
        </w:rPr>
        <w:t xml:space="preserve"> formulaic</w:t>
      </w:r>
      <w:r w:rsidR="00861636" w:rsidRPr="00201DB3">
        <w:rPr>
          <w:rFonts w:ascii="Times New Roman" w:hAnsi="Times New Roman" w:cs="Times New Roman"/>
          <w:sz w:val="22"/>
          <w:szCs w:val="22"/>
        </w:rPr>
        <w:t xml:space="preserve"> rather than principled </w:t>
      </w:r>
      <w:r w:rsidR="008D5EAB" w:rsidRPr="00201DB3">
        <w:rPr>
          <w:rFonts w:ascii="Times New Roman" w:hAnsi="Times New Roman" w:cs="Times New Roman"/>
          <w:sz w:val="22"/>
          <w:szCs w:val="22"/>
        </w:rPr>
        <w:t xml:space="preserve">approach </w:t>
      </w:r>
      <w:r w:rsidR="00861636" w:rsidRPr="00201DB3">
        <w:rPr>
          <w:rFonts w:ascii="Times New Roman" w:hAnsi="Times New Roman" w:cs="Times New Roman"/>
          <w:sz w:val="22"/>
          <w:szCs w:val="22"/>
        </w:rPr>
        <w:t xml:space="preserve">that </w:t>
      </w:r>
      <w:r w:rsidR="00836E54" w:rsidRPr="00201DB3">
        <w:rPr>
          <w:rFonts w:ascii="Times New Roman" w:hAnsi="Times New Roman" w:cs="Times New Roman"/>
          <w:sz w:val="22"/>
          <w:szCs w:val="22"/>
        </w:rPr>
        <w:t xml:space="preserve">is not reflective of </w:t>
      </w:r>
      <w:r w:rsidR="00861636" w:rsidRPr="00201DB3">
        <w:rPr>
          <w:rFonts w:ascii="Times New Roman" w:hAnsi="Times New Roman" w:cs="Times New Roman"/>
          <w:sz w:val="22"/>
          <w:szCs w:val="22"/>
        </w:rPr>
        <w:t>the market and economic circumstances</w:t>
      </w:r>
      <w:r w:rsidR="00AD08B1" w:rsidRPr="00201DB3">
        <w:rPr>
          <w:rFonts w:ascii="Times New Roman" w:hAnsi="Times New Roman" w:cs="Times New Roman"/>
          <w:sz w:val="22"/>
          <w:szCs w:val="22"/>
        </w:rPr>
        <w:t xml:space="preserve"> of each individual taxpayer</w:t>
      </w:r>
      <w:r w:rsidR="00861636" w:rsidRPr="00201DB3">
        <w:rPr>
          <w:rFonts w:ascii="Times New Roman" w:hAnsi="Times New Roman" w:cs="Times New Roman"/>
          <w:sz w:val="22"/>
          <w:szCs w:val="22"/>
        </w:rPr>
        <w:t xml:space="preserve">, </w:t>
      </w:r>
      <w:r w:rsidR="001E2FA6" w:rsidRPr="00201DB3">
        <w:rPr>
          <w:rFonts w:ascii="Times New Roman" w:hAnsi="Times New Roman" w:cs="Times New Roman"/>
          <w:sz w:val="22"/>
          <w:szCs w:val="22"/>
        </w:rPr>
        <w:t>and a</w:t>
      </w:r>
      <w:r w:rsidR="00861636" w:rsidRPr="00201DB3">
        <w:rPr>
          <w:rFonts w:ascii="Times New Roman" w:hAnsi="Times New Roman" w:cs="Times New Roman"/>
          <w:sz w:val="22"/>
          <w:szCs w:val="22"/>
        </w:rPr>
        <w:t xml:space="preserve"> </w:t>
      </w:r>
      <w:r w:rsidR="008D5EAB" w:rsidRPr="00201DB3">
        <w:rPr>
          <w:rFonts w:ascii="Times New Roman" w:hAnsi="Times New Roman" w:cs="Times New Roman"/>
          <w:sz w:val="22"/>
          <w:szCs w:val="22"/>
        </w:rPr>
        <w:t>lack of flexibility</w:t>
      </w:r>
      <w:r w:rsidR="009A23A3" w:rsidRPr="00201DB3">
        <w:rPr>
          <w:rFonts w:ascii="Times New Roman" w:hAnsi="Times New Roman" w:cs="Times New Roman"/>
          <w:sz w:val="22"/>
          <w:szCs w:val="22"/>
        </w:rPr>
        <w:t xml:space="preserve">. </w:t>
      </w:r>
      <w:r w:rsidR="003D0F47" w:rsidRPr="00201DB3">
        <w:rPr>
          <w:rFonts w:ascii="Times New Roman" w:hAnsi="Times New Roman" w:cs="Times New Roman"/>
          <w:sz w:val="22"/>
          <w:szCs w:val="22"/>
        </w:rPr>
        <w:t>Many i</w:t>
      </w:r>
      <w:r w:rsidR="008D5EAB" w:rsidRPr="00201DB3">
        <w:rPr>
          <w:rFonts w:ascii="Times New Roman" w:eastAsia="Times New Roman" w:hAnsi="Times New Roman" w:cs="Times New Roman"/>
          <w:sz w:val="22"/>
          <w:szCs w:val="22"/>
          <w:lang w:eastAsia="en-GB"/>
        </w:rPr>
        <w:t xml:space="preserve">nterviewees </w:t>
      </w:r>
      <w:r w:rsidR="00DC680C" w:rsidRPr="00201DB3">
        <w:rPr>
          <w:rFonts w:ascii="Times New Roman" w:eastAsia="Times New Roman" w:hAnsi="Times New Roman" w:cs="Times New Roman"/>
          <w:sz w:val="22"/>
          <w:szCs w:val="22"/>
          <w:lang w:eastAsia="en-GB"/>
        </w:rPr>
        <w:t>in 2006</w:t>
      </w:r>
      <w:r w:rsidR="00623F81" w:rsidRPr="00201DB3">
        <w:rPr>
          <w:rFonts w:ascii="Times New Roman" w:eastAsia="Times New Roman" w:hAnsi="Times New Roman" w:cs="Times New Roman"/>
          <w:sz w:val="22"/>
          <w:szCs w:val="22"/>
          <w:lang w:eastAsia="en-GB"/>
        </w:rPr>
        <w:t xml:space="preserve"> </w:t>
      </w:r>
      <w:r w:rsidR="008D5EAB" w:rsidRPr="00201DB3">
        <w:rPr>
          <w:rFonts w:ascii="Times New Roman" w:eastAsia="Times New Roman" w:hAnsi="Times New Roman" w:cs="Times New Roman"/>
          <w:sz w:val="22"/>
          <w:szCs w:val="22"/>
          <w:lang w:eastAsia="en-GB"/>
        </w:rPr>
        <w:t xml:space="preserve">voiced </w:t>
      </w:r>
      <w:r w:rsidR="00623F81" w:rsidRPr="00201DB3">
        <w:rPr>
          <w:rFonts w:ascii="Times New Roman" w:eastAsia="Times New Roman" w:hAnsi="Times New Roman" w:cs="Times New Roman"/>
          <w:sz w:val="22"/>
          <w:szCs w:val="22"/>
          <w:lang w:eastAsia="en-GB"/>
        </w:rPr>
        <w:t xml:space="preserve">reluctance to </w:t>
      </w:r>
      <w:r w:rsidR="008D5EAB" w:rsidRPr="00201DB3">
        <w:rPr>
          <w:rFonts w:ascii="Times New Roman" w:eastAsia="Times New Roman" w:hAnsi="Times New Roman" w:cs="Times New Roman"/>
          <w:sz w:val="22"/>
          <w:szCs w:val="22"/>
          <w:lang w:eastAsia="en-GB"/>
        </w:rPr>
        <w:t xml:space="preserve">considering </w:t>
      </w:r>
      <w:r w:rsidR="008359C7" w:rsidRPr="00201DB3">
        <w:rPr>
          <w:rFonts w:ascii="Times New Roman" w:eastAsia="Times New Roman" w:hAnsi="Times New Roman" w:cs="Times New Roman"/>
          <w:sz w:val="22"/>
          <w:szCs w:val="22"/>
          <w:lang w:eastAsia="en-GB"/>
        </w:rPr>
        <w:t>formulary apportionment</w:t>
      </w:r>
      <w:r w:rsidR="008D5EAB" w:rsidRPr="00201DB3">
        <w:rPr>
          <w:rFonts w:ascii="Times New Roman" w:eastAsia="Times New Roman" w:hAnsi="Times New Roman" w:cs="Times New Roman"/>
          <w:sz w:val="22"/>
          <w:szCs w:val="22"/>
          <w:lang w:eastAsia="en-GB"/>
        </w:rPr>
        <w:t xml:space="preserve"> as it was not seen as a principled approach</w:t>
      </w:r>
      <w:r w:rsidR="00161ADC" w:rsidRPr="00201DB3">
        <w:rPr>
          <w:rFonts w:ascii="Times New Roman" w:eastAsia="Times New Roman" w:hAnsi="Times New Roman" w:cs="Times New Roman"/>
          <w:sz w:val="22"/>
          <w:szCs w:val="22"/>
          <w:lang w:eastAsia="en-GB"/>
        </w:rPr>
        <w:t xml:space="preserve"> </w:t>
      </w:r>
      <w:r w:rsidR="0049003F" w:rsidRPr="00201DB3">
        <w:rPr>
          <w:rFonts w:ascii="Times New Roman" w:eastAsia="Times New Roman" w:hAnsi="Times New Roman" w:cs="Times New Roman"/>
          <w:sz w:val="22"/>
          <w:szCs w:val="22"/>
          <w:lang w:eastAsia="en-GB"/>
        </w:rPr>
        <w:t xml:space="preserve">reflective of an MNE’s circumstances </w:t>
      </w:r>
      <w:r w:rsidR="00161ADC" w:rsidRPr="00201DB3">
        <w:rPr>
          <w:rFonts w:ascii="Times New Roman" w:eastAsia="Times New Roman" w:hAnsi="Times New Roman" w:cs="Times New Roman"/>
          <w:sz w:val="22"/>
          <w:szCs w:val="22"/>
          <w:lang w:eastAsia="en-GB"/>
        </w:rPr>
        <w:t>and so dismissing it</w:t>
      </w:r>
      <w:r w:rsidR="00EF6922" w:rsidRPr="00201DB3">
        <w:rPr>
          <w:rFonts w:ascii="Times New Roman" w:eastAsia="Times New Roman" w:hAnsi="Times New Roman" w:cs="Times New Roman"/>
          <w:sz w:val="22"/>
          <w:szCs w:val="22"/>
          <w:lang w:eastAsia="en-GB"/>
        </w:rPr>
        <w:t>, for example:</w:t>
      </w:r>
      <w:r w:rsidR="003D0F47" w:rsidRPr="00201DB3">
        <w:rPr>
          <w:rFonts w:ascii="Times New Roman" w:eastAsia="Times New Roman" w:hAnsi="Times New Roman" w:cs="Times New Roman"/>
          <w:sz w:val="22"/>
          <w:szCs w:val="22"/>
          <w:lang w:eastAsia="en-GB"/>
        </w:rPr>
        <w:t xml:space="preserve"> “I think i</w:t>
      </w:r>
      <w:r w:rsidR="008D5EAB" w:rsidRPr="00201DB3">
        <w:rPr>
          <w:rFonts w:ascii="Times New Roman" w:eastAsia="Times New Roman" w:hAnsi="Times New Roman" w:cs="Times New Roman"/>
          <w:sz w:val="22"/>
          <w:szCs w:val="22"/>
          <w:lang w:eastAsia="en-GB"/>
        </w:rPr>
        <w:t>t is calculated to be wrong all the time”</w:t>
      </w:r>
      <w:r w:rsidR="003040EE" w:rsidRPr="00201DB3">
        <w:rPr>
          <w:rFonts w:ascii="Times New Roman" w:eastAsia="Times New Roman" w:hAnsi="Times New Roman" w:cs="Times New Roman"/>
          <w:sz w:val="22"/>
          <w:szCs w:val="22"/>
          <w:lang w:eastAsia="en-GB"/>
        </w:rPr>
        <w:t xml:space="preserve"> </w:t>
      </w:r>
      <w:r w:rsidR="003040EE" w:rsidRPr="00201DB3">
        <w:rPr>
          <w:rFonts w:ascii="Times New Roman" w:eastAsia="MS Mincho" w:hAnsi="Times New Roman" w:cs="Times New Roman"/>
          <w:sz w:val="22"/>
          <w:szCs w:val="22"/>
        </w:rPr>
        <w:t>(I-int).</w:t>
      </w:r>
    </w:p>
    <w:p w14:paraId="66BE1F24" w14:textId="170538C7" w:rsidR="009A23A3" w:rsidRPr="00201DB3" w:rsidRDefault="008D5EAB" w:rsidP="0098279D">
      <w:pPr>
        <w:spacing w:after="0" w:line="240" w:lineRule="auto"/>
        <w:rPr>
          <w:rFonts w:ascii="Times New Roman" w:eastAsia="Times New Roman" w:hAnsi="Times New Roman" w:cs="Times New Roman"/>
          <w:sz w:val="22"/>
          <w:szCs w:val="22"/>
          <w:lang w:eastAsia="en-GB"/>
        </w:rPr>
      </w:pPr>
      <w:r w:rsidRPr="00201DB3">
        <w:rPr>
          <w:rFonts w:ascii="Times New Roman" w:hAnsi="Times New Roman" w:cs="Times New Roman"/>
          <w:sz w:val="22"/>
          <w:szCs w:val="22"/>
        </w:rPr>
        <w:t>The flexibility of the AL</w:t>
      </w:r>
      <w:r w:rsidR="00DC680C" w:rsidRPr="00201DB3">
        <w:rPr>
          <w:rFonts w:ascii="Times New Roman" w:hAnsi="Times New Roman" w:cs="Times New Roman"/>
          <w:sz w:val="22"/>
          <w:szCs w:val="22"/>
        </w:rPr>
        <w:t>P</w:t>
      </w:r>
      <w:r w:rsidRPr="00201DB3">
        <w:rPr>
          <w:rFonts w:ascii="Times New Roman" w:hAnsi="Times New Roman" w:cs="Times New Roman"/>
          <w:sz w:val="22"/>
          <w:szCs w:val="22"/>
        </w:rPr>
        <w:t xml:space="preserve"> gives rise to a lack of certainty as to how it should be applied. </w:t>
      </w:r>
      <w:r w:rsidR="00485EC4" w:rsidRPr="00201DB3">
        <w:rPr>
          <w:rFonts w:ascii="Times New Roman" w:hAnsi="Times New Roman" w:cs="Times New Roman"/>
          <w:sz w:val="22"/>
          <w:szCs w:val="22"/>
        </w:rPr>
        <w:t>In 2006, u</w:t>
      </w:r>
      <w:r w:rsidRPr="00201DB3">
        <w:rPr>
          <w:rFonts w:ascii="Times New Roman" w:hAnsi="Times New Roman" w:cs="Times New Roman"/>
          <w:sz w:val="22"/>
          <w:szCs w:val="22"/>
        </w:rPr>
        <w:t xml:space="preserve">ncertainty arising from </w:t>
      </w:r>
      <w:r w:rsidR="00DC680C" w:rsidRPr="00201DB3">
        <w:rPr>
          <w:rFonts w:ascii="Times New Roman" w:hAnsi="Times New Roman" w:cs="Times New Roman"/>
          <w:sz w:val="22"/>
          <w:szCs w:val="22"/>
        </w:rPr>
        <w:t>the</w:t>
      </w:r>
      <w:r w:rsidR="00A56E23" w:rsidRPr="00201DB3">
        <w:rPr>
          <w:rFonts w:ascii="Times New Roman" w:hAnsi="Times New Roman" w:cs="Times New Roman"/>
          <w:sz w:val="22"/>
          <w:szCs w:val="22"/>
        </w:rPr>
        <w:t xml:space="preserve"> imprecise</w:t>
      </w:r>
      <w:r w:rsidRPr="00201DB3">
        <w:rPr>
          <w:rFonts w:ascii="Times New Roman" w:hAnsi="Times New Roman" w:cs="Times New Roman"/>
          <w:sz w:val="22"/>
          <w:szCs w:val="22"/>
        </w:rPr>
        <w:t xml:space="preserve"> </w:t>
      </w:r>
      <w:r w:rsidR="00DC680C" w:rsidRPr="00201DB3">
        <w:rPr>
          <w:rFonts w:ascii="Times New Roman" w:hAnsi="Times New Roman" w:cs="Times New Roman"/>
          <w:sz w:val="22"/>
          <w:szCs w:val="22"/>
        </w:rPr>
        <w:t>principle</w:t>
      </w:r>
      <w:r w:rsidRPr="00201DB3">
        <w:rPr>
          <w:rFonts w:ascii="Times New Roman" w:hAnsi="Times New Roman" w:cs="Times New Roman"/>
          <w:sz w:val="22"/>
          <w:szCs w:val="22"/>
        </w:rPr>
        <w:t xml:space="preserve"> was recognised by interviewees as a problem with the AL</w:t>
      </w:r>
      <w:r w:rsidR="00DC680C" w:rsidRPr="00201DB3">
        <w:rPr>
          <w:rFonts w:ascii="Times New Roman" w:hAnsi="Times New Roman" w:cs="Times New Roman"/>
          <w:sz w:val="22"/>
          <w:szCs w:val="22"/>
        </w:rPr>
        <w:t>P</w:t>
      </w:r>
      <w:r w:rsidRPr="00201DB3">
        <w:rPr>
          <w:rFonts w:ascii="Times New Roman" w:hAnsi="Times New Roman" w:cs="Times New Roman"/>
          <w:sz w:val="22"/>
          <w:szCs w:val="22"/>
        </w:rPr>
        <w:t>, but one that was outweighed by the benefit of flexibility</w:t>
      </w:r>
      <w:r w:rsidR="00E97B4D" w:rsidRPr="00201DB3">
        <w:rPr>
          <w:rFonts w:ascii="Times New Roman" w:hAnsi="Times New Roman" w:cs="Times New Roman"/>
          <w:sz w:val="22"/>
          <w:szCs w:val="22"/>
        </w:rPr>
        <w:t>, and one that was anticipated would reduce</w:t>
      </w:r>
      <w:r w:rsidR="0088249B" w:rsidRPr="00201DB3">
        <w:rPr>
          <w:rFonts w:ascii="Times New Roman" w:hAnsi="Times New Roman" w:cs="Times New Roman"/>
          <w:sz w:val="22"/>
          <w:szCs w:val="22"/>
        </w:rPr>
        <w:t xml:space="preserve"> as it bedded down</w:t>
      </w:r>
      <w:r w:rsidRPr="00201DB3">
        <w:rPr>
          <w:rFonts w:ascii="Times New Roman" w:hAnsi="Times New Roman" w:cs="Times New Roman"/>
          <w:sz w:val="22"/>
          <w:szCs w:val="22"/>
        </w:rPr>
        <w:t xml:space="preserve">. </w:t>
      </w:r>
      <w:r w:rsidR="00485EC4" w:rsidRPr="00201DB3">
        <w:rPr>
          <w:rFonts w:ascii="Times New Roman" w:hAnsi="Times New Roman" w:cs="Times New Roman"/>
          <w:sz w:val="22"/>
          <w:szCs w:val="22"/>
        </w:rPr>
        <w:t xml:space="preserve">Thus, the </w:t>
      </w:r>
      <w:r w:rsidRPr="00201DB3">
        <w:rPr>
          <w:rFonts w:ascii="Times New Roman" w:hAnsi="Times New Roman" w:cs="Times New Roman"/>
          <w:sz w:val="22"/>
          <w:szCs w:val="22"/>
        </w:rPr>
        <w:t>uncertainty of the AL</w:t>
      </w:r>
      <w:r w:rsidR="00BB6C92" w:rsidRPr="00201DB3">
        <w:rPr>
          <w:rFonts w:ascii="Times New Roman" w:hAnsi="Times New Roman" w:cs="Times New Roman"/>
          <w:sz w:val="22"/>
          <w:szCs w:val="22"/>
        </w:rPr>
        <w:t>P</w:t>
      </w:r>
      <w:r w:rsidRPr="00201DB3">
        <w:rPr>
          <w:rFonts w:ascii="Times New Roman" w:hAnsi="Times New Roman" w:cs="Times New Roman"/>
          <w:sz w:val="22"/>
          <w:szCs w:val="22"/>
        </w:rPr>
        <w:t xml:space="preserve"> was not seen as </w:t>
      </w:r>
      <w:r w:rsidR="009A23A3" w:rsidRPr="00201DB3">
        <w:rPr>
          <w:rFonts w:ascii="Times New Roman" w:hAnsi="Times New Roman" w:cs="Times New Roman"/>
          <w:sz w:val="22"/>
          <w:szCs w:val="22"/>
        </w:rPr>
        <w:t xml:space="preserve">a difficult </w:t>
      </w:r>
      <w:r w:rsidRPr="00201DB3">
        <w:rPr>
          <w:rFonts w:ascii="Times New Roman" w:hAnsi="Times New Roman" w:cs="Times New Roman"/>
          <w:sz w:val="22"/>
          <w:szCs w:val="22"/>
        </w:rPr>
        <w:t xml:space="preserve">enough </w:t>
      </w:r>
      <w:r w:rsidR="009A23A3" w:rsidRPr="00201DB3">
        <w:rPr>
          <w:rFonts w:ascii="Times New Roman" w:hAnsi="Times New Roman" w:cs="Times New Roman"/>
          <w:sz w:val="22"/>
          <w:szCs w:val="22"/>
        </w:rPr>
        <w:t xml:space="preserve">problem </w:t>
      </w:r>
      <w:r w:rsidRPr="00201DB3">
        <w:rPr>
          <w:rFonts w:ascii="Times New Roman" w:hAnsi="Times New Roman" w:cs="Times New Roman"/>
          <w:sz w:val="22"/>
          <w:szCs w:val="22"/>
        </w:rPr>
        <w:t xml:space="preserve">to merit consideration of </w:t>
      </w:r>
      <w:r w:rsidR="008359C7" w:rsidRPr="00201DB3">
        <w:rPr>
          <w:rFonts w:ascii="Times New Roman" w:hAnsi="Times New Roman" w:cs="Times New Roman"/>
          <w:sz w:val="22"/>
          <w:szCs w:val="22"/>
        </w:rPr>
        <w:t xml:space="preserve">a </w:t>
      </w:r>
      <w:r w:rsidR="00CB4984" w:rsidRPr="00201DB3">
        <w:rPr>
          <w:rFonts w:ascii="Times New Roman" w:hAnsi="Times New Roman" w:cs="Times New Roman"/>
          <w:sz w:val="22"/>
          <w:szCs w:val="22"/>
        </w:rPr>
        <w:t xml:space="preserve">more certain </w:t>
      </w:r>
      <w:r w:rsidR="008359C7" w:rsidRPr="00201DB3">
        <w:rPr>
          <w:rFonts w:ascii="Times New Roman" w:hAnsi="Times New Roman" w:cs="Times New Roman"/>
          <w:sz w:val="22"/>
          <w:szCs w:val="22"/>
        </w:rPr>
        <w:t>formulary apportionment</w:t>
      </w:r>
      <w:r w:rsidR="00CF1873" w:rsidRPr="00201DB3">
        <w:rPr>
          <w:rFonts w:ascii="Times New Roman" w:hAnsi="Times New Roman" w:cs="Times New Roman"/>
          <w:sz w:val="22"/>
          <w:szCs w:val="22"/>
        </w:rPr>
        <w:t xml:space="preserve">, which did not take into different circumstances: </w:t>
      </w:r>
      <w:r w:rsidR="00CF1873" w:rsidRPr="00201DB3">
        <w:rPr>
          <w:rFonts w:ascii="Times New Roman" w:eastAsia="Times New Roman" w:hAnsi="Times New Roman" w:cs="Times New Roman"/>
          <w:sz w:val="22"/>
          <w:szCs w:val="22"/>
          <w:lang w:eastAsia="en-GB"/>
        </w:rPr>
        <w:t>“because it’s formulary it applies a one size fits all which can lead to quite distorted results”</w:t>
      </w:r>
      <w:r w:rsidR="003040EE" w:rsidRPr="00201DB3">
        <w:rPr>
          <w:rFonts w:ascii="Times New Roman" w:eastAsia="MS Mincho" w:hAnsi="Times New Roman" w:cs="Times New Roman"/>
          <w:sz w:val="22"/>
          <w:szCs w:val="22"/>
        </w:rPr>
        <w:t xml:space="preserve"> (I-int). </w:t>
      </w:r>
      <w:bookmarkStart w:id="5" w:name="_Hlk512677256"/>
      <w:r w:rsidRPr="00201DB3">
        <w:rPr>
          <w:rFonts w:ascii="Times New Roman" w:hAnsi="Times New Roman" w:cs="Times New Roman"/>
          <w:sz w:val="22"/>
          <w:szCs w:val="22"/>
        </w:rPr>
        <w:t>I</w:t>
      </w:r>
      <w:r w:rsidRPr="00201DB3">
        <w:rPr>
          <w:rFonts w:ascii="Times New Roman" w:eastAsia="Times New Roman" w:hAnsi="Times New Roman" w:cs="Times New Roman"/>
          <w:sz w:val="22"/>
          <w:szCs w:val="22"/>
          <w:lang w:eastAsia="en-GB"/>
        </w:rPr>
        <w:t xml:space="preserve">nterviewees recognised that the </w:t>
      </w:r>
      <w:r w:rsidR="00CD7D42" w:rsidRPr="00201DB3">
        <w:rPr>
          <w:rFonts w:ascii="Times New Roman" w:eastAsia="Times New Roman" w:hAnsi="Times New Roman" w:cs="Times New Roman"/>
          <w:sz w:val="22"/>
          <w:szCs w:val="22"/>
          <w:lang w:eastAsia="en-GB"/>
        </w:rPr>
        <w:t>vagueness</w:t>
      </w:r>
      <w:r w:rsidRPr="00201DB3">
        <w:rPr>
          <w:rFonts w:ascii="Times New Roman" w:eastAsia="Times New Roman" w:hAnsi="Times New Roman" w:cs="Times New Roman"/>
          <w:sz w:val="22"/>
          <w:szCs w:val="22"/>
          <w:lang w:eastAsia="en-GB"/>
        </w:rPr>
        <w:t xml:space="preserve"> of the </w:t>
      </w:r>
      <w:r w:rsidR="004D15B7" w:rsidRPr="00201DB3">
        <w:rPr>
          <w:rFonts w:ascii="Times New Roman" w:eastAsia="Times New Roman" w:hAnsi="Times New Roman" w:cs="Times New Roman"/>
          <w:sz w:val="22"/>
          <w:szCs w:val="22"/>
          <w:lang w:eastAsia="en-GB"/>
        </w:rPr>
        <w:t xml:space="preserve">ALP </w:t>
      </w:r>
      <w:r w:rsidRPr="00201DB3">
        <w:rPr>
          <w:rFonts w:ascii="Times New Roman" w:eastAsia="Times New Roman" w:hAnsi="Times New Roman" w:cs="Times New Roman"/>
          <w:sz w:val="22"/>
          <w:szCs w:val="22"/>
          <w:lang w:eastAsia="en-GB"/>
        </w:rPr>
        <w:t>gave rise to problems, for both taxpayers and tax authorities but nevertheless maintained it was the best way to determine how profits should be shared out within a group</w:t>
      </w:r>
      <w:r w:rsidR="009F15C2" w:rsidRPr="00201DB3">
        <w:rPr>
          <w:rFonts w:ascii="Times New Roman" w:eastAsia="Times New Roman" w:hAnsi="Times New Roman" w:cs="Times New Roman"/>
          <w:sz w:val="22"/>
          <w:szCs w:val="22"/>
          <w:lang w:eastAsia="en-GB"/>
        </w:rPr>
        <w:t xml:space="preserve"> of MNEs</w:t>
      </w:r>
      <w:r w:rsidRPr="00201DB3">
        <w:rPr>
          <w:rFonts w:ascii="Times New Roman" w:eastAsia="Times New Roman" w:hAnsi="Times New Roman" w:cs="Times New Roman"/>
          <w:sz w:val="22"/>
          <w:szCs w:val="22"/>
          <w:lang w:eastAsia="en-GB"/>
        </w:rPr>
        <w:t>.</w:t>
      </w:r>
      <w:r w:rsidR="00383006" w:rsidRPr="00201DB3">
        <w:rPr>
          <w:rFonts w:ascii="Times New Roman" w:eastAsia="Times New Roman" w:hAnsi="Times New Roman" w:cs="Times New Roman"/>
          <w:sz w:val="22"/>
          <w:szCs w:val="22"/>
          <w:lang w:eastAsia="en-GB"/>
        </w:rPr>
        <w:t xml:space="preserve"> </w:t>
      </w:r>
    </w:p>
    <w:p w14:paraId="1DBE6633" w14:textId="6321FF4F" w:rsidR="00EA408D" w:rsidRPr="00201DB3" w:rsidRDefault="00EA408D" w:rsidP="00201DB3">
      <w:pPr>
        <w:tabs>
          <w:tab w:val="left" w:pos="3810"/>
        </w:tabs>
        <w:spacing w:after="0" w:line="240" w:lineRule="auto"/>
        <w:rPr>
          <w:rFonts w:ascii="Times New Roman" w:eastAsia="Times New Roman" w:hAnsi="Times New Roman" w:cs="Times New Roman"/>
          <w:sz w:val="22"/>
          <w:szCs w:val="22"/>
          <w:lang w:eastAsia="en-GB"/>
        </w:rPr>
      </w:pPr>
    </w:p>
    <w:p w14:paraId="2A4C7123" w14:textId="4682F34F" w:rsidR="007D3323" w:rsidRPr="00201DB3" w:rsidRDefault="007D3323" w:rsidP="00201DB3">
      <w:pPr>
        <w:tabs>
          <w:tab w:val="left" w:pos="3810"/>
        </w:tabs>
        <w:spacing w:after="0" w:line="240" w:lineRule="auto"/>
        <w:rPr>
          <w:rFonts w:ascii="Times New Roman" w:eastAsia="Times New Roman" w:hAnsi="Times New Roman" w:cs="Times New Roman"/>
          <w:i/>
          <w:sz w:val="22"/>
          <w:szCs w:val="22"/>
          <w:lang w:eastAsia="en-GB"/>
        </w:rPr>
      </w:pPr>
      <w:r w:rsidRPr="00201DB3">
        <w:rPr>
          <w:rFonts w:ascii="Times New Roman" w:eastAsia="Times New Roman" w:hAnsi="Times New Roman" w:cs="Times New Roman"/>
          <w:i/>
          <w:sz w:val="22"/>
          <w:szCs w:val="22"/>
          <w:lang w:eastAsia="en-GB"/>
        </w:rPr>
        <w:t xml:space="preserve">2006 </w:t>
      </w:r>
      <w:r w:rsidR="00790571" w:rsidRPr="00201DB3">
        <w:rPr>
          <w:rFonts w:ascii="Times New Roman" w:eastAsia="Times New Roman" w:hAnsi="Times New Roman" w:cs="Times New Roman"/>
          <w:i/>
          <w:sz w:val="22"/>
          <w:szCs w:val="22"/>
          <w:lang w:eastAsia="en-GB"/>
        </w:rPr>
        <w:t>Co</w:t>
      </w:r>
      <w:r w:rsidR="00905731" w:rsidRPr="00201DB3">
        <w:rPr>
          <w:rFonts w:ascii="Times New Roman" w:eastAsia="Times New Roman" w:hAnsi="Times New Roman" w:cs="Times New Roman"/>
          <w:i/>
          <w:sz w:val="22"/>
          <w:szCs w:val="22"/>
          <w:lang w:eastAsia="en-GB"/>
        </w:rPr>
        <w:t>nsensus</w:t>
      </w:r>
    </w:p>
    <w:p w14:paraId="0623F58C" w14:textId="654405BD" w:rsidR="00EA408D" w:rsidRPr="00201DB3" w:rsidRDefault="008D5EAB" w:rsidP="00201DB3">
      <w:pPr>
        <w:tabs>
          <w:tab w:val="left" w:pos="3810"/>
        </w:tabs>
        <w:spacing w:after="0" w:line="240" w:lineRule="auto"/>
        <w:rPr>
          <w:rFonts w:ascii="Times New Roman" w:eastAsia="Times New Roman" w:hAnsi="Times New Roman" w:cs="Times New Roman"/>
          <w:sz w:val="22"/>
          <w:szCs w:val="22"/>
          <w:lang w:eastAsia="en-GB"/>
        </w:rPr>
      </w:pPr>
      <w:r w:rsidRPr="00201DB3">
        <w:rPr>
          <w:rFonts w:ascii="Times New Roman" w:eastAsia="Times New Roman" w:hAnsi="Times New Roman" w:cs="Times New Roman"/>
          <w:sz w:val="22"/>
          <w:szCs w:val="22"/>
          <w:lang w:eastAsia="en-GB"/>
        </w:rPr>
        <w:t>The consensus that emerged from the</w:t>
      </w:r>
      <w:r w:rsidR="00BB6C92" w:rsidRPr="00201DB3">
        <w:rPr>
          <w:rFonts w:ascii="Times New Roman" w:eastAsia="Times New Roman" w:hAnsi="Times New Roman" w:cs="Times New Roman"/>
          <w:sz w:val="22"/>
          <w:szCs w:val="22"/>
          <w:lang w:eastAsia="en-GB"/>
        </w:rPr>
        <w:t xml:space="preserve"> </w:t>
      </w:r>
      <w:r w:rsidR="00C34B97" w:rsidRPr="00201DB3">
        <w:rPr>
          <w:rFonts w:ascii="Times New Roman" w:eastAsia="Times New Roman" w:hAnsi="Times New Roman" w:cs="Times New Roman"/>
          <w:sz w:val="22"/>
          <w:szCs w:val="22"/>
          <w:lang w:eastAsia="en-GB"/>
        </w:rPr>
        <w:t>2006</w:t>
      </w:r>
      <w:r w:rsidRPr="00201DB3">
        <w:rPr>
          <w:rFonts w:ascii="Times New Roman" w:eastAsia="Times New Roman" w:hAnsi="Times New Roman" w:cs="Times New Roman"/>
          <w:sz w:val="22"/>
          <w:szCs w:val="22"/>
          <w:lang w:eastAsia="en-GB"/>
        </w:rPr>
        <w:t xml:space="preserve"> interview data on </w:t>
      </w:r>
      <w:r w:rsidR="008359C7" w:rsidRPr="00201DB3">
        <w:rPr>
          <w:rFonts w:ascii="Times New Roman" w:eastAsia="Times New Roman" w:hAnsi="Times New Roman" w:cs="Times New Roman"/>
          <w:sz w:val="22"/>
          <w:szCs w:val="22"/>
          <w:lang w:eastAsia="en-GB"/>
        </w:rPr>
        <w:t>formulary apportionment</w:t>
      </w:r>
      <w:r w:rsidRPr="00201DB3">
        <w:rPr>
          <w:rFonts w:ascii="Times New Roman" w:eastAsia="Times New Roman" w:hAnsi="Times New Roman" w:cs="Times New Roman"/>
          <w:sz w:val="22"/>
          <w:szCs w:val="22"/>
          <w:lang w:eastAsia="en-GB"/>
        </w:rPr>
        <w:t xml:space="preserve"> was </w:t>
      </w:r>
      <w:r w:rsidR="00654A26" w:rsidRPr="00201DB3">
        <w:rPr>
          <w:rFonts w:ascii="Times New Roman" w:eastAsia="Times New Roman" w:hAnsi="Times New Roman" w:cs="Times New Roman"/>
          <w:sz w:val="22"/>
          <w:szCs w:val="22"/>
          <w:lang w:eastAsia="en-GB"/>
        </w:rPr>
        <w:t xml:space="preserve">that </w:t>
      </w:r>
      <w:r w:rsidRPr="00201DB3">
        <w:rPr>
          <w:rFonts w:ascii="Times New Roman" w:eastAsia="Times New Roman" w:hAnsi="Times New Roman" w:cs="Times New Roman"/>
          <w:sz w:val="22"/>
          <w:szCs w:val="22"/>
          <w:lang w:eastAsia="en-GB"/>
        </w:rPr>
        <w:t>there was no</w:t>
      </w:r>
      <w:r w:rsidR="009A23A3" w:rsidRPr="00201DB3">
        <w:rPr>
          <w:rFonts w:ascii="Times New Roman" w:eastAsia="Times New Roman" w:hAnsi="Times New Roman" w:cs="Times New Roman"/>
          <w:sz w:val="22"/>
          <w:szCs w:val="22"/>
          <w:lang w:eastAsia="en-GB"/>
        </w:rPr>
        <w:t xml:space="preserve">t an </w:t>
      </w:r>
      <w:r w:rsidRPr="00201DB3">
        <w:rPr>
          <w:rFonts w:ascii="Times New Roman" w:eastAsia="Times New Roman" w:hAnsi="Times New Roman" w:cs="Times New Roman"/>
          <w:sz w:val="22"/>
          <w:szCs w:val="22"/>
          <w:lang w:eastAsia="en-GB"/>
        </w:rPr>
        <w:t xml:space="preserve">appetite for </w:t>
      </w:r>
      <w:r w:rsidR="00BC13C3" w:rsidRPr="00201DB3">
        <w:rPr>
          <w:rFonts w:ascii="Times New Roman" w:eastAsia="Times New Roman" w:hAnsi="Times New Roman" w:cs="Times New Roman"/>
          <w:sz w:val="22"/>
          <w:szCs w:val="22"/>
          <w:lang w:eastAsia="en-GB"/>
        </w:rPr>
        <w:t>a change to it</w:t>
      </w:r>
      <w:r w:rsidRPr="00201DB3">
        <w:rPr>
          <w:rFonts w:ascii="Times New Roman" w:eastAsia="Times New Roman" w:hAnsi="Times New Roman" w:cs="Times New Roman"/>
          <w:sz w:val="22"/>
          <w:szCs w:val="22"/>
          <w:lang w:eastAsia="en-GB"/>
        </w:rPr>
        <w:t xml:space="preserve">. </w:t>
      </w:r>
      <w:r w:rsidR="00212D06" w:rsidRPr="00201DB3">
        <w:rPr>
          <w:rFonts w:ascii="Times New Roman" w:eastAsia="Times New Roman" w:hAnsi="Times New Roman" w:cs="Times New Roman"/>
          <w:sz w:val="22"/>
          <w:szCs w:val="22"/>
          <w:lang w:eastAsia="en-GB"/>
        </w:rPr>
        <w:t>Rather, t</w:t>
      </w:r>
      <w:r w:rsidR="00544256" w:rsidRPr="00201DB3">
        <w:rPr>
          <w:rFonts w:ascii="Times New Roman" w:eastAsia="Times New Roman" w:hAnsi="Times New Roman" w:cs="Times New Roman"/>
          <w:sz w:val="22"/>
          <w:szCs w:val="22"/>
          <w:lang w:eastAsia="en-GB"/>
        </w:rPr>
        <w:t xml:space="preserve">he </w:t>
      </w:r>
      <w:r w:rsidRPr="00201DB3">
        <w:rPr>
          <w:rFonts w:ascii="Times New Roman" w:eastAsia="Times New Roman" w:hAnsi="Times New Roman" w:cs="Times New Roman"/>
          <w:sz w:val="22"/>
          <w:szCs w:val="22"/>
          <w:lang w:eastAsia="en-GB"/>
        </w:rPr>
        <w:t xml:space="preserve">consensus </w:t>
      </w:r>
      <w:r w:rsidR="005A7833" w:rsidRPr="00201DB3">
        <w:rPr>
          <w:rFonts w:ascii="Times New Roman" w:eastAsia="Times New Roman" w:hAnsi="Times New Roman" w:cs="Times New Roman"/>
          <w:sz w:val="22"/>
          <w:szCs w:val="22"/>
          <w:lang w:eastAsia="en-GB"/>
        </w:rPr>
        <w:t xml:space="preserve">that had been built around </w:t>
      </w:r>
      <w:r w:rsidRPr="00201DB3">
        <w:rPr>
          <w:rFonts w:ascii="Times New Roman" w:eastAsia="Times New Roman" w:hAnsi="Times New Roman" w:cs="Times New Roman"/>
          <w:sz w:val="22"/>
          <w:szCs w:val="22"/>
          <w:lang w:eastAsia="en-GB"/>
        </w:rPr>
        <w:t xml:space="preserve">the ALP </w:t>
      </w:r>
      <w:r w:rsidR="00212D06" w:rsidRPr="00201DB3">
        <w:rPr>
          <w:rFonts w:ascii="Times New Roman" w:eastAsia="Times New Roman" w:hAnsi="Times New Roman" w:cs="Times New Roman"/>
          <w:sz w:val="22"/>
          <w:szCs w:val="22"/>
          <w:lang w:eastAsia="en-GB"/>
        </w:rPr>
        <w:t>was</w:t>
      </w:r>
      <w:r w:rsidR="00A17EA5" w:rsidRPr="00201DB3">
        <w:rPr>
          <w:rFonts w:ascii="Times New Roman" w:eastAsia="Times New Roman" w:hAnsi="Times New Roman" w:cs="Times New Roman"/>
          <w:sz w:val="22"/>
          <w:szCs w:val="22"/>
          <w:lang w:eastAsia="en-GB"/>
        </w:rPr>
        <w:t xml:space="preserve"> </w:t>
      </w:r>
      <w:r w:rsidR="000E5C55" w:rsidRPr="00201DB3">
        <w:rPr>
          <w:rFonts w:ascii="Times New Roman" w:eastAsia="Times New Roman" w:hAnsi="Times New Roman" w:cs="Times New Roman"/>
          <w:sz w:val="22"/>
          <w:szCs w:val="22"/>
          <w:lang w:eastAsia="en-GB"/>
        </w:rPr>
        <w:t xml:space="preserve">seen as </w:t>
      </w:r>
      <w:r w:rsidRPr="00201DB3">
        <w:rPr>
          <w:rFonts w:ascii="Times New Roman" w:eastAsia="Times New Roman" w:hAnsi="Times New Roman" w:cs="Times New Roman"/>
          <w:sz w:val="22"/>
          <w:szCs w:val="22"/>
          <w:lang w:eastAsia="en-GB"/>
        </w:rPr>
        <w:t xml:space="preserve">an obstacle to </w:t>
      </w:r>
      <w:r w:rsidR="00CD7D42" w:rsidRPr="00201DB3">
        <w:rPr>
          <w:rFonts w:ascii="Times New Roman" w:eastAsia="Times New Roman" w:hAnsi="Times New Roman" w:cs="Times New Roman"/>
          <w:sz w:val="22"/>
          <w:szCs w:val="22"/>
          <w:lang w:eastAsia="en-GB"/>
        </w:rPr>
        <w:t xml:space="preserve">any </w:t>
      </w:r>
      <w:r w:rsidRPr="00201DB3">
        <w:rPr>
          <w:rFonts w:ascii="Times New Roman" w:eastAsia="Times New Roman" w:hAnsi="Times New Roman" w:cs="Times New Roman"/>
          <w:sz w:val="22"/>
          <w:szCs w:val="22"/>
          <w:lang w:eastAsia="en-GB"/>
        </w:rPr>
        <w:t>change</w:t>
      </w:r>
      <w:r w:rsidR="00A56E23" w:rsidRPr="00201DB3">
        <w:rPr>
          <w:rFonts w:ascii="Times New Roman" w:eastAsia="Times New Roman" w:hAnsi="Times New Roman" w:cs="Times New Roman"/>
          <w:sz w:val="22"/>
          <w:szCs w:val="22"/>
          <w:lang w:eastAsia="en-GB"/>
        </w:rPr>
        <w:t>. After</w:t>
      </w:r>
      <w:r w:rsidRPr="00201DB3">
        <w:rPr>
          <w:rFonts w:ascii="Times New Roman" w:eastAsia="Times New Roman" w:hAnsi="Times New Roman" w:cs="Times New Roman"/>
          <w:sz w:val="22"/>
          <w:szCs w:val="22"/>
          <w:lang w:eastAsia="en-GB"/>
        </w:rPr>
        <w:t xml:space="preserve"> the 1995 OECD guidelines different countries had introduced and administered new </w:t>
      </w:r>
      <w:r w:rsidR="009C1B7C" w:rsidRPr="00201DB3">
        <w:rPr>
          <w:rFonts w:ascii="Times New Roman" w:eastAsia="Times New Roman" w:hAnsi="Times New Roman" w:cs="Times New Roman"/>
          <w:sz w:val="22"/>
          <w:szCs w:val="22"/>
          <w:lang w:eastAsia="en-GB"/>
        </w:rPr>
        <w:t>transfer pricing</w:t>
      </w:r>
      <w:r w:rsidRPr="00201DB3">
        <w:rPr>
          <w:rFonts w:ascii="Times New Roman" w:eastAsia="Times New Roman" w:hAnsi="Times New Roman" w:cs="Times New Roman"/>
          <w:sz w:val="22"/>
          <w:szCs w:val="22"/>
          <w:lang w:eastAsia="en-GB"/>
        </w:rPr>
        <w:t xml:space="preserve"> approaches which meant that </w:t>
      </w:r>
      <w:r w:rsidR="009C1B7C" w:rsidRPr="00201DB3">
        <w:rPr>
          <w:rFonts w:ascii="Times New Roman" w:eastAsia="Times New Roman" w:hAnsi="Times New Roman" w:cs="Times New Roman"/>
          <w:sz w:val="22"/>
          <w:szCs w:val="22"/>
          <w:lang w:eastAsia="en-GB"/>
        </w:rPr>
        <w:t xml:space="preserve">obtaining a level of consensus for </w:t>
      </w:r>
      <w:r w:rsidR="0021059D" w:rsidRPr="00201DB3">
        <w:rPr>
          <w:rFonts w:ascii="Times New Roman" w:eastAsia="Times New Roman" w:hAnsi="Times New Roman" w:cs="Times New Roman"/>
          <w:sz w:val="22"/>
          <w:szCs w:val="22"/>
          <w:lang w:eastAsia="en-GB"/>
        </w:rPr>
        <w:t>future</w:t>
      </w:r>
      <w:r w:rsidR="005B23A5" w:rsidRPr="00201DB3">
        <w:rPr>
          <w:rFonts w:ascii="Times New Roman" w:eastAsia="Times New Roman" w:hAnsi="Times New Roman" w:cs="Times New Roman"/>
          <w:sz w:val="22"/>
          <w:szCs w:val="22"/>
          <w:lang w:eastAsia="en-GB"/>
        </w:rPr>
        <w:t xml:space="preserve"> </w:t>
      </w:r>
      <w:r w:rsidRPr="00201DB3">
        <w:rPr>
          <w:rFonts w:ascii="Times New Roman" w:eastAsia="Times New Roman" w:hAnsi="Times New Roman" w:cs="Times New Roman"/>
          <w:sz w:val="22"/>
          <w:szCs w:val="22"/>
          <w:lang w:eastAsia="en-GB"/>
        </w:rPr>
        <w:t>chang</w:t>
      </w:r>
      <w:r w:rsidR="005B23A5" w:rsidRPr="00201DB3">
        <w:rPr>
          <w:rFonts w:ascii="Times New Roman" w:eastAsia="Times New Roman" w:hAnsi="Times New Roman" w:cs="Times New Roman"/>
          <w:sz w:val="22"/>
          <w:szCs w:val="22"/>
          <w:lang w:eastAsia="en-GB"/>
        </w:rPr>
        <w:t xml:space="preserve">e was </w:t>
      </w:r>
      <w:r w:rsidRPr="00201DB3">
        <w:rPr>
          <w:rFonts w:ascii="Times New Roman" w:eastAsia="Times New Roman" w:hAnsi="Times New Roman" w:cs="Times New Roman"/>
          <w:sz w:val="22"/>
          <w:szCs w:val="22"/>
          <w:lang w:eastAsia="en-GB"/>
        </w:rPr>
        <w:t>seen as harder than before</w:t>
      </w:r>
      <w:r w:rsidR="00887D29" w:rsidRPr="00201DB3">
        <w:rPr>
          <w:rFonts w:ascii="Times New Roman" w:eastAsia="Times New Roman" w:hAnsi="Times New Roman" w:cs="Times New Roman"/>
          <w:sz w:val="22"/>
          <w:szCs w:val="22"/>
          <w:lang w:eastAsia="en-GB"/>
        </w:rPr>
        <w:t>:</w:t>
      </w:r>
    </w:p>
    <w:p w14:paraId="1230AE03" w14:textId="3E5FE929" w:rsidR="003040EE" w:rsidRPr="00201DB3" w:rsidRDefault="008D5EAB" w:rsidP="0098279D">
      <w:pPr>
        <w:spacing w:line="240" w:lineRule="auto"/>
        <w:ind w:left="454" w:right="454"/>
        <w:rPr>
          <w:rFonts w:ascii="Times New Roman" w:eastAsia="MS Mincho" w:hAnsi="Times New Roman" w:cs="Times New Roman"/>
          <w:sz w:val="22"/>
          <w:szCs w:val="22"/>
        </w:rPr>
      </w:pPr>
      <w:r w:rsidRPr="00201DB3">
        <w:rPr>
          <w:rFonts w:ascii="Times New Roman" w:hAnsi="Times New Roman" w:cs="Times New Roman"/>
          <w:sz w:val="22"/>
          <w:szCs w:val="22"/>
        </w:rPr>
        <w:t>“</w:t>
      </w:r>
      <w:r w:rsidR="00A730F0" w:rsidRPr="00201DB3">
        <w:rPr>
          <w:rFonts w:ascii="Times New Roman" w:hAnsi="Times New Roman" w:cs="Times New Roman"/>
          <w:sz w:val="22"/>
          <w:szCs w:val="22"/>
        </w:rPr>
        <w:t>what is different from 1995 is that most countries now have dome</w:t>
      </w:r>
      <w:r w:rsidR="00395A81" w:rsidRPr="00201DB3">
        <w:rPr>
          <w:rFonts w:ascii="Times New Roman" w:hAnsi="Times New Roman" w:cs="Times New Roman"/>
          <w:sz w:val="22"/>
          <w:szCs w:val="22"/>
        </w:rPr>
        <w:t>s</w:t>
      </w:r>
      <w:r w:rsidR="00A730F0" w:rsidRPr="00201DB3">
        <w:rPr>
          <w:rFonts w:ascii="Times New Roman" w:hAnsi="Times New Roman" w:cs="Times New Roman"/>
          <w:sz w:val="22"/>
          <w:szCs w:val="22"/>
        </w:rPr>
        <w:t>tic legis</w:t>
      </w:r>
      <w:r w:rsidR="00395A81" w:rsidRPr="00201DB3">
        <w:rPr>
          <w:rFonts w:ascii="Times New Roman" w:hAnsi="Times New Roman" w:cs="Times New Roman"/>
          <w:sz w:val="22"/>
          <w:szCs w:val="22"/>
        </w:rPr>
        <w:t>l</w:t>
      </w:r>
      <w:r w:rsidR="00A730F0" w:rsidRPr="00201DB3">
        <w:rPr>
          <w:rFonts w:ascii="Times New Roman" w:hAnsi="Times New Roman" w:cs="Times New Roman"/>
          <w:sz w:val="22"/>
          <w:szCs w:val="22"/>
        </w:rPr>
        <w:t>a</w:t>
      </w:r>
      <w:r w:rsidR="00395A81" w:rsidRPr="00201DB3">
        <w:rPr>
          <w:rFonts w:ascii="Times New Roman" w:hAnsi="Times New Roman" w:cs="Times New Roman"/>
          <w:sz w:val="22"/>
          <w:szCs w:val="22"/>
        </w:rPr>
        <w:t>t</w:t>
      </w:r>
      <w:r w:rsidR="00A730F0" w:rsidRPr="00201DB3">
        <w:rPr>
          <w:rFonts w:ascii="Times New Roman" w:hAnsi="Times New Roman" w:cs="Times New Roman"/>
          <w:sz w:val="22"/>
          <w:szCs w:val="22"/>
        </w:rPr>
        <w:t>ion. On</w:t>
      </w:r>
      <w:r w:rsidR="00395A81" w:rsidRPr="00201DB3">
        <w:rPr>
          <w:rFonts w:ascii="Times New Roman" w:hAnsi="Times New Roman" w:cs="Times New Roman"/>
          <w:sz w:val="22"/>
          <w:szCs w:val="22"/>
        </w:rPr>
        <w:t>l</w:t>
      </w:r>
      <w:r w:rsidR="00A730F0" w:rsidRPr="00201DB3">
        <w:rPr>
          <w:rFonts w:ascii="Times New Roman" w:hAnsi="Times New Roman" w:cs="Times New Roman"/>
          <w:sz w:val="22"/>
          <w:szCs w:val="22"/>
        </w:rPr>
        <w:t xml:space="preserve">y the US </w:t>
      </w:r>
      <w:r w:rsidR="00395A81" w:rsidRPr="00201DB3">
        <w:rPr>
          <w:rFonts w:ascii="Times New Roman" w:hAnsi="Times New Roman" w:cs="Times New Roman"/>
          <w:sz w:val="22"/>
          <w:szCs w:val="22"/>
        </w:rPr>
        <w:t xml:space="preserve">had </w:t>
      </w:r>
      <w:r w:rsidR="00A730F0" w:rsidRPr="00201DB3">
        <w:rPr>
          <w:rFonts w:ascii="Times New Roman" w:hAnsi="Times New Roman" w:cs="Times New Roman"/>
          <w:sz w:val="22"/>
          <w:szCs w:val="22"/>
        </w:rPr>
        <w:t xml:space="preserve">it in 1995. </w:t>
      </w:r>
      <w:r w:rsidR="00A346F7" w:rsidRPr="00201DB3">
        <w:rPr>
          <w:rFonts w:ascii="Times New Roman" w:hAnsi="Times New Roman" w:cs="Times New Roman"/>
          <w:sz w:val="22"/>
          <w:szCs w:val="22"/>
        </w:rPr>
        <w:t>O</w:t>
      </w:r>
      <w:r w:rsidRPr="00201DB3">
        <w:rPr>
          <w:rFonts w:ascii="Times New Roman" w:hAnsi="Times New Roman" w:cs="Times New Roman"/>
          <w:sz w:val="22"/>
          <w:szCs w:val="22"/>
        </w:rPr>
        <w:t>ther countries bring baggage with them. It’s possibly harder to get consensus now because of domestic legislation”</w:t>
      </w:r>
      <w:r w:rsidR="00BB6C92" w:rsidRPr="00201DB3">
        <w:rPr>
          <w:rFonts w:ascii="Times New Roman" w:hAnsi="Times New Roman" w:cs="Times New Roman"/>
          <w:sz w:val="22"/>
          <w:szCs w:val="22"/>
        </w:rPr>
        <w:t xml:space="preserve"> </w:t>
      </w:r>
      <w:r w:rsidR="003040EE" w:rsidRPr="00201DB3">
        <w:rPr>
          <w:rFonts w:ascii="Times New Roman" w:eastAsia="MS Mincho" w:hAnsi="Times New Roman" w:cs="Times New Roman"/>
          <w:sz w:val="22"/>
          <w:szCs w:val="22"/>
        </w:rPr>
        <w:t>(I-int)</w:t>
      </w:r>
    </w:p>
    <w:p w14:paraId="3150B3A6" w14:textId="5E9DFCEE" w:rsidR="00D610AD" w:rsidRPr="00201DB3" w:rsidRDefault="00BC13C3" w:rsidP="0098279D">
      <w:pPr>
        <w:tabs>
          <w:tab w:val="left" w:pos="709"/>
        </w:tabs>
        <w:spacing w:after="0" w:line="240" w:lineRule="auto"/>
        <w:rPr>
          <w:rFonts w:ascii="Times New Roman" w:hAnsi="Times New Roman" w:cs="Times New Roman"/>
          <w:sz w:val="22"/>
          <w:szCs w:val="22"/>
        </w:rPr>
      </w:pPr>
      <w:r w:rsidRPr="00201DB3">
        <w:rPr>
          <w:rFonts w:ascii="Times New Roman" w:hAnsi="Times New Roman" w:cs="Times New Roman"/>
          <w:sz w:val="22"/>
          <w:szCs w:val="22"/>
        </w:rPr>
        <w:t>T</w:t>
      </w:r>
      <w:r w:rsidR="008D5EAB" w:rsidRPr="00201DB3">
        <w:rPr>
          <w:rFonts w:ascii="Times New Roman" w:hAnsi="Times New Roman" w:cs="Times New Roman"/>
          <w:sz w:val="22"/>
          <w:szCs w:val="22"/>
        </w:rPr>
        <w:t xml:space="preserve">he details and </w:t>
      </w:r>
      <w:r w:rsidR="00800121" w:rsidRPr="00201DB3">
        <w:rPr>
          <w:rFonts w:ascii="Times New Roman" w:hAnsi="Times New Roman" w:cs="Times New Roman"/>
          <w:sz w:val="22"/>
          <w:szCs w:val="22"/>
        </w:rPr>
        <w:t>formulas</w:t>
      </w:r>
      <w:r w:rsidRPr="00201DB3">
        <w:rPr>
          <w:rFonts w:ascii="Times New Roman" w:hAnsi="Times New Roman" w:cs="Times New Roman"/>
          <w:sz w:val="22"/>
          <w:szCs w:val="22"/>
        </w:rPr>
        <w:t xml:space="preserve"> for a</w:t>
      </w:r>
      <w:r w:rsidR="008359C7" w:rsidRPr="00201DB3">
        <w:rPr>
          <w:rFonts w:ascii="Times New Roman" w:hAnsi="Times New Roman" w:cs="Times New Roman"/>
          <w:sz w:val="22"/>
          <w:szCs w:val="22"/>
        </w:rPr>
        <w:t xml:space="preserve"> formulary </w:t>
      </w:r>
      <w:r w:rsidRPr="00201DB3">
        <w:rPr>
          <w:rFonts w:ascii="Times New Roman" w:hAnsi="Times New Roman" w:cs="Times New Roman"/>
          <w:sz w:val="22"/>
          <w:szCs w:val="22"/>
        </w:rPr>
        <w:t>method</w:t>
      </w:r>
      <w:r w:rsidR="008D5EAB" w:rsidRPr="00201DB3">
        <w:rPr>
          <w:rFonts w:ascii="Times New Roman" w:hAnsi="Times New Roman" w:cs="Times New Roman"/>
          <w:sz w:val="22"/>
          <w:szCs w:val="22"/>
        </w:rPr>
        <w:t xml:space="preserve"> would require agreement and achieving that was not</w:t>
      </w:r>
      <w:r w:rsidR="00711D77">
        <w:rPr>
          <w:rFonts w:ascii="Times New Roman" w:hAnsi="Times New Roman" w:cs="Times New Roman"/>
          <w:sz w:val="22"/>
          <w:szCs w:val="22"/>
        </w:rPr>
        <w:t xml:space="preserve"> </w:t>
      </w:r>
      <w:r w:rsidRPr="00201DB3">
        <w:rPr>
          <w:rFonts w:ascii="Times New Roman" w:hAnsi="Times New Roman" w:cs="Times New Roman"/>
          <w:sz w:val="22"/>
          <w:szCs w:val="22"/>
        </w:rPr>
        <w:t>viewed as realistic</w:t>
      </w:r>
      <w:r w:rsidR="00776B3B" w:rsidRPr="00201DB3">
        <w:rPr>
          <w:rFonts w:ascii="Times New Roman" w:hAnsi="Times New Roman" w:cs="Times New Roman"/>
          <w:sz w:val="22"/>
          <w:szCs w:val="22"/>
        </w:rPr>
        <w:t>:</w:t>
      </w:r>
      <w:r w:rsidR="008D5EAB" w:rsidRPr="00201DB3">
        <w:rPr>
          <w:rFonts w:ascii="Times New Roman" w:hAnsi="Times New Roman" w:cs="Times New Roman"/>
          <w:sz w:val="22"/>
          <w:szCs w:val="22"/>
        </w:rPr>
        <w:t xml:space="preserve"> </w:t>
      </w:r>
    </w:p>
    <w:p w14:paraId="74BFAF37" w14:textId="73A3AA34" w:rsidR="003040EE" w:rsidRPr="00201DB3" w:rsidRDefault="00776B3B" w:rsidP="0098279D">
      <w:pPr>
        <w:spacing w:line="240" w:lineRule="auto"/>
        <w:ind w:left="454" w:right="454"/>
        <w:rPr>
          <w:rFonts w:ascii="Times New Roman" w:eastAsia="MS Mincho" w:hAnsi="Times New Roman" w:cs="Times New Roman"/>
          <w:sz w:val="22"/>
          <w:szCs w:val="22"/>
        </w:rPr>
      </w:pPr>
      <w:r w:rsidRPr="00201DB3" w:rsidDel="00776B3B">
        <w:rPr>
          <w:rFonts w:ascii="Times New Roman" w:hAnsi="Times New Roman" w:cs="Times New Roman"/>
          <w:sz w:val="22"/>
          <w:szCs w:val="22"/>
        </w:rPr>
        <w:t xml:space="preserve"> </w:t>
      </w:r>
      <w:r w:rsidR="008D5EAB" w:rsidRPr="00201DB3">
        <w:rPr>
          <w:rFonts w:ascii="Times New Roman" w:hAnsi="Times New Roman" w:cs="Times New Roman"/>
          <w:sz w:val="22"/>
          <w:szCs w:val="22"/>
        </w:rPr>
        <w:t xml:space="preserve">“having tried to negotiate profit split APAs between countries, the chances of everyone agreeing on </w:t>
      </w:r>
      <w:r w:rsidR="00C21561" w:rsidRPr="00201DB3">
        <w:rPr>
          <w:rFonts w:ascii="Times New Roman" w:hAnsi="Times New Roman" w:cs="Times New Roman"/>
          <w:sz w:val="22"/>
          <w:szCs w:val="22"/>
        </w:rPr>
        <w:t>global formulary apportionment</w:t>
      </w:r>
      <w:r w:rsidR="008D5EAB" w:rsidRPr="00201DB3">
        <w:rPr>
          <w:rFonts w:ascii="Times New Roman" w:hAnsi="Times New Roman" w:cs="Times New Roman"/>
          <w:sz w:val="22"/>
          <w:szCs w:val="22"/>
        </w:rPr>
        <w:t xml:space="preserve"> formula are sort of next to zero…this is cloud cuckoo land</w:t>
      </w:r>
      <w:r w:rsidR="003D0F47" w:rsidRPr="00201DB3">
        <w:rPr>
          <w:rFonts w:ascii="Times New Roman" w:hAnsi="Times New Roman" w:cs="Times New Roman"/>
          <w:sz w:val="22"/>
          <w:szCs w:val="22"/>
        </w:rPr>
        <w:t>”</w:t>
      </w:r>
      <w:r w:rsidR="003040EE" w:rsidRPr="00201DB3">
        <w:rPr>
          <w:rFonts w:ascii="Times New Roman" w:eastAsia="MS Mincho" w:hAnsi="Times New Roman" w:cs="Times New Roman"/>
          <w:sz w:val="22"/>
          <w:szCs w:val="22"/>
        </w:rPr>
        <w:t xml:space="preserve"> (I-int).</w:t>
      </w:r>
    </w:p>
    <w:p w14:paraId="1148DCC9" w14:textId="6D399E0B" w:rsidR="003040EE" w:rsidRPr="00201DB3" w:rsidRDefault="00EA408D" w:rsidP="0098279D">
      <w:pPr>
        <w:spacing w:after="0" w:line="240" w:lineRule="auto"/>
        <w:rPr>
          <w:rFonts w:ascii="Times New Roman" w:eastAsia="MS Mincho" w:hAnsi="Times New Roman" w:cs="Times New Roman"/>
          <w:sz w:val="22"/>
          <w:szCs w:val="22"/>
        </w:rPr>
      </w:pPr>
      <w:r w:rsidRPr="00201DB3">
        <w:rPr>
          <w:rFonts w:ascii="Times New Roman" w:hAnsi="Times New Roman" w:cs="Times New Roman"/>
          <w:sz w:val="22"/>
          <w:szCs w:val="22"/>
        </w:rPr>
        <w:t xml:space="preserve">On the possible </w:t>
      </w:r>
      <w:r w:rsidR="005850A0" w:rsidRPr="00201DB3">
        <w:rPr>
          <w:rFonts w:ascii="Times New Roman" w:hAnsi="Times New Roman" w:cs="Times New Roman"/>
          <w:sz w:val="22"/>
          <w:szCs w:val="22"/>
        </w:rPr>
        <w:t>shift to</w:t>
      </w:r>
      <w:r w:rsidR="008359C7" w:rsidRPr="00201DB3">
        <w:rPr>
          <w:rFonts w:ascii="Times New Roman" w:hAnsi="Times New Roman" w:cs="Times New Roman"/>
          <w:sz w:val="22"/>
          <w:szCs w:val="22"/>
        </w:rPr>
        <w:t xml:space="preserve"> formulary apportionment</w:t>
      </w:r>
      <w:r w:rsidR="005850A0" w:rsidRPr="00201DB3">
        <w:rPr>
          <w:rFonts w:ascii="Times New Roman" w:hAnsi="Times New Roman" w:cs="Times New Roman"/>
          <w:sz w:val="22"/>
          <w:szCs w:val="22"/>
        </w:rPr>
        <w:t>,</w:t>
      </w:r>
      <w:r w:rsidR="003D0F47" w:rsidRPr="00201DB3">
        <w:rPr>
          <w:rFonts w:ascii="Times New Roman" w:hAnsi="Times New Roman" w:cs="Times New Roman"/>
          <w:sz w:val="22"/>
          <w:szCs w:val="22"/>
        </w:rPr>
        <w:t xml:space="preserve"> most</w:t>
      </w:r>
      <w:r w:rsidR="005850A0" w:rsidRPr="00201DB3">
        <w:rPr>
          <w:rFonts w:ascii="Times New Roman" w:hAnsi="Times New Roman" w:cs="Times New Roman"/>
          <w:sz w:val="22"/>
          <w:szCs w:val="22"/>
        </w:rPr>
        <w:t xml:space="preserve"> interviewees could not envisage </w:t>
      </w:r>
      <w:r w:rsidR="00BC13C3" w:rsidRPr="00201DB3">
        <w:rPr>
          <w:rFonts w:ascii="Times New Roman" w:hAnsi="Times New Roman" w:cs="Times New Roman"/>
          <w:sz w:val="22"/>
          <w:szCs w:val="22"/>
        </w:rPr>
        <w:t xml:space="preserve">the first </w:t>
      </w:r>
      <w:r w:rsidR="005850A0" w:rsidRPr="00201DB3">
        <w:rPr>
          <w:rFonts w:ascii="Times New Roman" w:hAnsi="Times New Roman" w:cs="Times New Roman"/>
          <w:sz w:val="22"/>
          <w:szCs w:val="22"/>
        </w:rPr>
        <w:t>steps towards this</w:t>
      </w:r>
      <w:r w:rsidR="005C7EF5" w:rsidRPr="00201DB3">
        <w:rPr>
          <w:rFonts w:ascii="Times New Roman" w:hAnsi="Times New Roman" w:cs="Times New Roman"/>
          <w:sz w:val="22"/>
          <w:szCs w:val="22"/>
        </w:rPr>
        <w:t xml:space="preserve"> being t</w:t>
      </w:r>
      <w:r w:rsidR="00D9649B" w:rsidRPr="00201DB3">
        <w:rPr>
          <w:rFonts w:ascii="Times New Roman" w:hAnsi="Times New Roman" w:cs="Times New Roman"/>
          <w:sz w:val="22"/>
          <w:szCs w:val="22"/>
        </w:rPr>
        <w:t>a</w:t>
      </w:r>
      <w:r w:rsidR="005C7EF5" w:rsidRPr="00201DB3">
        <w:rPr>
          <w:rFonts w:ascii="Times New Roman" w:hAnsi="Times New Roman" w:cs="Times New Roman"/>
          <w:sz w:val="22"/>
          <w:szCs w:val="22"/>
        </w:rPr>
        <w:t>ken</w:t>
      </w:r>
      <w:r w:rsidR="006A3C25" w:rsidRPr="00201DB3">
        <w:rPr>
          <w:rFonts w:ascii="Times New Roman" w:hAnsi="Times New Roman" w:cs="Times New Roman"/>
          <w:sz w:val="22"/>
          <w:szCs w:val="22"/>
        </w:rPr>
        <w:t xml:space="preserve">. </w:t>
      </w:r>
      <w:r w:rsidR="006D0987" w:rsidRPr="00201DB3">
        <w:rPr>
          <w:rFonts w:ascii="Times New Roman" w:hAnsi="Times New Roman" w:cs="Times New Roman"/>
          <w:sz w:val="22"/>
          <w:szCs w:val="22"/>
        </w:rPr>
        <w:t>Furthermore, t</w:t>
      </w:r>
      <w:r w:rsidR="006A3C25" w:rsidRPr="00201DB3">
        <w:rPr>
          <w:rFonts w:ascii="Times New Roman" w:hAnsi="Times New Roman" w:cs="Times New Roman"/>
          <w:sz w:val="22"/>
          <w:szCs w:val="22"/>
        </w:rPr>
        <w:t xml:space="preserve">he US had been a key driving force </w:t>
      </w:r>
      <w:r w:rsidR="00CB4984" w:rsidRPr="00201DB3">
        <w:rPr>
          <w:rFonts w:ascii="Times New Roman" w:hAnsi="Times New Roman" w:cs="Times New Roman"/>
          <w:sz w:val="22"/>
          <w:szCs w:val="22"/>
        </w:rPr>
        <w:t xml:space="preserve">behind new rules and guidelines </w:t>
      </w:r>
      <w:r w:rsidR="006A3C25" w:rsidRPr="00201DB3">
        <w:rPr>
          <w:rFonts w:ascii="Times New Roman" w:hAnsi="Times New Roman" w:cs="Times New Roman"/>
          <w:sz w:val="22"/>
          <w:szCs w:val="22"/>
        </w:rPr>
        <w:t>in the early 1990s</w:t>
      </w:r>
      <w:r w:rsidR="003C5332" w:rsidRPr="00201DB3">
        <w:rPr>
          <w:rStyle w:val="FootnoteReference"/>
          <w:rFonts w:ascii="Times New Roman" w:hAnsi="Times New Roman" w:cs="Times New Roman"/>
          <w:sz w:val="22"/>
          <w:szCs w:val="22"/>
        </w:rPr>
        <w:footnoteReference w:id="60"/>
      </w:r>
      <w:r w:rsidR="006A3C25" w:rsidRPr="00201DB3">
        <w:rPr>
          <w:rFonts w:ascii="Times New Roman" w:hAnsi="Times New Roman" w:cs="Times New Roman"/>
          <w:sz w:val="22"/>
          <w:szCs w:val="22"/>
        </w:rPr>
        <w:t xml:space="preserve"> and so </w:t>
      </w:r>
      <w:r w:rsidR="006D0987" w:rsidRPr="00201DB3">
        <w:rPr>
          <w:rFonts w:ascii="Times New Roman" w:hAnsi="Times New Roman" w:cs="Times New Roman"/>
          <w:sz w:val="22"/>
          <w:szCs w:val="22"/>
        </w:rPr>
        <w:t xml:space="preserve">it </w:t>
      </w:r>
      <w:r w:rsidR="006A3C25" w:rsidRPr="00201DB3">
        <w:rPr>
          <w:rFonts w:ascii="Times New Roman" w:hAnsi="Times New Roman" w:cs="Times New Roman"/>
          <w:sz w:val="22"/>
          <w:szCs w:val="22"/>
        </w:rPr>
        <w:t>w</w:t>
      </w:r>
      <w:r w:rsidR="00A25028" w:rsidRPr="00201DB3">
        <w:rPr>
          <w:rFonts w:ascii="Times New Roman" w:hAnsi="Times New Roman" w:cs="Times New Roman"/>
          <w:sz w:val="22"/>
          <w:szCs w:val="22"/>
        </w:rPr>
        <w:t>a</w:t>
      </w:r>
      <w:r w:rsidR="008431E9" w:rsidRPr="00201DB3">
        <w:rPr>
          <w:rFonts w:ascii="Times New Roman" w:hAnsi="Times New Roman" w:cs="Times New Roman"/>
          <w:sz w:val="22"/>
          <w:szCs w:val="22"/>
        </w:rPr>
        <w:t>s</w:t>
      </w:r>
      <w:r w:rsidR="006A3C25" w:rsidRPr="00201DB3">
        <w:rPr>
          <w:rFonts w:ascii="Times New Roman" w:hAnsi="Times New Roman" w:cs="Times New Roman"/>
          <w:sz w:val="22"/>
          <w:szCs w:val="22"/>
        </w:rPr>
        <w:t xml:space="preserve"> viewed as </w:t>
      </w:r>
      <w:r w:rsidR="006D0987" w:rsidRPr="00201DB3">
        <w:rPr>
          <w:rFonts w:ascii="Times New Roman" w:hAnsi="Times New Roman" w:cs="Times New Roman"/>
          <w:sz w:val="22"/>
          <w:szCs w:val="22"/>
        </w:rPr>
        <w:t xml:space="preserve">problematic for the US </w:t>
      </w:r>
      <w:r w:rsidR="00636F42" w:rsidRPr="00201DB3">
        <w:rPr>
          <w:rFonts w:ascii="Times New Roman" w:hAnsi="Times New Roman" w:cs="Times New Roman"/>
          <w:sz w:val="22"/>
          <w:szCs w:val="22"/>
        </w:rPr>
        <w:t xml:space="preserve">to be at the forefront of any possible </w:t>
      </w:r>
      <w:r w:rsidR="006A3C25" w:rsidRPr="00201DB3">
        <w:rPr>
          <w:rFonts w:ascii="Times New Roman" w:hAnsi="Times New Roman" w:cs="Times New Roman"/>
          <w:sz w:val="22"/>
          <w:szCs w:val="22"/>
        </w:rPr>
        <w:t>move to</w:t>
      </w:r>
      <w:r w:rsidR="008359C7" w:rsidRPr="00201DB3">
        <w:rPr>
          <w:rFonts w:ascii="Times New Roman" w:hAnsi="Times New Roman" w:cs="Times New Roman"/>
          <w:sz w:val="22"/>
          <w:szCs w:val="22"/>
        </w:rPr>
        <w:t xml:space="preserve"> formulary apportionment</w:t>
      </w:r>
      <w:r w:rsidR="00980382" w:rsidRPr="00201DB3">
        <w:rPr>
          <w:rFonts w:ascii="Times New Roman" w:hAnsi="Times New Roman" w:cs="Times New Roman"/>
          <w:sz w:val="22"/>
          <w:szCs w:val="22"/>
        </w:rPr>
        <w:t xml:space="preserve">. </w:t>
      </w:r>
      <w:r w:rsidR="006A3C25" w:rsidRPr="00201DB3">
        <w:rPr>
          <w:rFonts w:ascii="Times New Roman" w:hAnsi="Times New Roman" w:cs="Times New Roman"/>
          <w:sz w:val="22"/>
          <w:szCs w:val="22"/>
        </w:rPr>
        <w:t>A</w:t>
      </w:r>
      <w:r w:rsidR="00980382" w:rsidRPr="00201DB3">
        <w:rPr>
          <w:rFonts w:ascii="Times New Roman" w:hAnsi="Times New Roman" w:cs="Times New Roman"/>
          <w:sz w:val="22"/>
          <w:szCs w:val="22"/>
        </w:rPr>
        <w:t xml:space="preserve">n </w:t>
      </w:r>
      <w:r w:rsidR="006A3C25" w:rsidRPr="00201DB3">
        <w:rPr>
          <w:rFonts w:ascii="Times New Roman" w:hAnsi="Times New Roman" w:cs="Times New Roman"/>
          <w:sz w:val="22"/>
          <w:szCs w:val="22"/>
        </w:rPr>
        <w:t xml:space="preserve">interviewee </w:t>
      </w:r>
      <w:r w:rsidR="003D0F47" w:rsidRPr="00201DB3">
        <w:rPr>
          <w:rFonts w:ascii="Times New Roman" w:hAnsi="Times New Roman" w:cs="Times New Roman"/>
          <w:sz w:val="22"/>
          <w:szCs w:val="22"/>
        </w:rPr>
        <w:t xml:space="preserve">commented </w:t>
      </w:r>
      <w:r w:rsidR="007D3323" w:rsidRPr="00201DB3">
        <w:rPr>
          <w:rFonts w:ascii="Times New Roman" w:hAnsi="Times New Roman" w:cs="Times New Roman"/>
          <w:sz w:val="22"/>
          <w:szCs w:val="22"/>
        </w:rPr>
        <w:t>“</w:t>
      </w:r>
      <w:r w:rsidR="005850A0" w:rsidRPr="00201DB3">
        <w:rPr>
          <w:rFonts w:ascii="Times New Roman" w:hAnsi="Times New Roman" w:cs="Times New Roman"/>
          <w:sz w:val="22"/>
          <w:szCs w:val="22"/>
        </w:rPr>
        <w:t>the US can’t take the lead. We’ve talked the entire world on arm’s length now”</w:t>
      </w:r>
      <w:r w:rsidR="003040EE" w:rsidRPr="00201DB3">
        <w:rPr>
          <w:rFonts w:ascii="Times New Roman" w:hAnsi="Times New Roman" w:cs="Times New Roman"/>
          <w:sz w:val="22"/>
          <w:szCs w:val="22"/>
        </w:rPr>
        <w:t xml:space="preserve"> </w:t>
      </w:r>
      <w:r w:rsidR="003040EE" w:rsidRPr="00201DB3">
        <w:rPr>
          <w:rFonts w:ascii="Times New Roman" w:eastAsia="MS Mincho" w:hAnsi="Times New Roman" w:cs="Times New Roman"/>
          <w:sz w:val="22"/>
          <w:szCs w:val="22"/>
        </w:rPr>
        <w:t>(I-int).</w:t>
      </w:r>
    </w:p>
    <w:bookmarkEnd w:id="5"/>
    <w:p w14:paraId="122F7C85" w14:textId="77777777" w:rsidR="008D5EAB" w:rsidRPr="00201DB3" w:rsidRDefault="008D5EAB" w:rsidP="00201DB3">
      <w:pPr>
        <w:spacing w:after="0" w:line="240" w:lineRule="auto"/>
        <w:rPr>
          <w:rFonts w:ascii="Times New Roman" w:hAnsi="Times New Roman" w:cs="Times New Roman"/>
          <w:sz w:val="22"/>
          <w:szCs w:val="22"/>
        </w:rPr>
      </w:pPr>
    </w:p>
    <w:p w14:paraId="7285235B" w14:textId="6E9AC372" w:rsidR="00790571" w:rsidRPr="00201DB3" w:rsidRDefault="007D3323"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 xml:space="preserve">2016/17 </w:t>
      </w:r>
      <w:r w:rsidR="00790571" w:rsidRPr="00201DB3">
        <w:rPr>
          <w:rFonts w:ascii="Times New Roman" w:hAnsi="Times New Roman" w:cs="Times New Roman"/>
          <w:i/>
          <w:sz w:val="22"/>
          <w:szCs w:val="22"/>
        </w:rPr>
        <w:t>Attitudes to the ALP: flexibility</w:t>
      </w:r>
      <w:r w:rsidR="000E5C55" w:rsidRPr="00201DB3">
        <w:rPr>
          <w:rFonts w:ascii="Times New Roman" w:hAnsi="Times New Roman" w:cs="Times New Roman"/>
          <w:i/>
          <w:sz w:val="22"/>
          <w:szCs w:val="22"/>
        </w:rPr>
        <w:t>,</w:t>
      </w:r>
      <w:r w:rsidR="00790571" w:rsidRPr="00201DB3">
        <w:rPr>
          <w:rFonts w:ascii="Times New Roman" w:hAnsi="Times New Roman" w:cs="Times New Roman"/>
          <w:i/>
          <w:sz w:val="22"/>
          <w:szCs w:val="22"/>
        </w:rPr>
        <w:t xml:space="preserve"> uncertainty and increased complexity </w:t>
      </w:r>
    </w:p>
    <w:p w14:paraId="66EE268B" w14:textId="47B10A2A" w:rsidR="002A0DC4" w:rsidRPr="00201DB3" w:rsidRDefault="00790571"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A decade </w:t>
      </w:r>
      <w:r w:rsidR="00905731" w:rsidRPr="00201DB3">
        <w:rPr>
          <w:rFonts w:ascii="Times New Roman" w:hAnsi="Times New Roman" w:cs="Times New Roman"/>
          <w:sz w:val="22"/>
          <w:szCs w:val="22"/>
        </w:rPr>
        <w:t>later</w:t>
      </w:r>
      <w:r w:rsidR="00093E8B" w:rsidRPr="00201DB3">
        <w:rPr>
          <w:rFonts w:ascii="Times New Roman" w:hAnsi="Times New Roman" w:cs="Times New Roman"/>
          <w:sz w:val="22"/>
          <w:szCs w:val="22"/>
        </w:rPr>
        <w:t>,</w:t>
      </w:r>
      <w:r w:rsidR="00905731" w:rsidRPr="00201DB3">
        <w:rPr>
          <w:rFonts w:ascii="Times New Roman" w:hAnsi="Times New Roman" w:cs="Times New Roman"/>
          <w:sz w:val="22"/>
          <w:szCs w:val="22"/>
        </w:rPr>
        <w:t xml:space="preserve"> an overlapping group of interviewees was again asked for their views on the ALP and </w:t>
      </w:r>
      <w:r w:rsidR="008359C7" w:rsidRPr="00201DB3">
        <w:rPr>
          <w:rFonts w:ascii="Times New Roman" w:hAnsi="Times New Roman" w:cs="Times New Roman"/>
          <w:sz w:val="22"/>
          <w:szCs w:val="22"/>
        </w:rPr>
        <w:t>formulary apportionment</w:t>
      </w:r>
      <w:r w:rsidR="00CB4984" w:rsidRPr="00201DB3">
        <w:rPr>
          <w:rFonts w:ascii="Times New Roman" w:hAnsi="Times New Roman" w:cs="Times New Roman"/>
          <w:sz w:val="22"/>
          <w:szCs w:val="22"/>
        </w:rPr>
        <w:t xml:space="preserve">, an opportunity to gain views on the </w:t>
      </w:r>
      <w:r w:rsidR="000E5C55" w:rsidRPr="00201DB3">
        <w:rPr>
          <w:rFonts w:ascii="Times New Roman" w:hAnsi="Times New Roman" w:cs="Times New Roman"/>
          <w:sz w:val="22"/>
          <w:szCs w:val="22"/>
        </w:rPr>
        <w:t>evolving</w:t>
      </w:r>
      <w:r w:rsidR="00CB4984" w:rsidRPr="00201DB3">
        <w:rPr>
          <w:rFonts w:ascii="Times New Roman" w:hAnsi="Times New Roman" w:cs="Times New Roman"/>
          <w:sz w:val="22"/>
          <w:szCs w:val="22"/>
        </w:rPr>
        <w:t xml:space="preserve"> ALP, with a longer period of experience of its operation in practice, just over 20 years after the issuing of the OECD </w:t>
      </w:r>
      <w:r w:rsidR="006D0987" w:rsidRPr="00201DB3">
        <w:rPr>
          <w:rFonts w:ascii="Times New Roman" w:hAnsi="Times New Roman" w:cs="Times New Roman"/>
          <w:sz w:val="22"/>
          <w:szCs w:val="22"/>
        </w:rPr>
        <w:t xml:space="preserve">1995 </w:t>
      </w:r>
      <w:r w:rsidR="00CB4984" w:rsidRPr="00201DB3">
        <w:rPr>
          <w:rFonts w:ascii="Times New Roman" w:hAnsi="Times New Roman" w:cs="Times New Roman"/>
          <w:sz w:val="22"/>
          <w:szCs w:val="22"/>
        </w:rPr>
        <w:t>Guidelines</w:t>
      </w:r>
      <w:r w:rsidR="003D0F47" w:rsidRPr="00201DB3">
        <w:rPr>
          <w:rFonts w:ascii="Times New Roman" w:hAnsi="Times New Roman" w:cs="Times New Roman"/>
          <w:sz w:val="22"/>
          <w:szCs w:val="22"/>
        </w:rPr>
        <w:t xml:space="preserve">, </w:t>
      </w:r>
      <w:r w:rsidR="000E5C55" w:rsidRPr="00201DB3">
        <w:rPr>
          <w:rFonts w:ascii="Times New Roman" w:hAnsi="Times New Roman" w:cs="Times New Roman"/>
          <w:sz w:val="22"/>
          <w:szCs w:val="22"/>
        </w:rPr>
        <w:t xml:space="preserve">and a year after the OECD published the final BEPS report. </w:t>
      </w:r>
      <w:r w:rsidR="00BF478D" w:rsidRPr="00201DB3">
        <w:rPr>
          <w:rFonts w:ascii="Times New Roman" w:hAnsi="Times New Roman" w:cs="Times New Roman"/>
          <w:sz w:val="22"/>
          <w:szCs w:val="22"/>
        </w:rPr>
        <w:t xml:space="preserve">The 2016/17 interviews took place against a backdrop of significant change in the transfer pricing environment, something that was recognised by all interviewees. </w:t>
      </w:r>
    </w:p>
    <w:p w14:paraId="49623B9B" w14:textId="77777777" w:rsidR="00AD37A0" w:rsidRPr="00201DB3" w:rsidRDefault="00AD37A0" w:rsidP="00201DB3">
      <w:pPr>
        <w:spacing w:after="0" w:line="240" w:lineRule="auto"/>
        <w:rPr>
          <w:rFonts w:ascii="Times New Roman" w:hAnsi="Times New Roman" w:cs="Times New Roman"/>
          <w:sz w:val="22"/>
          <w:szCs w:val="22"/>
        </w:rPr>
      </w:pPr>
    </w:p>
    <w:p w14:paraId="7C4E3BA5" w14:textId="2B19B457" w:rsidR="00BB6C92" w:rsidRPr="00201DB3" w:rsidRDefault="0004785B"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rPr>
        <w:t xml:space="preserve">In 2006 the ALP was seen as </w:t>
      </w:r>
      <w:r w:rsidR="00C34B97" w:rsidRPr="00201DB3">
        <w:rPr>
          <w:rFonts w:ascii="Times New Roman" w:hAnsi="Times New Roman" w:cs="Times New Roman"/>
          <w:sz w:val="22"/>
          <w:szCs w:val="22"/>
        </w:rPr>
        <w:t xml:space="preserve">bedding down and </w:t>
      </w:r>
      <w:r w:rsidRPr="00201DB3">
        <w:rPr>
          <w:rFonts w:ascii="Times New Roman" w:hAnsi="Times New Roman" w:cs="Times New Roman"/>
          <w:sz w:val="22"/>
          <w:szCs w:val="22"/>
        </w:rPr>
        <w:t xml:space="preserve">becoming established, with a </w:t>
      </w:r>
      <w:r w:rsidR="00807111" w:rsidRPr="00201DB3">
        <w:rPr>
          <w:rFonts w:ascii="Times New Roman" w:hAnsi="Times New Roman" w:cs="Times New Roman"/>
          <w:sz w:val="22"/>
          <w:szCs w:val="22"/>
        </w:rPr>
        <w:t>developing</w:t>
      </w:r>
      <w:r w:rsidR="00CD7D42" w:rsidRPr="00201DB3">
        <w:rPr>
          <w:rFonts w:ascii="Times New Roman" w:hAnsi="Times New Roman" w:cs="Times New Roman"/>
          <w:sz w:val="22"/>
          <w:szCs w:val="22"/>
        </w:rPr>
        <w:t xml:space="preserve">, deepening </w:t>
      </w:r>
      <w:r w:rsidRPr="00201DB3">
        <w:rPr>
          <w:rFonts w:ascii="Times New Roman" w:hAnsi="Times New Roman" w:cs="Times New Roman"/>
          <w:sz w:val="22"/>
          <w:szCs w:val="22"/>
        </w:rPr>
        <w:t>understanding of it. However, i</w:t>
      </w:r>
      <w:r w:rsidR="008D5EAB" w:rsidRPr="00201DB3">
        <w:rPr>
          <w:rFonts w:ascii="Times New Roman" w:hAnsi="Times New Roman" w:cs="Times New Roman"/>
          <w:sz w:val="22"/>
          <w:szCs w:val="22"/>
        </w:rPr>
        <w:t>n the</w:t>
      </w:r>
      <w:r w:rsidR="007D3323" w:rsidRPr="00201DB3">
        <w:rPr>
          <w:rFonts w:ascii="Times New Roman" w:hAnsi="Times New Roman" w:cs="Times New Roman"/>
          <w:sz w:val="22"/>
          <w:szCs w:val="22"/>
        </w:rPr>
        <w:t xml:space="preserve"> 2016</w:t>
      </w:r>
      <w:r w:rsidR="00D46ADB" w:rsidRPr="00201DB3">
        <w:rPr>
          <w:rFonts w:ascii="Times New Roman" w:hAnsi="Times New Roman" w:cs="Times New Roman"/>
          <w:sz w:val="22"/>
          <w:szCs w:val="22"/>
        </w:rPr>
        <w:t>/17</w:t>
      </w:r>
      <w:r w:rsidR="008D5EAB" w:rsidRPr="00201DB3">
        <w:rPr>
          <w:rFonts w:ascii="Times New Roman" w:hAnsi="Times New Roman" w:cs="Times New Roman"/>
          <w:sz w:val="22"/>
          <w:szCs w:val="22"/>
        </w:rPr>
        <w:t xml:space="preserve"> interview</w:t>
      </w:r>
      <w:r w:rsidR="00C21561" w:rsidRPr="00201DB3">
        <w:rPr>
          <w:rFonts w:ascii="Times New Roman" w:hAnsi="Times New Roman" w:cs="Times New Roman"/>
          <w:sz w:val="22"/>
          <w:szCs w:val="22"/>
        </w:rPr>
        <w:t xml:space="preserve"> data</w:t>
      </w:r>
      <w:r w:rsidRPr="00201DB3">
        <w:rPr>
          <w:rFonts w:ascii="Times New Roman" w:hAnsi="Times New Roman" w:cs="Times New Roman"/>
          <w:sz w:val="22"/>
          <w:szCs w:val="22"/>
        </w:rPr>
        <w:t>, while</w:t>
      </w:r>
      <w:r w:rsidR="008D5EAB" w:rsidRPr="00201DB3">
        <w:rPr>
          <w:rFonts w:ascii="Times New Roman" w:hAnsi="Times New Roman" w:cs="Times New Roman"/>
          <w:sz w:val="22"/>
          <w:szCs w:val="22"/>
        </w:rPr>
        <w:t xml:space="preserve"> there was</w:t>
      </w:r>
      <w:r w:rsidR="003A6472" w:rsidRPr="00201DB3">
        <w:rPr>
          <w:rFonts w:ascii="Times New Roman" w:hAnsi="Times New Roman" w:cs="Times New Roman"/>
          <w:sz w:val="22"/>
          <w:szCs w:val="22"/>
        </w:rPr>
        <w:t xml:space="preserve"> still</w:t>
      </w:r>
      <w:r w:rsidR="008D5EAB" w:rsidRPr="00201DB3">
        <w:rPr>
          <w:rFonts w:ascii="Times New Roman" w:hAnsi="Times New Roman" w:cs="Times New Roman"/>
          <w:sz w:val="22"/>
          <w:szCs w:val="22"/>
        </w:rPr>
        <w:t xml:space="preserve"> support for the </w:t>
      </w:r>
      <w:r w:rsidR="004F4A61" w:rsidRPr="00201DB3">
        <w:rPr>
          <w:rFonts w:ascii="Times New Roman" w:hAnsi="Times New Roman" w:cs="Times New Roman"/>
          <w:sz w:val="22"/>
          <w:szCs w:val="22"/>
        </w:rPr>
        <w:t>ALP,</w:t>
      </w:r>
      <w:r w:rsidR="008D5EAB" w:rsidRPr="00201DB3">
        <w:rPr>
          <w:rFonts w:ascii="Times New Roman" w:hAnsi="Times New Roman" w:cs="Times New Roman"/>
          <w:sz w:val="22"/>
          <w:szCs w:val="22"/>
        </w:rPr>
        <w:t xml:space="preserve"> it was </w:t>
      </w:r>
      <w:r w:rsidR="00383006" w:rsidRPr="00201DB3">
        <w:rPr>
          <w:rFonts w:ascii="Times New Roman" w:hAnsi="Times New Roman" w:cs="Times New Roman"/>
          <w:sz w:val="22"/>
          <w:szCs w:val="22"/>
        </w:rPr>
        <w:t xml:space="preserve">more muted and </w:t>
      </w:r>
      <w:r w:rsidR="00093E8B" w:rsidRPr="00201DB3">
        <w:rPr>
          <w:rFonts w:ascii="Times New Roman" w:hAnsi="Times New Roman" w:cs="Times New Roman"/>
          <w:sz w:val="22"/>
          <w:szCs w:val="22"/>
        </w:rPr>
        <w:t>more equivocal,</w:t>
      </w:r>
      <w:r w:rsidR="005C6476" w:rsidRPr="00201DB3">
        <w:rPr>
          <w:rFonts w:ascii="Times New Roman" w:hAnsi="Times New Roman" w:cs="Times New Roman"/>
          <w:sz w:val="22"/>
          <w:szCs w:val="22"/>
        </w:rPr>
        <w:t xml:space="preserve"> </w:t>
      </w:r>
      <w:r w:rsidR="008D5EAB" w:rsidRPr="00201DB3">
        <w:rPr>
          <w:rFonts w:ascii="Times New Roman" w:hAnsi="Times New Roman" w:cs="Times New Roman"/>
          <w:sz w:val="22"/>
          <w:szCs w:val="22"/>
        </w:rPr>
        <w:t xml:space="preserve">with </w:t>
      </w:r>
      <w:r w:rsidR="003A6472" w:rsidRPr="00201DB3">
        <w:rPr>
          <w:rFonts w:ascii="Times New Roman" w:hAnsi="Times New Roman" w:cs="Times New Roman"/>
          <w:sz w:val="22"/>
          <w:szCs w:val="22"/>
        </w:rPr>
        <w:t xml:space="preserve">the initial </w:t>
      </w:r>
      <w:r w:rsidR="008D5EAB" w:rsidRPr="00201DB3">
        <w:rPr>
          <w:rFonts w:ascii="Times New Roman" w:hAnsi="Times New Roman" w:cs="Times New Roman"/>
          <w:sz w:val="22"/>
          <w:szCs w:val="22"/>
        </w:rPr>
        <w:t xml:space="preserve">responses </w:t>
      </w:r>
      <w:r w:rsidR="003A6472" w:rsidRPr="00201DB3">
        <w:rPr>
          <w:rFonts w:ascii="Times New Roman" w:hAnsi="Times New Roman" w:cs="Times New Roman"/>
          <w:sz w:val="22"/>
          <w:szCs w:val="22"/>
        </w:rPr>
        <w:t xml:space="preserve">evidencing </w:t>
      </w:r>
      <w:r w:rsidR="00544256" w:rsidRPr="00201DB3">
        <w:rPr>
          <w:rFonts w:ascii="Times New Roman" w:hAnsi="Times New Roman" w:cs="Times New Roman"/>
          <w:sz w:val="22"/>
          <w:szCs w:val="22"/>
        </w:rPr>
        <w:t>less</w:t>
      </w:r>
      <w:r w:rsidR="006D0987" w:rsidRPr="00201DB3">
        <w:rPr>
          <w:rFonts w:ascii="Times New Roman" w:hAnsi="Times New Roman" w:cs="Times New Roman"/>
          <w:sz w:val="22"/>
          <w:szCs w:val="22"/>
        </w:rPr>
        <w:t xml:space="preserve">. </w:t>
      </w:r>
      <w:r w:rsidR="00472CA5" w:rsidRPr="00201DB3">
        <w:rPr>
          <w:rFonts w:ascii="Times New Roman" w:hAnsi="Times New Roman" w:cs="Times New Roman"/>
          <w:sz w:val="22"/>
          <w:szCs w:val="22"/>
        </w:rPr>
        <w:t xml:space="preserve">There was </w:t>
      </w:r>
      <w:r w:rsidR="009A0983" w:rsidRPr="00201DB3">
        <w:rPr>
          <w:rFonts w:ascii="Times New Roman" w:hAnsi="Times New Roman" w:cs="Times New Roman"/>
          <w:sz w:val="22"/>
          <w:szCs w:val="22"/>
        </w:rPr>
        <w:t xml:space="preserve">recognition </w:t>
      </w:r>
      <w:r w:rsidR="003D0F47" w:rsidRPr="00201DB3">
        <w:rPr>
          <w:rFonts w:ascii="Times New Roman" w:hAnsi="Times New Roman" w:cs="Times New Roman"/>
          <w:sz w:val="22"/>
          <w:szCs w:val="22"/>
        </w:rPr>
        <w:t xml:space="preserve">among all interviewees </w:t>
      </w:r>
      <w:r w:rsidR="009A0983" w:rsidRPr="00201DB3">
        <w:rPr>
          <w:rFonts w:ascii="Times New Roman" w:hAnsi="Times New Roman" w:cs="Times New Roman"/>
          <w:sz w:val="22"/>
          <w:szCs w:val="22"/>
        </w:rPr>
        <w:t xml:space="preserve">of the </w:t>
      </w:r>
      <w:r w:rsidR="00CD7D42" w:rsidRPr="00201DB3">
        <w:rPr>
          <w:rFonts w:ascii="Times New Roman" w:hAnsi="Times New Roman" w:cs="Times New Roman"/>
          <w:sz w:val="22"/>
          <w:szCs w:val="22"/>
        </w:rPr>
        <w:t>increased</w:t>
      </w:r>
      <w:r w:rsidR="00212D06" w:rsidRPr="00201DB3">
        <w:rPr>
          <w:rFonts w:ascii="Times New Roman" w:hAnsi="Times New Roman" w:cs="Times New Roman"/>
          <w:sz w:val="22"/>
          <w:szCs w:val="22"/>
        </w:rPr>
        <w:t xml:space="preserve"> </w:t>
      </w:r>
      <w:r w:rsidR="009A0983" w:rsidRPr="00201DB3">
        <w:rPr>
          <w:rFonts w:ascii="Times New Roman" w:hAnsi="Times New Roman" w:cs="Times New Roman"/>
          <w:sz w:val="22"/>
          <w:szCs w:val="22"/>
        </w:rPr>
        <w:t>public</w:t>
      </w:r>
      <w:r w:rsidR="00212D06" w:rsidRPr="00201DB3">
        <w:rPr>
          <w:rFonts w:ascii="Times New Roman" w:hAnsi="Times New Roman" w:cs="Times New Roman"/>
          <w:sz w:val="22"/>
          <w:szCs w:val="22"/>
        </w:rPr>
        <w:t xml:space="preserve"> con</w:t>
      </w:r>
      <w:r w:rsidR="00CD7D42" w:rsidRPr="00201DB3">
        <w:rPr>
          <w:rFonts w:ascii="Times New Roman" w:hAnsi="Times New Roman" w:cs="Times New Roman"/>
          <w:sz w:val="22"/>
          <w:szCs w:val="22"/>
        </w:rPr>
        <w:t>cern</w:t>
      </w:r>
      <w:r w:rsidR="00212D06" w:rsidRPr="00201DB3">
        <w:rPr>
          <w:rFonts w:ascii="Times New Roman" w:hAnsi="Times New Roman" w:cs="Times New Roman"/>
          <w:sz w:val="22"/>
          <w:szCs w:val="22"/>
        </w:rPr>
        <w:t xml:space="preserve"> following </w:t>
      </w:r>
      <w:r w:rsidR="00BB6C92" w:rsidRPr="00201DB3">
        <w:rPr>
          <w:rFonts w:ascii="Times New Roman" w:hAnsi="Times New Roman" w:cs="Times New Roman"/>
          <w:sz w:val="22"/>
          <w:szCs w:val="22"/>
        </w:rPr>
        <w:t xml:space="preserve">media </w:t>
      </w:r>
      <w:r w:rsidR="00212D06" w:rsidRPr="00201DB3">
        <w:rPr>
          <w:rFonts w:ascii="Times New Roman" w:hAnsi="Times New Roman" w:cs="Times New Roman"/>
          <w:sz w:val="22"/>
          <w:szCs w:val="22"/>
        </w:rPr>
        <w:t xml:space="preserve">reports </w:t>
      </w:r>
      <w:r w:rsidR="009A0983" w:rsidRPr="00201DB3">
        <w:rPr>
          <w:rFonts w:ascii="Times New Roman" w:hAnsi="Times New Roman" w:cs="Times New Roman"/>
          <w:sz w:val="22"/>
          <w:szCs w:val="22"/>
        </w:rPr>
        <w:t xml:space="preserve">of </w:t>
      </w:r>
      <w:r w:rsidR="005C6476" w:rsidRPr="00201DB3">
        <w:rPr>
          <w:rFonts w:ascii="Times New Roman" w:hAnsi="Times New Roman" w:cs="Times New Roman"/>
          <w:sz w:val="22"/>
          <w:szCs w:val="22"/>
        </w:rPr>
        <w:t>t</w:t>
      </w:r>
      <w:r w:rsidR="005850A0" w:rsidRPr="00201DB3">
        <w:rPr>
          <w:rFonts w:ascii="Times New Roman" w:hAnsi="Times New Roman" w:cs="Times New Roman"/>
          <w:sz w:val="22"/>
          <w:szCs w:val="22"/>
        </w:rPr>
        <w:t>r</w:t>
      </w:r>
      <w:r w:rsidR="009A0983" w:rsidRPr="00201DB3">
        <w:rPr>
          <w:rFonts w:ascii="Times New Roman" w:hAnsi="Times New Roman" w:cs="Times New Roman"/>
          <w:sz w:val="22"/>
          <w:szCs w:val="22"/>
        </w:rPr>
        <w:t>a</w:t>
      </w:r>
      <w:r w:rsidR="005850A0" w:rsidRPr="00201DB3">
        <w:rPr>
          <w:rFonts w:ascii="Times New Roman" w:hAnsi="Times New Roman" w:cs="Times New Roman"/>
          <w:sz w:val="22"/>
          <w:szCs w:val="22"/>
        </w:rPr>
        <w:t>nsfer</w:t>
      </w:r>
      <w:r w:rsidR="009A0983" w:rsidRPr="00201DB3">
        <w:rPr>
          <w:rFonts w:ascii="Times New Roman" w:hAnsi="Times New Roman" w:cs="Times New Roman"/>
          <w:sz w:val="22"/>
          <w:szCs w:val="22"/>
        </w:rPr>
        <w:t xml:space="preserve"> pricing </w:t>
      </w:r>
      <w:r w:rsidR="00212D06" w:rsidRPr="00201DB3">
        <w:rPr>
          <w:rFonts w:ascii="Times New Roman" w:hAnsi="Times New Roman" w:cs="Times New Roman"/>
          <w:sz w:val="22"/>
          <w:szCs w:val="22"/>
        </w:rPr>
        <w:t xml:space="preserve">manipulation </w:t>
      </w:r>
      <w:r w:rsidR="00BC13C3" w:rsidRPr="00201DB3">
        <w:rPr>
          <w:rFonts w:ascii="Times New Roman" w:hAnsi="Times New Roman" w:cs="Times New Roman"/>
          <w:sz w:val="22"/>
          <w:szCs w:val="22"/>
        </w:rPr>
        <w:t xml:space="preserve">and tax avoidance </w:t>
      </w:r>
      <w:r w:rsidR="00212D06" w:rsidRPr="00201DB3">
        <w:rPr>
          <w:rFonts w:ascii="Times New Roman" w:hAnsi="Times New Roman" w:cs="Times New Roman"/>
          <w:sz w:val="22"/>
          <w:szCs w:val="22"/>
        </w:rPr>
        <w:t>by high profile MNEs</w:t>
      </w:r>
      <w:r w:rsidR="00CA204D" w:rsidRPr="00201DB3">
        <w:rPr>
          <w:rFonts w:ascii="Times New Roman" w:hAnsi="Times New Roman" w:cs="Times New Roman"/>
          <w:sz w:val="22"/>
          <w:szCs w:val="22"/>
        </w:rPr>
        <w:t xml:space="preserve">. The ALP does not offer a set of rules to determine the right amount of tax with certainty. It was observed that the </w:t>
      </w:r>
      <w:r w:rsidR="00DE638F" w:rsidRPr="00201DB3">
        <w:rPr>
          <w:rFonts w:ascii="Times New Roman" w:hAnsi="Times New Roman" w:cs="Times New Roman"/>
          <w:sz w:val="22"/>
          <w:szCs w:val="22"/>
          <w:lang w:val="en-US"/>
        </w:rPr>
        <w:t>ALP</w:t>
      </w:r>
      <w:r w:rsidR="003B459C">
        <w:rPr>
          <w:rFonts w:ascii="Times New Roman" w:hAnsi="Times New Roman" w:cs="Times New Roman"/>
          <w:sz w:val="22"/>
          <w:szCs w:val="22"/>
          <w:lang w:val="en-US"/>
        </w:rPr>
        <w:t xml:space="preserve"> </w:t>
      </w:r>
      <w:r w:rsidR="00CA204D" w:rsidRPr="00201DB3">
        <w:rPr>
          <w:rFonts w:ascii="Times New Roman" w:hAnsi="Times New Roman" w:cs="Times New Roman"/>
          <w:sz w:val="22"/>
          <w:szCs w:val="22"/>
          <w:lang w:val="en-US"/>
        </w:rPr>
        <w:t xml:space="preserve"> is </w:t>
      </w:r>
      <w:r w:rsidR="00DE638F" w:rsidRPr="00201DB3">
        <w:rPr>
          <w:rFonts w:ascii="Times New Roman" w:hAnsi="Times New Roman" w:cs="Times New Roman"/>
          <w:sz w:val="22"/>
          <w:szCs w:val="22"/>
          <w:lang w:val="en-US"/>
        </w:rPr>
        <w:t>“</w:t>
      </w:r>
      <w:r w:rsidR="009A0983" w:rsidRPr="00201DB3">
        <w:rPr>
          <w:rFonts w:ascii="Times New Roman" w:hAnsi="Times New Roman" w:cs="Times New Roman"/>
          <w:sz w:val="22"/>
          <w:szCs w:val="22"/>
          <w:lang w:val="en-US"/>
        </w:rPr>
        <w:t>about understanding business and coming up with what seems fair. That’s quite hard for members of the public</w:t>
      </w:r>
      <w:r w:rsidR="000A136E" w:rsidRPr="00201DB3">
        <w:rPr>
          <w:rFonts w:ascii="Times New Roman" w:hAnsi="Times New Roman" w:cs="Times New Roman"/>
          <w:sz w:val="22"/>
          <w:szCs w:val="22"/>
          <w:lang w:val="en-US"/>
        </w:rPr>
        <w:t xml:space="preserve"> to understand</w:t>
      </w:r>
      <w:r w:rsidR="009A0983" w:rsidRPr="00201DB3">
        <w:rPr>
          <w:rFonts w:ascii="Times New Roman" w:hAnsi="Times New Roman" w:cs="Times New Roman"/>
          <w:sz w:val="22"/>
          <w:szCs w:val="22"/>
          <w:lang w:val="en-US"/>
        </w:rPr>
        <w:t>”</w:t>
      </w:r>
      <w:r w:rsidR="003040EE" w:rsidRPr="00201DB3">
        <w:rPr>
          <w:rFonts w:ascii="Times New Roman" w:eastAsia="MS Mincho" w:hAnsi="Times New Roman" w:cs="Times New Roman"/>
          <w:sz w:val="22"/>
          <w:szCs w:val="22"/>
        </w:rPr>
        <w:t xml:space="preserve"> (II-int).</w:t>
      </w:r>
      <w:r w:rsidR="00CA204D" w:rsidRPr="00201DB3">
        <w:rPr>
          <w:rFonts w:ascii="Times New Roman" w:hAnsi="Times New Roman" w:cs="Times New Roman"/>
          <w:sz w:val="22"/>
          <w:szCs w:val="22"/>
          <w:lang w:val="en-US"/>
        </w:rPr>
        <w:t xml:space="preserve"> This points</w:t>
      </w:r>
      <w:r w:rsidR="00472CA5" w:rsidRPr="00201DB3">
        <w:rPr>
          <w:rFonts w:ascii="Times New Roman" w:hAnsi="Times New Roman" w:cs="Times New Roman"/>
          <w:sz w:val="22"/>
          <w:szCs w:val="22"/>
          <w:lang w:val="en-US"/>
        </w:rPr>
        <w:t xml:space="preserve"> to a</w:t>
      </w:r>
      <w:r w:rsidR="00A12C01" w:rsidRPr="00201DB3">
        <w:rPr>
          <w:rFonts w:ascii="Times New Roman" w:hAnsi="Times New Roman" w:cs="Times New Roman"/>
          <w:sz w:val="22"/>
          <w:szCs w:val="22"/>
          <w:lang w:val="en-US"/>
        </w:rPr>
        <w:t xml:space="preserve">n </w:t>
      </w:r>
      <w:r w:rsidR="00B51DDB" w:rsidRPr="00201DB3">
        <w:rPr>
          <w:rFonts w:ascii="Times New Roman" w:hAnsi="Times New Roman" w:cs="Times New Roman"/>
          <w:sz w:val="22"/>
          <w:szCs w:val="22"/>
          <w:lang w:val="en-US"/>
        </w:rPr>
        <w:t>acknowledgement</w:t>
      </w:r>
      <w:r w:rsidR="009E74E1" w:rsidRPr="00201DB3">
        <w:rPr>
          <w:rFonts w:ascii="Times New Roman" w:hAnsi="Times New Roman" w:cs="Times New Roman"/>
          <w:sz w:val="22"/>
          <w:szCs w:val="22"/>
          <w:lang w:val="en-US"/>
        </w:rPr>
        <w:t xml:space="preserve"> o</w:t>
      </w:r>
      <w:r w:rsidR="00A12C01" w:rsidRPr="00201DB3">
        <w:rPr>
          <w:rFonts w:ascii="Times New Roman" w:hAnsi="Times New Roman" w:cs="Times New Roman"/>
          <w:sz w:val="22"/>
          <w:szCs w:val="22"/>
          <w:lang w:val="en-US"/>
        </w:rPr>
        <w:t>f</w:t>
      </w:r>
      <w:r w:rsidR="00CA204D" w:rsidRPr="00201DB3">
        <w:rPr>
          <w:rFonts w:ascii="Times New Roman" w:hAnsi="Times New Roman" w:cs="Times New Roman"/>
          <w:sz w:val="22"/>
          <w:szCs w:val="22"/>
          <w:lang w:val="en-US"/>
        </w:rPr>
        <w:t xml:space="preserve"> </w:t>
      </w:r>
      <w:r w:rsidR="009E74E1" w:rsidRPr="00201DB3">
        <w:rPr>
          <w:rFonts w:ascii="Times New Roman" w:hAnsi="Times New Roman" w:cs="Times New Roman"/>
          <w:sz w:val="22"/>
          <w:szCs w:val="22"/>
          <w:lang w:val="en-US"/>
        </w:rPr>
        <w:t>t</w:t>
      </w:r>
      <w:r w:rsidR="00472CA5" w:rsidRPr="00201DB3">
        <w:rPr>
          <w:rFonts w:ascii="Times New Roman" w:hAnsi="Times New Roman" w:cs="Times New Roman"/>
          <w:sz w:val="22"/>
          <w:szCs w:val="22"/>
          <w:lang w:val="en-US"/>
        </w:rPr>
        <w:t xml:space="preserve">he </w:t>
      </w:r>
      <w:r w:rsidR="00874F4B" w:rsidRPr="00201DB3">
        <w:rPr>
          <w:rFonts w:ascii="Times New Roman" w:hAnsi="Times New Roman" w:cs="Times New Roman"/>
          <w:sz w:val="22"/>
          <w:szCs w:val="22"/>
          <w:lang w:val="en-US"/>
        </w:rPr>
        <w:t xml:space="preserve">significantly </w:t>
      </w:r>
      <w:r w:rsidR="00472CA5" w:rsidRPr="00201DB3">
        <w:rPr>
          <w:rFonts w:ascii="Times New Roman" w:hAnsi="Times New Roman" w:cs="Times New Roman"/>
          <w:sz w:val="22"/>
          <w:szCs w:val="22"/>
          <w:lang w:val="en-US"/>
        </w:rPr>
        <w:t xml:space="preserve">raised profile of </w:t>
      </w:r>
      <w:r w:rsidR="00D56B07" w:rsidRPr="00201DB3">
        <w:rPr>
          <w:rFonts w:ascii="Times New Roman" w:hAnsi="Times New Roman" w:cs="Times New Roman"/>
          <w:sz w:val="22"/>
          <w:szCs w:val="22"/>
          <w:lang w:val="en-US"/>
        </w:rPr>
        <w:t>transfer pricing and international tax as an issue of public attention</w:t>
      </w:r>
      <w:r w:rsidR="00CA204D" w:rsidRPr="00201DB3">
        <w:rPr>
          <w:rFonts w:ascii="Times New Roman" w:hAnsi="Times New Roman" w:cs="Times New Roman"/>
          <w:sz w:val="22"/>
          <w:szCs w:val="22"/>
          <w:lang w:val="en-US"/>
        </w:rPr>
        <w:t xml:space="preserve"> over the preceding decade. </w:t>
      </w:r>
      <w:r w:rsidR="000E5C55" w:rsidRPr="00201DB3">
        <w:rPr>
          <w:rFonts w:ascii="Times New Roman" w:hAnsi="Times New Roman" w:cs="Times New Roman"/>
          <w:sz w:val="22"/>
          <w:szCs w:val="22"/>
          <w:lang w:val="en-US"/>
        </w:rPr>
        <w:t>Much of t</w:t>
      </w:r>
      <w:r w:rsidR="009C1B7C" w:rsidRPr="00201DB3">
        <w:rPr>
          <w:rFonts w:ascii="Times New Roman" w:hAnsi="Times New Roman" w:cs="Times New Roman"/>
          <w:sz w:val="22"/>
          <w:szCs w:val="22"/>
          <w:lang w:val="en-US"/>
        </w:rPr>
        <w:t>he c</w:t>
      </w:r>
      <w:r w:rsidR="00BB6C92" w:rsidRPr="00201DB3">
        <w:rPr>
          <w:rFonts w:ascii="Times New Roman" w:hAnsi="Times New Roman" w:cs="Times New Roman"/>
          <w:sz w:val="22"/>
          <w:szCs w:val="22"/>
          <w:lang w:val="en-US"/>
        </w:rPr>
        <w:t xml:space="preserve">omplexity </w:t>
      </w:r>
      <w:r w:rsidR="00830222" w:rsidRPr="00201DB3">
        <w:rPr>
          <w:rFonts w:ascii="Times New Roman" w:hAnsi="Times New Roman" w:cs="Times New Roman"/>
          <w:sz w:val="22"/>
          <w:szCs w:val="22"/>
          <w:lang w:val="en-US"/>
        </w:rPr>
        <w:t>in transfer pricing arises largely</w:t>
      </w:r>
      <w:r w:rsidR="00BB6C92" w:rsidRPr="00201DB3">
        <w:rPr>
          <w:rFonts w:ascii="Times New Roman" w:hAnsi="Times New Roman" w:cs="Times New Roman"/>
          <w:sz w:val="22"/>
          <w:szCs w:val="22"/>
          <w:lang w:val="en-US"/>
        </w:rPr>
        <w:t xml:space="preserve"> from the flexibility of the </w:t>
      </w:r>
      <w:r w:rsidR="00457514" w:rsidRPr="00201DB3">
        <w:rPr>
          <w:rFonts w:ascii="Times New Roman" w:hAnsi="Times New Roman" w:cs="Times New Roman"/>
          <w:sz w:val="22"/>
          <w:szCs w:val="22"/>
          <w:lang w:val="en-US"/>
        </w:rPr>
        <w:t>ALP and</w:t>
      </w:r>
      <w:r w:rsidR="00CB4984" w:rsidRPr="00201DB3">
        <w:rPr>
          <w:rFonts w:ascii="Times New Roman" w:hAnsi="Times New Roman" w:cs="Times New Roman"/>
          <w:sz w:val="22"/>
          <w:szCs w:val="22"/>
          <w:lang w:val="en-US"/>
        </w:rPr>
        <w:t xml:space="preserve"> increasing public scrutiny of corporate tax could be a driver for a move to a formulary approach, as that is more straightforward to explain.</w:t>
      </w:r>
    </w:p>
    <w:p w14:paraId="1723554C" w14:textId="418BFC82" w:rsidR="00BB6C92" w:rsidRPr="00201DB3" w:rsidRDefault="00BB6C92" w:rsidP="00201DB3">
      <w:pPr>
        <w:spacing w:after="0" w:line="240" w:lineRule="auto"/>
        <w:rPr>
          <w:rFonts w:ascii="Times New Roman" w:hAnsi="Times New Roman" w:cs="Times New Roman"/>
          <w:sz w:val="22"/>
          <w:szCs w:val="22"/>
          <w:lang w:val="en-US"/>
        </w:rPr>
      </w:pPr>
    </w:p>
    <w:p w14:paraId="31F23238" w14:textId="3BA8E1C2" w:rsidR="006D0987" w:rsidRPr="00201DB3" w:rsidRDefault="00CD7D42"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In 2006</w:t>
      </w:r>
      <w:r w:rsidR="008D5EAB" w:rsidRPr="00201DB3">
        <w:rPr>
          <w:rFonts w:ascii="Times New Roman" w:hAnsi="Times New Roman" w:cs="Times New Roman"/>
          <w:sz w:val="22"/>
          <w:szCs w:val="22"/>
          <w:lang w:val="en-US"/>
        </w:rPr>
        <w:t xml:space="preserve"> the AL</w:t>
      </w:r>
      <w:r w:rsidR="00BB6C92" w:rsidRPr="00201DB3">
        <w:rPr>
          <w:rFonts w:ascii="Times New Roman" w:hAnsi="Times New Roman" w:cs="Times New Roman"/>
          <w:sz w:val="22"/>
          <w:szCs w:val="22"/>
          <w:lang w:val="en-US"/>
        </w:rPr>
        <w:t>P</w:t>
      </w:r>
      <w:r w:rsidR="008D5EAB" w:rsidRPr="00201DB3">
        <w:rPr>
          <w:rFonts w:ascii="Times New Roman" w:hAnsi="Times New Roman" w:cs="Times New Roman"/>
          <w:sz w:val="22"/>
          <w:szCs w:val="22"/>
          <w:lang w:val="en-US"/>
        </w:rPr>
        <w:t xml:space="preserve"> was described</w:t>
      </w:r>
      <w:r w:rsidR="006D0987" w:rsidRPr="00201DB3">
        <w:rPr>
          <w:rFonts w:ascii="Times New Roman" w:hAnsi="Times New Roman" w:cs="Times New Roman"/>
          <w:sz w:val="22"/>
          <w:szCs w:val="22"/>
          <w:lang w:val="en-US"/>
        </w:rPr>
        <w:t xml:space="preserve"> as</w:t>
      </w:r>
      <w:r w:rsidR="008D5EAB" w:rsidRPr="00201DB3">
        <w:rPr>
          <w:rFonts w:ascii="Times New Roman" w:hAnsi="Times New Roman" w:cs="Times New Roman"/>
          <w:sz w:val="22"/>
          <w:szCs w:val="22"/>
          <w:lang w:val="en-US"/>
        </w:rPr>
        <w:t xml:space="preserve"> </w:t>
      </w:r>
      <w:r w:rsidRPr="00201DB3">
        <w:rPr>
          <w:rFonts w:ascii="Times New Roman" w:hAnsi="Times New Roman" w:cs="Times New Roman"/>
          <w:sz w:val="22"/>
          <w:szCs w:val="22"/>
          <w:lang w:val="en-US"/>
        </w:rPr>
        <w:t xml:space="preserve">having the strength of </w:t>
      </w:r>
      <w:r w:rsidR="009F15C2" w:rsidRPr="00201DB3">
        <w:rPr>
          <w:rFonts w:ascii="Times New Roman" w:hAnsi="Times New Roman" w:cs="Times New Roman"/>
          <w:sz w:val="22"/>
          <w:szCs w:val="22"/>
          <w:lang w:val="en-US"/>
        </w:rPr>
        <w:t>flexibility</w:t>
      </w:r>
      <w:r w:rsidR="00544256" w:rsidRPr="00201DB3">
        <w:rPr>
          <w:rFonts w:ascii="Times New Roman" w:hAnsi="Times New Roman" w:cs="Times New Roman"/>
          <w:sz w:val="22"/>
          <w:szCs w:val="22"/>
          <w:lang w:val="en-US"/>
        </w:rPr>
        <w:t xml:space="preserve">: this </w:t>
      </w:r>
      <w:r w:rsidR="008D5EAB" w:rsidRPr="00201DB3">
        <w:rPr>
          <w:rFonts w:ascii="Times New Roman" w:hAnsi="Times New Roman" w:cs="Times New Roman"/>
          <w:sz w:val="22"/>
          <w:szCs w:val="22"/>
          <w:lang w:val="en-US"/>
        </w:rPr>
        <w:t xml:space="preserve">view </w:t>
      </w:r>
      <w:r w:rsidR="00383006" w:rsidRPr="00201DB3">
        <w:rPr>
          <w:rFonts w:ascii="Times New Roman" w:hAnsi="Times New Roman" w:cs="Times New Roman"/>
          <w:sz w:val="22"/>
          <w:szCs w:val="22"/>
          <w:lang w:val="en-US"/>
        </w:rPr>
        <w:t xml:space="preserve">of </w:t>
      </w:r>
      <w:r w:rsidR="00525192" w:rsidRPr="00201DB3">
        <w:rPr>
          <w:rFonts w:ascii="Times New Roman" w:hAnsi="Times New Roman" w:cs="Times New Roman"/>
          <w:sz w:val="22"/>
          <w:szCs w:val="22"/>
          <w:lang w:val="en-US"/>
        </w:rPr>
        <w:t>flexibility,</w:t>
      </w:r>
      <w:r w:rsidR="00383006" w:rsidRPr="00201DB3">
        <w:rPr>
          <w:rFonts w:ascii="Times New Roman" w:hAnsi="Times New Roman" w:cs="Times New Roman"/>
          <w:sz w:val="22"/>
          <w:szCs w:val="22"/>
          <w:lang w:val="en-US"/>
        </w:rPr>
        <w:t xml:space="preserve"> as an</w:t>
      </w:r>
      <w:r w:rsidR="009A0983" w:rsidRPr="00201DB3">
        <w:rPr>
          <w:rFonts w:ascii="Times New Roman" w:hAnsi="Times New Roman" w:cs="Times New Roman"/>
          <w:sz w:val="22"/>
          <w:szCs w:val="22"/>
          <w:lang w:val="en-US"/>
        </w:rPr>
        <w:t xml:space="preserve"> a</w:t>
      </w:r>
      <w:r w:rsidR="00383006" w:rsidRPr="00201DB3">
        <w:rPr>
          <w:rFonts w:ascii="Times New Roman" w:hAnsi="Times New Roman" w:cs="Times New Roman"/>
          <w:sz w:val="22"/>
          <w:szCs w:val="22"/>
          <w:lang w:val="en-US"/>
        </w:rPr>
        <w:t>dvantage</w:t>
      </w:r>
      <w:r w:rsidR="00BB6C92" w:rsidRPr="00201DB3">
        <w:rPr>
          <w:rFonts w:ascii="Times New Roman" w:hAnsi="Times New Roman" w:cs="Times New Roman"/>
          <w:sz w:val="22"/>
          <w:szCs w:val="22"/>
          <w:lang w:val="en-US"/>
        </w:rPr>
        <w:t xml:space="preserve"> was not stressed i</w:t>
      </w:r>
      <w:r w:rsidR="008D5EAB" w:rsidRPr="00201DB3">
        <w:rPr>
          <w:rFonts w:ascii="Times New Roman" w:hAnsi="Times New Roman" w:cs="Times New Roman"/>
          <w:sz w:val="22"/>
          <w:szCs w:val="22"/>
          <w:lang w:val="en-US"/>
        </w:rPr>
        <w:t xml:space="preserve">n </w:t>
      </w:r>
      <w:r w:rsidRPr="00201DB3">
        <w:rPr>
          <w:rFonts w:ascii="Times New Roman" w:hAnsi="Times New Roman" w:cs="Times New Roman"/>
          <w:sz w:val="22"/>
          <w:szCs w:val="22"/>
          <w:lang w:val="en-US"/>
        </w:rPr>
        <w:t>2016/17</w:t>
      </w:r>
      <w:r w:rsidR="00A2771F" w:rsidRPr="00201DB3">
        <w:rPr>
          <w:rFonts w:ascii="Times New Roman" w:hAnsi="Times New Roman" w:cs="Times New Roman"/>
          <w:sz w:val="22"/>
          <w:szCs w:val="22"/>
          <w:lang w:val="en-US"/>
        </w:rPr>
        <w:t>. R</w:t>
      </w:r>
      <w:r w:rsidR="008D5EAB" w:rsidRPr="00201DB3">
        <w:rPr>
          <w:rFonts w:ascii="Times New Roman" w:hAnsi="Times New Roman" w:cs="Times New Roman"/>
          <w:sz w:val="22"/>
          <w:szCs w:val="22"/>
          <w:lang w:val="en-US"/>
        </w:rPr>
        <w:t>ather</w:t>
      </w:r>
      <w:r w:rsidR="00A2771F"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the AL</w:t>
      </w:r>
      <w:r w:rsidR="00BB6C92" w:rsidRPr="00201DB3">
        <w:rPr>
          <w:rFonts w:ascii="Times New Roman" w:hAnsi="Times New Roman" w:cs="Times New Roman"/>
          <w:sz w:val="22"/>
          <w:szCs w:val="22"/>
          <w:lang w:val="en-US"/>
        </w:rPr>
        <w:t>P</w:t>
      </w:r>
      <w:r w:rsidR="008D5EAB" w:rsidRPr="00201DB3">
        <w:rPr>
          <w:rFonts w:ascii="Times New Roman" w:hAnsi="Times New Roman" w:cs="Times New Roman"/>
          <w:sz w:val="22"/>
          <w:szCs w:val="22"/>
          <w:lang w:val="en-US"/>
        </w:rPr>
        <w:t xml:space="preserve"> was described in ter</w:t>
      </w:r>
      <w:r w:rsidR="00383006" w:rsidRPr="00201DB3">
        <w:rPr>
          <w:rFonts w:ascii="Times New Roman" w:hAnsi="Times New Roman" w:cs="Times New Roman"/>
          <w:sz w:val="22"/>
          <w:szCs w:val="22"/>
          <w:lang w:val="en-US"/>
        </w:rPr>
        <w:t>m</w:t>
      </w:r>
      <w:r w:rsidR="008D5EAB" w:rsidRPr="00201DB3">
        <w:rPr>
          <w:rFonts w:ascii="Times New Roman" w:hAnsi="Times New Roman" w:cs="Times New Roman"/>
          <w:sz w:val="22"/>
          <w:szCs w:val="22"/>
          <w:lang w:val="en-US"/>
        </w:rPr>
        <w:t xml:space="preserve">s </w:t>
      </w:r>
      <w:r w:rsidR="00BB6C92" w:rsidRPr="00201DB3">
        <w:rPr>
          <w:rFonts w:ascii="Times New Roman" w:hAnsi="Times New Roman" w:cs="Times New Roman"/>
          <w:sz w:val="22"/>
          <w:szCs w:val="22"/>
          <w:lang w:val="en-US"/>
        </w:rPr>
        <w:t xml:space="preserve">such as </w:t>
      </w:r>
      <w:r w:rsidR="00776B3B" w:rsidRPr="00201DB3">
        <w:rPr>
          <w:rFonts w:ascii="Times New Roman" w:hAnsi="Times New Roman" w:cs="Times New Roman"/>
          <w:sz w:val="22"/>
          <w:szCs w:val="22"/>
          <w:lang w:val="en-US"/>
        </w:rPr>
        <w:t xml:space="preserve">being </w:t>
      </w:r>
      <w:r w:rsidR="008D5EAB" w:rsidRPr="00201DB3">
        <w:rPr>
          <w:rFonts w:ascii="Times New Roman" w:hAnsi="Times New Roman" w:cs="Times New Roman"/>
          <w:sz w:val="22"/>
          <w:szCs w:val="22"/>
          <w:lang w:val="en-US"/>
        </w:rPr>
        <w:t>vague</w:t>
      </w:r>
      <w:r w:rsidR="00D56B07" w:rsidRPr="00201DB3">
        <w:rPr>
          <w:rFonts w:ascii="Times New Roman" w:hAnsi="Times New Roman" w:cs="Times New Roman"/>
          <w:sz w:val="22"/>
          <w:szCs w:val="22"/>
          <w:lang w:val="en-US"/>
        </w:rPr>
        <w:t xml:space="preserve"> and </w:t>
      </w:r>
      <w:r w:rsidR="008D5EAB" w:rsidRPr="00201DB3">
        <w:rPr>
          <w:rFonts w:ascii="Times New Roman" w:hAnsi="Times New Roman" w:cs="Times New Roman"/>
          <w:sz w:val="22"/>
          <w:szCs w:val="22"/>
          <w:lang w:val="en-US"/>
        </w:rPr>
        <w:t xml:space="preserve">open to different </w:t>
      </w:r>
      <w:r w:rsidR="00D56B07" w:rsidRPr="00201DB3">
        <w:rPr>
          <w:rFonts w:ascii="Times New Roman" w:hAnsi="Times New Roman" w:cs="Times New Roman"/>
          <w:sz w:val="22"/>
          <w:szCs w:val="22"/>
          <w:lang w:val="en-US"/>
        </w:rPr>
        <w:t>judgements</w:t>
      </w:r>
      <w:r w:rsidR="00830222" w:rsidRPr="00201DB3">
        <w:rPr>
          <w:rFonts w:ascii="Times New Roman" w:hAnsi="Times New Roman" w:cs="Times New Roman"/>
          <w:sz w:val="22"/>
          <w:szCs w:val="22"/>
          <w:lang w:val="en-US"/>
        </w:rPr>
        <w:t xml:space="preserve">, </w:t>
      </w:r>
      <w:r w:rsidR="008D5EAB" w:rsidRPr="00201DB3">
        <w:rPr>
          <w:rFonts w:ascii="Times New Roman" w:hAnsi="Times New Roman" w:cs="Times New Roman"/>
          <w:sz w:val="22"/>
          <w:szCs w:val="22"/>
          <w:lang w:val="en-US"/>
        </w:rPr>
        <w:t>for example</w:t>
      </w:r>
      <w:r w:rsidR="00874F4B"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“the arm’s length </w:t>
      </w:r>
      <w:r w:rsidR="00C34B97" w:rsidRPr="00201DB3">
        <w:rPr>
          <w:rFonts w:ascii="Times New Roman" w:hAnsi="Times New Roman" w:cs="Times New Roman"/>
          <w:sz w:val="22"/>
          <w:szCs w:val="22"/>
          <w:lang w:val="en-US"/>
        </w:rPr>
        <w:t>principle</w:t>
      </w:r>
      <w:r w:rsidR="008D5EAB" w:rsidRPr="00201DB3">
        <w:rPr>
          <w:rFonts w:ascii="Times New Roman" w:hAnsi="Times New Roman" w:cs="Times New Roman"/>
          <w:sz w:val="22"/>
          <w:szCs w:val="22"/>
          <w:lang w:val="en-US"/>
        </w:rPr>
        <w:t xml:space="preserve"> is this phrase that embraces a lot of stuff”</w:t>
      </w:r>
      <w:r w:rsidR="00BB6C92" w:rsidRPr="00201DB3">
        <w:rPr>
          <w:rFonts w:ascii="Times New Roman" w:hAnsi="Times New Roman" w:cs="Times New Roman"/>
          <w:sz w:val="22"/>
          <w:szCs w:val="22"/>
          <w:lang w:val="en-US"/>
        </w:rPr>
        <w:t xml:space="preserve"> </w:t>
      </w:r>
      <w:bookmarkStart w:id="6" w:name="_Hlk2678883"/>
      <w:r w:rsidR="003040EE" w:rsidRPr="00201DB3">
        <w:rPr>
          <w:rFonts w:ascii="Times New Roman" w:eastAsia="MS Mincho" w:hAnsi="Times New Roman" w:cs="Times New Roman"/>
          <w:sz w:val="22"/>
          <w:szCs w:val="22"/>
        </w:rPr>
        <w:t>(II-int)</w:t>
      </w:r>
      <w:bookmarkEnd w:id="6"/>
      <w:r w:rsidR="006E1233" w:rsidRPr="00201DB3">
        <w:rPr>
          <w:rFonts w:ascii="Times New Roman" w:eastAsia="MS Mincho" w:hAnsi="Times New Roman" w:cs="Times New Roman"/>
          <w:sz w:val="22"/>
          <w:szCs w:val="22"/>
        </w:rPr>
        <w:t>.</w:t>
      </w:r>
      <w:r w:rsidR="003040EE" w:rsidRPr="00201DB3">
        <w:rPr>
          <w:rFonts w:ascii="Times New Roman" w:eastAsia="MS Mincho" w:hAnsi="Times New Roman" w:cs="Times New Roman"/>
          <w:sz w:val="22"/>
          <w:szCs w:val="22"/>
        </w:rPr>
        <w:t xml:space="preserve"> </w:t>
      </w:r>
      <w:r w:rsidR="00CA204D" w:rsidRPr="00201DB3">
        <w:rPr>
          <w:rFonts w:ascii="Times New Roman" w:hAnsi="Times New Roman" w:cs="Times New Roman"/>
          <w:sz w:val="22"/>
          <w:szCs w:val="22"/>
          <w:lang w:val="en-US"/>
        </w:rPr>
        <w:t>I</w:t>
      </w:r>
      <w:r w:rsidR="00A2771F" w:rsidRPr="00201DB3">
        <w:rPr>
          <w:rFonts w:ascii="Times New Roman" w:hAnsi="Times New Roman" w:cs="Times New Roman"/>
          <w:sz w:val="22"/>
          <w:szCs w:val="22"/>
          <w:lang w:val="en-US"/>
        </w:rPr>
        <w:t>n 2016</w:t>
      </w:r>
      <w:r w:rsidR="00D52D31" w:rsidRPr="00201DB3">
        <w:rPr>
          <w:rFonts w:ascii="Times New Roman" w:hAnsi="Times New Roman" w:cs="Times New Roman"/>
          <w:sz w:val="22"/>
          <w:szCs w:val="22"/>
          <w:lang w:val="en-US"/>
        </w:rPr>
        <w:t>/17</w:t>
      </w:r>
      <w:r w:rsidR="00A2771F" w:rsidRPr="00201DB3">
        <w:rPr>
          <w:rFonts w:ascii="Times New Roman" w:hAnsi="Times New Roman" w:cs="Times New Roman"/>
          <w:sz w:val="22"/>
          <w:szCs w:val="22"/>
          <w:lang w:val="en-US"/>
        </w:rPr>
        <w:t xml:space="preserve">, </w:t>
      </w:r>
      <w:r w:rsidR="00544256" w:rsidRPr="00201DB3">
        <w:rPr>
          <w:rFonts w:ascii="Times New Roman" w:hAnsi="Times New Roman" w:cs="Times New Roman"/>
          <w:sz w:val="22"/>
          <w:szCs w:val="22"/>
          <w:lang w:val="en-US"/>
        </w:rPr>
        <w:t>the flexibility</w:t>
      </w:r>
      <w:r w:rsidR="00BB6C92" w:rsidRPr="00201DB3">
        <w:rPr>
          <w:rFonts w:ascii="Times New Roman" w:hAnsi="Times New Roman" w:cs="Times New Roman"/>
          <w:sz w:val="22"/>
          <w:szCs w:val="22"/>
          <w:lang w:val="en-US"/>
        </w:rPr>
        <w:t xml:space="preserve"> of</w:t>
      </w:r>
      <w:r w:rsidR="003528AC" w:rsidRPr="00201DB3">
        <w:rPr>
          <w:rFonts w:ascii="Times New Roman" w:hAnsi="Times New Roman" w:cs="Times New Roman"/>
          <w:sz w:val="22"/>
          <w:szCs w:val="22"/>
          <w:lang w:val="en-US"/>
        </w:rPr>
        <w:t xml:space="preserve"> </w:t>
      </w:r>
      <w:r w:rsidR="00BB6C92" w:rsidRPr="00201DB3">
        <w:rPr>
          <w:rFonts w:ascii="Times New Roman" w:hAnsi="Times New Roman" w:cs="Times New Roman"/>
          <w:sz w:val="22"/>
          <w:szCs w:val="22"/>
          <w:lang w:val="en-US"/>
        </w:rPr>
        <w:t xml:space="preserve">the ALP </w:t>
      </w:r>
      <w:r w:rsidR="00776B3B" w:rsidRPr="00201DB3">
        <w:rPr>
          <w:rFonts w:ascii="Times New Roman" w:hAnsi="Times New Roman" w:cs="Times New Roman"/>
          <w:sz w:val="22"/>
          <w:szCs w:val="22"/>
          <w:lang w:val="en-US"/>
        </w:rPr>
        <w:t>that had previously been highlighted as a strength</w:t>
      </w:r>
      <w:r w:rsidR="000E5C55" w:rsidRPr="00201DB3">
        <w:rPr>
          <w:rFonts w:ascii="Times New Roman" w:hAnsi="Times New Roman" w:cs="Times New Roman"/>
          <w:sz w:val="22"/>
          <w:szCs w:val="22"/>
          <w:lang w:val="en-US"/>
        </w:rPr>
        <w:t>,</w:t>
      </w:r>
      <w:r w:rsidR="00776B3B" w:rsidRPr="00201DB3">
        <w:rPr>
          <w:rFonts w:ascii="Times New Roman" w:hAnsi="Times New Roman" w:cs="Times New Roman"/>
          <w:sz w:val="22"/>
          <w:szCs w:val="22"/>
          <w:lang w:val="en-US"/>
        </w:rPr>
        <w:t xml:space="preserve"> </w:t>
      </w:r>
      <w:r w:rsidR="00D56B07" w:rsidRPr="00201DB3">
        <w:rPr>
          <w:rFonts w:ascii="Times New Roman" w:hAnsi="Times New Roman" w:cs="Times New Roman"/>
          <w:sz w:val="22"/>
          <w:szCs w:val="22"/>
          <w:lang w:val="en-US"/>
        </w:rPr>
        <w:t xml:space="preserve">was </w:t>
      </w:r>
      <w:r w:rsidR="00075E36" w:rsidRPr="00201DB3">
        <w:rPr>
          <w:rFonts w:ascii="Times New Roman" w:hAnsi="Times New Roman" w:cs="Times New Roman"/>
          <w:sz w:val="22"/>
          <w:szCs w:val="22"/>
          <w:lang w:val="en-US"/>
        </w:rPr>
        <w:t xml:space="preserve">viewed as </w:t>
      </w:r>
      <w:r w:rsidR="00544256" w:rsidRPr="00201DB3">
        <w:rPr>
          <w:rFonts w:ascii="Times New Roman" w:hAnsi="Times New Roman" w:cs="Times New Roman"/>
          <w:sz w:val="22"/>
          <w:szCs w:val="22"/>
          <w:lang w:val="en-US"/>
        </w:rPr>
        <w:t>challenging</w:t>
      </w:r>
      <w:r w:rsidR="009E74E1" w:rsidRPr="00201DB3">
        <w:rPr>
          <w:rFonts w:ascii="Times New Roman" w:hAnsi="Times New Roman" w:cs="Times New Roman"/>
          <w:sz w:val="22"/>
          <w:szCs w:val="22"/>
          <w:lang w:val="en-US"/>
        </w:rPr>
        <w:t>, giving rise to complexity</w:t>
      </w:r>
      <w:r w:rsidR="00544256" w:rsidRPr="00201DB3">
        <w:rPr>
          <w:rFonts w:ascii="Times New Roman" w:hAnsi="Times New Roman" w:cs="Times New Roman"/>
          <w:sz w:val="22"/>
          <w:szCs w:val="22"/>
          <w:lang w:val="en-US"/>
        </w:rPr>
        <w:t>:</w:t>
      </w:r>
      <w:r w:rsidR="005C6476" w:rsidRPr="00201DB3">
        <w:rPr>
          <w:rFonts w:ascii="Times New Roman" w:hAnsi="Times New Roman" w:cs="Times New Roman"/>
          <w:sz w:val="22"/>
          <w:szCs w:val="22"/>
          <w:lang w:val="en-US"/>
        </w:rPr>
        <w:t xml:space="preserve"> taking all the different circumstances, functions and risk </w:t>
      </w:r>
      <w:r w:rsidR="006D0987" w:rsidRPr="00201DB3">
        <w:rPr>
          <w:rFonts w:ascii="Times New Roman" w:hAnsi="Times New Roman" w:cs="Times New Roman"/>
          <w:sz w:val="22"/>
          <w:szCs w:val="22"/>
          <w:lang w:val="en-US"/>
        </w:rPr>
        <w:t xml:space="preserve">into account </w:t>
      </w:r>
      <w:r w:rsidR="005C6476" w:rsidRPr="00201DB3">
        <w:rPr>
          <w:rFonts w:ascii="Times New Roman" w:hAnsi="Times New Roman" w:cs="Times New Roman"/>
          <w:sz w:val="22"/>
          <w:szCs w:val="22"/>
          <w:lang w:val="en-US"/>
        </w:rPr>
        <w:t>was elaborate and time consuming</w:t>
      </w:r>
      <w:r w:rsidR="006D0987" w:rsidRPr="00201DB3">
        <w:rPr>
          <w:rFonts w:ascii="Times New Roman" w:hAnsi="Times New Roman" w:cs="Times New Roman"/>
          <w:sz w:val="22"/>
          <w:szCs w:val="22"/>
          <w:lang w:val="en-US"/>
        </w:rPr>
        <w:t>,</w:t>
      </w:r>
      <w:r w:rsidR="00310DAD" w:rsidRPr="00201DB3">
        <w:rPr>
          <w:rFonts w:ascii="Times New Roman" w:hAnsi="Times New Roman" w:cs="Times New Roman"/>
          <w:sz w:val="22"/>
          <w:szCs w:val="22"/>
          <w:lang w:val="en-US"/>
        </w:rPr>
        <w:t xml:space="preserve"> </w:t>
      </w:r>
      <w:r w:rsidR="009005A1" w:rsidRPr="00201DB3">
        <w:rPr>
          <w:rFonts w:ascii="Times New Roman" w:hAnsi="Times New Roman" w:cs="Times New Roman"/>
          <w:sz w:val="22"/>
          <w:szCs w:val="22"/>
          <w:lang w:val="en-US"/>
        </w:rPr>
        <w:t>requir</w:t>
      </w:r>
      <w:r w:rsidR="00544256" w:rsidRPr="00201DB3">
        <w:rPr>
          <w:rFonts w:ascii="Times New Roman" w:hAnsi="Times New Roman" w:cs="Times New Roman"/>
          <w:sz w:val="22"/>
          <w:szCs w:val="22"/>
          <w:lang w:val="en-US"/>
        </w:rPr>
        <w:t>ing</w:t>
      </w:r>
      <w:r w:rsidR="009005A1" w:rsidRPr="00201DB3">
        <w:rPr>
          <w:rFonts w:ascii="Times New Roman" w:hAnsi="Times New Roman" w:cs="Times New Roman"/>
          <w:sz w:val="22"/>
          <w:szCs w:val="22"/>
          <w:lang w:val="en-US"/>
        </w:rPr>
        <w:t xml:space="preserve"> increasing levels of documentatio</w:t>
      </w:r>
      <w:r w:rsidR="00544256" w:rsidRPr="00201DB3">
        <w:rPr>
          <w:rFonts w:ascii="Times New Roman" w:hAnsi="Times New Roman" w:cs="Times New Roman"/>
          <w:sz w:val="22"/>
          <w:szCs w:val="22"/>
          <w:lang w:val="en-US"/>
        </w:rPr>
        <w:t>n and analysis work</w:t>
      </w:r>
      <w:r w:rsidR="00DE638F" w:rsidRPr="00201DB3">
        <w:rPr>
          <w:rFonts w:ascii="Times New Roman" w:hAnsi="Times New Roman" w:cs="Times New Roman"/>
          <w:sz w:val="22"/>
          <w:szCs w:val="22"/>
          <w:lang w:val="en-US"/>
        </w:rPr>
        <w:t>, and uncertainty persisted</w:t>
      </w:r>
      <w:r w:rsidR="006E1233" w:rsidRPr="00201DB3">
        <w:rPr>
          <w:rFonts w:ascii="Times New Roman" w:hAnsi="Times New Roman" w:cs="Times New Roman"/>
          <w:sz w:val="22"/>
          <w:szCs w:val="22"/>
          <w:lang w:val="en-US"/>
        </w:rPr>
        <w:t>.</w:t>
      </w:r>
      <w:r w:rsidR="00075E36" w:rsidRPr="00201DB3">
        <w:rPr>
          <w:rFonts w:ascii="Times New Roman" w:hAnsi="Times New Roman" w:cs="Times New Roman"/>
          <w:sz w:val="22"/>
          <w:szCs w:val="22"/>
          <w:lang w:val="en-US"/>
        </w:rPr>
        <w:t xml:space="preserve"> </w:t>
      </w:r>
      <w:r w:rsidR="006D0987" w:rsidRPr="00201DB3">
        <w:rPr>
          <w:rFonts w:ascii="Times New Roman" w:hAnsi="Times New Roman" w:cs="Times New Roman"/>
          <w:sz w:val="22"/>
          <w:szCs w:val="22"/>
          <w:lang w:val="en-US"/>
        </w:rPr>
        <w:t xml:space="preserve">Problems that had previously been identified in 2006 were reiterated, particularly the lack of certainty and comparables. There was increased concern about uncertainty causing the “tremendous growth” </w:t>
      </w:r>
      <w:r w:rsidR="006D0987" w:rsidRPr="00201DB3">
        <w:rPr>
          <w:rFonts w:ascii="Times New Roman" w:eastAsia="MS Mincho" w:hAnsi="Times New Roman" w:cs="Times New Roman"/>
          <w:sz w:val="22"/>
          <w:szCs w:val="22"/>
        </w:rPr>
        <w:t xml:space="preserve">(II-int) </w:t>
      </w:r>
      <w:r w:rsidR="006D0987" w:rsidRPr="00201DB3">
        <w:rPr>
          <w:rFonts w:ascii="Times New Roman" w:hAnsi="Times New Roman" w:cs="Times New Roman"/>
          <w:sz w:val="22"/>
          <w:szCs w:val="22"/>
          <w:lang w:val="en-US"/>
        </w:rPr>
        <w:t xml:space="preserve">in the number of disputes and MAP cases, voicing the challenges on the ground, reflected in the OECD MAP statistics. In 2006, the system for MAP had been referred to as “log jammed” </w:t>
      </w:r>
      <w:r w:rsidR="006D0987" w:rsidRPr="00201DB3">
        <w:rPr>
          <w:rFonts w:ascii="Times New Roman" w:eastAsia="MS Mincho" w:hAnsi="Times New Roman" w:cs="Times New Roman"/>
          <w:sz w:val="22"/>
          <w:szCs w:val="22"/>
        </w:rPr>
        <w:t xml:space="preserve">(I-int) </w:t>
      </w:r>
      <w:r w:rsidR="006D0987" w:rsidRPr="00201DB3">
        <w:rPr>
          <w:rFonts w:ascii="Times New Roman" w:hAnsi="Times New Roman" w:cs="Times New Roman"/>
          <w:sz w:val="22"/>
          <w:szCs w:val="22"/>
          <w:lang w:val="en-US"/>
        </w:rPr>
        <w:t>but the perception of interviewees in 2016/17 was that this had worsened further.</w:t>
      </w:r>
    </w:p>
    <w:p w14:paraId="5D00A6D3" w14:textId="77777777" w:rsidR="00A2771F" w:rsidRPr="00201DB3" w:rsidRDefault="00A2771F" w:rsidP="00201DB3">
      <w:pPr>
        <w:spacing w:after="0" w:line="240" w:lineRule="auto"/>
        <w:rPr>
          <w:rFonts w:ascii="Times New Roman" w:hAnsi="Times New Roman" w:cs="Times New Roman"/>
          <w:sz w:val="22"/>
          <w:szCs w:val="22"/>
          <w:lang w:val="en-US"/>
        </w:rPr>
      </w:pPr>
    </w:p>
    <w:p w14:paraId="78553BB4" w14:textId="58E9A8B7" w:rsidR="00FC4457" w:rsidRPr="00201DB3" w:rsidRDefault="00D56B07"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 xml:space="preserve">Interviewees </w:t>
      </w:r>
      <w:r w:rsidR="00A2771F" w:rsidRPr="00201DB3">
        <w:rPr>
          <w:rFonts w:ascii="Times New Roman" w:hAnsi="Times New Roman" w:cs="Times New Roman"/>
          <w:sz w:val="22"/>
          <w:szCs w:val="22"/>
          <w:lang w:val="en-US"/>
        </w:rPr>
        <w:t xml:space="preserve">also </w:t>
      </w:r>
      <w:r w:rsidRPr="00201DB3">
        <w:rPr>
          <w:rFonts w:ascii="Times New Roman" w:hAnsi="Times New Roman" w:cs="Times New Roman"/>
          <w:sz w:val="22"/>
          <w:szCs w:val="22"/>
          <w:lang w:val="en-US"/>
        </w:rPr>
        <w:t xml:space="preserve">reported a further increased use of profit splits in </w:t>
      </w:r>
      <w:r w:rsidR="00DE638F" w:rsidRPr="00201DB3">
        <w:rPr>
          <w:rFonts w:ascii="Times New Roman" w:hAnsi="Times New Roman" w:cs="Times New Roman"/>
          <w:sz w:val="22"/>
          <w:szCs w:val="22"/>
          <w:lang w:val="en-US"/>
        </w:rPr>
        <w:t>practice and</w:t>
      </w:r>
      <w:r w:rsidRPr="00201DB3">
        <w:rPr>
          <w:rFonts w:ascii="Times New Roman" w:hAnsi="Times New Roman" w:cs="Times New Roman"/>
          <w:sz w:val="22"/>
          <w:szCs w:val="22"/>
        </w:rPr>
        <w:t xml:space="preserve"> </w:t>
      </w:r>
      <w:r w:rsidR="00DE638F" w:rsidRPr="00201DB3">
        <w:rPr>
          <w:rFonts w:ascii="Times New Roman" w:hAnsi="Times New Roman" w:cs="Times New Roman"/>
          <w:sz w:val="22"/>
          <w:szCs w:val="22"/>
        </w:rPr>
        <w:t xml:space="preserve">expressed </w:t>
      </w:r>
      <w:r w:rsidRPr="00201DB3">
        <w:rPr>
          <w:rFonts w:ascii="Times New Roman" w:hAnsi="Times New Roman" w:cs="Times New Roman"/>
          <w:sz w:val="22"/>
          <w:szCs w:val="22"/>
        </w:rPr>
        <w:t>the view that</w:t>
      </w:r>
      <w:r w:rsidRPr="00201DB3">
        <w:rPr>
          <w:rFonts w:ascii="Times New Roman" w:hAnsi="Times New Roman" w:cs="Times New Roman"/>
          <w:sz w:val="22"/>
          <w:szCs w:val="22"/>
          <w:lang w:val="en-US"/>
        </w:rPr>
        <w:t xml:space="preserve"> this was often the most appropriate </w:t>
      </w:r>
      <w:r w:rsidR="00C56CE0" w:rsidRPr="00201DB3">
        <w:rPr>
          <w:rFonts w:ascii="Times New Roman" w:hAnsi="Times New Roman" w:cs="Times New Roman"/>
          <w:sz w:val="22"/>
          <w:szCs w:val="22"/>
          <w:lang w:val="en-US"/>
        </w:rPr>
        <w:t xml:space="preserve">and pragmatic </w:t>
      </w:r>
      <w:r w:rsidR="00A2771F" w:rsidRPr="00201DB3">
        <w:rPr>
          <w:rFonts w:ascii="Times New Roman" w:hAnsi="Times New Roman" w:cs="Times New Roman"/>
          <w:sz w:val="22"/>
          <w:szCs w:val="22"/>
          <w:lang w:val="en-US"/>
        </w:rPr>
        <w:t xml:space="preserve">transfer pricing </w:t>
      </w:r>
      <w:r w:rsidRPr="00201DB3">
        <w:rPr>
          <w:rFonts w:ascii="Times New Roman" w:hAnsi="Times New Roman" w:cs="Times New Roman"/>
          <w:sz w:val="22"/>
          <w:szCs w:val="22"/>
          <w:lang w:val="en-US"/>
        </w:rPr>
        <w:t xml:space="preserve">approach. </w:t>
      </w:r>
      <w:r w:rsidR="00FB51A1" w:rsidRPr="00201DB3">
        <w:rPr>
          <w:rFonts w:ascii="Times New Roman" w:hAnsi="Times New Roman" w:cs="Times New Roman"/>
          <w:sz w:val="22"/>
          <w:szCs w:val="22"/>
        </w:rPr>
        <w:t xml:space="preserve">Thus, </w:t>
      </w:r>
      <w:r w:rsidR="000503E7" w:rsidRPr="00201DB3">
        <w:rPr>
          <w:rFonts w:ascii="Times New Roman" w:hAnsi="Times New Roman" w:cs="Times New Roman"/>
          <w:sz w:val="22"/>
          <w:szCs w:val="22"/>
        </w:rPr>
        <w:t>i</w:t>
      </w:r>
      <w:r w:rsidR="00C56CE0" w:rsidRPr="00201DB3">
        <w:rPr>
          <w:rFonts w:ascii="Times New Roman" w:hAnsi="Times New Roman" w:cs="Times New Roman"/>
          <w:sz w:val="22"/>
          <w:szCs w:val="22"/>
        </w:rPr>
        <w:t>n the intervening years</w:t>
      </w:r>
      <w:r w:rsidR="00FB51A1" w:rsidRPr="00201DB3">
        <w:rPr>
          <w:rFonts w:ascii="Times New Roman" w:hAnsi="Times New Roman" w:cs="Times New Roman"/>
          <w:sz w:val="22"/>
          <w:szCs w:val="22"/>
        </w:rPr>
        <w:t xml:space="preserve"> between 2006 and 2016</w:t>
      </w:r>
      <w:r w:rsidR="00A2771F" w:rsidRPr="00201DB3">
        <w:rPr>
          <w:rFonts w:ascii="Times New Roman" w:hAnsi="Times New Roman" w:cs="Times New Roman"/>
          <w:sz w:val="22"/>
          <w:szCs w:val="22"/>
        </w:rPr>
        <w:t>,</w:t>
      </w:r>
      <w:r w:rsidR="00C56CE0" w:rsidRPr="00201DB3">
        <w:rPr>
          <w:rFonts w:ascii="Times New Roman" w:hAnsi="Times New Roman" w:cs="Times New Roman"/>
          <w:sz w:val="22"/>
          <w:szCs w:val="22"/>
        </w:rPr>
        <w:t xml:space="preserve"> there has been a wider acceptance </w:t>
      </w:r>
      <w:r w:rsidR="000503E7" w:rsidRPr="00201DB3">
        <w:rPr>
          <w:rFonts w:ascii="Times New Roman" w:hAnsi="Times New Roman" w:cs="Times New Roman"/>
          <w:sz w:val="22"/>
          <w:szCs w:val="22"/>
        </w:rPr>
        <w:t xml:space="preserve">and use </w:t>
      </w:r>
      <w:r w:rsidR="00C56CE0" w:rsidRPr="00201DB3">
        <w:rPr>
          <w:rFonts w:ascii="Times New Roman" w:hAnsi="Times New Roman" w:cs="Times New Roman"/>
          <w:sz w:val="22"/>
          <w:szCs w:val="22"/>
        </w:rPr>
        <w:t xml:space="preserve">of profit split methods </w:t>
      </w:r>
      <w:r w:rsidR="000503E7" w:rsidRPr="00201DB3">
        <w:rPr>
          <w:rFonts w:ascii="Times New Roman" w:hAnsi="Times New Roman" w:cs="Times New Roman"/>
          <w:sz w:val="22"/>
          <w:szCs w:val="22"/>
        </w:rPr>
        <w:t>in practice</w:t>
      </w:r>
      <w:r w:rsidR="009E74E1" w:rsidRPr="00201DB3">
        <w:rPr>
          <w:rFonts w:ascii="Times New Roman" w:hAnsi="Times New Roman" w:cs="Times New Roman"/>
          <w:sz w:val="22"/>
          <w:szCs w:val="22"/>
        </w:rPr>
        <w:t xml:space="preserve"> </w:t>
      </w:r>
      <w:r w:rsidR="00013DA9" w:rsidRPr="00201DB3">
        <w:rPr>
          <w:rFonts w:ascii="Times New Roman" w:hAnsi="Times New Roman" w:cs="Times New Roman"/>
          <w:sz w:val="22"/>
          <w:szCs w:val="22"/>
          <w:lang w:val="en-US"/>
        </w:rPr>
        <w:t xml:space="preserve">and this could be seen as evidence of the flexibility of </w:t>
      </w:r>
      <w:r w:rsidR="00FC4457" w:rsidRPr="00201DB3">
        <w:rPr>
          <w:rFonts w:ascii="Times New Roman" w:hAnsi="Times New Roman" w:cs="Times New Roman"/>
          <w:sz w:val="22"/>
          <w:szCs w:val="22"/>
          <w:lang w:val="en-US"/>
        </w:rPr>
        <w:t>the</w:t>
      </w:r>
      <w:r w:rsidR="00013DA9" w:rsidRPr="00201DB3">
        <w:rPr>
          <w:rFonts w:ascii="Times New Roman" w:hAnsi="Times New Roman" w:cs="Times New Roman"/>
          <w:sz w:val="22"/>
          <w:szCs w:val="22"/>
          <w:lang w:val="en-US"/>
        </w:rPr>
        <w:t xml:space="preserve"> ALP</w:t>
      </w:r>
      <w:r w:rsidR="00DE638F" w:rsidRPr="00201DB3">
        <w:rPr>
          <w:rFonts w:ascii="Times New Roman" w:hAnsi="Times New Roman" w:cs="Times New Roman"/>
          <w:sz w:val="22"/>
          <w:szCs w:val="22"/>
          <w:lang w:val="en-US"/>
        </w:rPr>
        <w:t xml:space="preserve">. </w:t>
      </w:r>
      <w:r w:rsidR="00A346F7" w:rsidRPr="00201DB3">
        <w:rPr>
          <w:rFonts w:ascii="Times New Roman" w:hAnsi="Times New Roman" w:cs="Times New Roman"/>
          <w:sz w:val="22"/>
          <w:szCs w:val="22"/>
          <w:lang w:val="en-US"/>
        </w:rPr>
        <w:t xml:space="preserve">Furthermore, </w:t>
      </w:r>
      <w:r w:rsidR="00500572" w:rsidRPr="00201DB3">
        <w:rPr>
          <w:rFonts w:ascii="Times New Roman" w:hAnsi="Times New Roman" w:cs="Times New Roman"/>
          <w:sz w:val="22"/>
          <w:szCs w:val="22"/>
          <w:lang w:val="en-US"/>
        </w:rPr>
        <w:t>BEPS was pointed to as a development that would result in more profit splits</w:t>
      </w:r>
      <w:r w:rsidR="009E74E1" w:rsidRPr="00201DB3">
        <w:rPr>
          <w:rFonts w:ascii="Times New Roman" w:hAnsi="Times New Roman" w:cs="Times New Roman"/>
          <w:sz w:val="22"/>
          <w:szCs w:val="22"/>
          <w:lang w:val="en-US"/>
        </w:rPr>
        <w:t xml:space="preserve"> and so it was commented that </w:t>
      </w:r>
      <w:r w:rsidR="00FC4457" w:rsidRPr="00201DB3">
        <w:rPr>
          <w:rFonts w:ascii="Times New Roman" w:hAnsi="Times New Roman" w:cs="Times New Roman"/>
          <w:sz w:val="22"/>
          <w:szCs w:val="22"/>
          <w:lang w:val="en-US"/>
        </w:rPr>
        <w:t>“I think BEPS has made it easier, potentially, to have formulary apportionment down the line”</w:t>
      </w:r>
      <w:r w:rsidR="003040EE" w:rsidRPr="00201DB3">
        <w:rPr>
          <w:rFonts w:ascii="Times New Roman" w:hAnsi="Times New Roman" w:cs="Times New Roman"/>
          <w:sz w:val="22"/>
          <w:szCs w:val="22"/>
          <w:lang w:val="en-US"/>
        </w:rPr>
        <w:t xml:space="preserve"> </w:t>
      </w:r>
      <w:r w:rsidR="003040EE" w:rsidRPr="00201DB3">
        <w:rPr>
          <w:rFonts w:ascii="Times New Roman" w:eastAsia="MS Mincho" w:hAnsi="Times New Roman" w:cs="Times New Roman"/>
          <w:sz w:val="22"/>
          <w:szCs w:val="22"/>
        </w:rPr>
        <w:t>(II-int).</w:t>
      </w:r>
    </w:p>
    <w:p w14:paraId="27312301" w14:textId="77777777" w:rsidR="00FC4457" w:rsidRPr="00201DB3" w:rsidRDefault="00FC4457" w:rsidP="00201DB3">
      <w:pPr>
        <w:spacing w:after="0" w:line="240" w:lineRule="auto"/>
        <w:rPr>
          <w:rFonts w:ascii="Times New Roman" w:hAnsi="Times New Roman" w:cs="Times New Roman"/>
          <w:sz w:val="22"/>
          <w:szCs w:val="22"/>
          <w:lang w:val="en-US"/>
        </w:rPr>
      </w:pPr>
    </w:p>
    <w:p w14:paraId="00244F2B" w14:textId="77777777" w:rsidR="00C01352" w:rsidRPr="00201DB3" w:rsidRDefault="00C01352" w:rsidP="00201DB3">
      <w:pPr>
        <w:spacing w:after="0" w:line="240" w:lineRule="auto"/>
        <w:rPr>
          <w:rFonts w:ascii="Times New Roman" w:hAnsi="Times New Roman" w:cs="Times New Roman"/>
          <w:sz w:val="22"/>
          <w:szCs w:val="22"/>
          <w:lang w:val="en-US"/>
        </w:rPr>
      </w:pPr>
    </w:p>
    <w:p w14:paraId="4839C74B" w14:textId="28BD0853" w:rsidR="00C31FDA" w:rsidRPr="00201DB3" w:rsidRDefault="00D52D31"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2016/17</w:t>
      </w:r>
      <w:r w:rsidR="00C31FDA" w:rsidRPr="00201DB3">
        <w:rPr>
          <w:rFonts w:ascii="Times New Roman" w:hAnsi="Times New Roman" w:cs="Times New Roman"/>
          <w:i/>
          <w:sz w:val="22"/>
          <w:szCs w:val="22"/>
        </w:rPr>
        <w:t xml:space="preserve"> Attitudes to formulary apportionment: inflexibility, more certainty and reduced complexity</w:t>
      </w:r>
    </w:p>
    <w:p w14:paraId="19EB6BF8" w14:textId="270371F1" w:rsidR="00D437CD" w:rsidRPr="00201DB3" w:rsidRDefault="00D437CD"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In 2016</w:t>
      </w:r>
      <w:r w:rsidR="00D52D31" w:rsidRPr="00201DB3">
        <w:rPr>
          <w:rFonts w:ascii="Times New Roman" w:hAnsi="Times New Roman" w:cs="Times New Roman"/>
          <w:sz w:val="22"/>
          <w:szCs w:val="22"/>
        </w:rPr>
        <w:t>/17</w:t>
      </w:r>
      <w:r w:rsidRPr="00201DB3">
        <w:rPr>
          <w:rFonts w:ascii="Times New Roman" w:hAnsi="Times New Roman" w:cs="Times New Roman"/>
          <w:sz w:val="22"/>
          <w:szCs w:val="22"/>
        </w:rPr>
        <w:t xml:space="preserve">, interviewees </w:t>
      </w:r>
      <w:r w:rsidR="00C4320D" w:rsidRPr="00201DB3">
        <w:rPr>
          <w:rFonts w:ascii="Times New Roman" w:hAnsi="Times New Roman" w:cs="Times New Roman"/>
          <w:sz w:val="22"/>
          <w:szCs w:val="22"/>
        </w:rPr>
        <w:t xml:space="preserve">expressed concerns </w:t>
      </w:r>
      <w:r w:rsidR="00F47D23" w:rsidRPr="00201DB3">
        <w:rPr>
          <w:rFonts w:ascii="Times New Roman" w:hAnsi="Times New Roman" w:cs="Times New Roman"/>
          <w:sz w:val="22"/>
          <w:szCs w:val="22"/>
        </w:rPr>
        <w:t xml:space="preserve">with </w:t>
      </w:r>
      <w:r w:rsidR="00BA256E" w:rsidRPr="00201DB3">
        <w:rPr>
          <w:rFonts w:ascii="Times New Roman" w:hAnsi="Times New Roman" w:cs="Times New Roman"/>
          <w:sz w:val="22"/>
          <w:szCs w:val="22"/>
          <w:lang w:val="en-US"/>
        </w:rPr>
        <w:t xml:space="preserve">the problems of the ALP </w:t>
      </w:r>
      <w:r w:rsidR="00C4320D" w:rsidRPr="00201DB3">
        <w:rPr>
          <w:rFonts w:ascii="Times New Roman" w:hAnsi="Times New Roman" w:cs="Times New Roman"/>
          <w:sz w:val="22"/>
          <w:szCs w:val="22"/>
          <w:lang w:val="en-US"/>
        </w:rPr>
        <w:t xml:space="preserve">and </w:t>
      </w:r>
      <w:r w:rsidR="00BA256E" w:rsidRPr="00201DB3">
        <w:rPr>
          <w:rFonts w:ascii="Times New Roman" w:hAnsi="Times New Roman" w:cs="Times New Roman"/>
          <w:sz w:val="22"/>
          <w:szCs w:val="22"/>
          <w:lang w:val="en-US"/>
        </w:rPr>
        <w:t xml:space="preserve">a much less vociferous rejection of </w:t>
      </w:r>
      <w:r w:rsidR="008359C7" w:rsidRPr="00201DB3">
        <w:rPr>
          <w:rFonts w:ascii="Times New Roman" w:hAnsi="Times New Roman" w:cs="Times New Roman"/>
          <w:sz w:val="22"/>
          <w:szCs w:val="22"/>
          <w:lang w:val="en-US"/>
        </w:rPr>
        <w:t xml:space="preserve">formulary apportionment </w:t>
      </w:r>
      <w:r w:rsidRPr="00201DB3">
        <w:rPr>
          <w:rFonts w:ascii="Times New Roman" w:hAnsi="Times New Roman" w:cs="Times New Roman"/>
          <w:sz w:val="22"/>
          <w:szCs w:val="22"/>
          <w:lang w:val="en-US"/>
        </w:rPr>
        <w:t>compared with 2006</w:t>
      </w:r>
      <w:r w:rsidR="000503E7" w:rsidRPr="00201DB3">
        <w:rPr>
          <w:rFonts w:ascii="Times New Roman" w:hAnsi="Times New Roman" w:cs="Times New Roman"/>
          <w:sz w:val="22"/>
          <w:szCs w:val="22"/>
          <w:lang w:val="en-US"/>
        </w:rPr>
        <w:t xml:space="preserve">. </w:t>
      </w:r>
      <w:r w:rsidR="00FC4457" w:rsidRPr="00201DB3">
        <w:rPr>
          <w:rFonts w:ascii="Times New Roman" w:hAnsi="Times New Roman" w:cs="Times New Roman"/>
          <w:sz w:val="22"/>
          <w:szCs w:val="22"/>
          <w:lang w:val="en-US"/>
        </w:rPr>
        <w:t xml:space="preserve">However, </w:t>
      </w:r>
      <w:r w:rsidR="00BA256E" w:rsidRPr="00201DB3">
        <w:rPr>
          <w:rFonts w:ascii="Times New Roman" w:hAnsi="Times New Roman" w:cs="Times New Roman"/>
          <w:sz w:val="22"/>
          <w:szCs w:val="22"/>
          <w:lang w:val="en-US"/>
        </w:rPr>
        <w:t xml:space="preserve">skepticism </w:t>
      </w:r>
      <w:r w:rsidR="00C31FDA" w:rsidRPr="00201DB3">
        <w:rPr>
          <w:rFonts w:ascii="Times New Roman" w:hAnsi="Times New Roman" w:cs="Times New Roman"/>
          <w:sz w:val="22"/>
          <w:szCs w:val="22"/>
          <w:lang w:val="en-US"/>
        </w:rPr>
        <w:t xml:space="preserve">of formulary apportionment </w:t>
      </w:r>
      <w:r w:rsidR="00BA256E" w:rsidRPr="00201DB3">
        <w:rPr>
          <w:rFonts w:ascii="Times New Roman" w:hAnsi="Times New Roman" w:cs="Times New Roman"/>
          <w:sz w:val="22"/>
          <w:szCs w:val="22"/>
          <w:lang w:val="en-US"/>
        </w:rPr>
        <w:t>remained</w:t>
      </w:r>
      <w:r w:rsidR="008359C7" w:rsidRPr="00201DB3">
        <w:rPr>
          <w:rFonts w:ascii="Times New Roman" w:hAnsi="Times New Roman" w:cs="Times New Roman"/>
          <w:sz w:val="22"/>
          <w:szCs w:val="22"/>
          <w:lang w:val="en-US"/>
        </w:rPr>
        <w:t xml:space="preserve">, stemming largely from </w:t>
      </w:r>
      <w:r w:rsidR="00BA256E" w:rsidRPr="00201DB3">
        <w:rPr>
          <w:rFonts w:ascii="Times New Roman" w:hAnsi="Times New Roman" w:cs="Times New Roman"/>
          <w:sz w:val="22"/>
          <w:szCs w:val="22"/>
          <w:lang w:val="en-US"/>
        </w:rPr>
        <w:t>issues of practicality</w:t>
      </w:r>
      <w:r w:rsidR="008359C7" w:rsidRPr="00201DB3">
        <w:rPr>
          <w:rFonts w:ascii="Times New Roman" w:hAnsi="Times New Roman" w:cs="Times New Roman"/>
          <w:sz w:val="22"/>
          <w:szCs w:val="22"/>
          <w:lang w:val="en-US"/>
        </w:rPr>
        <w:t>,</w:t>
      </w:r>
      <w:r w:rsidR="00BA256E" w:rsidRPr="00201DB3">
        <w:rPr>
          <w:rFonts w:ascii="Times New Roman" w:hAnsi="Times New Roman" w:cs="Times New Roman"/>
          <w:sz w:val="22"/>
          <w:szCs w:val="22"/>
          <w:lang w:val="en-US"/>
        </w:rPr>
        <w:t xml:space="preserve"> such as the factors to use and how to reach agreement. </w:t>
      </w:r>
      <w:r w:rsidR="00C4320D" w:rsidRPr="00201DB3">
        <w:rPr>
          <w:rFonts w:ascii="Times New Roman" w:hAnsi="Times New Roman" w:cs="Times New Roman"/>
          <w:sz w:val="22"/>
          <w:szCs w:val="22"/>
          <w:lang w:val="en-US"/>
        </w:rPr>
        <w:t xml:space="preserve">Some interviewees reiterated that formulary apportionment is not a principled approach; </w:t>
      </w:r>
      <w:r w:rsidR="00C4320D" w:rsidRPr="00201DB3">
        <w:rPr>
          <w:rFonts w:ascii="Times New Roman" w:hAnsi="Times New Roman" w:cs="Times New Roman"/>
          <w:sz w:val="22"/>
          <w:szCs w:val="22"/>
        </w:rPr>
        <w:t>however</w:t>
      </w:r>
      <w:r w:rsidRPr="00201DB3">
        <w:rPr>
          <w:rFonts w:ascii="Times New Roman" w:hAnsi="Times New Roman" w:cs="Times New Roman"/>
          <w:sz w:val="22"/>
          <w:szCs w:val="22"/>
        </w:rPr>
        <w:t>, r</w:t>
      </w:r>
      <w:r w:rsidR="00C0336E" w:rsidRPr="00201DB3">
        <w:rPr>
          <w:rFonts w:ascii="Times New Roman" w:hAnsi="Times New Roman" w:cs="Times New Roman"/>
          <w:sz w:val="22"/>
          <w:szCs w:val="22"/>
        </w:rPr>
        <w:t xml:space="preserve">ather than rejecting </w:t>
      </w:r>
      <w:r w:rsidR="008359C7" w:rsidRPr="00201DB3">
        <w:rPr>
          <w:rFonts w:ascii="Times New Roman" w:hAnsi="Times New Roman" w:cs="Times New Roman"/>
          <w:sz w:val="22"/>
          <w:szCs w:val="22"/>
        </w:rPr>
        <w:t>formulary apportionment</w:t>
      </w:r>
      <w:r w:rsidR="000503E7" w:rsidRPr="00201DB3">
        <w:rPr>
          <w:rFonts w:ascii="Times New Roman" w:hAnsi="Times New Roman" w:cs="Times New Roman"/>
          <w:sz w:val="22"/>
          <w:szCs w:val="22"/>
        </w:rPr>
        <w:t xml:space="preserve"> </w:t>
      </w:r>
      <w:r w:rsidR="00C0336E" w:rsidRPr="00201DB3">
        <w:rPr>
          <w:rFonts w:ascii="Times New Roman" w:hAnsi="Times New Roman" w:cs="Times New Roman"/>
          <w:sz w:val="22"/>
          <w:szCs w:val="22"/>
        </w:rPr>
        <w:t>out of hand</w:t>
      </w:r>
      <w:r w:rsidR="00221C8E" w:rsidRPr="00201DB3">
        <w:rPr>
          <w:rFonts w:ascii="Times New Roman" w:hAnsi="Times New Roman" w:cs="Times New Roman"/>
          <w:sz w:val="22"/>
          <w:szCs w:val="22"/>
        </w:rPr>
        <w:t>,</w:t>
      </w:r>
      <w:r w:rsidR="00C0336E" w:rsidRPr="00201DB3">
        <w:rPr>
          <w:rFonts w:ascii="Times New Roman" w:hAnsi="Times New Roman" w:cs="Times New Roman"/>
          <w:sz w:val="22"/>
          <w:szCs w:val="22"/>
        </w:rPr>
        <w:t xml:space="preserve"> there was a recognition that </w:t>
      </w:r>
      <w:r w:rsidRPr="00201DB3">
        <w:rPr>
          <w:rFonts w:ascii="Times New Roman" w:hAnsi="Times New Roman" w:cs="Times New Roman"/>
          <w:sz w:val="22"/>
          <w:szCs w:val="22"/>
        </w:rPr>
        <w:t>it</w:t>
      </w:r>
      <w:r w:rsidR="004F4A61" w:rsidRPr="00201DB3">
        <w:rPr>
          <w:rFonts w:ascii="Times New Roman" w:hAnsi="Times New Roman" w:cs="Times New Roman"/>
          <w:sz w:val="22"/>
          <w:szCs w:val="22"/>
        </w:rPr>
        <w:t xml:space="preserve"> w</w:t>
      </w:r>
      <w:r w:rsidR="00C0336E" w:rsidRPr="00201DB3">
        <w:rPr>
          <w:rFonts w:ascii="Times New Roman" w:hAnsi="Times New Roman" w:cs="Times New Roman"/>
          <w:sz w:val="22"/>
          <w:szCs w:val="22"/>
        </w:rPr>
        <w:t xml:space="preserve">as </w:t>
      </w:r>
      <w:r w:rsidRPr="00201DB3">
        <w:rPr>
          <w:rFonts w:ascii="Times New Roman" w:hAnsi="Times New Roman" w:cs="Times New Roman"/>
          <w:sz w:val="22"/>
          <w:szCs w:val="22"/>
        </w:rPr>
        <w:t xml:space="preserve">now </w:t>
      </w:r>
      <w:r w:rsidR="00C0336E" w:rsidRPr="00201DB3">
        <w:rPr>
          <w:rFonts w:ascii="Times New Roman" w:hAnsi="Times New Roman" w:cs="Times New Roman"/>
          <w:sz w:val="22"/>
          <w:szCs w:val="22"/>
        </w:rPr>
        <w:t xml:space="preserve">on the agenda and </w:t>
      </w:r>
      <w:r w:rsidR="000503E7" w:rsidRPr="00201DB3">
        <w:rPr>
          <w:rFonts w:ascii="Times New Roman" w:hAnsi="Times New Roman" w:cs="Times New Roman"/>
          <w:sz w:val="22"/>
          <w:szCs w:val="22"/>
        </w:rPr>
        <w:t xml:space="preserve">there was </w:t>
      </w:r>
      <w:r w:rsidR="00C0336E" w:rsidRPr="00201DB3">
        <w:rPr>
          <w:rFonts w:ascii="Times New Roman" w:hAnsi="Times New Roman" w:cs="Times New Roman"/>
          <w:sz w:val="22"/>
          <w:szCs w:val="22"/>
        </w:rPr>
        <w:t xml:space="preserve">a willingness to consider it: </w:t>
      </w:r>
    </w:p>
    <w:p w14:paraId="4059D63B" w14:textId="4E1AA9B3" w:rsidR="009A0983" w:rsidRPr="00201DB3" w:rsidRDefault="00221C8E" w:rsidP="00201DB3">
      <w:pPr>
        <w:spacing w:after="0" w:line="240" w:lineRule="auto"/>
        <w:ind w:left="454" w:right="454"/>
        <w:rPr>
          <w:rFonts w:ascii="Times New Roman" w:hAnsi="Times New Roman" w:cs="Times New Roman"/>
          <w:sz w:val="22"/>
          <w:szCs w:val="22"/>
          <w:lang w:val="en-US"/>
        </w:rPr>
      </w:pPr>
      <w:r w:rsidRPr="00201DB3">
        <w:rPr>
          <w:rFonts w:ascii="Times New Roman" w:hAnsi="Times New Roman" w:cs="Times New Roman"/>
          <w:sz w:val="22"/>
          <w:szCs w:val="22"/>
        </w:rPr>
        <w:t>“</w:t>
      </w:r>
      <w:r w:rsidR="009A0983" w:rsidRPr="00201DB3">
        <w:rPr>
          <w:rFonts w:ascii="Times New Roman" w:hAnsi="Times New Roman" w:cs="Times New Roman"/>
          <w:sz w:val="22"/>
          <w:szCs w:val="22"/>
          <w:lang w:val="en-US"/>
        </w:rPr>
        <w:t>I think global formulary apportionment could work as long as it’s based on the real value and the activity, and then you come back to something which is quite difficult to define</w:t>
      </w:r>
      <w:r w:rsidR="00DD22A6" w:rsidRPr="00201DB3">
        <w:rPr>
          <w:rFonts w:ascii="Times New Roman" w:hAnsi="Times New Roman" w:cs="Times New Roman"/>
          <w:sz w:val="22"/>
          <w:szCs w:val="22"/>
          <w:lang w:val="en-US"/>
        </w:rPr>
        <w:t>”</w:t>
      </w:r>
      <w:r w:rsidR="003040EE" w:rsidRPr="00201DB3">
        <w:rPr>
          <w:rFonts w:ascii="Times New Roman" w:hAnsi="Times New Roman" w:cs="Times New Roman"/>
          <w:sz w:val="22"/>
          <w:szCs w:val="22"/>
          <w:lang w:val="en-US"/>
        </w:rPr>
        <w:t xml:space="preserve"> </w:t>
      </w:r>
      <w:r w:rsidR="000503E7" w:rsidRPr="00201DB3">
        <w:rPr>
          <w:rFonts w:ascii="Times New Roman" w:hAnsi="Times New Roman" w:cs="Times New Roman"/>
          <w:sz w:val="22"/>
          <w:szCs w:val="22"/>
          <w:lang w:val="en-US"/>
        </w:rPr>
        <w:t xml:space="preserve"> </w:t>
      </w:r>
      <w:r w:rsidR="003040EE" w:rsidRPr="00201DB3">
        <w:rPr>
          <w:rFonts w:ascii="Times New Roman" w:eastAsia="MS Mincho" w:hAnsi="Times New Roman" w:cs="Times New Roman"/>
          <w:sz w:val="22"/>
          <w:szCs w:val="22"/>
        </w:rPr>
        <w:t>(II-int).</w:t>
      </w:r>
    </w:p>
    <w:p w14:paraId="7799B7FF" w14:textId="77777777" w:rsidR="00D437CD" w:rsidRPr="00201DB3" w:rsidRDefault="00D437CD" w:rsidP="00201DB3">
      <w:pPr>
        <w:spacing w:after="0" w:line="240" w:lineRule="auto"/>
        <w:rPr>
          <w:rFonts w:ascii="Times New Roman" w:hAnsi="Times New Roman" w:cs="Times New Roman"/>
          <w:sz w:val="22"/>
          <w:szCs w:val="22"/>
        </w:rPr>
      </w:pPr>
      <w:bookmarkStart w:id="7" w:name="_Hlk512678073"/>
    </w:p>
    <w:p w14:paraId="69D8BE69" w14:textId="34657EF5" w:rsidR="00D437CD" w:rsidRPr="00201DB3" w:rsidRDefault="008D5EAB"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In </w:t>
      </w:r>
      <w:r w:rsidR="00D437CD" w:rsidRPr="00201DB3">
        <w:rPr>
          <w:rFonts w:ascii="Times New Roman" w:hAnsi="Times New Roman" w:cs="Times New Roman"/>
          <w:sz w:val="22"/>
          <w:szCs w:val="22"/>
        </w:rPr>
        <w:t>2006</w:t>
      </w:r>
      <w:r w:rsidR="00D52D31" w:rsidRPr="00201DB3">
        <w:rPr>
          <w:rFonts w:ascii="Times New Roman" w:hAnsi="Times New Roman" w:cs="Times New Roman"/>
          <w:sz w:val="22"/>
          <w:szCs w:val="22"/>
        </w:rPr>
        <w:t>/07</w:t>
      </w:r>
      <w:r w:rsidR="00D437CD" w:rsidRPr="00201DB3">
        <w:rPr>
          <w:rFonts w:ascii="Times New Roman" w:hAnsi="Times New Roman" w:cs="Times New Roman"/>
          <w:sz w:val="22"/>
          <w:szCs w:val="22"/>
        </w:rPr>
        <w:t xml:space="preserve">, </w:t>
      </w:r>
      <w:r w:rsidRPr="00201DB3">
        <w:rPr>
          <w:rFonts w:ascii="Times New Roman" w:hAnsi="Times New Roman" w:cs="Times New Roman"/>
          <w:sz w:val="22"/>
          <w:szCs w:val="22"/>
        </w:rPr>
        <w:t xml:space="preserve">there was very little support for </w:t>
      </w:r>
      <w:r w:rsidR="008359C7" w:rsidRPr="00201DB3">
        <w:rPr>
          <w:rFonts w:ascii="Times New Roman" w:hAnsi="Times New Roman" w:cs="Times New Roman"/>
          <w:sz w:val="22"/>
          <w:szCs w:val="22"/>
        </w:rPr>
        <w:t xml:space="preserve">formulary apportionment, </w:t>
      </w:r>
      <w:r w:rsidR="006955B1" w:rsidRPr="00201DB3">
        <w:rPr>
          <w:rFonts w:ascii="Times New Roman" w:hAnsi="Times New Roman" w:cs="Times New Roman"/>
          <w:sz w:val="22"/>
          <w:szCs w:val="22"/>
        </w:rPr>
        <w:t xml:space="preserve">it was </w:t>
      </w:r>
      <w:r w:rsidR="00BF16E3" w:rsidRPr="00201DB3">
        <w:rPr>
          <w:rFonts w:ascii="Times New Roman" w:hAnsi="Times New Roman" w:cs="Times New Roman"/>
          <w:sz w:val="22"/>
          <w:szCs w:val="22"/>
        </w:rPr>
        <w:t xml:space="preserve">typically </w:t>
      </w:r>
      <w:r w:rsidR="007105EF" w:rsidRPr="00201DB3">
        <w:rPr>
          <w:rFonts w:ascii="Times New Roman" w:hAnsi="Times New Roman" w:cs="Times New Roman"/>
          <w:sz w:val="22"/>
          <w:szCs w:val="22"/>
        </w:rPr>
        <w:t xml:space="preserve">dismissed as </w:t>
      </w:r>
      <w:r w:rsidR="006955B1" w:rsidRPr="00201DB3">
        <w:rPr>
          <w:rFonts w:ascii="Times New Roman" w:hAnsi="Times New Roman" w:cs="Times New Roman"/>
          <w:sz w:val="22"/>
          <w:szCs w:val="22"/>
        </w:rPr>
        <w:t xml:space="preserve">an academic </w:t>
      </w:r>
      <w:r w:rsidR="00FC4457" w:rsidRPr="00201DB3">
        <w:rPr>
          <w:rFonts w:ascii="Times New Roman" w:hAnsi="Times New Roman" w:cs="Times New Roman"/>
          <w:sz w:val="22"/>
          <w:szCs w:val="22"/>
        </w:rPr>
        <w:t>notion that</w:t>
      </w:r>
      <w:r w:rsidR="006955B1" w:rsidRPr="00201DB3">
        <w:rPr>
          <w:rFonts w:ascii="Times New Roman" w:hAnsi="Times New Roman" w:cs="Times New Roman"/>
          <w:sz w:val="22"/>
          <w:szCs w:val="22"/>
        </w:rPr>
        <w:t xml:space="preserve"> did not merit serious consideration.</w:t>
      </w:r>
      <w:r w:rsidR="007105EF" w:rsidRPr="00201DB3">
        <w:rPr>
          <w:rFonts w:ascii="Times New Roman" w:hAnsi="Times New Roman" w:cs="Times New Roman"/>
          <w:sz w:val="22"/>
          <w:szCs w:val="22"/>
        </w:rPr>
        <w:t xml:space="preserve"> </w:t>
      </w:r>
      <w:r w:rsidR="00D437CD" w:rsidRPr="00201DB3">
        <w:rPr>
          <w:rFonts w:ascii="Times New Roman" w:hAnsi="Times New Roman" w:cs="Times New Roman"/>
          <w:sz w:val="22"/>
          <w:szCs w:val="22"/>
        </w:rPr>
        <w:t xml:space="preserve">Now, in </w:t>
      </w:r>
      <w:r w:rsidR="004F4A61" w:rsidRPr="00201DB3">
        <w:rPr>
          <w:rFonts w:ascii="Times New Roman" w:hAnsi="Times New Roman" w:cs="Times New Roman"/>
          <w:sz w:val="22"/>
          <w:szCs w:val="22"/>
        </w:rPr>
        <w:t>2016</w:t>
      </w:r>
      <w:r w:rsidR="00D52D31" w:rsidRPr="00201DB3">
        <w:rPr>
          <w:rFonts w:ascii="Times New Roman" w:hAnsi="Times New Roman" w:cs="Times New Roman"/>
          <w:sz w:val="22"/>
          <w:szCs w:val="22"/>
        </w:rPr>
        <w:t>/17</w:t>
      </w:r>
      <w:r w:rsidR="004F4A61" w:rsidRPr="00201DB3">
        <w:rPr>
          <w:rFonts w:ascii="Times New Roman" w:hAnsi="Times New Roman" w:cs="Times New Roman"/>
          <w:sz w:val="22"/>
          <w:szCs w:val="22"/>
        </w:rPr>
        <w:t>, there</w:t>
      </w:r>
      <w:r w:rsidR="006955B1" w:rsidRPr="00201DB3">
        <w:rPr>
          <w:rFonts w:ascii="Times New Roman" w:hAnsi="Times New Roman" w:cs="Times New Roman"/>
          <w:sz w:val="22"/>
          <w:szCs w:val="22"/>
        </w:rPr>
        <w:t xml:space="preserve"> was a </w:t>
      </w:r>
      <w:r w:rsidR="00FC4457" w:rsidRPr="00201DB3">
        <w:rPr>
          <w:rFonts w:ascii="Times New Roman" w:hAnsi="Times New Roman" w:cs="Times New Roman"/>
          <w:sz w:val="22"/>
          <w:szCs w:val="22"/>
        </w:rPr>
        <w:t xml:space="preserve">clear </w:t>
      </w:r>
      <w:r w:rsidR="006955B1" w:rsidRPr="00201DB3">
        <w:rPr>
          <w:rFonts w:ascii="Times New Roman" w:hAnsi="Times New Roman" w:cs="Times New Roman"/>
          <w:sz w:val="22"/>
          <w:szCs w:val="22"/>
        </w:rPr>
        <w:t>readiness to consider it</w:t>
      </w:r>
      <w:r w:rsidR="00F47D23" w:rsidRPr="00201DB3">
        <w:rPr>
          <w:rFonts w:ascii="Times New Roman" w:hAnsi="Times New Roman" w:cs="Times New Roman"/>
          <w:sz w:val="22"/>
          <w:szCs w:val="22"/>
        </w:rPr>
        <w:t xml:space="preserve">, </w:t>
      </w:r>
      <w:r w:rsidR="006105DE" w:rsidRPr="00201DB3">
        <w:rPr>
          <w:rFonts w:ascii="Times New Roman" w:hAnsi="Times New Roman" w:cs="Times New Roman"/>
          <w:sz w:val="22"/>
          <w:szCs w:val="22"/>
        </w:rPr>
        <w:t>a</w:t>
      </w:r>
      <w:r w:rsidRPr="00201DB3">
        <w:rPr>
          <w:rFonts w:ascii="Times New Roman" w:hAnsi="Times New Roman" w:cs="Times New Roman"/>
          <w:sz w:val="22"/>
          <w:szCs w:val="22"/>
        </w:rPr>
        <w:t xml:space="preserve"> recognition that the current system </w:t>
      </w:r>
      <w:r w:rsidR="0004785B" w:rsidRPr="00201DB3">
        <w:rPr>
          <w:rFonts w:ascii="Times New Roman" w:hAnsi="Times New Roman" w:cs="Times New Roman"/>
          <w:sz w:val="22"/>
          <w:szCs w:val="22"/>
        </w:rPr>
        <w:t>has problems</w:t>
      </w:r>
      <w:r w:rsidR="00F47D23" w:rsidRPr="00201DB3">
        <w:rPr>
          <w:rFonts w:ascii="Times New Roman" w:hAnsi="Times New Roman" w:cs="Times New Roman"/>
          <w:sz w:val="22"/>
          <w:szCs w:val="22"/>
        </w:rPr>
        <w:t>, particularly with respect to dispute resolution, where the system is “clogged up</w:t>
      </w:r>
      <w:r w:rsidR="006E1233" w:rsidRPr="00201DB3">
        <w:rPr>
          <w:rFonts w:ascii="Times New Roman" w:hAnsi="Times New Roman" w:cs="Times New Roman"/>
          <w:sz w:val="22"/>
          <w:szCs w:val="22"/>
        </w:rPr>
        <w:t xml:space="preserve">” </w:t>
      </w:r>
      <w:r w:rsidR="006E1233" w:rsidRPr="00201DB3">
        <w:rPr>
          <w:rFonts w:ascii="Times New Roman" w:eastAsia="MS Mincho" w:hAnsi="Times New Roman" w:cs="Times New Roman"/>
          <w:sz w:val="22"/>
          <w:szCs w:val="22"/>
        </w:rPr>
        <w:t xml:space="preserve">(II-int). </w:t>
      </w:r>
      <w:r w:rsidR="000A136E" w:rsidRPr="00201DB3">
        <w:rPr>
          <w:rFonts w:ascii="Times New Roman" w:hAnsi="Times New Roman" w:cs="Times New Roman"/>
          <w:sz w:val="22"/>
          <w:szCs w:val="22"/>
        </w:rPr>
        <w:t xml:space="preserve">It followed that </w:t>
      </w:r>
      <w:r w:rsidR="008359C7" w:rsidRPr="00201DB3">
        <w:rPr>
          <w:rFonts w:ascii="Times New Roman" w:hAnsi="Times New Roman" w:cs="Times New Roman"/>
          <w:sz w:val="22"/>
          <w:szCs w:val="22"/>
        </w:rPr>
        <w:t>formulary apportionment</w:t>
      </w:r>
      <w:r w:rsidR="000503E7" w:rsidRPr="00201DB3">
        <w:rPr>
          <w:rFonts w:ascii="Times New Roman" w:hAnsi="Times New Roman" w:cs="Times New Roman"/>
          <w:sz w:val="22"/>
          <w:szCs w:val="22"/>
        </w:rPr>
        <w:t xml:space="preserve"> could not be automatically </w:t>
      </w:r>
      <w:r w:rsidR="00D52D31" w:rsidRPr="00201DB3">
        <w:rPr>
          <w:rFonts w:ascii="Times New Roman" w:hAnsi="Times New Roman" w:cs="Times New Roman"/>
          <w:sz w:val="22"/>
          <w:szCs w:val="22"/>
        </w:rPr>
        <w:t xml:space="preserve">dismissed, and the option was </w:t>
      </w:r>
      <w:r w:rsidR="006E1233" w:rsidRPr="00201DB3">
        <w:rPr>
          <w:rFonts w:ascii="Times New Roman" w:hAnsi="Times New Roman" w:cs="Times New Roman"/>
          <w:sz w:val="22"/>
          <w:szCs w:val="22"/>
        </w:rPr>
        <w:t xml:space="preserve">now </w:t>
      </w:r>
      <w:r w:rsidR="00D52D31" w:rsidRPr="00201DB3">
        <w:rPr>
          <w:rFonts w:ascii="Times New Roman" w:hAnsi="Times New Roman" w:cs="Times New Roman"/>
          <w:sz w:val="22"/>
          <w:szCs w:val="22"/>
        </w:rPr>
        <w:t>considered</w:t>
      </w:r>
      <w:r w:rsidR="000503E7" w:rsidRPr="00201DB3">
        <w:rPr>
          <w:rFonts w:ascii="Times New Roman" w:hAnsi="Times New Roman" w:cs="Times New Roman"/>
          <w:sz w:val="22"/>
          <w:szCs w:val="22"/>
        </w:rPr>
        <w:t xml:space="preserve">: </w:t>
      </w:r>
    </w:p>
    <w:p w14:paraId="79F8A614" w14:textId="34C459D7" w:rsidR="00FC4457" w:rsidRPr="00201DB3" w:rsidRDefault="00D437CD" w:rsidP="00201DB3">
      <w:pPr>
        <w:spacing w:after="0" w:line="240" w:lineRule="auto"/>
        <w:ind w:left="397"/>
        <w:rPr>
          <w:rFonts w:ascii="Times New Roman" w:hAnsi="Times New Roman" w:cs="Times New Roman"/>
          <w:sz w:val="22"/>
          <w:szCs w:val="22"/>
        </w:rPr>
      </w:pPr>
      <w:r w:rsidRPr="00201DB3">
        <w:rPr>
          <w:rFonts w:ascii="Times New Roman" w:hAnsi="Times New Roman" w:cs="Times New Roman"/>
          <w:sz w:val="22"/>
          <w:szCs w:val="22"/>
        </w:rPr>
        <w:t>“</w:t>
      </w:r>
      <w:r w:rsidR="00FC4457" w:rsidRPr="00201DB3">
        <w:rPr>
          <w:rFonts w:ascii="Times New Roman" w:hAnsi="Times New Roman" w:cs="Times New Roman"/>
          <w:sz w:val="22"/>
          <w:szCs w:val="22"/>
        </w:rPr>
        <w:t>I think it will not come so much from the fact that the arm’s length principle doesn’t work, it will come from the fact that government and tax administration just couldn’t figure out a way of making it work in controversy. You know, in a reasonable way</w:t>
      </w:r>
      <w:r w:rsidRPr="00201DB3">
        <w:rPr>
          <w:rFonts w:ascii="Times New Roman" w:hAnsi="Times New Roman" w:cs="Times New Roman"/>
          <w:sz w:val="22"/>
          <w:szCs w:val="22"/>
        </w:rPr>
        <w:t>”</w:t>
      </w:r>
      <w:r w:rsidR="003040EE" w:rsidRPr="00201DB3">
        <w:rPr>
          <w:rFonts w:ascii="Times New Roman" w:hAnsi="Times New Roman" w:cs="Times New Roman"/>
          <w:sz w:val="22"/>
          <w:szCs w:val="22"/>
        </w:rPr>
        <w:t xml:space="preserve"> </w:t>
      </w:r>
      <w:r w:rsidR="003040EE" w:rsidRPr="00201DB3">
        <w:rPr>
          <w:rFonts w:ascii="Times New Roman" w:eastAsia="MS Mincho" w:hAnsi="Times New Roman" w:cs="Times New Roman"/>
          <w:sz w:val="22"/>
          <w:szCs w:val="22"/>
        </w:rPr>
        <w:t xml:space="preserve">(II-int) </w:t>
      </w:r>
      <w:r w:rsidR="000503E7" w:rsidRPr="00201DB3">
        <w:rPr>
          <w:rFonts w:ascii="Times New Roman" w:hAnsi="Times New Roman" w:cs="Times New Roman"/>
          <w:sz w:val="22"/>
          <w:szCs w:val="22"/>
        </w:rPr>
        <w:t xml:space="preserve"> </w:t>
      </w:r>
    </w:p>
    <w:p w14:paraId="35913DB7" w14:textId="7B9A1C19" w:rsidR="000503E7" w:rsidRPr="00201DB3" w:rsidRDefault="000503E7" w:rsidP="00201DB3">
      <w:pPr>
        <w:spacing w:after="0" w:line="240" w:lineRule="auto"/>
        <w:ind w:left="397"/>
        <w:rPr>
          <w:rFonts w:ascii="Times New Roman" w:hAnsi="Times New Roman" w:cs="Times New Roman"/>
          <w:sz w:val="22"/>
          <w:szCs w:val="22"/>
        </w:rPr>
      </w:pPr>
    </w:p>
    <w:bookmarkEnd w:id="7"/>
    <w:p w14:paraId="00D94605" w14:textId="2220D8CA" w:rsidR="004D35F4" w:rsidRPr="00201DB3" w:rsidRDefault="00BD5B52"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lang w:val="en-US"/>
        </w:rPr>
        <w:t>M</w:t>
      </w:r>
      <w:r w:rsidR="00DD22A6" w:rsidRPr="00201DB3">
        <w:rPr>
          <w:rFonts w:ascii="Times New Roman" w:hAnsi="Times New Roman" w:cs="Times New Roman"/>
          <w:sz w:val="22"/>
          <w:szCs w:val="22"/>
          <w:lang w:val="en-US"/>
        </w:rPr>
        <w:t xml:space="preserve">uch of the literature calling for </w:t>
      </w:r>
      <w:r w:rsidR="008359C7" w:rsidRPr="00201DB3">
        <w:rPr>
          <w:rFonts w:ascii="Times New Roman" w:hAnsi="Times New Roman" w:cs="Times New Roman"/>
          <w:sz w:val="22"/>
          <w:szCs w:val="22"/>
          <w:lang w:val="en-US"/>
        </w:rPr>
        <w:t>formulary apportionment</w:t>
      </w:r>
      <w:r w:rsidR="00DD22A6" w:rsidRPr="00201DB3">
        <w:rPr>
          <w:rFonts w:ascii="Times New Roman" w:hAnsi="Times New Roman" w:cs="Times New Roman"/>
          <w:sz w:val="22"/>
          <w:szCs w:val="22"/>
          <w:lang w:val="en-US"/>
        </w:rPr>
        <w:t xml:space="preserve"> does so because under the AL</w:t>
      </w:r>
      <w:r w:rsidR="000503E7" w:rsidRPr="00201DB3">
        <w:rPr>
          <w:rFonts w:ascii="Times New Roman" w:hAnsi="Times New Roman" w:cs="Times New Roman"/>
          <w:sz w:val="22"/>
          <w:szCs w:val="22"/>
          <w:lang w:val="en-US"/>
        </w:rPr>
        <w:t>P</w:t>
      </w:r>
      <w:r w:rsidR="00DD22A6" w:rsidRPr="00201DB3">
        <w:rPr>
          <w:rFonts w:ascii="Times New Roman" w:hAnsi="Times New Roman" w:cs="Times New Roman"/>
          <w:sz w:val="22"/>
          <w:szCs w:val="22"/>
          <w:lang w:val="en-US"/>
        </w:rPr>
        <w:t xml:space="preserve"> there is </w:t>
      </w:r>
      <w:r w:rsidR="00F47D23" w:rsidRPr="00201DB3">
        <w:rPr>
          <w:rFonts w:ascii="Times New Roman" w:hAnsi="Times New Roman" w:cs="Times New Roman"/>
          <w:sz w:val="22"/>
          <w:szCs w:val="22"/>
          <w:lang w:val="en-US"/>
        </w:rPr>
        <w:t xml:space="preserve">incentive for income shifting and </w:t>
      </w:r>
      <w:r w:rsidR="00DD22A6" w:rsidRPr="00201DB3">
        <w:rPr>
          <w:rFonts w:ascii="Times New Roman" w:hAnsi="Times New Roman" w:cs="Times New Roman"/>
          <w:sz w:val="22"/>
          <w:szCs w:val="22"/>
          <w:lang w:val="en-US"/>
        </w:rPr>
        <w:t>zero taxation</w:t>
      </w:r>
      <w:r w:rsidR="000503E7" w:rsidRPr="00201DB3">
        <w:rPr>
          <w:rFonts w:ascii="Times New Roman" w:hAnsi="Times New Roman" w:cs="Times New Roman"/>
          <w:sz w:val="22"/>
          <w:szCs w:val="22"/>
          <w:lang w:val="en-US"/>
        </w:rPr>
        <w:t xml:space="preserve"> of some profits</w:t>
      </w:r>
      <w:r w:rsidR="00F47D23" w:rsidRPr="00201DB3">
        <w:rPr>
          <w:rFonts w:ascii="Times New Roman" w:hAnsi="Times New Roman" w:cs="Times New Roman"/>
          <w:sz w:val="22"/>
          <w:szCs w:val="22"/>
          <w:lang w:val="en-US"/>
        </w:rPr>
        <w:t>.</w:t>
      </w:r>
      <w:r w:rsidR="00DD22A6" w:rsidRPr="00201DB3">
        <w:rPr>
          <w:rFonts w:ascii="Times New Roman" w:hAnsi="Times New Roman" w:cs="Times New Roman"/>
          <w:sz w:val="22"/>
          <w:szCs w:val="22"/>
          <w:lang w:val="en-US"/>
        </w:rPr>
        <w:t xml:space="preserve"> Only one interviewee raised th</w:t>
      </w:r>
      <w:r w:rsidR="00F47D23" w:rsidRPr="00201DB3">
        <w:rPr>
          <w:rFonts w:ascii="Times New Roman" w:hAnsi="Times New Roman" w:cs="Times New Roman"/>
          <w:sz w:val="22"/>
          <w:szCs w:val="22"/>
          <w:lang w:val="en-US"/>
        </w:rPr>
        <w:t>e issue of zero taxation</w:t>
      </w:r>
      <w:r w:rsidR="00DD22A6" w:rsidRPr="00201DB3">
        <w:rPr>
          <w:rFonts w:ascii="Times New Roman" w:hAnsi="Times New Roman" w:cs="Times New Roman"/>
          <w:sz w:val="22"/>
          <w:szCs w:val="22"/>
          <w:lang w:val="en-US"/>
        </w:rPr>
        <w:t xml:space="preserve">, </w:t>
      </w:r>
      <w:r w:rsidR="00EC07B7" w:rsidRPr="00201DB3">
        <w:rPr>
          <w:rFonts w:ascii="Times New Roman" w:hAnsi="Times New Roman" w:cs="Times New Roman"/>
          <w:sz w:val="22"/>
          <w:szCs w:val="22"/>
          <w:lang w:val="en-US"/>
        </w:rPr>
        <w:t xml:space="preserve">consistent with observations </w:t>
      </w:r>
      <w:r w:rsidR="00F47D23" w:rsidRPr="00201DB3">
        <w:rPr>
          <w:rFonts w:ascii="Times New Roman" w:hAnsi="Times New Roman" w:cs="Times New Roman"/>
          <w:sz w:val="22"/>
          <w:szCs w:val="22"/>
          <w:lang w:val="en-US"/>
        </w:rPr>
        <w:t xml:space="preserve">that </w:t>
      </w:r>
      <w:r w:rsidR="00EC07B7" w:rsidRPr="00201DB3">
        <w:rPr>
          <w:rFonts w:ascii="Times New Roman" w:hAnsi="Times New Roman" w:cs="Times New Roman"/>
          <w:sz w:val="22"/>
          <w:szCs w:val="22"/>
          <w:lang w:val="en-US"/>
        </w:rPr>
        <w:t>taxpayers don’t complain about it</w:t>
      </w:r>
      <w:r w:rsidR="003C5332" w:rsidRPr="00201DB3">
        <w:rPr>
          <w:rStyle w:val="FootnoteReference"/>
          <w:rFonts w:ascii="Times New Roman" w:hAnsi="Times New Roman" w:cs="Times New Roman"/>
          <w:sz w:val="22"/>
          <w:szCs w:val="22"/>
          <w:lang w:val="en-US"/>
        </w:rPr>
        <w:footnoteReference w:id="61"/>
      </w:r>
      <w:r w:rsidR="00EC07B7" w:rsidRPr="00201DB3">
        <w:rPr>
          <w:rFonts w:ascii="Times New Roman" w:hAnsi="Times New Roman" w:cs="Times New Roman"/>
          <w:sz w:val="22"/>
          <w:szCs w:val="22"/>
          <w:lang w:val="en-US"/>
        </w:rPr>
        <w:t>. H</w:t>
      </w:r>
      <w:r w:rsidR="00DD22A6" w:rsidRPr="00201DB3">
        <w:rPr>
          <w:rFonts w:ascii="Times New Roman" w:hAnsi="Times New Roman" w:cs="Times New Roman"/>
          <w:sz w:val="22"/>
          <w:szCs w:val="22"/>
          <w:lang w:val="en-US"/>
        </w:rPr>
        <w:t>owever</w:t>
      </w:r>
      <w:r w:rsidR="00EC07B7" w:rsidRPr="00201DB3">
        <w:rPr>
          <w:rFonts w:ascii="Times New Roman" w:hAnsi="Times New Roman" w:cs="Times New Roman"/>
          <w:sz w:val="22"/>
          <w:szCs w:val="22"/>
          <w:lang w:val="en-US"/>
        </w:rPr>
        <w:t>,</w:t>
      </w:r>
      <w:r w:rsidR="00DD22A6" w:rsidRPr="00201DB3">
        <w:rPr>
          <w:rFonts w:ascii="Times New Roman" w:hAnsi="Times New Roman" w:cs="Times New Roman"/>
          <w:sz w:val="22"/>
          <w:szCs w:val="22"/>
          <w:lang w:val="en-US"/>
        </w:rPr>
        <w:t xml:space="preserve"> there w</w:t>
      </w:r>
      <w:r w:rsidR="00D52D31" w:rsidRPr="00201DB3">
        <w:rPr>
          <w:rFonts w:ascii="Times New Roman" w:hAnsi="Times New Roman" w:cs="Times New Roman"/>
          <w:sz w:val="22"/>
          <w:szCs w:val="22"/>
          <w:lang w:val="en-US"/>
        </w:rPr>
        <w:t>ere</w:t>
      </w:r>
      <w:r w:rsidR="00DD22A6" w:rsidRPr="00201DB3">
        <w:rPr>
          <w:rFonts w:ascii="Times New Roman" w:hAnsi="Times New Roman" w:cs="Times New Roman"/>
          <w:sz w:val="22"/>
          <w:szCs w:val="22"/>
          <w:lang w:val="en-US"/>
        </w:rPr>
        <w:t xml:space="preserve"> recurring </w:t>
      </w:r>
      <w:r w:rsidR="000503E7" w:rsidRPr="00201DB3">
        <w:rPr>
          <w:rFonts w:ascii="Times New Roman" w:hAnsi="Times New Roman" w:cs="Times New Roman"/>
          <w:sz w:val="22"/>
          <w:szCs w:val="22"/>
          <w:lang w:val="en-US"/>
        </w:rPr>
        <w:t>concerns about</w:t>
      </w:r>
      <w:r w:rsidR="00DD22A6" w:rsidRPr="00201DB3">
        <w:rPr>
          <w:rFonts w:ascii="Times New Roman" w:hAnsi="Times New Roman" w:cs="Times New Roman"/>
          <w:sz w:val="22"/>
          <w:szCs w:val="22"/>
          <w:lang w:val="en-US"/>
        </w:rPr>
        <w:t xml:space="preserve"> </w:t>
      </w:r>
      <w:r w:rsidR="008359C7" w:rsidRPr="00201DB3">
        <w:rPr>
          <w:rFonts w:ascii="Times New Roman" w:hAnsi="Times New Roman" w:cs="Times New Roman"/>
          <w:sz w:val="22"/>
          <w:szCs w:val="22"/>
          <w:lang w:val="en-US"/>
        </w:rPr>
        <w:t>formulary apportionment</w:t>
      </w:r>
      <w:r w:rsidR="00EC07B7" w:rsidRPr="00201DB3">
        <w:rPr>
          <w:rFonts w:ascii="Times New Roman" w:hAnsi="Times New Roman" w:cs="Times New Roman"/>
          <w:sz w:val="22"/>
          <w:szCs w:val="22"/>
          <w:lang w:val="en-US"/>
        </w:rPr>
        <w:t xml:space="preserve"> on the grounds that</w:t>
      </w:r>
      <w:bookmarkStart w:id="8" w:name="_Hlk511566057"/>
      <w:r w:rsidR="00EC07B7" w:rsidRPr="00201DB3">
        <w:rPr>
          <w:rFonts w:ascii="Times New Roman" w:hAnsi="Times New Roman" w:cs="Times New Roman"/>
          <w:sz w:val="22"/>
          <w:szCs w:val="22"/>
          <w:lang w:val="en-US"/>
        </w:rPr>
        <w:t xml:space="preserve"> </w:t>
      </w:r>
      <w:r w:rsidR="00DD22A6" w:rsidRPr="00201DB3">
        <w:rPr>
          <w:rFonts w:ascii="Times New Roman" w:hAnsi="Times New Roman" w:cs="Times New Roman"/>
          <w:sz w:val="22"/>
          <w:szCs w:val="22"/>
        </w:rPr>
        <w:t xml:space="preserve">it </w:t>
      </w:r>
      <w:r w:rsidR="006D0987" w:rsidRPr="00201DB3">
        <w:rPr>
          <w:rFonts w:ascii="Times New Roman" w:hAnsi="Times New Roman" w:cs="Times New Roman"/>
          <w:sz w:val="22"/>
          <w:szCs w:val="22"/>
        </w:rPr>
        <w:t>c</w:t>
      </w:r>
      <w:r w:rsidR="00DD22A6" w:rsidRPr="00201DB3">
        <w:rPr>
          <w:rFonts w:ascii="Times New Roman" w:hAnsi="Times New Roman" w:cs="Times New Roman"/>
          <w:sz w:val="22"/>
          <w:szCs w:val="22"/>
        </w:rPr>
        <w:t>ould give rise to double taxation</w:t>
      </w:r>
      <w:r w:rsidR="00C4320D" w:rsidRPr="00201DB3">
        <w:rPr>
          <w:rFonts w:ascii="Times New Roman" w:hAnsi="Times New Roman" w:cs="Times New Roman"/>
          <w:sz w:val="22"/>
          <w:szCs w:val="22"/>
        </w:rPr>
        <w:t>, for example</w:t>
      </w:r>
      <w:r w:rsidR="004D35F4" w:rsidRPr="00201DB3">
        <w:rPr>
          <w:rFonts w:ascii="Times New Roman" w:hAnsi="Times New Roman" w:cs="Times New Roman"/>
          <w:sz w:val="22"/>
          <w:szCs w:val="22"/>
        </w:rPr>
        <w:t>:</w:t>
      </w:r>
    </w:p>
    <w:p w14:paraId="67947011" w14:textId="61297906" w:rsidR="00DD22A6" w:rsidRPr="00201DB3" w:rsidRDefault="00DD22A6" w:rsidP="00201DB3">
      <w:pPr>
        <w:spacing w:after="0" w:line="240" w:lineRule="auto"/>
        <w:ind w:left="397"/>
        <w:rPr>
          <w:rFonts w:ascii="Times New Roman" w:hAnsi="Times New Roman" w:cs="Times New Roman"/>
          <w:sz w:val="22"/>
          <w:szCs w:val="22"/>
          <w:lang w:val="en-US"/>
        </w:rPr>
      </w:pPr>
      <w:r w:rsidRPr="00201DB3">
        <w:rPr>
          <w:rFonts w:ascii="Times New Roman" w:hAnsi="Times New Roman" w:cs="Times New Roman"/>
          <w:sz w:val="22"/>
          <w:szCs w:val="22"/>
          <w:lang w:val="en-US"/>
        </w:rPr>
        <w:t>“It doesn’t result in a nice, clean apportionment. You end up with too much, bigger chunks</w:t>
      </w:r>
      <w:r w:rsidR="009E74E1" w:rsidRPr="00201DB3">
        <w:rPr>
          <w:rFonts w:ascii="Times New Roman" w:hAnsi="Times New Roman" w:cs="Times New Roman"/>
          <w:sz w:val="22"/>
          <w:szCs w:val="22"/>
          <w:lang w:val="en-US"/>
        </w:rPr>
        <w:t>,</w:t>
      </w:r>
      <w:r w:rsidRPr="00201DB3">
        <w:rPr>
          <w:rFonts w:ascii="Times New Roman" w:hAnsi="Times New Roman" w:cs="Times New Roman"/>
          <w:sz w:val="22"/>
          <w:szCs w:val="22"/>
          <w:lang w:val="en-US"/>
        </w:rPr>
        <w:t xml:space="preserve"> going to numerous jurisdictions and the amount being taxed is far more than 100%”</w:t>
      </w:r>
      <w:bookmarkEnd w:id="8"/>
      <w:r w:rsidR="000503E7" w:rsidRPr="00201DB3">
        <w:rPr>
          <w:rFonts w:ascii="Times New Roman" w:hAnsi="Times New Roman" w:cs="Times New Roman"/>
          <w:sz w:val="22"/>
          <w:szCs w:val="22"/>
          <w:lang w:val="en-US"/>
        </w:rPr>
        <w:t xml:space="preserve"> </w:t>
      </w:r>
      <w:r w:rsidR="003040EE" w:rsidRPr="00201DB3">
        <w:rPr>
          <w:rFonts w:ascii="Times New Roman" w:eastAsia="MS Mincho" w:hAnsi="Times New Roman" w:cs="Times New Roman"/>
          <w:sz w:val="22"/>
          <w:szCs w:val="22"/>
        </w:rPr>
        <w:t>(II-int).</w:t>
      </w:r>
    </w:p>
    <w:p w14:paraId="5F54BA1A" w14:textId="3DC96970" w:rsidR="000A136E" w:rsidRPr="00201DB3" w:rsidRDefault="000A136E"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This risk</w:t>
      </w:r>
      <w:r w:rsidR="00CA204D" w:rsidRPr="00201DB3">
        <w:rPr>
          <w:rFonts w:ascii="Times New Roman" w:hAnsi="Times New Roman" w:cs="Times New Roman"/>
          <w:sz w:val="22"/>
          <w:szCs w:val="22"/>
          <w:lang w:val="en-US"/>
        </w:rPr>
        <w:t>, for example when tax authorities apply inconsistent formulas,</w:t>
      </w:r>
      <w:r w:rsidRPr="00201DB3">
        <w:rPr>
          <w:rFonts w:ascii="Times New Roman" w:hAnsi="Times New Roman" w:cs="Times New Roman"/>
          <w:sz w:val="22"/>
          <w:szCs w:val="22"/>
          <w:lang w:val="en-US"/>
        </w:rPr>
        <w:t xml:space="preserve"> is acknowledged in the literature, tempered </w:t>
      </w:r>
      <w:r w:rsidR="00C02C58" w:rsidRPr="00201DB3">
        <w:rPr>
          <w:rFonts w:ascii="Times New Roman" w:hAnsi="Times New Roman" w:cs="Times New Roman"/>
          <w:sz w:val="22"/>
          <w:szCs w:val="22"/>
          <w:lang w:val="en-US"/>
        </w:rPr>
        <w:t xml:space="preserve">by some </w:t>
      </w:r>
      <w:r w:rsidR="009C78FB">
        <w:rPr>
          <w:rFonts w:ascii="Times New Roman" w:hAnsi="Times New Roman" w:cs="Times New Roman"/>
          <w:sz w:val="22"/>
          <w:szCs w:val="22"/>
          <w:lang w:val="en-US"/>
        </w:rPr>
        <w:t>proponents of formulary apportionment wi</w:t>
      </w:r>
      <w:r w:rsidRPr="00201DB3">
        <w:rPr>
          <w:rFonts w:ascii="Times New Roman" w:hAnsi="Times New Roman" w:cs="Times New Roman"/>
          <w:sz w:val="22"/>
          <w:szCs w:val="22"/>
          <w:lang w:val="en-US"/>
        </w:rPr>
        <w:t xml:space="preserve">th the proviso that </w:t>
      </w:r>
      <w:r w:rsidR="003040EE" w:rsidRPr="00201DB3">
        <w:rPr>
          <w:rFonts w:ascii="Times New Roman" w:hAnsi="Times New Roman" w:cs="Times New Roman"/>
          <w:sz w:val="22"/>
          <w:szCs w:val="22"/>
          <w:lang w:val="en-US"/>
        </w:rPr>
        <w:t>such double taxation would not be uncertain</w:t>
      </w:r>
      <w:r w:rsidR="00E90847" w:rsidRPr="00201DB3">
        <w:rPr>
          <w:rFonts w:ascii="Times New Roman" w:hAnsi="Times New Roman" w:cs="Times New Roman"/>
          <w:sz w:val="22"/>
          <w:szCs w:val="22"/>
          <w:lang w:val="en-US"/>
        </w:rPr>
        <w:t>.</w:t>
      </w:r>
      <w:r w:rsidR="003C5332" w:rsidRPr="00201DB3">
        <w:rPr>
          <w:rStyle w:val="FootnoteReference"/>
          <w:rFonts w:ascii="Times New Roman" w:hAnsi="Times New Roman" w:cs="Times New Roman"/>
          <w:sz w:val="22"/>
          <w:szCs w:val="22"/>
          <w:lang w:val="en-US"/>
        </w:rPr>
        <w:footnoteReference w:id="62"/>
      </w:r>
      <w:r w:rsidRPr="00201DB3">
        <w:rPr>
          <w:rFonts w:ascii="Times New Roman" w:hAnsi="Times New Roman" w:cs="Times New Roman"/>
          <w:sz w:val="22"/>
          <w:szCs w:val="22"/>
          <w:lang w:val="en-US"/>
        </w:rPr>
        <w:t xml:space="preserve"> </w:t>
      </w:r>
    </w:p>
    <w:p w14:paraId="1FB5188E" w14:textId="2503EDA9" w:rsidR="00A11519" w:rsidRPr="00201DB3" w:rsidRDefault="00A11519" w:rsidP="00201DB3">
      <w:pPr>
        <w:spacing w:after="0" w:line="240" w:lineRule="auto"/>
        <w:rPr>
          <w:rFonts w:ascii="Times New Roman" w:hAnsi="Times New Roman" w:cs="Times New Roman"/>
          <w:sz w:val="22"/>
          <w:szCs w:val="22"/>
          <w:lang w:val="en-US"/>
        </w:rPr>
      </w:pPr>
    </w:p>
    <w:p w14:paraId="22C13800" w14:textId="76F51DD5" w:rsidR="00D52D31" w:rsidRPr="00201DB3" w:rsidRDefault="00C31FDA" w:rsidP="00201DB3">
      <w:pPr>
        <w:spacing w:after="0" w:line="240" w:lineRule="auto"/>
        <w:rPr>
          <w:rFonts w:ascii="Times New Roman" w:hAnsi="Times New Roman" w:cs="Times New Roman"/>
          <w:i/>
          <w:sz w:val="22"/>
          <w:szCs w:val="22"/>
          <w:lang w:val="en-US"/>
        </w:rPr>
      </w:pPr>
      <w:r w:rsidRPr="00201DB3">
        <w:rPr>
          <w:rFonts w:ascii="Times New Roman" w:hAnsi="Times New Roman" w:cs="Times New Roman"/>
          <w:i/>
          <w:sz w:val="22"/>
          <w:szCs w:val="22"/>
          <w:lang w:val="en-US"/>
        </w:rPr>
        <w:t>2016/17</w:t>
      </w:r>
      <w:r w:rsidR="00D52D31" w:rsidRPr="00201DB3">
        <w:rPr>
          <w:rFonts w:ascii="Times New Roman" w:hAnsi="Times New Roman" w:cs="Times New Roman"/>
          <w:i/>
          <w:sz w:val="22"/>
          <w:szCs w:val="22"/>
          <w:lang w:val="en-US"/>
        </w:rPr>
        <w:t xml:space="preserve"> consensus</w:t>
      </w:r>
    </w:p>
    <w:p w14:paraId="6C6483C0" w14:textId="6DA9F50F" w:rsidR="00E37210" w:rsidRPr="00201DB3" w:rsidRDefault="00E37210" w:rsidP="009C78FB">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 xml:space="preserve">In the 2016/17 interviews the consensus for the ALP that emerged was a more uneasy one than had been anticipated in 2006, </w:t>
      </w:r>
      <w:r w:rsidR="00DE638F" w:rsidRPr="00201DB3">
        <w:rPr>
          <w:rFonts w:ascii="Times New Roman" w:hAnsi="Times New Roman" w:cs="Times New Roman"/>
          <w:sz w:val="22"/>
          <w:szCs w:val="22"/>
          <w:lang w:val="en-US"/>
        </w:rPr>
        <w:t xml:space="preserve">when the ALP had been seen as </w:t>
      </w:r>
      <w:r w:rsidR="003040EE" w:rsidRPr="00201DB3">
        <w:rPr>
          <w:rFonts w:ascii="Times New Roman" w:hAnsi="Times New Roman" w:cs="Times New Roman"/>
          <w:sz w:val="22"/>
          <w:szCs w:val="22"/>
          <w:lang w:val="en-US"/>
        </w:rPr>
        <w:t>“</w:t>
      </w:r>
      <w:r w:rsidR="00DE638F" w:rsidRPr="00201DB3">
        <w:rPr>
          <w:rFonts w:ascii="Times New Roman" w:hAnsi="Times New Roman" w:cs="Times New Roman"/>
          <w:sz w:val="22"/>
          <w:szCs w:val="22"/>
          <w:lang w:val="en-US"/>
        </w:rPr>
        <w:t>bedding down</w:t>
      </w:r>
      <w:r w:rsidR="003040EE" w:rsidRPr="00201DB3">
        <w:rPr>
          <w:rFonts w:ascii="Times New Roman" w:hAnsi="Times New Roman" w:cs="Times New Roman"/>
          <w:sz w:val="22"/>
          <w:szCs w:val="22"/>
          <w:lang w:val="en-US"/>
        </w:rPr>
        <w:t>”</w:t>
      </w:r>
      <w:r w:rsidR="003040EE" w:rsidRPr="00201DB3">
        <w:rPr>
          <w:rFonts w:ascii="Times New Roman" w:eastAsia="MS Mincho" w:hAnsi="Times New Roman" w:cs="Times New Roman"/>
          <w:sz w:val="22"/>
          <w:szCs w:val="22"/>
        </w:rPr>
        <w:t xml:space="preserve"> (I-int)</w:t>
      </w:r>
      <w:r w:rsidR="00DE638F" w:rsidRPr="00201DB3">
        <w:rPr>
          <w:rFonts w:ascii="Times New Roman" w:hAnsi="Times New Roman" w:cs="Times New Roman"/>
          <w:sz w:val="22"/>
          <w:szCs w:val="22"/>
          <w:lang w:val="en-US"/>
        </w:rPr>
        <w:t xml:space="preserve">, </w:t>
      </w:r>
      <w:r w:rsidRPr="00201DB3">
        <w:rPr>
          <w:rFonts w:ascii="Times New Roman" w:hAnsi="Times New Roman" w:cs="Times New Roman"/>
          <w:sz w:val="22"/>
          <w:szCs w:val="22"/>
          <w:lang w:val="en-US"/>
        </w:rPr>
        <w:t xml:space="preserve">with increasing frustration with the problems of consistent and predictable application in practice. The role of consensus remained important. </w:t>
      </w:r>
      <w:r w:rsidR="00B45158" w:rsidRPr="00201DB3">
        <w:rPr>
          <w:rFonts w:ascii="Times New Roman" w:hAnsi="Times New Roman" w:cs="Times New Roman"/>
          <w:sz w:val="22"/>
          <w:szCs w:val="22"/>
          <w:lang w:val="en-US"/>
        </w:rPr>
        <w:t xml:space="preserve">In </w:t>
      </w:r>
      <w:r w:rsidR="000E5C55" w:rsidRPr="00201DB3">
        <w:rPr>
          <w:rFonts w:ascii="Times New Roman" w:hAnsi="Times New Roman" w:cs="Times New Roman"/>
          <w:sz w:val="22"/>
          <w:szCs w:val="22"/>
          <w:lang w:val="en-US"/>
        </w:rPr>
        <w:t>2006</w:t>
      </w:r>
      <w:r w:rsidR="00B45158" w:rsidRPr="00201DB3">
        <w:rPr>
          <w:rFonts w:ascii="Times New Roman" w:hAnsi="Times New Roman" w:cs="Times New Roman"/>
          <w:sz w:val="22"/>
          <w:szCs w:val="22"/>
          <w:lang w:val="en-US"/>
        </w:rPr>
        <w:t xml:space="preserve"> it was pointed out that there was a growing consensus built round the ALP. In </w:t>
      </w:r>
      <w:r w:rsidR="000E5C55" w:rsidRPr="00201DB3">
        <w:rPr>
          <w:rFonts w:ascii="Times New Roman" w:hAnsi="Times New Roman" w:cs="Times New Roman"/>
          <w:sz w:val="22"/>
          <w:szCs w:val="22"/>
          <w:lang w:val="en-US"/>
        </w:rPr>
        <w:t>2016/17</w:t>
      </w:r>
      <w:r w:rsidR="00B45158" w:rsidRPr="00201DB3">
        <w:rPr>
          <w:rFonts w:ascii="Times New Roman" w:hAnsi="Times New Roman" w:cs="Times New Roman"/>
          <w:sz w:val="22"/>
          <w:szCs w:val="22"/>
          <w:lang w:val="en-US"/>
        </w:rPr>
        <w:t xml:space="preserve"> it was pointed out that there were problems associated with the ALP, but the ALP was difficult to change due to the consensus that had built up around it</w:t>
      </w:r>
      <w:r w:rsidR="00654A26" w:rsidRPr="00201DB3">
        <w:rPr>
          <w:rFonts w:ascii="Times New Roman" w:hAnsi="Times New Roman" w:cs="Times New Roman"/>
          <w:sz w:val="22"/>
          <w:szCs w:val="22"/>
          <w:lang w:val="en-US"/>
        </w:rPr>
        <w:t xml:space="preserve">. </w:t>
      </w:r>
      <w:r w:rsidR="00B45158" w:rsidRPr="00201DB3">
        <w:rPr>
          <w:rFonts w:ascii="Times New Roman" w:hAnsi="Times New Roman" w:cs="Times New Roman"/>
          <w:sz w:val="22"/>
          <w:szCs w:val="22"/>
          <w:lang w:val="en-US"/>
        </w:rPr>
        <w:t xml:space="preserve">Accordingly, in </w:t>
      </w:r>
      <w:r w:rsidR="000E5C55" w:rsidRPr="00201DB3">
        <w:rPr>
          <w:rFonts w:ascii="Times New Roman" w:hAnsi="Times New Roman" w:cs="Times New Roman"/>
          <w:sz w:val="22"/>
          <w:szCs w:val="22"/>
          <w:lang w:val="en-US"/>
        </w:rPr>
        <w:t>2016/17</w:t>
      </w:r>
      <w:r w:rsidR="00B45158" w:rsidRPr="00201DB3">
        <w:rPr>
          <w:rFonts w:ascii="Times New Roman" w:hAnsi="Times New Roman" w:cs="Times New Roman"/>
          <w:sz w:val="22"/>
          <w:szCs w:val="22"/>
          <w:lang w:val="en-US"/>
        </w:rPr>
        <w:t xml:space="preserve"> </w:t>
      </w:r>
      <w:r w:rsidRPr="00201DB3">
        <w:rPr>
          <w:rFonts w:ascii="Times New Roman" w:hAnsi="Times New Roman" w:cs="Times New Roman"/>
          <w:sz w:val="22"/>
          <w:szCs w:val="22"/>
          <w:lang w:val="en-US"/>
        </w:rPr>
        <w:t xml:space="preserve">the existence of the consensus </w:t>
      </w:r>
      <w:r w:rsidR="00B45158" w:rsidRPr="00201DB3">
        <w:rPr>
          <w:rFonts w:ascii="Times New Roman" w:hAnsi="Times New Roman" w:cs="Times New Roman"/>
          <w:sz w:val="22"/>
          <w:szCs w:val="22"/>
          <w:lang w:val="en-US"/>
        </w:rPr>
        <w:t xml:space="preserve">was frequently given </w:t>
      </w:r>
      <w:r w:rsidRPr="00201DB3">
        <w:rPr>
          <w:rFonts w:ascii="Times New Roman" w:hAnsi="Times New Roman" w:cs="Times New Roman"/>
          <w:sz w:val="22"/>
          <w:szCs w:val="22"/>
          <w:lang w:val="en-US"/>
        </w:rPr>
        <w:t>as a reason for continuing with the ALP</w:t>
      </w:r>
      <w:r w:rsidR="006D0987" w:rsidRPr="00201DB3">
        <w:rPr>
          <w:rFonts w:ascii="Times New Roman" w:hAnsi="Times New Roman" w:cs="Times New Roman"/>
          <w:sz w:val="22"/>
          <w:szCs w:val="22"/>
          <w:lang w:val="en-US"/>
        </w:rPr>
        <w:t>;</w:t>
      </w:r>
      <w:r w:rsidRPr="00201DB3">
        <w:rPr>
          <w:rFonts w:ascii="Times New Roman" w:hAnsi="Times New Roman" w:cs="Times New Roman"/>
          <w:sz w:val="22"/>
          <w:szCs w:val="22"/>
          <w:lang w:val="en-US"/>
        </w:rPr>
        <w:t xml:space="preserve"> t</w:t>
      </w:r>
      <w:r w:rsidRPr="00201DB3">
        <w:rPr>
          <w:rFonts w:ascii="Times New Roman" w:hAnsi="Times New Roman" w:cs="Times New Roman"/>
          <w:sz w:val="22"/>
          <w:szCs w:val="22"/>
        </w:rPr>
        <w:t xml:space="preserve">he long-standing consensus for the established ALP meant it was difficult move away from it.  </w:t>
      </w:r>
    </w:p>
    <w:p w14:paraId="279ACA1B" w14:textId="77777777" w:rsidR="00E37210" w:rsidRPr="00201DB3" w:rsidRDefault="00E37210" w:rsidP="00201DB3">
      <w:pPr>
        <w:spacing w:after="0" w:line="240" w:lineRule="auto"/>
        <w:rPr>
          <w:rFonts w:ascii="Times New Roman" w:hAnsi="Times New Roman" w:cs="Times New Roman"/>
          <w:sz w:val="22"/>
          <w:szCs w:val="22"/>
        </w:rPr>
      </w:pPr>
    </w:p>
    <w:p w14:paraId="530E62E4" w14:textId="1F8D598C" w:rsidR="00D52D31" w:rsidRPr="00201DB3" w:rsidRDefault="00DD22A6"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 xml:space="preserve">A shift </w:t>
      </w:r>
      <w:r w:rsidR="004326C8" w:rsidRPr="00201DB3">
        <w:rPr>
          <w:rFonts w:ascii="Times New Roman" w:hAnsi="Times New Roman" w:cs="Times New Roman"/>
          <w:sz w:val="22"/>
          <w:szCs w:val="22"/>
          <w:lang w:val="en-US"/>
        </w:rPr>
        <w:t>to an increased op</w:t>
      </w:r>
      <w:r w:rsidRPr="00201DB3">
        <w:rPr>
          <w:rFonts w:ascii="Times New Roman" w:hAnsi="Times New Roman" w:cs="Times New Roman"/>
          <w:sz w:val="22"/>
          <w:szCs w:val="22"/>
          <w:lang w:val="en-US"/>
        </w:rPr>
        <w:t xml:space="preserve">enness to </w:t>
      </w:r>
      <w:r w:rsidR="004326C8" w:rsidRPr="00201DB3">
        <w:rPr>
          <w:rFonts w:ascii="Times New Roman" w:hAnsi="Times New Roman" w:cs="Times New Roman"/>
          <w:sz w:val="22"/>
          <w:szCs w:val="22"/>
          <w:lang w:val="en-US"/>
        </w:rPr>
        <w:t xml:space="preserve">the possibility of </w:t>
      </w:r>
      <w:r w:rsidR="008359C7" w:rsidRPr="00201DB3">
        <w:rPr>
          <w:rFonts w:ascii="Times New Roman" w:hAnsi="Times New Roman" w:cs="Times New Roman"/>
          <w:sz w:val="22"/>
          <w:szCs w:val="22"/>
          <w:lang w:val="en-US"/>
        </w:rPr>
        <w:t xml:space="preserve">formulary </w:t>
      </w:r>
      <w:r w:rsidR="00114F90" w:rsidRPr="00201DB3">
        <w:rPr>
          <w:rFonts w:ascii="Times New Roman" w:hAnsi="Times New Roman" w:cs="Times New Roman"/>
          <w:sz w:val="22"/>
          <w:szCs w:val="22"/>
          <w:lang w:val="en-US"/>
        </w:rPr>
        <w:t>apportionment</w:t>
      </w:r>
      <w:r w:rsidR="004326C8" w:rsidRPr="00201DB3">
        <w:rPr>
          <w:rFonts w:ascii="Times New Roman" w:hAnsi="Times New Roman" w:cs="Times New Roman"/>
          <w:sz w:val="22"/>
          <w:szCs w:val="22"/>
          <w:lang w:val="en-US"/>
        </w:rPr>
        <w:t xml:space="preserve"> in </w:t>
      </w:r>
      <w:r w:rsidR="00A11519" w:rsidRPr="00201DB3">
        <w:rPr>
          <w:rFonts w:ascii="Times New Roman" w:hAnsi="Times New Roman" w:cs="Times New Roman"/>
          <w:sz w:val="22"/>
          <w:szCs w:val="22"/>
          <w:lang w:val="en-US"/>
        </w:rPr>
        <w:t>2016</w:t>
      </w:r>
      <w:r w:rsidR="00D52D31" w:rsidRPr="00201DB3">
        <w:rPr>
          <w:rFonts w:ascii="Times New Roman" w:hAnsi="Times New Roman" w:cs="Times New Roman"/>
          <w:sz w:val="22"/>
          <w:szCs w:val="22"/>
          <w:lang w:val="en-US"/>
        </w:rPr>
        <w:t>/17</w:t>
      </w:r>
      <w:r w:rsidR="00A11519" w:rsidRPr="00201DB3">
        <w:rPr>
          <w:rFonts w:ascii="Times New Roman" w:hAnsi="Times New Roman" w:cs="Times New Roman"/>
          <w:sz w:val="22"/>
          <w:szCs w:val="22"/>
          <w:lang w:val="en-US"/>
        </w:rPr>
        <w:t xml:space="preserve"> was also associated with an </w:t>
      </w:r>
      <w:r w:rsidR="000503E7" w:rsidRPr="00201DB3">
        <w:rPr>
          <w:rFonts w:ascii="Times New Roman" w:hAnsi="Times New Roman" w:cs="Times New Roman"/>
          <w:sz w:val="22"/>
          <w:szCs w:val="22"/>
          <w:lang w:val="en-US"/>
        </w:rPr>
        <w:t>increased discussion of i</w:t>
      </w:r>
      <w:r w:rsidR="00830222" w:rsidRPr="00201DB3">
        <w:rPr>
          <w:rFonts w:ascii="Times New Roman" w:hAnsi="Times New Roman" w:cs="Times New Roman"/>
          <w:sz w:val="22"/>
          <w:szCs w:val="22"/>
          <w:lang w:val="en-US"/>
        </w:rPr>
        <w:t>ts</w:t>
      </w:r>
      <w:r w:rsidR="00A11519" w:rsidRPr="00201DB3">
        <w:rPr>
          <w:rFonts w:ascii="Times New Roman" w:hAnsi="Times New Roman" w:cs="Times New Roman"/>
          <w:sz w:val="22"/>
          <w:szCs w:val="22"/>
          <w:lang w:val="en-US"/>
        </w:rPr>
        <w:t xml:space="preserve"> </w:t>
      </w:r>
      <w:r w:rsidR="005B6D50" w:rsidRPr="00201DB3">
        <w:rPr>
          <w:rFonts w:ascii="Times New Roman" w:hAnsi="Times New Roman" w:cs="Times New Roman"/>
          <w:sz w:val="22"/>
          <w:szCs w:val="22"/>
          <w:lang w:val="en-US"/>
        </w:rPr>
        <w:t>practical challenges</w:t>
      </w:r>
      <w:r w:rsidR="000503E7" w:rsidRPr="00201DB3">
        <w:rPr>
          <w:rFonts w:ascii="Times New Roman" w:hAnsi="Times New Roman" w:cs="Times New Roman"/>
          <w:sz w:val="22"/>
          <w:szCs w:val="22"/>
          <w:lang w:val="en-US"/>
        </w:rPr>
        <w:t xml:space="preserve">, </w:t>
      </w:r>
      <w:r w:rsidR="00A11519" w:rsidRPr="00201DB3">
        <w:rPr>
          <w:rFonts w:ascii="Times New Roman" w:hAnsi="Times New Roman" w:cs="Times New Roman"/>
          <w:sz w:val="22"/>
          <w:szCs w:val="22"/>
          <w:lang w:val="en-US"/>
        </w:rPr>
        <w:t>which were</w:t>
      </w:r>
      <w:r w:rsidR="005B6D50" w:rsidRPr="00201DB3">
        <w:rPr>
          <w:rFonts w:ascii="Times New Roman" w:hAnsi="Times New Roman" w:cs="Times New Roman"/>
          <w:sz w:val="22"/>
          <w:szCs w:val="22"/>
          <w:lang w:val="en-US"/>
        </w:rPr>
        <w:t xml:space="preserve"> discussed </w:t>
      </w:r>
      <w:r w:rsidR="00A11519" w:rsidRPr="00201DB3">
        <w:rPr>
          <w:rFonts w:ascii="Times New Roman" w:hAnsi="Times New Roman" w:cs="Times New Roman"/>
          <w:sz w:val="22"/>
          <w:szCs w:val="22"/>
          <w:lang w:val="en-US"/>
        </w:rPr>
        <w:t xml:space="preserve">in </w:t>
      </w:r>
      <w:r w:rsidR="005B6D50" w:rsidRPr="00201DB3">
        <w:rPr>
          <w:rFonts w:ascii="Times New Roman" w:hAnsi="Times New Roman" w:cs="Times New Roman"/>
          <w:sz w:val="22"/>
          <w:szCs w:val="22"/>
          <w:lang w:val="en-US"/>
        </w:rPr>
        <w:t xml:space="preserve">much more </w:t>
      </w:r>
      <w:r w:rsidR="00A11519" w:rsidRPr="00201DB3">
        <w:rPr>
          <w:rFonts w:ascii="Times New Roman" w:hAnsi="Times New Roman" w:cs="Times New Roman"/>
          <w:sz w:val="22"/>
          <w:szCs w:val="22"/>
          <w:lang w:val="en-US"/>
        </w:rPr>
        <w:t xml:space="preserve">detail </w:t>
      </w:r>
      <w:r w:rsidR="005B6D50" w:rsidRPr="00201DB3">
        <w:rPr>
          <w:rFonts w:ascii="Times New Roman" w:hAnsi="Times New Roman" w:cs="Times New Roman"/>
          <w:sz w:val="22"/>
          <w:szCs w:val="22"/>
          <w:lang w:val="en-US"/>
        </w:rPr>
        <w:t xml:space="preserve">than </w:t>
      </w:r>
      <w:r w:rsidR="00A11519" w:rsidRPr="00201DB3">
        <w:rPr>
          <w:rFonts w:ascii="Times New Roman" w:hAnsi="Times New Roman" w:cs="Times New Roman"/>
          <w:sz w:val="22"/>
          <w:szCs w:val="22"/>
          <w:lang w:val="en-US"/>
        </w:rPr>
        <w:t>2006</w:t>
      </w:r>
      <w:r w:rsidR="00D7061D" w:rsidRPr="00201DB3">
        <w:rPr>
          <w:rFonts w:ascii="Times New Roman" w:hAnsi="Times New Roman" w:cs="Times New Roman"/>
          <w:sz w:val="22"/>
          <w:szCs w:val="22"/>
          <w:lang w:val="en-US"/>
        </w:rPr>
        <w:t xml:space="preserve">. </w:t>
      </w:r>
      <w:r w:rsidR="00DE638F" w:rsidRPr="00201DB3">
        <w:rPr>
          <w:rFonts w:ascii="Times New Roman" w:hAnsi="Times New Roman" w:cs="Times New Roman"/>
          <w:sz w:val="22"/>
          <w:szCs w:val="22"/>
          <w:lang w:val="en-US"/>
        </w:rPr>
        <w:t>Concerns</w:t>
      </w:r>
      <w:r w:rsidR="00887D29" w:rsidRPr="00201DB3">
        <w:rPr>
          <w:rFonts w:ascii="Times New Roman" w:hAnsi="Times New Roman" w:cs="Times New Roman"/>
          <w:sz w:val="22"/>
          <w:szCs w:val="22"/>
          <w:lang w:val="en-US"/>
        </w:rPr>
        <w:t xml:space="preserve"> were raised about the selection and use of specific formulas</w:t>
      </w:r>
      <w:r w:rsidR="003040EE" w:rsidRPr="00201DB3">
        <w:rPr>
          <w:rFonts w:ascii="Times New Roman" w:hAnsi="Times New Roman" w:cs="Times New Roman"/>
          <w:sz w:val="22"/>
          <w:szCs w:val="22"/>
          <w:lang w:val="en-US"/>
        </w:rPr>
        <w:t xml:space="preserve">, </w:t>
      </w:r>
      <w:r w:rsidR="00887D29" w:rsidRPr="00201DB3">
        <w:rPr>
          <w:rFonts w:ascii="Times New Roman" w:hAnsi="Times New Roman" w:cs="Times New Roman"/>
          <w:sz w:val="22"/>
          <w:szCs w:val="22"/>
          <w:lang w:val="en-US"/>
        </w:rPr>
        <w:t xml:space="preserve">highlighting the </w:t>
      </w:r>
      <w:r w:rsidR="004C25EE" w:rsidRPr="00201DB3">
        <w:rPr>
          <w:rFonts w:ascii="Times New Roman" w:hAnsi="Times New Roman" w:cs="Times New Roman"/>
          <w:sz w:val="22"/>
          <w:szCs w:val="22"/>
          <w:lang w:val="en-US"/>
        </w:rPr>
        <w:t xml:space="preserve">recurrent </w:t>
      </w:r>
      <w:r w:rsidR="00887D29" w:rsidRPr="00201DB3">
        <w:rPr>
          <w:rFonts w:ascii="Times New Roman" w:hAnsi="Times New Roman" w:cs="Times New Roman"/>
          <w:sz w:val="22"/>
          <w:szCs w:val="22"/>
          <w:lang w:val="en-US"/>
        </w:rPr>
        <w:t>tension between flexibility</w:t>
      </w:r>
      <w:r w:rsidR="00A10D6E" w:rsidRPr="00201DB3">
        <w:rPr>
          <w:rFonts w:ascii="Times New Roman" w:hAnsi="Times New Roman" w:cs="Times New Roman"/>
          <w:sz w:val="22"/>
          <w:szCs w:val="22"/>
          <w:lang w:val="en-US"/>
        </w:rPr>
        <w:t xml:space="preserve"> (</w:t>
      </w:r>
      <w:r w:rsidR="00C644F7" w:rsidRPr="00201DB3">
        <w:rPr>
          <w:rFonts w:ascii="Times New Roman" w:hAnsi="Times New Roman" w:cs="Times New Roman"/>
          <w:sz w:val="22"/>
          <w:szCs w:val="22"/>
          <w:lang w:val="en-US"/>
        </w:rPr>
        <w:t xml:space="preserve">giving rise </w:t>
      </w:r>
      <w:r w:rsidR="00CD7D42" w:rsidRPr="00201DB3">
        <w:rPr>
          <w:rFonts w:ascii="Times New Roman" w:hAnsi="Times New Roman" w:cs="Times New Roman"/>
          <w:sz w:val="22"/>
          <w:szCs w:val="22"/>
          <w:lang w:val="en-US"/>
        </w:rPr>
        <w:t>to complexity</w:t>
      </w:r>
      <w:r w:rsidR="00A10D6E" w:rsidRPr="00201DB3">
        <w:rPr>
          <w:rFonts w:ascii="Times New Roman" w:hAnsi="Times New Roman" w:cs="Times New Roman"/>
          <w:sz w:val="22"/>
          <w:szCs w:val="22"/>
          <w:lang w:val="en-US"/>
        </w:rPr>
        <w:t xml:space="preserve">) and </w:t>
      </w:r>
      <w:r w:rsidR="00887D29" w:rsidRPr="00201DB3">
        <w:rPr>
          <w:rFonts w:ascii="Times New Roman" w:hAnsi="Times New Roman" w:cs="Times New Roman"/>
          <w:sz w:val="22"/>
          <w:szCs w:val="22"/>
          <w:lang w:val="en-US"/>
        </w:rPr>
        <w:t xml:space="preserve">simplicity, </w:t>
      </w:r>
      <w:r w:rsidR="00A10D6E" w:rsidRPr="00201DB3">
        <w:rPr>
          <w:rFonts w:ascii="Times New Roman" w:hAnsi="Times New Roman" w:cs="Times New Roman"/>
          <w:sz w:val="22"/>
          <w:szCs w:val="22"/>
          <w:lang w:val="en-US"/>
        </w:rPr>
        <w:t>(</w:t>
      </w:r>
      <w:r w:rsidR="00C644F7" w:rsidRPr="00201DB3">
        <w:rPr>
          <w:rFonts w:ascii="Times New Roman" w:hAnsi="Times New Roman" w:cs="Times New Roman"/>
          <w:sz w:val="22"/>
          <w:szCs w:val="22"/>
          <w:lang w:val="en-US"/>
        </w:rPr>
        <w:t>arising from inflexibility</w:t>
      </w:r>
      <w:r w:rsidR="00A10D6E" w:rsidRPr="00201DB3">
        <w:rPr>
          <w:rFonts w:ascii="Times New Roman" w:hAnsi="Times New Roman" w:cs="Times New Roman"/>
          <w:sz w:val="22"/>
          <w:szCs w:val="22"/>
          <w:lang w:val="en-US"/>
        </w:rPr>
        <w:t>)</w:t>
      </w:r>
      <w:r w:rsidR="00887D29" w:rsidRPr="00201DB3">
        <w:rPr>
          <w:rFonts w:ascii="Times New Roman" w:hAnsi="Times New Roman" w:cs="Times New Roman"/>
          <w:sz w:val="22"/>
          <w:szCs w:val="22"/>
          <w:lang w:val="en-US"/>
        </w:rPr>
        <w:t xml:space="preserve">.  </w:t>
      </w:r>
      <w:r w:rsidR="004C25EE" w:rsidRPr="00201DB3">
        <w:rPr>
          <w:rFonts w:ascii="Times New Roman" w:hAnsi="Times New Roman" w:cs="Times New Roman"/>
          <w:sz w:val="22"/>
          <w:szCs w:val="22"/>
          <w:lang w:val="en-US"/>
        </w:rPr>
        <w:t xml:space="preserve">Also, the potential for tax avoidance under formulary apportionment, </w:t>
      </w:r>
      <w:r w:rsidR="00A10D6E" w:rsidRPr="00201DB3">
        <w:rPr>
          <w:rFonts w:ascii="Times New Roman" w:hAnsi="Times New Roman" w:cs="Times New Roman"/>
          <w:sz w:val="22"/>
          <w:szCs w:val="22"/>
          <w:lang w:val="en-US"/>
        </w:rPr>
        <w:t xml:space="preserve">for example by </w:t>
      </w:r>
      <w:r w:rsidR="004C25EE" w:rsidRPr="00201DB3">
        <w:rPr>
          <w:rFonts w:ascii="Times New Roman" w:hAnsi="Times New Roman" w:cs="Times New Roman"/>
          <w:sz w:val="22"/>
          <w:szCs w:val="22"/>
          <w:lang w:val="en-US"/>
        </w:rPr>
        <w:t>factor-shifting, was raised by all interviewees</w:t>
      </w:r>
      <w:r w:rsidR="003040EE" w:rsidRPr="00201DB3">
        <w:rPr>
          <w:rFonts w:ascii="Times New Roman" w:hAnsi="Times New Roman" w:cs="Times New Roman"/>
          <w:sz w:val="22"/>
          <w:szCs w:val="22"/>
          <w:lang w:val="en-US"/>
        </w:rPr>
        <w:t xml:space="preserve">. </w:t>
      </w:r>
      <w:r w:rsidR="00D52D31" w:rsidRPr="00201DB3">
        <w:rPr>
          <w:rFonts w:ascii="Times New Roman" w:hAnsi="Times New Roman" w:cs="Times New Roman"/>
          <w:sz w:val="22"/>
          <w:szCs w:val="22"/>
        </w:rPr>
        <w:t xml:space="preserve">The potential for factor shifting had been </w:t>
      </w:r>
      <w:r w:rsidR="000E5C55" w:rsidRPr="00201DB3">
        <w:rPr>
          <w:rFonts w:ascii="Times New Roman" w:hAnsi="Times New Roman" w:cs="Times New Roman"/>
          <w:sz w:val="22"/>
          <w:szCs w:val="22"/>
        </w:rPr>
        <w:t xml:space="preserve">mentioned </w:t>
      </w:r>
      <w:r w:rsidR="00D52D31" w:rsidRPr="00201DB3">
        <w:rPr>
          <w:rFonts w:ascii="Times New Roman" w:hAnsi="Times New Roman" w:cs="Times New Roman"/>
          <w:sz w:val="22"/>
          <w:szCs w:val="22"/>
        </w:rPr>
        <w:t xml:space="preserve">in </w:t>
      </w:r>
      <w:r w:rsidR="00BD5B52" w:rsidRPr="00201DB3">
        <w:rPr>
          <w:rFonts w:ascii="Times New Roman" w:hAnsi="Times New Roman" w:cs="Times New Roman"/>
          <w:sz w:val="22"/>
          <w:szCs w:val="22"/>
        </w:rPr>
        <w:t xml:space="preserve">2006 </w:t>
      </w:r>
      <w:r w:rsidR="00D52D31" w:rsidRPr="00201DB3">
        <w:rPr>
          <w:rFonts w:ascii="Times New Roman" w:hAnsi="Times New Roman" w:cs="Times New Roman"/>
          <w:sz w:val="22"/>
          <w:szCs w:val="22"/>
        </w:rPr>
        <w:t xml:space="preserve">but </w:t>
      </w:r>
      <w:r w:rsidR="006D0987" w:rsidRPr="00201DB3">
        <w:rPr>
          <w:rFonts w:ascii="Times New Roman" w:hAnsi="Times New Roman" w:cs="Times New Roman"/>
          <w:sz w:val="22"/>
          <w:szCs w:val="22"/>
        </w:rPr>
        <w:t>in</w:t>
      </w:r>
      <w:r w:rsidR="00D52D31" w:rsidRPr="00201DB3">
        <w:rPr>
          <w:rFonts w:ascii="Times New Roman" w:hAnsi="Times New Roman" w:cs="Times New Roman"/>
          <w:sz w:val="22"/>
          <w:szCs w:val="22"/>
        </w:rPr>
        <w:t xml:space="preserve"> less </w:t>
      </w:r>
      <w:r w:rsidR="006D0987" w:rsidRPr="00201DB3">
        <w:rPr>
          <w:rFonts w:ascii="Times New Roman" w:hAnsi="Times New Roman" w:cs="Times New Roman"/>
          <w:sz w:val="22"/>
          <w:szCs w:val="22"/>
        </w:rPr>
        <w:t>detail</w:t>
      </w:r>
      <w:r w:rsidR="00D52D31" w:rsidRPr="00201DB3">
        <w:rPr>
          <w:rFonts w:ascii="Times New Roman" w:hAnsi="Times New Roman" w:cs="Times New Roman"/>
          <w:sz w:val="22"/>
          <w:szCs w:val="22"/>
        </w:rPr>
        <w:t xml:space="preserve">, largely because many </w:t>
      </w:r>
      <w:r w:rsidR="00695A66" w:rsidRPr="00201DB3">
        <w:rPr>
          <w:rFonts w:ascii="Times New Roman" w:hAnsi="Times New Roman" w:cs="Times New Roman"/>
          <w:sz w:val="22"/>
          <w:szCs w:val="22"/>
        </w:rPr>
        <w:t xml:space="preserve">had </w:t>
      </w:r>
      <w:r w:rsidR="00D52D31" w:rsidRPr="00201DB3">
        <w:rPr>
          <w:rFonts w:ascii="Times New Roman" w:hAnsi="Times New Roman" w:cs="Times New Roman"/>
          <w:sz w:val="22"/>
          <w:szCs w:val="22"/>
        </w:rPr>
        <w:t xml:space="preserve">dismissed </w:t>
      </w:r>
      <w:r w:rsidR="008359C7" w:rsidRPr="00201DB3">
        <w:rPr>
          <w:rFonts w:ascii="Times New Roman" w:hAnsi="Times New Roman" w:cs="Times New Roman"/>
          <w:sz w:val="22"/>
          <w:szCs w:val="22"/>
        </w:rPr>
        <w:t>formulary apportionment a</w:t>
      </w:r>
      <w:r w:rsidR="00D52D31" w:rsidRPr="00201DB3">
        <w:rPr>
          <w:rFonts w:ascii="Times New Roman" w:hAnsi="Times New Roman" w:cs="Times New Roman"/>
          <w:sz w:val="22"/>
          <w:szCs w:val="22"/>
        </w:rPr>
        <w:t xml:space="preserve">s not meriting discussion. </w:t>
      </w:r>
    </w:p>
    <w:p w14:paraId="18C4BC01" w14:textId="77777777" w:rsidR="00D52D31" w:rsidRPr="00201DB3" w:rsidRDefault="00D52D31" w:rsidP="00201DB3">
      <w:pPr>
        <w:spacing w:after="0" w:line="240" w:lineRule="auto"/>
        <w:rPr>
          <w:rFonts w:ascii="Times New Roman" w:hAnsi="Times New Roman" w:cs="Times New Roman"/>
          <w:sz w:val="22"/>
          <w:szCs w:val="22"/>
        </w:rPr>
      </w:pPr>
    </w:p>
    <w:p w14:paraId="0D505336" w14:textId="1DBF402C" w:rsidR="00D52D31" w:rsidRPr="00201DB3" w:rsidRDefault="00C31FDA" w:rsidP="00201DB3">
      <w:pPr>
        <w:spacing w:after="0" w:line="240" w:lineRule="auto"/>
        <w:rPr>
          <w:rFonts w:ascii="Times New Roman" w:hAnsi="Times New Roman" w:cs="Times New Roman"/>
          <w:i/>
          <w:sz w:val="22"/>
          <w:szCs w:val="22"/>
        </w:rPr>
      </w:pPr>
      <w:r w:rsidRPr="00201DB3">
        <w:rPr>
          <w:rFonts w:ascii="Times New Roman" w:hAnsi="Times New Roman" w:cs="Times New Roman"/>
          <w:i/>
          <w:sz w:val="22"/>
          <w:szCs w:val="22"/>
        </w:rPr>
        <w:t>201</w:t>
      </w:r>
      <w:r w:rsidR="00FD73E8" w:rsidRPr="00201DB3">
        <w:rPr>
          <w:rFonts w:ascii="Times New Roman" w:hAnsi="Times New Roman" w:cs="Times New Roman"/>
          <w:i/>
          <w:sz w:val="22"/>
          <w:szCs w:val="22"/>
        </w:rPr>
        <w:t>6</w:t>
      </w:r>
      <w:r w:rsidRPr="00201DB3">
        <w:rPr>
          <w:rFonts w:ascii="Times New Roman" w:hAnsi="Times New Roman" w:cs="Times New Roman"/>
          <w:i/>
          <w:sz w:val="22"/>
          <w:szCs w:val="22"/>
        </w:rPr>
        <w:t xml:space="preserve">/17 </w:t>
      </w:r>
      <w:r w:rsidR="00D52D31" w:rsidRPr="00201DB3">
        <w:rPr>
          <w:rFonts w:ascii="Times New Roman" w:hAnsi="Times New Roman" w:cs="Times New Roman"/>
          <w:i/>
          <w:sz w:val="22"/>
          <w:szCs w:val="22"/>
        </w:rPr>
        <w:t>Formulary approaches in practice</w:t>
      </w:r>
    </w:p>
    <w:p w14:paraId="207594BE" w14:textId="413BA32F" w:rsidR="004C25EE" w:rsidRPr="00201DB3" w:rsidRDefault="008D5EAB"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rPr>
        <w:t xml:space="preserve">Interviewees gave examples </w:t>
      </w:r>
      <w:r w:rsidR="00654A26" w:rsidRPr="00201DB3">
        <w:rPr>
          <w:rFonts w:ascii="Times New Roman" w:hAnsi="Times New Roman" w:cs="Times New Roman"/>
          <w:sz w:val="22"/>
          <w:szCs w:val="22"/>
        </w:rPr>
        <w:t xml:space="preserve">of </w:t>
      </w:r>
      <w:r w:rsidRPr="00201DB3">
        <w:rPr>
          <w:rFonts w:ascii="Times New Roman" w:hAnsi="Times New Roman" w:cs="Times New Roman"/>
          <w:sz w:val="22"/>
          <w:szCs w:val="22"/>
        </w:rPr>
        <w:t>whe</w:t>
      </w:r>
      <w:r w:rsidR="00A11519" w:rsidRPr="00201DB3">
        <w:rPr>
          <w:rFonts w:ascii="Times New Roman" w:hAnsi="Times New Roman" w:cs="Times New Roman"/>
          <w:sz w:val="22"/>
          <w:szCs w:val="22"/>
        </w:rPr>
        <w:t>re</w:t>
      </w:r>
      <w:r w:rsidRPr="00201DB3">
        <w:rPr>
          <w:rFonts w:ascii="Times New Roman" w:hAnsi="Times New Roman" w:cs="Times New Roman"/>
          <w:sz w:val="22"/>
          <w:szCs w:val="22"/>
        </w:rPr>
        <w:t xml:space="preserve"> an apportionment approach </w:t>
      </w:r>
      <w:r w:rsidR="00A11519" w:rsidRPr="00201DB3">
        <w:rPr>
          <w:rFonts w:ascii="Times New Roman" w:hAnsi="Times New Roman" w:cs="Times New Roman"/>
          <w:sz w:val="22"/>
          <w:szCs w:val="22"/>
        </w:rPr>
        <w:t>was</w:t>
      </w:r>
      <w:r w:rsidRPr="00201DB3">
        <w:rPr>
          <w:rFonts w:ascii="Times New Roman" w:hAnsi="Times New Roman" w:cs="Times New Roman"/>
          <w:sz w:val="22"/>
          <w:szCs w:val="22"/>
        </w:rPr>
        <w:t xml:space="preserve"> followed in practice</w:t>
      </w:r>
      <w:r w:rsidR="00CC023B" w:rsidRPr="00201DB3">
        <w:rPr>
          <w:rFonts w:ascii="Times New Roman" w:hAnsi="Times New Roman" w:cs="Times New Roman"/>
          <w:sz w:val="22"/>
          <w:szCs w:val="22"/>
        </w:rPr>
        <w:t xml:space="preserve">, </w:t>
      </w:r>
      <w:r w:rsidRPr="00201DB3">
        <w:rPr>
          <w:rFonts w:ascii="Times New Roman" w:hAnsi="Times New Roman" w:cs="Times New Roman"/>
          <w:sz w:val="22"/>
          <w:szCs w:val="22"/>
        </w:rPr>
        <w:t>in particular</w:t>
      </w:r>
      <w:r w:rsidR="006B56A8" w:rsidRPr="00201DB3">
        <w:rPr>
          <w:rFonts w:ascii="Times New Roman" w:hAnsi="Times New Roman" w:cs="Times New Roman"/>
          <w:sz w:val="22"/>
          <w:szCs w:val="22"/>
        </w:rPr>
        <w:t xml:space="preserve"> increased</w:t>
      </w:r>
      <w:r w:rsidRPr="00201DB3">
        <w:rPr>
          <w:rFonts w:ascii="Times New Roman" w:hAnsi="Times New Roman" w:cs="Times New Roman"/>
          <w:sz w:val="22"/>
          <w:szCs w:val="22"/>
        </w:rPr>
        <w:t xml:space="preserve"> use of a profit split approach</w:t>
      </w:r>
      <w:r w:rsidR="007D0659" w:rsidRPr="00201DB3">
        <w:rPr>
          <w:rFonts w:ascii="Times New Roman" w:hAnsi="Times New Roman" w:cs="Times New Roman"/>
          <w:sz w:val="22"/>
          <w:szCs w:val="22"/>
        </w:rPr>
        <w:t>.</w:t>
      </w:r>
      <w:r w:rsidRPr="00201DB3">
        <w:rPr>
          <w:rFonts w:ascii="Times New Roman" w:hAnsi="Times New Roman" w:cs="Times New Roman"/>
          <w:sz w:val="22"/>
          <w:szCs w:val="22"/>
          <w:lang w:val="en-US"/>
        </w:rPr>
        <w:t xml:space="preserve"> </w:t>
      </w:r>
      <w:r w:rsidR="004C25EE" w:rsidRPr="00201DB3">
        <w:rPr>
          <w:rFonts w:ascii="Times New Roman" w:hAnsi="Times New Roman" w:cs="Times New Roman"/>
          <w:sz w:val="22"/>
          <w:szCs w:val="22"/>
          <w:lang w:val="en-US"/>
        </w:rPr>
        <w:t>An</w:t>
      </w:r>
      <w:r w:rsidR="007D0659" w:rsidRPr="00201DB3">
        <w:rPr>
          <w:rFonts w:ascii="Times New Roman" w:hAnsi="Times New Roman" w:cs="Times New Roman"/>
          <w:sz w:val="22"/>
          <w:szCs w:val="22"/>
          <w:lang w:val="en-US"/>
        </w:rPr>
        <w:t xml:space="preserve"> interviewee</w:t>
      </w:r>
      <w:r w:rsidR="004C25EE" w:rsidRPr="00201DB3">
        <w:rPr>
          <w:rFonts w:ascii="Times New Roman" w:hAnsi="Times New Roman" w:cs="Times New Roman"/>
          <w:sz w:val="22"/>
          <w:szCs w:val="22"/>
          <w:lang w:val="en-US"/>
        </w:rPr>
        <w:t xml:space="preserve"> linked the increased use of profit splits to formulary apportionment:</w:t>
      </w:r>
    </w:p>
    <w:p w14:paraId="5E7D5231" w14:textId="7FAB76F6" w:rsidR="008D5EAB" w:rsidRPr="00201DB3" w:rsidRDefault="004C25EE" w:rsidP="00201DB3">
      <w:pPr>
        <w:spacing w:after="0" w:line="240" w:lineRule="auto"/>
        <w:ind w:left="397"/>
        <w:rPr>
          <w:rFonts w:ascii="Times New Roman" w:hAnsi="Times New Roman" w:cs="Times New Roman"/>
          <w:sz w:val="22"/>
          <w:szCs w:val="22"/>
          <w:lang w:val="en-US"/>
        </w:rPr>
      </w:pPr>
      <w:r w:rsidRPr="00201DB3">
        <w:rPr>
          <w:rFonts w:ascii="Times New Roman" w:hAnsi="Times New Roman" w:cs="Times New Roman"/>
          <w:sz w:val="22"/>
          <w:szCs w:val="22"/>
          <w:lang w:val="en-US"/>
        </w:rPr>
        <w:t>“mor</w:t>
      </w:r>
      <w:r w:rsidR="008D5EAB" w:rsidRPr="00201DB3">
        <w:rPr>
          <w:rFonts w:ascii="Times New Roman" w:hAnsi="Times New Roman" w:cs="Times New Roman"/>
          <w:sz w:val="22"/>
          <w:szCs w:val="22"/>
          <w:lang w:val="en-US"/>
        </w:rPr>
        <w:t>e widespread use of profit splits would inevitably lead to formulary apportionment. All formulary appointment is, is an administrative and simplified version of profit split</w:t>
      </w:r>
      <w:r w:rsidR="006B56A8" w:rsidRPr="00201DB3">
        <w:rPr>
          <w:rFonts w:ascii="Times New Roman" w:hAnsi="Times New Roman" w:cs="Times New Roman"/>
          <w:sz w:val="22"/>
          <w:szCs w:val="22"/>
          <w:lang w:val="en-US"/>
        </w:rPr>
        <w:t>”</w:t>
      </w:r>
      <w:r w:rsidR="003040EE" w:rsidRPr="00201DB3">
        <w:rPr>
          <w:rFonts w:ascii="Times New Roman" w:hAnsi="Times New Roman" w:cs="Times New Roman"/>
          <w:sz w:val="22"/>
          <w:szCs w:val="22"/>
          <w:lang w:val="en-US"/>
        </w:rPr>
        <w:t xml:space="preserve"> </w:t>
      </w:r>
      <w:r w:rsidR="003040EE" w:rsidRPr="00201DB3">
        <w:rPr>
          <w:rFonts w:ascii="Times New Roman" w:eastAsia="MS Mincho" w:hAnsi="Times New Roman" w:cs="Times New Roman"/>
          <w:sz w:val="22"/>
          <w:szCs w:val="22"/>
        </w:rPr>
        <w:t>(II-int).</w:t>
      </w:r>
    </w:p>
    <w:p w14:paraId="3E236DBC" w14:textId="77777777" w:rsidR="00A11519" w:rsidRPr="00201DB3" w:rsidRDefault="00A11519" w:rsidP="00201DB3">
      <w:pPr>
        <w:spacing w:after="0" w:line="240" w:lineRule="auto"/>
        <w:rPr>
          <w:rFonts w:ascii="Times New Roman" w:hAnsi="Times New Roman" w:cs="Times New Roman"/>
          <w:sz w:val="22"/>
          <w:szCs w:val="22"/>
          <w:lang w:val="en-US"/>
        </w:rPr>
      </w:pPr>
    </w:p>
    <w:p w14:paraId="586249B3" w14:textId="27F01F83" w:rsidR="008D5EAB" w:rsidRPr="00201DB3" w:rsidRDefault="004C25EE"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lang w:val="en-US"/>
        </w:rPr>
        <w:t>Furthermore, o</w:t>
      </w:r>
      <w:r w:rsidR="008D5EAB" w:rsidRPr="00201DB3">
        <w:rPr>
          <w:rFonts w:ascii="Times New Roman" w:hAnsi="Times New Roman" w:cs="Times New Roman"/>
          <w:sz w:val="22"/>
          <w:szCs w:val="22"/>
          <w:lang w:val="en-US"/>
        </w:rPr>
        <w:t>ver time</w:t>
      </w:r>
      <w:r w:rsidR="007D0659"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precedents and accepted practice have settled on approaches, that are formulary in nature</w:t>
      </w:r>
      <w:r w:rsidR="009A71EA" w:rsidRPr="00201DB3">
        <w:rPr>
          <w:rFonts w:ascii="Times New Roman" w:hAnsi="Times New Roman" w:cs="Times New Roman"/>
          <w:sz w:val="22"/>
          <w:szCs w:val="22"/>
          <w:lang w:val="en-US"/>
        </w:rPr>
        <w:t xml:space="preserve">, in line </w:t>
      </w:r>
      <w:r w:rsidR="00636F42" w:rsidRPr="00201DB3">
        <w:rPr>
          <w:rFonts w:ascii="Times New Roman" w:hAnsi="Times New Roman" w:cs="Times New Roman"/>
          <w:sz w:val="22"/>
          <w:szCs w:val="22"/>
          <w:lang w:val="en-US"/>
        </w:rPr>
        <w:t xml:space="preserve">with views that paying attention to using </w:t>
      </w:r>
      <w:r w:rsidR="006B56A8" w:rsidRPr="00201DB3">
        <w:rPr>
          <w:rFonts w:ascii="Times New Roman" w:hAnsi="Times New Roman" w:cs="Times New Roman"/>
          <w:sz w:val="22"/>
          <w:szCs w:val="22"/>
          <w:lang w:val="en-US"/>
        </w:rPr>
        <w:t xml:space="preserve">apportionment </w:t>
      </w:r>
      <w:r w:rsidR="00636F42" w:rsidRPr="00201DB3">
        <w:rPr>
          <w:rFonts w:ascii="Times New Roman" w:hAnsi="Times New Roman" w:cs="Times New Roman"/>
          <w:sz w:val="22"/>
          <w:szCs w:val="22"/>
          <w:lang w:val="en-US"/>
        </w:rPr>
        <w:t>for</w:t>
      </w:r>
      <w:r w:rsidR="006B56A8" w:rsidRPr="00201DB3">
        <w:rPr>
          <w:rFonts w:ascii="Times New Roman" w:hAnsi="Times New Roman" w:cs="Times New Roman"/>
          <w:sz w:val="22"/>
          <w:szCs w:val="22"/>
          <w:lang w:val="en-US"/>
        </w:rPr>
        <w:t xml:space="preserve"> </w:t>
      </w:r>
      <w:r w:rsidR="00636F42" w:rsidRPr="00201DB3">
        <w:rPr>
          <w:rFonts w:ascii="Times New Roman" w:hAnsi="Times New Roman" w:cs="Times New Roman"/>
          <w:sz w:val="22"/>
          <w:szCs w:val="22"/>
          <w:lang w:val="en-US"/>
        </w:rPr>
        <w:t xml:space="preserve">individual </w:t>
      </w:r>
      <w:r w:rsidR="004F4A61" w:rsidRPr="00201DB3">
        <w:rPr>
          <w:rFonts w:ascii="Times New Roman" w:hAnsi="Times New Roman" w:cs="Times New Roman"/>
          <w:sz w:val="22"/>
          <w:szCs w:val="22"/>
          <w:lang w:val="en-US"/>
        </w:rPr>
        <w:t>remedies,</w:t>
      </w:r>
      <w:r w:rsidR="00636F42" w:rsidRPr="00201DB3">
        <w:rPr>
          <w:rFonts w:ascii="Times New Roman" w:hAnsi="Times New Roman" w:cs="Times New Roman"/>
          <w:sz w:val="22"/>
          <w:szCs w:val="22"/>
          <w:lang w:val="en-US"/>
        </w:rPr>
        <w:t xml:space="preserve"> rather than</w:t>
      </w:r>
      <w:r w:rsidR="006B56A8" w:rsidRPr="00201DB3">
        <w:rPr>
          <w:rFonts w:ascii="Times New Roman" w:hAnsi="Times New Roman" w:cs="Times New Roman"/>
          <w:sz w:val="22"/>
          <w:szCs w:val="22"/>
          <w:lang w:val="en-US"/>
        </w:rPr>
        <w:t xml:space="preserve"> in </w:t>
      </w:r>
      <w:r w:rsidR="00887D29" w:rsidRPr="00201DB3">
        <w:rPr>
          <w:rFonts w:ascii="Times New Roman" w:hAnsi="Times New Roman" w:cs="Times New Roman"/>
          <w:sz w:val="22"/>
          <w:szCs w:val="22"/>
          <w:lang w:val="en-US"/>
        </w:rPr>
        <w:t>a</w:t>
      </w:r>
      <w:r w:rsidR="006B56A8" w:rsidRPr="00201DB3">
        <w:rPr>
          <w:rFonts w:ascii="Times New Roman" w:hAnsi="Times New Roman" w:cs="Times New Roman"/>
          <w:sz w:val="22"/>
          <w:szCs w:val="22"/>
          <w:lang w:val="en-US"/>
        </w:rPr>
        <w:t xml:space="preserve"> standard way</w:t>
      </w:r>
      <w:r w:rsidR="00636F42" w:rsidRPr="00201DB3">
        <w:rPr>
          <w:rFonts w:ascii="Times New Roman" w:hAnsi="Times New Roman" w:cs="Times New Roman"/>
          <w:sz w:val="22"/>
          <w:szCs w:val="22"/>
          <w:lang w:val="en-US"/>
        </w:rPr>
        <w:t xml:space="preserve"> is a sensible way forward</w:t>
      </w:r>
      <w:r w:rsidR="003C5332" w:rsidRPr="00201DB3">
        <w:rPr>
          <w:rStyle w:val="FootnoteReference"/>
          <w:rFonts w:ascii="Times New Roman" w:hAnsi="Times New Roman" w:cs="Times New Roman"/>
          <w:sz w:val="22"/>
          <w:szCs w:val="22"/>
          <w:lang w:val="en-US"/>
        </w:rPr>
        <w:footnoteReference w:id="63"/>
      </w:r>
      <w:r w:rsidR="00636F42" w:rsidRPr="00201DB3">
        <w:rPr>
          <w:rFonts w:ascii="Times New Roman" w:hAnsi="Times New Roman" w:cs="Times New Roman"/>
          <w:sz w:val="22"/>
          <w:szCs w:val="22"/>
          <w:lang w:val="en-US"/>
        </w:rPr>
        <w:t xml:space="preserve"> </w:t>
      </w:r>
      <w:r w:rsidR="00530CA3" w:rsidRPr="00201DB3">
        <w:rPr>
          <w:rFonts w:ascii="Times New Roman" w:hAnsi="Times New Roman" w:cs="Times New Roman"/>
          <w:sz w:val="22"/>
          <w:szCs w:val="22"/>
          <w:lang w:val="en-US"/>
        </w:rPr>
        <w:t>Gradually</w:t>
      </w:r>
      <w:r w:rsidR="00874F4B" w:rsidRPr="00201DB3">
        <w:rPr>
          <w:rFonts w:ascii="Times New Roman" w:hAnsi="Times New Roman" w:cs="Times New Roman"/>
          <w:sz w:val="22"/>
          <w:szCs w:val="22"/>
          <w:lang w:val="en-US"/>
        </w:rPr>
        <w:t>,</w:t>
      </w:r>
      <w:r w:rsidR="00955269" w:rsidRPr="00201DB3">
        <w:rPr>
          <w:rFonts w:ascii="Times New Roman" w:hAnsi="Times New Roman" w:cs="Times New Roman"/>
          <w:sz w:val="22"/>
          <w:szCs w:val="22"/>
          <w:lang w:val="en-US"/>
        </w:rPr>
        <w:t xml:space="preserve"> </w:t>
      </w:r>
      <w:r w:rsidRPr="00201DB3">
        <w:rPr>
          <w:rFonts w:ascii="Times New Roman" w:hAnsi="Times New Roman" w:cs="Times New Roman"/>
          <w:sz w:val="22"/>
          <w:szCs w:val="22"/>
          <w:lang w:val="en-US"/>
        </w:rPr>
        <w:t xml:space="preserve">over time </w:t>
      </w:r>
      <w:r w:rsidR="00955269" w:rsidRPr="00201DB3">
        <w:rPr>
          <w:rFonts w:ascii="Times New Roman" w:hAnsi="Times New Roman" w:cs="Times New Roman"/>
          <w:sz w:val="22"/>
          <w:szCs w:val="22"/>
          <w:lang w:val="en-US"/>
        </w:rPr>
        <w:t>aspects of a profit split</w:t>
      </w:r>
      <w:r w:rsidR="00636F42" w:rsidRPr="00201DB3">
        <w:rPr>
          <w:rFonts w:ascii="Times New Roman" w:hAnsi="Times New Roman" w:cs="Times New Roman"/>
          <w:sz w:val="22"/>
          <w:szCs w:val="22"/>
          <w:lang w:val="en-US"/>
        </w:rPr>
        <w:t xml:space="preserve"> approach, such as a certain percentage</w:t>
      </w:r>
      <w:r w:rsidR="00B80FB8" w:rsidRPr="00201DB3">
        <w:rPr>
          <w:rFonts w:ascii="Times New Roman" w:hAnsi="Times New Roman" w:cs="Times New Roman"/>
          <w:sz w:val="22"/>
          <w:szCs w:val="22"/>
          <w:lang w:val="en-US"/>
        </w:rPr>
        <w:t xml:space="preserve">, </w:t>
      </w:r>
      <w:r w:rsidR="00955269" w:rsidRPr="00201DB3">
        <w:rPr>
          <w:rFonts w:ascii="Times New Roman" w:hAnsi="Times New Roman" w:cs="Times New Roman"/>
          <w:sz w:val="22"/>
          <w:szCs w:val="22"/>
          <w:lang w:val="en-US"/>
        </w:rPr>
        <w:t xml:space="preserve">become accepted as appropriate. </w:t>
      </w:r>
      <w:r w:rsidR="00636F42" w:rsidRPr="00201DB3">
        <w:rPr>
          <w:rFonts w:ascii="Times New Roman" w:hAnsi="Times New Roman" w:cs="Times New Roman"/>
          <w:sz w:val="22"/>
          <w:szCs w:val="22"/>
          <w:lang w:val="en-US"/>
        </w:rPr>
        <w:t>As</w:t>
      </w:r>
      <w:r w:rsidR="008D5EAB" w:rsidRPr="00201DB3">
        <w:rPr>
          <w:rFonts w:ascii="Times New Roman" w:hAnsi="Times New Roman" w:cs="Times New Roman"/>
          <w:sz w:val="22"/>
          <w:szCs w:val="22"/>
        </w:rPr>
        <w:t xml:space="preserve"> there is </w:t>
      </w:r>
      <w:r w:rsidR="00955269" w:rsidRPr="00201DB3">
        <w:rPr>
          <w:rFonts w:ascii="Times New Roman" w:hAnsi="Times New Roman" w:cs="Times New Roman"/>
          <w:sz w:val="22"/>
          <w:szCs w:val="22"/>
        </w:rPr>
        <w:t xml:space="preserve">an increasing body of </w:t>
      </w:r>
      <w:r w:rsidR="00636F42" w:rsidRPr="00201DB3">
        <w:rPr>
          <w:rFonts w:ascii="Times New Roman" w:hAnsi="Times New Roman" w:cs="Times New Roman"/>
          <w:sz w:val="22"/>
          <w:szCs w:val="22"/>
        </w:rPr>
        <w:t>experience</w:t>
      </w:r>
      <w:r w:rsidR="008D5EAB" w:rsidRPr="00201DB3">
        <w:rPr>
          <w:rFonts w:ascii="Times New Roman" w:hAnsi="Times New Roman" w:cs="Times New Roman"/>
          <w:sz w:val="22"/>
          <w:szCs w:val="22"/>
        </w:rPr>
        <w:t xml:space="preserve"> of what tax authorities deem to be acceptable</w:t>
      </w:r>
      <w:r w:rsidR="00485234" w:rsidRPr="00201DB3">
        <w:rPr>
          <w:rFonts w:ascii="Times New Roman" w:hAnsi="Times New Roman" w:cs="Times New Roman"/>
          <w:sz w:val="22"/>
          <w:szCs w:val="22"/>
        </w:rPr>
        <w:t>,</w:t>
      </w:r>
      <w:r w:rsidR="008D5EAB" w:rsidRPr="00201DB3">
        <w:rPr>
          <w:rFonts w:ascii="Times New Roman" w:hAnsi="Times New Roman" w:cs="Times New Roman"/>
          <w:sz w:val="22"/>
          <w:szCs w:val="22"/>
        </w:rPr>
        <w:t xml:space="preserve"> </w:t>
      </w:r>
      <w:r w:rsidR="00955269" w:rsidRPr="00201DB3">
        <w:rPr>
          <w:rFonts w:ascii="Times New Roman" w:hAnsi="Times New Roman" w:cs="Times New Roman"/>
          <w:sz w:val="22"/>
          <w:szCs w:val="22"/>
        </w:rPr>
        <w:t>such</w:t>
      </w:r>
      <w:r w:rsidR="008D5EAB" w:rsidRPr="00201DB3">
        <w:rPr>
          <w:rFonts w:ascii="Times New Roman" w:hAnsi="Times New Roman" w:cs="Times New Roman"/>
          <w:sz w:val="22"/>
          <w:szCs w:val="22"/>
        </w:rPr>
        <w:t xml:space="preserve"> informal precedents are </w:t>
      </w:r>
      <w:r w:rsidR="00955269" w:rsidRPr="00201DB3">
        <w:rPr>
          <w:rFonts w:ascii="Times New Roman" w:hAnsi="Times New Roman" w:cs="Times New Roman"/>
          <w:sz w:val="22"/>
          <w:szCs w:val="22"/>
        </w:rPr>
        <w:t xml:space="preserve">increasingly </w:t>
      </w:r>
      <w:r w:rsidR="008D5EAB" w:rsidRPr="00201DB3">
        <w:rPr>
          <w:rFonts w:ascii="Times New Roman" w:hAnsi="Times New Roman" w:cs="Times New Roman"/>
          <w:sz w:val="22"/>
          <w:szCs w:val="22"/>
        </w:rPr>
        <w:t>followed</w:t>
      </w:r>
      <w:r w:rsidR="00955269" w:rsidRPr="00201DB3">
        <w:rPr>
          <w:rFonts w:ascii="Times New Roman" w:hAnsi="Times New Roman" w:cs="Times New Roman"/>
          <w:sz w:val="22"/>
          <w:szCs w:val="22"/>
        </w:rPr>
        <w:t xml:space="preserve"> and so reinforced</w:t>
      </w:r>
      <w:r w:rsidR="006955B1" w:rsidRPr="00201DB3">
        <w:rPr>
          <w:rFonts w:ascii="Times New Roman" w:hAnsi="Times New Roman" w:cs="Times New Roman"/>
          <w:sz w:val="22"/>
          <w:szCs w:val="22"/>
        </w:rPr>
        <w:t>, rather than follo</w:t>
      </w:r>
      <w:r w:rsidR="00D4153E" w:rsidRPr="00201DB3">
        <w:rPr>
          <w:rFonts w:ascii="Times New Roman" w:hAnsi="Times New Roman" w:cs="Times New Roman"/>
          <w:sz w:val="22"/>
          <w:szCs w:val="22"/>
        </w:rPr>
        <w:t>w</w:t>
      </w:r>
      <w:r w:rsidR="006955B1" w:rsidRPr="00201DB3">
        <w:rPr>
          <w:rFonts w:ascii="Times New Roman" w:hAnsi="Times New Roman" w:cs="Times New Roman"/>
          <w:sz w:val="22"/>
          <w:szCs w:val="22"/>
        </w:rPr>
        <w:t>ing a principled</w:t>
      </w:r>
      <w:r w:rsidR="00D4153E" w:rsidRPr="00201DB3">
        <w:rPr>
          <w:rFonts w:ascii="Times New Roman" w:hAnsi="Times New Roman" w:cs="Times New Roman"/>
          <w:sz w:val="22"/>
          <w:szCs w:val="22"/>
        </w:rPr>
        <w:t xml:space="preserve"> </w:t>
      </w:r>
      <w:r w:rsidR="006955B1" w:rsidRPr="00201DB3">
        <w:rPr>
          <w:rFonts w:ascii="Times New Roman" w:hAnsi="Times New Roman" w:cs="Times New Roman"/>
          <w:sz w:val="22"/>
          <w:szCs w:val="22"/>
        </w:rPr>
        <w:t xml:space="preserve">approach that reflects </w:t>
      </w:r>
      <w:r w:rsidR="001E1394" w:rsidRPr="00201DB3">
        <w:rPr>
          <w:rFonts w:ascii="Times New Roman" w:hAnsi="Times New Roman" w:cs="Times New Roman"/>
          <w:sz w:val="22"/>
          <w:szCs w:val="22"/>
        </w:rPr>
        <w:t xml:space="preserve">specific circumstances and </w:t>
      </w:r>
      <w:r w:rsidR="006955B1" w:rsidRPr="00201DB3">
        <w:rPr>
          <w:rFonts w:ascii="Times New Roman" w:hAnsi="Times New Roman" w:cs="Times New Roman"/>
          <w:sz w:val="22"/>
          <w:szCs w:val="22"/>
        </w:rPr>
        <w:t>market reality</w:t>
      </w:r>
      <w:r w:rsidR="00636F42" w:rsidRPr="00201DB3">
        <w:rPr>
          <w:rFonts w:ascii="Times New Roman" w:hAnsi="Times New Roman" w:cs="Times New Roman"/>
          <w:sz w:val="22"/>
          <w:szCs w:val="22"/>
        </w:rPr>
        <w:t>.</w:t>
      </w:r>
      <w:r w:rsidR="00955269" w:rsidRPr="00201DB3">
        <w:rPr>
          <w:rFonts w:ascii="Times New Roman" w:hAnsi="Times New Roman" w:cs="Times New Roman"/>
          <w:sz w:val="22"/>
          <w:szCs w:val="22"/>
        </w:rPr>
        <w:t xml:space="preserve"> For example</w:t>
      </w:r>
      <w:r w:rsidR="005C38A7" w:rsidRPr="00201DB3">
        <w:rPr>
          <w:rFonts w:ascii="Times New Roman" w:hAnsi="Times New Roman" w:cs="Times New Roman"/>
          <w:sz w:val="22"/>
          <w:szCs w:val="22"/>
        </w:rPr>
        <w:t>,</w:t>
      </w:r>
      <w:r w:rsidR="000E5C55" w:rsidRPr="00201DB3">
        <w:rPr>
          <w:rFonts w:ascii="Times New Roman" w:hAnsi="Times New Roman" w:cs="Times New Roman"/>
          <w:sz w:val="22"/>
          <w:szCs w:val="22"/>
        </w:rPr>
        <w:t xml:space="preserve"> one interviewee explained:</w:t>
      </w:r>
    </w:p>
    <w:p w14:paraId="4BE75883" w14:textId="54348EC2" w:rsidR="008D5EAB" w:rsidRPr="00201DB3" w:rsidRDefault="00CC023B" w:rsidP="00201DB3">
      <w:pPr>
        <w:spacing w:after="0" w:line="240" w:lineRule="auto"/>
        <w:ind w:left="397"/>
        <w:rPr>
          <w:rFonts w:ascii="Times New Roman" w:hAnsi="Times New Roman" w:cs="Times New Roman"/>
          <w:sz w:val="22"/>
          <w:szCs w:val="22"/>
        </w:rPr>
      </w:pPr>
      <w:r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I think we’ve already been telling clients you’ve got to be consistent, but now you’re almost forcing consistency where they’re not consistent because it’s too dangerous to have different</w:t>
      </w:r>
      <w:r w:rsidR="00776B3B" w:rsidRPr="00201DB3">
        <w:rPr>
          <w:rFonts w:ascii="Times New Roman" w:hAnsi="Times New Roman" w:cs="Times New Roman"/>
          <w:sz w:val="22"/>
          <w:szCs w:val="22"/>
          <w:lang w:val="en-US"/>
        </w:rPr>
        <w:t xml:space="preserve"> </w:t>
      </w:r>
      <w:r w:rsidR="008D5EAB" w:rsidRPr="00201DB3">
        <w:rPr>
          <w:rFonts w:ascii="Times New Roman" w:hAnsi="Times New Roman" w:cs="Times New Roman"/>
          <w:sz w:val="22"/>
          <w:szCs w:val="22"/>
          <w:lang w:val="en-US"/>
        </w:rPr>
        <w:t xml:space="preserve">margins and stuff even when the facts are different. </w:t>
      </w:r>
      <w:r w:rsidR="00457514" w:rsidRPr="00201DB3">
        <w:rPr>
          <w:rFonts w:ascii="Times New Roman" w:hAnsi="Times New Roman" w:cs="Times New Roman"/>
          <w:sz w:val="22"/>
          <w:szCs w:val="22"/>
          <w:lang w:val="en-US"/>
        </w:rPr>
        <w:t>So,</w:t>
      </w:r>
      <w:r w:rsidR="008D5EAB" w:rsidRPr="00201DB3">
        <w:rPr>
          <w:rFonts w:ascii="Times New Roman" w:hAnsi="Times New Roman" w:cs="Times New Roman"/>
          <w:sz w:val="22"/>
          <w:szCs w:val="22"/>
          <w:lang w:val="en-US"/>
        </w:rPr>
        <w:t xml:space="preserve"> you sort of end up perhaps with a bit of formulary apportionment, or a safe harbor think, </w:t>
      </w:r>
      <w:r w:rsidR="006D0987"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Right, ok, we’re just go</w:t>
      </w:r>
      <w:r w:rsidR="00EA5DAC" w:rsidRPr="00201DB3">
        <w:rPr>
          <w:rFonts w:ascii="Times New Roman" w:hAnsi="Times New Roman" w:cs="Times New Roman"/>
          <w:sz w:val="22"/>
          <w:szCs w:val="22"/>
          <w:lang w:val="en-US"/>
        </w:rPr>
        <w:t>ing to</w:t>
      </w:r>
      <w:r w:rsidR="008D5EAB" w:rsidRPr="00201DB3">
        <w:rPr>
          <w:rFonts w:ascii="Times New Roman" w:hAnsi="Times New Roman" w:cs="Times New Roman"/>
          <w:sz w:val="22"/>
          <w:szCs w:val="22"/>
          <w:lang w:val="en-US"/>
        </w:rPr>
        <w:t xml:space="preserve"> put all our distributors on </w:t>
      </w:r>
      <w:r w:rsidR="00654A26" w:rsidRPr="00201DB3">
        <w:rPr>
          <w:rFonts w:ascii="Times New Roman" w:hAnsi="Times New Roman" w:cs="Times New Roman"/>
          <w:sz w:val="22"/>
          <w:szCs w:val="22"/>
          <w:lang w:val="en-US"/>
        </w:rPr>
        <w:t>three</w:t>
      </w:r>
      <w:r w:rsidR="005C38A7" w:rsidRPr="00201DB3">
        <w:rPr>
          <w:rFonts w:ascii="Times New Roman" w:hAnsi="Times New Roman" w:cs="Times New Roman"/>
          <w:sz w:val="22"/>
          <w:szCs w:val="22"/>
          <w:lang w:val="en-US"/>
        </w:rPr>
        <w:t xml:space="preserve"> per cent</w:t>
      </w:r>
      <w:r w:rsidR="00D46ADB"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or whatever, regardless.</w:t>
      </w:r>
      <w:r w:rsidR="006D0987"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So people are thinking of ways of</w:t>
      </w:r>
      <w:r w:rsidRPr="00201DB3">
        <w:rPr>
          <w:rFonts w:ascii="Times New Roman" w:hAnsi="Times New Roman" w:cs="Times New Roman"/>
          <w:sz w:val="22"/>
          <w:szCs w:val="22"/>
          <w:lang w:val="en-US"/>
        </w:rPr>
        <w:t xml:space="preserve"> </w:t>
      </w:r>
      <w:r w:rsidR="008D5EAB" w:rsidRPr="00201DB3">
        <w:rPr>
          <w:rFonts w:ascii="Times New Roman" w:hAnsi="Times New Roman" w:cs="Times New Roman"/>
          <w:sz w:val="22"/>
          <w:szCs w:val="22"/>
          <w:lang w:val="en-US"/>
        </w:rPr>
        <w:t>how they deal with that. So</w:t>
      </w:r>
      <w:r w:rsidR="00B51DDB" w:rsidRPr="00201DB3">
        <w:rPr>
          <w:rFonts w:ascii="Times New Roman" w:hAnsi="Times New Roman" w:cs="Times New Roman"/>
          <w:sz w:val="22"/>
          <w:szCs w:val="22"/>
          <w:lang w:val="en-US"/>
        </w:rPr>
        <w:t>,</w:t>
      </w:r>
      <w:r w:rsidR="008D5EAB" w:rsidRPr="00201DB3">
        <w:rPr>
          <w:rFonts w:ascii="Times New Roman" w:hAnsi="Times New Roman" w:cs="Times New Roman"/>
          <w:sz w:val="22"/>
          <w:szCs w:val="22"/>
          <w:lang w:val="en-US"/>
        </w:rPr>
        <w:t xml:space="preserve"> it’s probably getting to more consistency and more simplicity</w:t>
      </w:r>
      <w:r w:rsidRPr="00201DB3">
        <w:rPr>
          <w:rFonts w:ascii="Times New Roman" w:hAnsi="Times New Roman" w:cs="Times New Roman"/>
          <w:sz w:val="22"/>
          <w:szCs w:val="22"/>
          <w:lang w:val="en-US"/>
        </w:rPr>
        <w:t>”</w:t>
      </w:r>
      <w:r w:rsidR="00D71D8C" w:rsidRPr="00201DB3">
        <w:rPr>
          <w:rFonts w:ascii="Times New Roman" w:hAnsi="Times New Roman" w:cs="Times New Roman"/>
          <w:sz w:val="22"/>
          <w:szCs w:val="22"/>
          <w:lang w:val="en-US"/>
        </w:rPr>
        <w:t xml:space="preserve"> </w:t>
      </w:r>
      <w:r w:rsidR="00D71D8C" w:rsidRPr="00201DB3">
        <w:rPr>
          <w:rFonts w:ascii="Times New Roman" w:eastAsia="MS Mincho" w:hAnsi="Times New Roman" w:cs="Times New Roman"/>
          <w:sz w:val="22"/>
          <w:szCs w:val="22"/>
        </w:rPr>
        <w:t>(II-int).</w:t>
      </w:r>
    </w:p>
    <w:p w14:paraId="5743580D" w14:textId="7F5592A5" w:rsidR="008D5EAB" w:rsidRPr="00201DB3" w:rsidRDefault="009A71EA"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 xml:space="preserve">This illustrates that sometimes </w:t>
      </w:r>
      <w:r w:rsidR="00CC023B" w:rsidRPr="00201DB3">
        <w:rPr>
          <w:rFonts w:ascii="Times New Roman" w:hAnsi="Times New Roman" w:cs="Times New Roman"/>
          <w:sz w:val="22"/>
          <w:szCs w:val="22"/>
          <w:lang w:val="en-US"/>
        </w:rPr>
        <w:t xml:space="preserve">transfer </w:t>
      </w:r>
      <w:r w:rsidRPr="00201DB3">
        <w:rPr>
          <w:rFonts w:ascii="Times New Roman" w:hAnsi="Times New Roman" w:cs="Times New Roman"/>
          <w:sz w:val="22"/>
          <w:szCs w:val="22"/>
          <w:lang w:val="en-US"/>
        </w:rPr>
        <w:t xml:space="preserve">pricing </w:t>
      </w:r>
      <w:r w:rsidR="00776B3B" w:rsidRPr="00201DB3">
        <w:rPr>
          <w:rFonts w:ascii="Times New Roman" w:hAnsi="Times New Roman" w:cs="Times New Roman"/>
          <w:sz w:val="22"/>
          <w:szCs w:val="22"/>
          <w:lang w:val="en-US"/>
        </w:rPr>
        <w:t xml:space="preserve">management </w:t>
      </w:r>
      <w:r w:rsidRPr="00201DB3">
        <w:rPr>
          <w:rFonts w:ascii="Times New Roman" w:hAnsi="Times New Roman" w:cs="Times New Roman"/>
          <w:sz w:val="22"/>
          <w:szCs w:val="22"/>
          <w:lang w:val="en-US"/>
        </w:rPr>
        <w:t xml:space="preserve">is not </w:t>
      </w:r>
      <w:r w:rsidR="00221C8E" w:rsidRPr="00201DB3">
        <w:rPr>
          <w:rFonts w:ascii="Times New Roman" w:hAnsi="Times New Roman" w:cs="Times New Roman"/>
          <w:sz w:val="22"/>
          <w:szCs w:val="22"/>
          <w:lang w:val="en-US"/>
        </w:rPr>
        <w:t xml:space="preserve">always </w:t>
      </w:r>
      <w:r w:rsidR="00530CA3" w:rsidRPr="00201DB3">
        <w:rPr>
          <w:rFonts w:ascii="Times New Roman" w:hAnsi="Times New Roman" w:cs="Times New Roman"/>
          <w:sz w:val="22"/>
          <w:szCs w:val="22"/>
          <w:lang w:val="en-US"/>
        </w:rPr>
        <w:t xml:space="preserve">undertaken </w:t>
      </w:r>
      <w:r w:rsidRPr="00201DB3">
        <w:rPr>
          <w:rFonts w:ascii="Times New Roman" w:hAnsi="Times New Roman" w:cs="Times New Roman"/>
          <w:sz w:val="22"/>
          <w:szCs w:val="22"/>
          <w:lang w:val="en-US"/>
        </w:rPr>
        <w:t>on a case-by-case basis</w:t>
      </w:r>
      <w:r w:rsidR="00221C8E" w:rsidRPr="00201DB3">
        <w:rPr>
          <w:rFonts w:ascii="Times New Roman" w:hAnsi="Times New Roman" w:cs="Times New Roman"/>
          <w:sz w:val="22"/>
          <w:szCs w:val="22"/>
          <w:lang w:val="en-US"/>
        </w:rPr>
        <w:t xml:space="preserve">, with </w:t>
      </w:r>
      <w:r w:rsidR="006D0987" w:rsidRPr="00201DB3">
        <w:rPr>
          <w:rFonts w:ascii="Times New Roman" w:hAnsi="Times New Roman" w:cs="Times New Roman"/>
          <w:sz w:val="22"/>
          <w:szCs w:val="22"/>
          <w:lang w:val="en-US"/>
        </w:rPr>
        <w:t xml:space="preserve">consideration of </w:t>
      </w:r>
      <w:r w:rsidR="00221C8E" w:rsidRPr="00201DB3">
        <w:rPr>
          <w:rFonts w:ascii="Times New Roman" w:hAnsi="Times New Roman" w:cs="Times New Roman"/>
          <w:sz w:val="22"/>
          <w:szCs w:val="22"/>
          <w:lang w:val="en-US"/>
        </w:rPr>
        <w:t xml:space="preserve">all the </w:t>
      </w:r>
      <w:r w:rsidR="008B3371" w:rsidRPr="00201DB3">
        <w:rPr>
          <w:rFonts w:ascii="Times New Roman" w:hAnsi="Times New Roman" w:cs="Times New Roman"/>
          <w:sz w:val="22"/>
          <w:szCs w:val="22"/>
          <w:lang w:val="en-US"/>
        </w:rPr>
        <w:t xml:space="preserve">specific </w:t>
      </w:r>
      <w:r w:rsidR="00221C8E" w:rsidRPr="00201DB3">
        <w:rPr>
          <w:rFonts w:ascii="Times New Roman" w:hAnsi="Times New Roman" w:cs="Times New Roman"/>
          <w:sz w:val="22"/>
          <w:szCs w:val="22"/>
          <w:lang w:val="en-US"/>
        </w:rPr>
        <w:t>facts,</w:t>
      </w:r>
      <w:r w:rsidRPr="00201DB3">
        <w:rPr>
          <w:rFonts w:ascii="Times New Roman" w:hAnsi="Times New Roman" w:cs="Times New Roman"/>
          <w:sz w:val="22"/>
          <w:szCs w:val="22"/>
          <w:lang w:val="en-US"/>
        </w:rPr>
        <w:t xml:space="preserve"> but </w:t>
      </w:r>
      <w:r w:rsidR="00530CA3" w:rsidRPr="00201DB3">
        <w:rPr>
          <w:rFonts w:ascii="Times New Roman" w:hAnsi="Times New Roman" w:cs="Times New Roman"/>
          <w:sz w:val="22"/>
          <w:szCs w:val="22"/>
          <w:lang w:val="en-US"/>
        </w:rPr>
        <w:t xml:space="preserve">rather </w:t>
      </w:r>
      <w:r w:rsidR="00221C8E" w:rsidRPr="00201DB3">
        <w:rPr>
          <w:rFonts w:ascii="Times New Roman" w:hAnsi="Times New Roman" w:cs="Times New Roman"/>
          <w:sz w:val="22"/>
          <w:szCs w:val="22"/>
          <w:lang w:val="en-US"/>
        </w:rPr>
        <w:t>with reference to</w:t>
      </w:r>
      <w:r w:rsidR="000D5422" w:rsidRPr="00201DB3">
        <w:rPr>
          <w:rFonts w:ascii="Times New Roman" w:hAnsi="Times New Roman" w:cs="Times New Roman"/>
          <w:sz w:val="22"/>
          <w:szCs w:val="22"/>
          <w:lang w:val="en-US"/>
        </w:rPr>
        <w:t xml:space="preserve"> precedent</w:t>
      </w:r>
      <w:r w:rsidR="00CC023B" w:rsidRPr="00201DB3">
        <w:rPr>
          <w:rFonts w:ascii="Times New Roman" w:hAnsi="Times New Roman" w:cs="Times New Roman"/>
          <w:sz w:val="22"/>
          <w:szCs w:val="22"/>
          <w:lang w:val="en-US"/>
        </w:rPr>
        <w:t xml:space="preserve">s </w:t>
      </w:r>
      <w:r w:rsidR="000D5422" w:rsidRPr="00201DB3">
        <w:rPr>
          <w:rFonts w:ascii="Times New Roman" w:hAnsi="Times New Roman" w:cs="Times New Roman"/>
          <w:sz w:val="22"/>
          <w:szCs w:val="22"/>
          <w:lang w:val="en-US"/>
        </w:rPr>
        <w:t>of</w:t>
      </w:r>
      <w:r w:rsidR="00221C8E" w:rsidRPr="00201DB3">
        <w:rPr>
          <w:rFonts w:ascii="Times New Roman" w:hAnsi="Times New Roman" w:cs="Times New Roman"/>
          <w:sz w:val="22"/>
          <w:szCs w:val="22"/>
          <w:lang w:val="en-US"/>
        </w:rPr>
        <w:t xml:space="preserve"> w</w:t>
      </w:r>
      <w:r w:rsidRPr="00201DB3">
        <w:rPr>
          <w:rFonts w:ascii="Times New Roman" w:hAnsi="Times New Roman" w:cs="Times New Roman"/>
          <w:sz w:val="22"/>
          <w:szCs w:val="22"/>
          <w:lang w:val="en-US"/>
        </w:rPr>
        <w:t xml:space="preserve">hat </w:t>
      </w:r>
      <w:r w:rsidR="00B02389" w:rsidRPr="00201DB3">
        <w:rPr>
          <w:rFonts w:ascii="Times New Roman" w:hAnsi="Times New Roman" w:cs="Times New Roman"/>
          <w:sz w:val="22"/>
          <w:szCs w:val="22"/>
          <w:lang w:val="en-US"/>
        </w:rPr>
        <w:t>has previously been treated as</w:t>
      </w:r>
      <w:r w:rsidRPr="00201DB3">
        <w:rPr>
          <w:rFonts w:ascii="Times New Roman" w:hAnsi="Times New Roman" w:cs="Times New Roman"/>
          <w:sz w:val="22"/>
          <w:szCs w:val="22"/>
          <w:lang w:val="en-US"/>
        </w:rPr>
        <w:t xml:space="preserve"> acceptable</w:t>
      </w:r>
      <w:r w:rsidR="00636F42" w:rsidRPr="00201DB3">
        <w:rPr>
          <w:rFonts w:ascii="Times New Roman" w:hAnsi="Times New Roman" w:cs="Times New Roman"/>
          <w:sz w:val="22"/>
          <w:szCs w:val="22"/>
          <w:lang w:val="en-US"/>
        </w:rPr>
        <w:t>, to minimize the risk of scrutiny and investigation</w:t>
      </w:r>
      <w:r w:rsidRPr="00201DB3">
        <w:rPr>
          <w:rFonts w:ascii="Times New Roman" w:hAnsi="Times New Roman" w:cs="Times New Roman"/>
          <w:sz w:val="22"/>
          <w:szCs w:val="22"/>
          <w:lang w:val="en-US"/>
        </w:rPr>
        <w:t xml:space="preserve"> from the </w:t>
      </w:r>
      <w:r w:rsidR="008336B6" w:rsidRPr="00201DB3">
        <w:rPr>
          <w:rFonts w:ascii="Times New Roman" w:hAnsi="Times New Roman" w:cs="Times New Roman"/>
          <w:sz w:val="22"/>
          <w:szCs w:val="22"/>
          <w:lang w:val="en-US"/>
        </w:rPr>
        <w:t xml:space="preserve">tax </w:t>
      </w:r>
      <w:r w:rsidRPr="00201DB3">
        <w:rPr>
          <w:rFonts w:ascii="Times New Roman" w:hAnsi="Times New Roman" w:cs="Times New Roman"/>
          <w:sz w:val="22"/>
          <w:szCs w:val="22"/>
          <w:lang w:val="en-US"/>
        </w:rPr>
        <w:t>authorities.</w:t>
      </w:r>
      <w:r w:rsidR="00874F4B" w:rsidRPr="00201DB3">
        <w:rPr>
          <w:rFonts w:ascii="Times New Roman" w:hAnsi="Times New Roman" w:cs="Times New Roman"/>
          <w:sz w:val="22"/>
          <w:szCs w:val="22"/>
          <w:lang w:val="en-US"/>
        </w:rPr>
        <w:t xml:space="preserve"> </w:t>
      </w:r>
      <w:r w:rsidR="000E5C55" w:rsidRPr="00201DB3">
        <w:rPr>
          <w:rFonts w:ascii="Times New Roman" w:hAnsi="Times New Roman" w:cs="Times New Roman"/>
          <w:sz w:val="22"/>
          <w:szCs w:val="22"/>
          <w:lang w:val="en-US"/>
        </w:rPr>
        <w:t xml:space="preserve">Other interviewees referred to this, for example another interviewee commented: </w:t>
      </w:r>
    </w:p>
    <w:p w14:paraId="4D95CE14" w14:textId="2892D7A3" w:rsidR="008D5EAB" w:rsidRPr="00201DB3" w:rsidRDefault="008D5EAB" w:rsidP="00201DB3">
      <w:pPr>
        <w:spacing w:after="0" w:line="240" w:lineRule="auto"/>
        <w:ind w:left="397"/>
        <w:rPr>
          <w:rFonts w:ascii="Times New Roman" w:hAnsi="Times New Roman" w:cs="Times New Roman"/>
          <w:sz w:val="22"/>
          <w:szCs w:val="22"/>
          <w:lang w:val="en-US"/>
        </w:rPr>
      </w:pPr>
      <w:bookmarkStart w:id="9" w:name="_Hlk511569668"/>
      <w:r w:rsidRPr="00201DB3">
        <w:rPr>
          <w:rFonts w:ascii="Times New Roman" w:hAnsi="Times New Roman" w:cs="Times New Roman"/>
          <w:sz w:val="22"/>
          <w:szCs w:val="22"/>
          <w:lang w:val="en-US"/>
        </w:rPr>
        <w:t xml:space="preserve">“basically, we already have some form of formulary apportionment. These methodologies say, </w:t>
      </w:r>
      <w:r w:rsidR="005C38A7" w:rsidRPr="00201DB3">
        <w:rPr>
          <w:rFonts w:ascii="Times New Roman" w:hAnsi="Times New Roman" w:cs="Times New Roman"/>
          <w:sz w:val="22"/>
          <w:szCs w:val="22"/>
          <w:lang w:val="en-US"/>
        </w:rPr>
        <w:t>‘</w:t>
      </w:r>
      <w:r w:rsidRPr="00201DB3">
        <w:rPr>
          <w:rFonts w:ascii="Times New Roman" w:hAnsi="Times New Roman" w:cs="Times New Roman"/>
          <w:sz w:val="22"/>
          <w:szCs w:val="22"/>
          <w:lang w:val="en-US"/>
        </w:rPr>
        <w:t>Distributors get</w:t>
      </w:r>
      <w:r w:rsidR="00654A26" w:rsidRPr="00201DB3">
        <w:rPr>
          <w:rFonts w:ascii="Times New Roman" w:hAnsi="Times New Roman" w:cs="Times New Roman"/>
          <w:sz w:val="22"/>
          <w:szCs w:val="22"/>
          <w:lang w:val="en-US"/>
        </w:rPr>
        <w:t xml:space="preserve"> three</w:t>
      </w:r>
      <w:r w:rsidR="005C38A7" w:rsidRPr="00201DB3">
        <w:rPr>
          <w:rFonts w:ascii="Times New Roman" w:hAnsi="Times New Roman" w:cs="Times New Roman"/>
          <w:sz w:val="22"/>
          <w:szCs w:val="22"/>
          <w:lang w:val="en-US"/>
        </w:rPr>
        <w:t xml:space="preserve"> per cent</w:t>
      </w:r>
      <w:r w:rsidRPr="00201DB3">
        <w:rPr>
          <w:rFonts w:ascii="Times New Roman" w:hAnsi="Times New Roman" w:cs="Times New Roman"/>
          <w:sz w:val="22"/>
          <w:szCs w:val="22"/>
          <w:lang w:val="en-US"/>
        </w:rPr>
        <w:t>.</w:t>
      </w:r>
      <w:r w:rsidR="005C38A7" w:rsidRPr="00201DB3">
        <w:rPr>
          <w:rFonts w:ascii="Times New Roman" w:hAnsi="Times New Roman" w:cs="Times New Roman"/>
          <w:sz w:val="22"/>
          <w:szCs w:val="22"/>
          <w:lang w:val="en-US"/>
        </w:rPr>
        <w:t>’</w:t>
      </w:r>
      <w:r w:rsidRPr="00201DB3">
        <w:rPr>
          <w:rFonts w:ascii="Times New Roman" w:hAnsi="Times New Roman" w:cs="Times New Roman"/>
          <w:sz w:val="22"/>
          <w:szCs w:val="22"/>
          <w:lang w:val="en-US"/>
        </w:rPr>
        <w:t xml:space="preserve"> There you go, there’s a formula</w:t>
      </w:r>
      <w:bookmarkEnd w:id="9"/>
      <w:r w:rsidRPr="00201DB3">
        <w:rPr>
          <w:rFonts w:ascii="Times New Roman" w:hAnsi="Times New Roman" w:cs="Times New Roman"/>
          <w:sz w:val="22"/>
          <w:szCs w:val="22"/>
          <w:lang w:val="en-US"/>
        </w:rPr>
        <w:t>. So basically, we are backing into this”</w:t>
      </w:r>
      <w:r w:rsidR="00D71D8C" w:rsidRPr="00201DB3">
        <w:rPr>
          <w:rFonts w:ascii="Times New Roman" w:hAnsi="Times New Roman" w:cs="Times New Roman"/>
          <w:sz w:val="22"/>
          <w:szCs w:val="22"/>
          <w:lang w:val="en-US"/>
        </w:rPr>
        <w:t xml:space="preserve"> </w:t>
      </w:r>
      <w:r w:rsidR="00D71D8C" w:rsidRPr="00201DB3">
        <w:rPr>
          <w:rFonts w:ascii="Times New Roman" w:eastAsia="MS Mincho" w:hAnsi="Times New Roman" w:cs="Times New Roman"/>
          <w:sz w:val="22"/>
          <w:szCs w:val="22"/>
        </w:rPr>
        <w:t>(II-int).</w:t>
      </w:r>
    </w:p>
    <w:p w14:paraId="404484DD" w14:textId="2C29B045" w:rsidR="00A67268" w:rsidRPr="00201DB3" w:rsidRDefault="006B56A8" w:rsidP="00201DB3">
      <w:pPr>
        <w:spacing w:after="0" w:line="240" w:lineRule="auto"/>
        <w:rPr>
          <w:rFonts w:ascii="Times New Roman" w:hAnsi="Times New Roman" w:cs="Times New Roman"/>
          <w:sz w:val="22"/>
          <w:szCs w:val="22"/>
          <w:lang w:val="en-US"/>
        </w:rPr>
      </w:pPr>
      <w:r w:rsidRPr="00201DB3">
        <w:rPr>
          <w:rFonts w:ascii="Times New Roman" w:hAnsi="Times New Roman" w:cs="Times New Roman"/>
          <w:sz w:val="22"/>
          <w:szCs w:val="22"/>
          <w:lang w:val="en-US"/>
        </w:rPr>
        <w:t>A</w:t>
      </w:r>
      <w:r w:rsidR="006955B1" w:rsidRPr="00201DB3">
        <w:rPr>
          <w:rFonts w:ascii="Times New Roman" w:hAnsi="Times New Roman" w:cs="Times New Roman"/>
          <w:sz w:val="22"/>
          <w:szCs w:val="22"/>
          <w:lang w:val="en-US"/>
        </w:rPr>
        <w:t xml:space="preserve"> further example </w:t>
      </w:r>
      <w:r w:rsidR="004C25EE" w:rsidRPr="00201DB3">
        <w:rPr>
          <w:rFonts w:ascii="Times New Roman" w:hAnsi="Times New Roman" w:cs="Times New Roman"/>
          <w:sz w:val="22"/>
          <w:szCs w:val="22"/>
          <w:lang w:val="en-US"/>
        </w:rPr>
        <w:t xml:space="preserve">offered </w:t>
      </w:r>
      <w:r w:rsidR="006955B1" w:rsidRPr="00201DB3">
        <w:rPr>
          <w:rFonts w:ascii="Times New Roman" w:hAnsi="Times New Roman" w:cs="Times New Roman"/>
          <w:sz w:val="22"/>
          <w:szCs w:val="22"/>
          <w:lang w:val="en-US"/>
        </w:rPr>
        <w:t xml:space="preserve">of a formulary approach being </w:t>
      </w:r>
      <w:r w:rsidR="00B80FB8" w:rsidRPr="00201DB3">
        <w:rPr>
          <w:rFonts w:ascii="Times New Roman" w:hAnsi="Times New Roman" w:cs="Times New Roman"/>
          <w:sz w:val="22"/>
          <w:szCs w:val="22"/>
          <w:lang w:val="en-US"/>
        </w:rPr>
        <w:t xml:space="preserve">adopted related to the </w:t>
      </w:r>
      <w:r w:rsidR="00654A26" w:rsidRPr="00201DB3">
        <w:rPr>
          <w:rFonts w:ascii="Times New Roman" w:hAnsi="Times New Roman" w:cs="Times New Roman"/>
          <w:sz w:val="22"/>
          <w:szCs w:val="22"/>
          <w:lang w:val="en-US"/>
        </w:rPr>
        <w:t>intellectual property</w:t>
      </w:r>
      <w:r w:rsidR="006955B1" w:rsidRPr="00201DB3">
        <w:rPr>
          <w:rFonts w:ascii="Times New Roman" w:hAnsi="Times New Roman" w:cs="Times New Roman"/>
          <w:sz w:val="22"/>
          <w:szCs w:val="22"/>
          <w:lang w:val="en-US"/>
        </w:rPr>
        <w:t xml:space="preserve"> in an integrated MNE</w:t>
      </w:r>
      <w:r w:rsidR="00B80FB8" w:rsidRPr="00201DB3">
        <w:rPr>
          <w:rFonts w:ascii="Times New Roman" w:hAnsi="Times New Roman" w:cs="Times New Roman"/>
          <w:sz w:val="22"/>
          <w:szCs w:val="22"/>
          <w:lang w:val="en-US"/>
        </w:rPr>
        <w:t xml:space="preserve">, </w:t>
      </w:r>
      <w:r w:rsidR="006955B1" w:rsidRPr="00201DB3">
        <w:rPr>
          <w:rFonts w:ascii="Times New Roman" w:hAnsi="Times New Roman" w:cs="Times New Roman"/>
          <w:sz w:val="22"/>
          <w:szCs w:val="22"/>
          <w:lang w:val="en-US"/>
        </w:rPr>
        <w:t xml:space="preserve">the </w:t>
      </w:r>
      <w:r w:rsidR="00500F01" w:rsidRPr="00201DB3">
        <w:rPr>
          <w:rFonts w:ascii="Times New Roman" w:hAnsi="Times New Roman" w:cs="Times New Roman"/>
          <w:sz w:val="22"/>
          <w:szCs w:val="22"/>
        </w:rPr>
        <w:t>patent</w:t>
      </w:r>
      <w:r w:rsidR="008D5EAB" w:rsidRPr="00201DB3">
        <w:rPr>
          <w:rFonts w:ascii="Times New Roman" w:hAnsi="Times New Roman" w:cs="Times New Roman"/>
          <w:sz w:val="22"/>
          <w:szCs w:val="22"/>
        </w:rPr>
        <w:t xml:space="preserve"> box rules in the UK</w:t>
      </w:r>
      <w:r w:rsidR="006D0987" w:rsidRPr="00201DB3">
        <w:rPr>
          <w:rFonts w:ascii="Times New Roman" w:hAnsi="Times New Roman" w:cs="Times New Roman"/>
          <w:sz w:val="22"/>
          <w:szCs w:val="22"/>
        </w:rPr>
        <w:t xml:space="preserve">. This is </w:t>
      </w:r>
      <w:r w:rsidR="008D5EAB" w:rsidRPr="00201DB3">
        <w:rPr>
          <w:rFonts w:ascii="Times New Roman" w:hAnsi="Times New Roman" w:cs="Times New Roman"/>
          <w:sz w:val="22"/>
          <w:szCs w:val="22"/>
        </w:rPr>
        <w:t>“</w:t>
      </w:r>
      <w:r w:rsidR="008D5EAB" w:rsidRPr="00201DB3">
        <w:rPr>
          <w:rFonts w:ascii="Times New Roman" w:hAnsi="Times New Roman" w:cs="Times New Roman"/>
          <w:sz w:val="22"/>
          <w:szCs w:val="22"/>
          <w:lang w:val="en-US"/>
        </w:rPr>
        <w:t>a very straightforward, simple cost apportionment, where you don’t actually look at value that’s been embedded</w:t>
      </w:r>
      <w:r w:rsidR="006955B1" w:rsidRPr="00201DB3">
        <w:rPr>
          <w:rFonts w:ascii="Times New Roman" w:hAnsi="Times New Roman" w:cs="Times New Roman"/>
          <w:sz w:val="22"/>
          <w:szCs w:val="22"/>
          <w:lang w:val="en-US"/>
        </w:rPr>
        <w:t>”</w:t>
      </w:r>
      <w:r w:rsidR="004C25EE" w:rsidRPr="00201DB3">
        <w:rPr>
          <w:rFonts w:ascii="Times New Roman" w:hAnsi="Times New Roman" w:cs="Times New Roman"/>
          <w:sz w:val="22"/>
          <w:szCs w:val="22"/>
          <w:lang w:val="en-US"/>
        </w:rPr>
        <w:t xml:space="preserve"> </w:t>
      </w:r>
      <w:r w:rsidR="00D71D8C" w:rsidRPr="00201DB3">
        <w:rPr>
          <w:rFonts w:ascii="Times New Roman" w:eastAsia="MS Mincho" w:hAnsi="Times New Roman" w:cs="Times New Roman"/>
          <w:sz w:val="22"/>
          <w:szCs w:val="22"/>
        </w:rPr>
        <w:t xml:space="preserve">(II-int), </w:t>
      </w:r>
      <w:r w:rsidR="00C34B97" w:rsidRPr="00201DB3">
        <w:rPr>
          <w:rFonts w:ascii="Times New Roman" w:hAnsi="Times New Roman" w:cs="Times New Roman"/>
          <w:sz w:val="22"/>
          <w:szCs w:val="22"/>
          <w:lang w:val="en-US"/>
        </w:rPr>
        <w:t>rather than</w:t>
      </w:r>
      <w:r w:rsidR="00A67268" w:rsidRPr="00201DB3">
        <w:rPr>
          <w:rFonts w:ascii="Times New Roman" w:hAnsi="Times New Roman" w:cs="Times New Roman"/>
          <w:sz w:val="22"/>
          <w:szCs w:val="22"/>
          <w:lang w:val="en-US"/>
        </w:rPr>
        <w:t xml:space="preserve"> an approach based on </w:t>
      </w:r>
      <w:r w:rsidR="00695A66" w:rsidRPr="00201DB3">
        <w:rPr>
          <w:rFonts w:ascii="Times New Roman" w:hAnsi="Times New Roman" w:cs="Times New Roman"/>
          <w:sz w:val="22"/>
          <w:szCs w:val="22"/>
          <w:lang w:val="en-US"/>
        </w:rPr>
        <w:t xml:space="preserve">the </w:t>
      </w:r>
      <w:r w:rsidR="00A67268" w:rsidRPr="00201DB3">
        <w:rPr>
          <w:rFonts w:ascii="Times New Roman" w:hAnsi="Times New Roman" w:cs="Times New Roman"/>
          <w:sz w:val="22"/>
          <w:szCs w:val="22"/>
          <w:lang w:val="en-US"/>
        </w:rPr>
        <w:t>development costs incurred in each jurisdiction</w:t>
      </w:r>
      <w:r w:rsidR="00574D2D" w:rsidRPr="00201DB3">
        <w:rPr>
          <w:rFonts w:ascii="Times New Roman" w:hAnsi="Times New Roman" w:cs="Times New Roman"/>
          <w:sz w:val="22"/>
          <w:szCs w:val="22"/>
          <w:lang w:val="en-US"/>
        </w:rPr>
        <w:t>.</w:t>
      </w:r>
    </w:p>
    <w:p w14:paraId="6B707081" w14:textId="77777777" w:rsidR="000D5422" w:rsidRPr="00201DB3" w:rsidRDefault="000D5422" w:rsidP="00201DB3">
      <w:pPr>
        <w:spacing w:after="0" w:line="240" w:lineRule="auto"/>
        <w:rPr>
          <w:rFonts w:ascii="Times New Roman" w:hAnsi="Times New Roman" w:cs="Times New Roman"/>
          <w:sz w:val="22"/>
          <w:szCs w:val="22"/>
        </w:rPr>
      </w:pPr>
    </w:p>
    <w:p w14:paraId="2F723AED" w14:textId="211536A4" w:rsidR="001E1394" w:rsidRDefault="008431E9"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Therefore, d</w:t>
      </w:r>
      <w:r w:rsidR="006955B1" w:rsidRPr="00201DB3">
        <w:rPr>
          <w:rFonts w:ascii="Times New Roman" w:hAnsi="Times New Roman" w:cs="Times New Roman"/>
          <w:sz w:val="22"/>
          <w:szCs w:val="22"/>
        </w:rPr>
        <w:t xml:space="preserve">espite </w:t>
      </w:r>
      <w:r w:rsidR="00E07420" w:rsidRPr="00201DB3">
        <w:rPr>
          <w:rFonts w:ascii="Times New Roman" w:hAnsi="Times New Roman" w:cs="Times New Roman"/>
          <w:sz w:val="22"/>
          <w:szCs w:val="22"/>
        </w:rPr>
        <w:t>recent</w:t>
      </w:r>
      <w:r w:rsidR="006955B1" w:rsidRPr="00201DB3">
        <w:rPr>
          <w:rFonts w:ascii="Times New Roman" w:hAnsi="Times New Roman" w:cs="Times New Roman"/>
          <w:sz w:val="22"/>
          <w:szCs w:val="22"/>
        </w:rPr>
        <w:t xml:space="preserve"> transfer pricing </w:t>
      </w:r>
      <w:r w:rsidR="001E1394" w:rsidRPr="00201DB3">
        <w:rPr>
          <w:rFonts w:ascii="Times New Roman" w:hAnsi="Times New Roman" w:cs="Times New Roman"/>
          <w:sz w:val="22"/>
          <w:szCs w:val="22"/>
        </w:rPr>
        <w:t>r</w:t>
      </w:r>
      <w:r w:rsidR="006955B1" w:rsidRPr="00201DB3">
        <w:rPr>
          <w:rFonts w:ascii="Times New Roman" w:hAnsi="Times New Roman" w:cs="Times New Roman"/>
          <w:sz w:val="22"/>
          <w:szCs w:val="22"/>
        </w:rPr>
        <w:t xml:space="preserve">ules and </w:t>
      </w:r>
      <w:r w:rsidR="004C25EE" w:rsidRPr="00201DB3">
        <w:rPr>
          <w:rFonts w:ascii="Times New Roman" w:hAnsi="Times New Roman" w:cs="Times New Roman"/>
          <w:sz w:val="22"/>
          <w:szCs w:val="22"/>
        </w:rPr>
        <w:t xml:space="preserve">OECD </w:t>
      </w:r>
      <w:r w:rsidR="006955B1" w:rsidRPr="00201DB3">
        <w:rPr>
          <w:rFonts w:ascii="Times New Roman" w:hAnsi="Times New Roman" w:cs="Times New Roman"/>
          <w:sz w:val="22"/>
          <w:szCs w:val="22"/>
        </w:rPr>
        <w:t>pronouncements reiterating the ALP</w:t>
      </w:r>
      <w:r w:rsidR="008336B6" w:rsidRPr="00201DB3">
        <w:rPr>
          <w:rFonts w:ascii="Times New Roman" w:hAnsi="Times New Roman" w:cs="Times New Roman"/>
          <w:sz w:val="22"/>
          <w:szCs w:val="22"/>
        </w:rPr>
        <w:t>,</w:t>
      </w:r>
      <w:r w:rsidR="006955B1" w:rsidRPr="00201DB3">
        <w:rPr>
          <w:rFonts w:ascii="Times New Roman" w:hAnsi="Times New Roman" w:cs="Times New Roman"/>
          <w:sz w:val="22"/>
          <w:szCs w:val="22"/>
        </w:rPr>
        <w:t xml:space="preserve"> </w:t>
      </w:r>
      <w:r w:rsidR="00500F01" w:rsidRPr="00201DB3">
        <w:rPr>
          <w:rFonts w:ascii="Times New Roman" w:hAnsi="Times New Roman" w:cs="Times New Roman"/>
          <w:sz w:val="22"/>
          <w:szCs w:val="22"/>
        </w:rPr>
        <w:t>ther</w:t>
      </w:r>
      <w:r w:rsidR="00776B3B" w:rsidRPr="00201DB3">
        <w:rPr>
          <w:rFonts w:ascii="Times New Roman" w:hAnsi="Times New Roman" w:cs="Times New Roman"/>
          <w:sz w:val="22"/>
          <w:szCs w:val="22"/>
        </w:rPr>
        <w:t xml:space="preserve">e is an increasing number of </w:t>
      </w:r>
      <w:r w:rsidR="008D5EAB" w:rsidRPr="00201DB3">
        <w:rPr>
          <w:rFonts w:ascii="Times New Roman" w:hAnsi="Times New Roman" w:cs="Times New Roman"/>
          <w:sz w:val="22"/>
          <w:szCs w:val="22"/>
        </w:rPr>
        <w:t>situations where</w:t>
      </w:r>
      <w:r w:rsidR="006955B1" w:rsidRPr="00201DB3">
        <w:rPr>
          <w:rFonts w:ascii="Times New Roman" w:hAnsi="Times New Roman" w:cs="Times New Roman"/>
          <w:sz w:val="22"/>
          <w:szCs w:val="22"/>
        </w:rPr>
        <w:t>, when determining transfer prices,</w:t>
      </w:r>
      <w:r w:rsidR="008D5EAB" w:rsidRPr="00201DB3">
        <w:rPr>
          <w:rFonts w:ascii="Times New Roman" w:hAnsi="Times New Roman" w:cs="Times New Roman"/>
          <w:sz w:val="22"/>
          <w:szCs w:val="22"/>
        </w:rPr>
        <w:t xml:space="preserve"> a formula</w:t>
      </w:r>
      <w:r w:rsidR="00500F01" w:rsidRPr="00201DB3">
        <w:rPr>
          <w:rFonts w:ascii="Times New Roman" w:hAnsi="Times New Roman" w:cs="Times New Roman"/>
          <w:sz w:val="22"/>
          <w:szCs w:val="22"/>
        </w:rPr>
        <w:t>ry approach is used</w:t>
      </w:r>
      <w:r w:rsidR="008D5EAB" w:rsidRPr="00201DB3">
        <w:rPr>
          <w:rFonts w:ascii="Times New Roman" w:hAnsi="Times New Roman" w:cs="Times New Roman"/>
          <w:sz w:val="22"/>
          <w:szCs w:val="22"/>
        </w:rPr>
        <w:t xml:space="preserve">, either through </w:t>
      </w:r>
      <w:r w:rsidR="00500F01" w:rsidRPr="00201DB3">
        <w:rPr>
          <w:rFonts w:ascii="Times New Roman" w:hAnsi="Times New Roman" w:cs="Times New Roman"/>
          <w:sz w:val="22"/>
          <w:szCs w:val="22"/>
        </w:rPr>
        <w:t xml:space="preserve">the requirements of the </w:t>
      </w:r>
      <w:r w:rsidR="008D5EAB" w:rsidRPr="00201DB3">
        <w:rPr>
          <w:rFonts w:ascii="Times New Roman" w:hAnsi="Times New Roman" w:cs="Times New Roman"/>
          <w:sz w:val="22"/>
          <w:szCs w:val="22"/>
        </w:rPr>
        <w:t>law, or because an approach has become accepted</w:t>
      </w:r>
      <w:r w:rsidR="00500F01" w:rsidRPr="00201DB3">
        <w:rPr>
          <w:rFonts w:ascii="Times New Roman" w:hAnsi="Times New Roman" w:cs="Times New Roman"/>
          <w:sz w:val="22"/>
          <w:szCs w:val="22"/>
        </w:rPr>
        <w:t xml:space="preserve"> over time</w:t>
      </w:r>
      <w:r w:rsidR="008D5EAB" w:rsidRPr="00201DB3">
        <w:rPr>
          <w:rFonts w:ascii="Times New Roman" w:hAnsi="Times New Roman" w:cs="Times New Roman"/>
          <w:sz w:val="22"/>
          <w:szCs w:val="22"/>
        </w:rPr>
        <w:t xml:space="preserve">. </w:t>
      </w:r>
      <w:r w:rsidR="0021059D" w:rsidRPr="00201DB3">
        <w:rPr>
          <w:rFonts w:ascii="Times New Roman" w:hAnsi="Times New Roman" w:cs="Times New Roman"/>
          <w:sz w:val="22"/>
          <w:szCs w:val="22"/>
        </w:rPr>
        <w:t>This c</w:t>
      </w:r>
      <w:r w:rsidR="007D0659" w:rsidRPr="00201DB3">
        <w:rPr>
          <w:rFonts w:ascii="Times New Roman" w:hAnsi="Times New Roman" w:cs="Times New Roman"/>
          <w:sz w:val="22"/>
          <w:szCs w:val="22"/>
        </w:rPr>
        <w:t>an</w:t>
      </w:r>
      <w:r w:rsidR="0021059D" w:rsidRPr="00201DB3">
        <w:rPr>
          <w:rFonts w:ascii="Times New Roman" w:hAnsi="Times New Roman" w:cs="Times New Roman"/>
          <w:sz w:val="22"/>
          <w:szCs w:val="22"/>
        </w:rPr>
        <w:t xml:space="preserve"> be seen as </w:t>
      </w:r>
      <w:r w:rsidR="000E5C55" w:rsidRPr="00201DB3">
        <w:rPr>
          <w:rFonts w:ascii="Times New Roman" w:hAnsi="Times New Roman" w:cs="Times New Roman"/>
          <w:sz w:val="22"/>
          <w:szCs w:val="22"/>
        </w:rPr>
        <w:t xml:space="preserve">evidence of </w:t>
      </w:r>
      <w:r w:rsidR="0021059D" w:rsidRPr="00201DB3">
        <w:rPr>
          <w:rFonts w:ascii="Times New Roman" w:hAnsi="Times New Roman" w:cs="Times New Roman"/>
          <w:sz w:val="22"/>
          <w:szCs w:val="22"/>
        </w:rPr>
        <w:t>the flexibility of the</w:t>
      </w:r>
      <w:r w:rsidR="007D0659" w:rsidRPr="00201DB3">
        <w:rPr>
          <w:rFonts w:ascii="Times New Roman" w:hAnsi="Times New Roman" w:cs="Times New Roman"/>
          <w:sz w:val="22"/>
          <w:szCs w:val="22"/>
        </w:rPr>
        <w:t xml:space="preserve"> evolving</w:t>
      </w:r>
      <w:r w:rsidR="0021059D" w:rsidRPr="00201DB3">
        <w:rPr>
          <w:rFonts w:ascii="Times New Roman" w:hAnsi="Times New Roman" w:cs="Times New Roman"/>
          <w:sz w:val="22"/>
          <w:szCs w:val="22"/>
        </w:rPr>
        <w:t xml:space="preserve"> ALP, however s</w:t>
      </w:r>
      <w:r w:rsidR="005D4E35" w:rsidRPr="00201DB3">
        <w:rPr>
          <w:rFonts w:ascii="Times New Roman" w:hAnsi="Times New Roman" w:cs="Times New Roman"/>
          <w:sz w:val="22"/>
          <w:szCs w:val="22"/>
        </w:rPr>
        <w:t xml:space="preserve">uch </w:t>
      </w:r>
      <w:r w:rsidR="00D143EB" w:rsidRPr="00201DB3">
        <w:rPr>
          <w:rFonts w:ascii="Times New Roman" w:hAnsi="Times New Roman" w:cs="Times New Roman"/>
          <w:sz w:val="22"/>
          <w:szCs w:val="22"/>
        </w:rPr>
        <w:t xml:space="preserve">instances </w:t>
      </w:r>
      <w:r w:rsidR="007D0659" w:rsidRPr="00201DB3">
        <w:rPr>
          <w:rFonts w:ascii="Times New Roman" w:hAnsi="Times New Roman" w:cs="Times New Roman"/>
          <w:sz w:val="22"/>
          <w:szCs w:val="22"/>
        </w:rPr>
        <w:t xml:space="preserve">could also be seen as </w:t>
      </w:r>
      <w:r w:rsidR="00DE6587" w:rsidRPr="00201DB3">
        <w:rPr>
          <w:rFonts w:ascii="Times New Roman" w:hAnsi="Times New Roman" w:cs="Times New Roman"/>
          <w:sz w:val="22"/>
          <w:szCs w:val="22"/>
        </w:rPr>
        <w:t xml:space="preserve">not </w:t>
      </w:r>
      <w:r w:rsidR="004C25EE" w:rsidRPr="00201DB3">
        <w:rPr>
          <w:rFonts w:ascii="Times New Roman" w:hAnsi="Times New Roman" w:cs="Times New Roman"/>
          <w:sz w:val="22"/>
          <w:szCs w:val="22"/>
        </w:rPr>
        <w:t xml:space="preserve">fully consistent </w:t>
      </w:r>
      <w:r w:rsidR="00DE6587" w:rsidRPr="00201DB3">
        <w:rPr>
          <w:rFonts w:ascii="Times New Roman" w:hAnsi="Times New Roman" w:cs="Times New Roman"/>
          <w:sz w:val="22"/>
          <w:szCs w:val="22"/>
        </w:rPr>
        <w:t xml:space="preserve">with the </w:t>
      </w:r>
      <w:r w:rsidR="001A1431" w:rsidRPr="00201DB3">
        <w:rPr>
          <w:rFonts w:ascii="Times New Roman" w:hAnsi="Times New Roman" w:cs="Times New Roman"/>
          <w:sz w:val="22"/>
          <w:szCs w:val="22"/>
        </w:rPr>
        <w:t>overarching</w:t>
      </w:r>
      <w:r w:rsidR="006B56A8" w:rsidRPr="00201DB3">
        <w:rPr>
          <w:rFonts w:ascii="Times New Roman" w:hAnsi="Times New Roman" w:cs="Times New Roman"/>
          <w:sz w:val="22"/>
          <w:szCs w:val="22"/>
        </w:rPr>
        <w:t>,</w:t>
      </w:r>
      <w:r w:rsidR="001A1431" w:rsidRPr="00201DB3">
        <w:rPr>
          <w:rFonts w:ascii="Times New Roman" w:hAnsi="Times New Roman" w:cs="Times New Roman"/>
          <w:sz w:val="22"/>
          <w:szCs w:val="22"/>
        </w:rPr>
        <w:t xml:space="preserve"> </w:t>
      </w:r>
      <w:r w:rsidR="00DE6587" w:rsidRPr="00201DB3">
        <w:rPr>
          <w:rFonts w:ascii="Times New Roman" w:hAnsi="Times New Roman" w:cs="Times New Roman"/>
          <w:sz w:val="22"/>
          <w:szCs w:val="22"/>
        </w:rPr>
        <w:t>principled approach of the ALP</w:t>
      </w:r>
      <w:r w:rsidR="006B56A8" w:rsidRPr="00201DB3">
        <w:rPr>
          <w:rFonts w:ascii="Times New Roman" w:hAnsi="Times New Roman" w:cs="Times New Roman"/>
          <w:sz w:val="22"/>
          <w:szCs w:val="22"/>
        </w:rPr>
        <w:t>,</w:t>
      </w:r>
      <w:r w:rsidR="005D4E35" w:rsidRPr="00201DB3">
        <w:rPr>
          <w:rFonts w:ascii="Times New Roman" w:hAnsi="Times New Roman" w:cs="Times New Roman"/>
          <w:sz w:val="22"/>
          <w:szCs w:val="22"/>
        </w:rPr>
        <w:t xml:space="preserve"> that takes into account different </w:t>
      </w:r>
      <w:r w:rsidR="00DE6587" w:rsidRPr="00201DB3">
        <w:rPr>
          <w:rFonts w:ascii="Times New Roman" w:hAnsi="Times New Roman" w:cs="Times New Roman"/>
          <w:sz w:val="22"/>
          <w:szCs w:val="22"/>
        </w:rPr>
        <w:t>circumstances and the market and economic conditions</w:t>
      </w:r>
      <w:r w:rsidR="007D0659" w:rsidRPr="00201DB3">
        <w:rPr>
          <w:rFonts w:ascii="Times New Roman" w:hAnsi="Times New Roman" w:cs="Times New Roman"/>
          <w:sz w:val="22"/>
          <w:szCs w:val="22"/>
        </w:rPr>
        <w:t>. E</w:t>
      </w:r>
      <w:r w:rsidR="001D6C2F" w:rsidRPr="00201DB3">
        <w:rPr>
          <w:rFonts w:ascii="Times New Roman" w:hAnsi="Times New Roman" w:cs="Times New Roman"/>
          <w:sz w:val="22"/>
          <w:szCs w:val="22"/>
        </w:rPr>
        <w:t xml:space="preserve">ach of these different instances </w:t>
      </w:r>
      <w:r w:rsidR="00500F01" w:rsidRPr="00201DB3">
        <w:rPr>
          <w:rFonts w:ascii="Times New Roman" w:hAnsi="Times New Roman" w:cs="Times New Roman"/>
          <w:sz w:val="22"/>
          <w:szCs w:val="22"/>
        </w:rPr>
        <w:t xml:space="preserve">of </w:t>
      </w:r>
      <w:r w:rsidR="00F85139" w:rsidRPr="00201DB3">
        <w:rPr>
          <w:rFonts w:ascii="Times New Roman" w:hAnsi="Times New Roman" w:cs="Times New Roman"/>
          <w:sz w:val="22"/>
          <w:szCs w:val="22"/>
        </w:rPr>
        <w:t xml:space="preserve">acceptance of </w:t>
      </w:r>
      <w:r w:rsidR="00500F01" w:rsidRPr="00201DB3">
        <w:rPr>
          <w:rFonts w:ascii="Times New Roman" w:hAnsi="Times New Roman" w:cs="Times New Roman"/>
          <w:sz w:val="22"/>
          <w:szCs w:val="22"/>
        </w:rPr>
        <w:t>a</w:t>
      </w:r>
      <w:r w:rsidR="008359C7" w:rsidRPr="00201DB3">
        <w:rPr>
          <w:rFonts w:ascii="Times New Roman" w:hAnsi="Times New Roman" w:cs="Times New Roman"/>
          <w:sz w:val="22"/>
          <w:szCs w:val="22"/>
        </w:rPr>
        <w:t xml:space="preserve"> formulary</w:t>
      </w:r>
      <w:r w:rsidR="00500F01" w:rsidRPr="00201DB3">
        <w:rPr>
          <w:rFonts w:ascii="Times New Roman" w:hAnsi="Times New Roman" w:cs="Times New Roman"/>
          <w:sz w:val="22"/>
          <w:szCs w:val="22"/>
        </w:rPr>
        <w:t xml:space="preserve"> </w:t>
      </w:r>
      <w:r w:rsidR="00DE6587" w:rsidRPr="00201DB3">
        <w:rPr>
          <w:rFonts w:ascii="Times New Roman" w:hAnsi="Times New Roman" w:cs="Times New Roman"/>
          <w:sz w:val="22"/>
          <w:szCs w:val="22"/>
        </w:rPr>
        <w:t xml:space="preserve">approach </w:t>
      </w:r>
      <w:r w:rsidR="001D6C2F" w:rsidRPr="00201DB3">
        <w:rPr>
          <w:rFonts w:ascii="Times New Roman" w:hAnsi="Times New Roman" w:cs="Times New Roman"/>
          <w:sz w:val="22"/>
          <w:szCs w:val="22"/>
        </w:rPr>
        <w:t>could be seen a</w:t>
      </w:r>
      <w:r w:rsidR="00500F01" w:rsidRPr="00201DB3">
        <w:rPr>
          <w:rFonts w:ascii="Times New Roman" w:hAnsi="Times New Roman" w:cs="Times New Roman"/>
          <w:sz w:val="22"/>
          <w:szCs w:val="22"/>
        </w:rPr>
        <w:t>s</w:t>
      </w:r>
      <w:r w:rsidR="008D5EAB" w:rsidRPr="00201DB3">
        <w:rPr>
          <w:rFonts w:ascii="Times New Roman" w:hAnsi="Times New Roman" w:cs="Times New Roman"/>
          <w:sz w:val="22"/>
          <w:szCs w:val="22"/>
        </w:rPr>
        <w:t xml:space="preserve"> possible step to</w:t>
      </w:r>
      <w:r w:rsidR="001E1394" w:rsidRPr="00201DB3">
        <w:rPr>
          <w:rFonts w:ascii="Times New Roman" w:hAnsi="Times New Roman" w:cs="Times New Roman"/>
          <w:sz w:val="22"/>
          <w:szCs w:val="22"/>
        </w:rPr>
        <w:t>wards</w:t>
      </w:r>
      <w:r w:rsidR="008D5EAB" w:rsidRPr="00201DB3">
        <w:rPr>
          <w:rFonts w:ascii="Times New Roman" w:hAnsi="Times New Roman" w:cs="Times New Roman"/>
          <w:sz w:val="22"/>
          <w:szCs w:val="22"/>
        </w:rPr>
        <w:t xml:space="preserve"> a</w:t>
      </w:r>
      <w:r w:rsidR="00500F01" w:rsidRPr="00201DB3">
        <w:rPr>
          <w:rFonts w:ascii="Times New Roman" w:hAnsi="Times New Roman" w:cs="Times New Roman"/>
          <w:sz w:val="22"/>
          <w:szCs w:val="22"/>
        </w:rPr>
        <w:t xml:space="preserve"> wider</w:t>
      </w:r>
      <w:r w:rsidR="008D5EAB" w:rsidRPr="00201DB3">
        <w:rPr>
          <w:rFonts w:ascii="Times New Roman" w:hAnsi="Times New Roman" w:cs="Times New Roman"/>
          <w:sz w:val="22"/>
          <w:szCs w:val="22"/>
        </w:rPr>
        <w:t xml:space="preserve"> adoption of </w:t>
      </w:r>
      <w:r w:rsidR="008359C7" w:rsidRPr="00201DB3">
        <w:rPr>
          <w:rFonts w:ascii="Times New Roman" w:hAnsi="Times New Roman" w:cs="Times New Roman"/>
          <w:sz w:val="22"/>
          <w:szCs w:val="22"/>
        </w:rPr>
        <w:t>formulary apportionment</w:t>
      </w:r>
      <w:r w:rsidR="00A17EA5" w:rsidRPr="00201DB3">
        <w:rPr>
          <w:rFonts w:ascii="Times New Roman" w:hAnsi="Times New Roman" w:cs="Times New Roman"/>
          <w:sz w:val="22"/>
          <w:szCs w:val="22"/>
        </w:rPr>
        <w:t xml:space="preserve"> and an i</w:t>
      </w:r>
      <w:r w:rsidR="001E1394" w:rsidRPr="00201DB3">
        <w:rPr>
          <w:rFonts w:ascii="Times New Roman" w:hAnsi="Times New Roman" w:cs="Times New Roman"/>
          <w:sz w:val="22"/>
          <w:szCs w:val="22"/>
        </w:rPr>
        <w:t xml:space="preserve">ndirect way to build some </w:t>
      </w:r>
      <w:r w:rsidR="008D5EAB" w:rsidRPr="00201DB3">
        <w:rPr>
          <w:rFonts w:ascii="Times New Roman" w:hAnsi="Times New Roman" w:cs="Times New Roman"/>
          <w:sz w:val="22"/>
          <w:szCs w:val="22"/>
        </w:rPr>
        <w:t xml:space="preserve">consensus on </w:t>
      </w:r>
      <w:r w:rsidR="008359C7" w:rsidRPr="00201DB3">
        <w:rPr>
          <w:rFonts w:ascii="Times New Roman" w:hAnsi="Times New Roman" w:cs="Times New Roman"/>
          <w:sz w:val="22"/>
          <w:szCs w:val="22"/>
        </w:rPr>
        <w:t>formulary apportionment</w:t>
      </w:r>
      <w:r w:rsidR="001D6C2F" w:rsidRPr="00201DB3">
        <w:rPr>
          <w:rFonts w:ascii="Times New Roman" w:hAnsi="Times New Roman" w:cs="Times New Roman"/>
          <w:sz w:val="22"/>
          <w:szCs w:val="22"/>
        </w:rPr>
        <w:t xml:space="preserve"> mo</w:t>
      </w:r>
      <w:r w:rsidR="005D4E35" w:rsidRPr="00201DB3">
        <w:rPr>
          <w:rFonts w:ascii="Times New Roman" w:hAnsi="Times New Roman" w:cs="Times New Roman"/>
          <w:sz w:val="22"/>
          <w:szCs w:val="22"/>
        </w:rPr>
        <w:t>r</w:t>
      </w:r>
      <w:r w:rsidR="001D6C2F" w:rsidRPr="00201DB3">
        <w:rPr>
          <w:rFonts w:ascii="Times New Roman" w:hAnsi="Times New Roman" w:cs="Times New Roman"/>
          <w:sz w:val="22"/>
          <w:szCs w:val="22"/>
        </w:rPr>
        <w:t>e broadly</w:t>
      </w:r>
      <w:r w:rsidR="001E1394" w:rsidRPr="00201DB3">
        <w:rPr>
          <w:rFonts w:ascii="Times New Roman" w:hAnsi="Times New Roman" w:cs="Times New Roman"/>
          <w:sz w:val="22"/>
          <w:szCs w:val="22"/>
        </w:rPr>
        <w:t>.</w:t>
      </w:r>
    </w:p>
    <w:p w14:paraId="45DE0785" w14:textId="77777777" w:rsidR="00201DB3" w:rsidRPr="00201DB3" w:rsidRDefault="00201DB3" w:rsidP="00201DB3">
      <w:pPr>
        <w:spacing w:after="0" w:line="240" w:lineRule="auto"/>
        <w:rPr>
          <w:rFonts w:ascii="Times New Roman" w:hAnsi="Times New Roman" w:cs="Times New Roman"/>
          <w:sz w:val="22"/>
          <w:szCs w:val="22"/>
        </w:rPr>
      </w:pPr>
    </w:p>
    <w:p w14:paraId="5D8B4FCC" w14:textId="44813580" w:rsidR="002B3A9B" w:rsidRPr="00201DB3" w:rsidRDefault="002B3A9B" w:rsidP="00201DB3">
      <w:pPr>
        <w:spacing w:after="0" w:line="240" w:lineRule="auto"/>
        <w:rPr>
          <w:rFonts w:ascii="Times New Roman" w:hAnsi="Times New Roman" w:cs="Times New Roman"/>
          <w:sz w:val="22"/>
          <w:szCs w:val="22"/>
        </w:rPr>
      </w:pPr>
    </w:p>
    <w:p w14:paraId="54712FA6" w14:textId="19F3163A" w:rsidR="00C56CE0" w:rsidRPr="00201DB3" w:rsidRDefault="00C56CE0" w:rsidP="00201DB3">
      <w:pPr>
        <w:spacing w:after="0" w:line="240" w:lineRule="auto"/>
        <w:rPr>
          <w:rFonts w:ascii="Times New Roman" w:hAnsi="Times New Roman" w:cs="Times New Roman"/>
          <w:b/>
          <w:sz w:val="22"/>
          <w:szCs w:val="22"/>
        </w:rPr>
      </w:pPr>
      <w:r w:rsidRPr="00201DB3">
        <w:rPr>
          <w:rFonts w:ascii="Times New Roman" w:hAnsi="Times New Roman" w:cs="Times New Roman"/>
          <w:b/>
          <w:sz w:val="22"/>
          <w:szCs w:val="22"/>
        </w:rPr>
        <w:t>C</w:t>
      </w:r>
      <w:r w:rsidR="008431E9" w:rsidRPr="00201DB3">
        <w:rPr>
          <w:rFonts w:ascii="Times New Roman" w:hAnsi="Times New Roman" w:cs="Times New Roman"/>
          <w:b/>
          <w:sz w:val="22"/>
          <w:szCs w:val="22"/>
        </w:rPr>
        <w:t>onclusion</w:t>
      </w:r>
    </w:p>
    <w:p w14:paraId="0319D42F" w14:textId="30156287" w:rsidR="005767FE" w:rsidRPr="00201DB3" w:rsidRDefault="00005A53"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This </w:t>
      </w:r>
      <w:r w:rsidR="00CF1873" w:rsidRPr="00201DB3">
        <w:rPr>
          <w:rFonts w:ascii="Times New Roman" w:hAnsi="Times New Roman" w:cs="Times New Roman"/>
          <w:sz w:val="22"/>
          <w:szCs w:val="22"/>
        </w:rPr>
        <w:t>article</w:t>
      </w:r>
      <w:r w:rsidR="00AB7103" w:rsidRPr="00201DB3">
        <w:rPr>
          <w:rFonts w:ascii="Times New Roman" w:hAnsi="Times New Roman" w:cs="Times New Roman"/>
          <w:sz w:val="22"/>
          <w:szCs w:val="22"/>
        </w:rPr>
        <w:t xml:space="preserve"> </w:t>
      </w:r>
      <w:r w:rsidRPr="00201DB3">
        <w:rPr>
          <w:rFonts w:ascii="Times New Roman" w:hAnsi="Times New Roman" w:cs="Times New Roman"/>
          <w:sz w:val="22"/>
          <w:szCs w:val="22"/>
        </w:rPr>
        <w:t>contributes</w:t>
      </w:r>
      <w:r w:rsidR="005767FE" w:rsidRPr="00201DB3">
        <w:rPr>
          <w:rFonts w:ascii="Times New Roman" w:hAnsi="Times New Roman" w:cs="Times New Roman"/>
          <w:sz w:val="22"/>
          <w:szCs w:val="22"/>
        </w:rPr>
        <w:t xml:space="preserve"> new </w:t>
      </w:r>
      <w:r w:rsidR="00040A3C" w:rsidRPr="00201DB3">
        <w:rPr>
          <w:rFonts w:ascii="Times New Roman" w:hAnsi="Times New Roman" w:cs="Times New Roman"/>
          <w:sz w:val="22"/>
          <w:szCs w:val="22"/>
        </w:rPr>
        <w:t xml:space="preserve">insights based on empirical data </w:t>
      </w:r>
      <w:r w:rsidRPr="00201DB3">
        <w:rPr>
          <w:rFonts w:ascii="Times New Roman" w:hAnsi="Times New Roman" w:cs="Times New Roman"/>
          <w:sz w:val="22"/>
          <w:szCs w:val="22"/>
        </w:rPr>
        <w:t xml:space="preserve">to the on-going debate about the workability of the ALP, and the potential alternative </w:t>
      </w:r>
      <w:r w:rsidR="00530CA3" w:rsidRPr="00201DB3">
        <w:rPr>
          <w:rFonts w:ascii="Times New Roman" w:hAnsi="Times New Roman" w:cs="Times New Roman"/>
          <w:sz w:val="22"/>
          <w:szCs w:val="22"/>
        </w:rPr>
        <w:t xml:space="preserve">approach </w:t>
      </w:r>
      <w:r w:rsidRPr="00201DB3">
        <w:rPr>
          <w:rFonts w:ascii="Times New Roman" w:hAnsi="Times New Roman" w:cs="Times New Roman"/>
          <w:sz w:val="22"/>
          <w:szCs w:val="22"/>
        </w:rPr>
        <w:t xml:space="preserve">of </w:t>
      </w:r>
      <w:r w:rsidR="008359C7" w:rsidRPr="00201DB3">
        <w:rPr>
          <w:rFonts w:ascii="Times New Roman" w:hAnsi="Times New Roman" w:cs="Times New Roman"/>
          <w:sz w:val="22"/>
          <w:szCs w:val="22"/>
        </w:rPr>
        <w:t>formulary apportionment</w:t>
      </w:r>
      <w:r w:rsidRPr="00201DB3">
        <w:rPr>
          <w:rFonts w:ascii="Times New Roman" w:hAnsi="Times New Roman" w:cs="Times New Roman"/>
          <w:sz w:val="22"/>
          <w:szCs w:val="22"/>
        </w:rPr>
        <w:t xml:space="preserve">, by exploring the </w:t>
      </w:r>
      <w:r w:rsidR="006B56A8" w:rsidRPr="00201DB3">
        <w:rPr>
          <w:rFonts w:ascii="Times New Roman" w:hAnsi="Times New Roman" w:cs="Times New Roman"/>
          <w:sz w:val="22"/>
          <w:szCs w:val="22"/>
        </w:rPr>
        <w:t xml:space="preserve">views </w:t>
      </w:r>
      <w:r w:rsidRPr="00201DB3">
        <w:rPr>
          <w:rFonts w:ascii="Times New Roman" w:hAnsi="Times New Roman" w:cs="Times New Roman"/>
          <w:sz w:val="22"/>
          <w:szCs w:val="22"/>
        </w:rPr>
        <w:t xml:space="preserve">and perspectives of senior transfer pricing professionals. </w:t>
      </w:r>
      <w:r w:rsidR="005767FE" w:rsidRPr="00201DB3">
        <w:rPr>
          <w:rFonts w:ascii="Times New Roman" w:hAnsi="Times New Roman" w:cs="Times New Roman"/>
          <w:sz w:val="22"/>
          <w:szCs w:val="22"/>
        </w:rPr>
        <w:t xml:space="preserve">Our </w:t>
      </w:r>
      <w:r w:rsidR="003A5547" w:rsidRPr="00201DB3">
        <w:rPr>
          <w:rFonts w:ascii="Times New Roman" w:hAnsi="Times New Roman" w:cs="Times New Roman"/>
          <w:sz w:val="22"/>
          <w:szCs w:val="22"/>
        </w:rPr>
        <w:t>interviewees were</w:t>
      </w:r>
      <w:r w:rsidR="006B56A8" w:rsidRPr="00201DB3">
        <w:rPr>
          <w:rFonts w:ascii="Times New Roman" w:hAnsi="Times New Roman" w:cs="Times New Roman"/>
          <w:sz w:val="22"/>
          <w:szCs w:val="22"/>
        </w:rPr>
        <w:t xml:space="preserve"> drawn from </w:t>
      </w:r>
      <w:r w:rsidR="005767FE" w:rsidRPr="00201DB3">
        <w:rPr>
          <w:rFonts w:ascii="Times New Roman" w:hAnsi="Times New Roman" w:cs="Times New Roman"/>
          <w:sz w:val="22"/>
          <w:szCs w:val="22"/>
        </w:rPr>
        <w:t xml:space="preserve">the most senior professionals working in the UK and US tax settings and the </w:t>
      </w:r>
      <w:r w:rsidR="006B56A8" w:rsidRPr="00201DB3">
        <w:rPr>
          <w:rFonts w:ascii="Times New Roman" w:hAnsi="Times New Roman" w:cs="Times New Roman"/>
          <w:sz w:val="22"/>
          <w:szCs w:val="22"/>
        </w:rPr>
        <w:t>significant</w:t>
      </w:r>
      <w:r w:rsidR="005767FE" w:rsidRPr="00201DB3">
        <w:rPr>
          <w:rFonts w:ascii="Times New Roman" w:hAnsi="Times New Roman" w:cs="Times New Roman"/>
          <w:sz w:val="22"/>
          <w:szCs w:val="22"/>
        </w:rPr>
        <w:t xml:space="preserve"> overlap of interviewees in 2006 and 2016</w:t>
      </w:r>
      <w:r w:rsidR="00F94A61" w:rsidRPr="00201DB3">
        <w:rPr>
          <w:rFonts w:ascii="Times New Roman" w:hAnsi="Times New Roman" w:cs="Times New Roman"/>
          <w:sz w:val="22"/>
          <w:szCs w:val="22"/>
        </w:rPr>
        <w:t>/17</w:t>
      </w:r>
      <w:r w:rsidR="005767FE" w:rsidRPr="00201DB3">
        <w:rPr>
          <w:rFonts w:ascii="Times New Roman" w:hAnsi="Times New Roman" w:cs="Times New Roman"/>
          <w:sz w:val="22"/>
          <w:szCs w:val="22"/>
        </w:rPr>
        <w:t xml:space="preserve"> offers evidence of shifting attitudes towards </w:t>
      </w:r>
      <w:r w:rsidR="006D0987" w:rsidRPr="00201DB3">
        <w:rPr>
          <w:rFonts w:ascii="Times New Roman" w:hAnsi="Times New Roman" w:cs="Times New Roman"/>
          <w:sz w:val="22"/>
          <w:szCs w:val="22"/>
        </w:rPr>
        <w:t xml:space="preserve">the </w:t>
      </w:r>
      <w:r w:rsidR="005767FE" w:rsidRPr="00201DB3">
        <w:rPr>
          <w:rFonts w:ascii="Times New Roman" w:hAnsi="Times New Roman" w:cs="Times New Roman"/>
          <w:sz w:val="22"/>
          <w:szCs w:val="22"/>
        </w:rPr>
        <w:t xml:space="preserve">ALP and </w:t>
      </w:r>
      <w:r w:rsidR="008359C7" w:rsidRPr="00201DB3">
        <w:rPr>
          <w:rFonts w:ascii="Times New Roman" w:hAnsi="Times New Roman" w:cs="Times New Roman"/>
          <w:sz w:val="22"/>
          <w:szCs w:val="22"/>
        </w:rPr>
        <w:t>formulary apportionment</w:t>
      </w:r>
      <w:r w:rsidR="006B56A8" w:rsidRPr="00201DB3">
        <w:rPr>
          <w:rFonts w:ascii="Times New Roman" w:hAnsi="Times New Roman" w:cs="Times New Roman"/>
          <w:sz w:val="22"/>
          <w:szCs w:val="22"/>
        </w:rPr>
        <w:t>,</w:t>
      </w:r>
      <w:r w:rsidR="005767FE" w:rsidRPr="00201DB3">
        <w:rPr>
          <w:rFonts w:ascii="Times New Roman" w:hAnsi="Times New Roman" w:cs="Times New Roman"/>
          <w:sz w:val="22"/>
          <w:szCs w:val="22"/>
        </w:rPr>
        <w:t xml:space="preserve"> as the transfer pricing environment evolves. This information was garnered </w:t>
      </w:r>
      <w:r w:rsidR="006B56A8" w:rsidRPr="00201DB3">
        <w:rPr>
          <w:rFonts w:ascii="Times New Roman" w:hAnsi="Times New Roman" w:cs="Times New Roman"/>
          <w:sz w:val="22"/>
          <w:szCs w:val="22"/>
        </w:rPr>
        <w:t xml:space="preserve">from </w:t>
      </w:r>
      <w:r w:rsidR="005767FE" w:rsidRPr="00201DB3">
        <w:rPr>
          <w:rFonts w:ascii="Times New Roman" w:hAnsi="Times New Roman" w:cs="Times New Roman"/>
          <w:sz w:val="22"/>
          <w:szCs w:val="22"/>
        </w:rPr>
        <w:t>a hard-to-reach group</w:t>
      </w:r>
      <w:r w:rsidR="000E5C55" w:rsidRPr="00201DB3">
        <w:rPr>
          <w:rFonts w:ascii="Times New Roman" w:hAnsi="Times New Roman" w:cs="Times New Roman"/>
          <w:sz w:val="22"/>
          <w:szCs w:val="22"/>
        </w:rPr>
        <w:t>, providing</w:t>
      </w:r>
      <w:r w:rsidR="005767FE" w:rsidRPr="00201DB3">
        <w:rPr>
          <w:rFonts w:ascii="Times New Roman" w:hAnsi="Times New Roman" w:cs="Times New Roman"/>
          <w:sz w:val="22"/>
          <w:szCs w:val="22"/>
        </w:rPr>
        <w:t xml:space="preserve"> new insights into </w:t>
      </w:r>
      <w:r w:rsidR="000E5C55" w:rsidRPr="00201DB3">
        <w:rPr>
          <w:rFonts w:ascii="Times New Roman" w:hAnsi="Times New Roman" w:cs="Times New Roman"/>
          <w:sz w:val="22"/>
          <w:szCs w:val="22"/>
        </w:rPr>
        <w:t xml:space="preserve">changing </w:t>
      </w:r>
      <w:r w:rsidR="00CF1873" w:rsidRPr="00201DB3">
        <w:rPr>
          <w:rFonts w:ascii="Times New Roman" w:hAnsi="Times New Roman" w:cs="Times New Roman"/>
          <w:sz w:val="22"/>
          <w:szCs w:val="22"/>
        </w:rPr>
        <w:t xml:space="preserve">attitudes towards </w:t>
      </w:r>
      <w:r w:rsidR="005767FE" w:rsidRPr="00201DB3">
        <w:rPr>
          <w:rFonts w:ascii="Times New Roman" w:hAnsi="Times New Roman" w:cs="Times New Roman"/>
          <w:sz w:val="22"/>
          <w:szCs w:val="22"/>
        </w:rPr>
        <w:t>the acceptability o</w:t>
      </w:r>
      <w:r w:rsidR="006B56A8" w:rsidRPr="00201DB3">
        <w:rPr>
          <w:rFonts w:ascii="Times New Roman" w:hAnsi="Times New Roman" w:cs="Times New Roman"/>
          <w:sz w:val="22"/>
          <w:szCs w:val="22"/>
        </w:rPr>
        <w:t>f different transfer pricing approaches.</w:t>
      </w:r>
    </w:p>
    <w:p w14:paraId="70E05BCF" w14:textId="77777777" w:rsidR="005767FE" w:rsidRPr="00201DB3" w:rsidRDefault="005767FE" w:rsidP="00201DB3">
      <w:pPr>
        <w:spacing w:after="0" w:line="240" w:lineRule="auto"/>
        <w:rPr>
          <w:rFonts w:ascii="Times New Roman" w:hAnsi="Times New Roman" w:cs="Times New Roman"/>
          <w:sz w:val="22"/>
          <w:szCs w:val="22"/>
        </w:rPr>
      </w:pPr>
    </w:p>
    <w:p w14:paraId="505BEC1E" w14:textId="5BA3DD74" w:rsidR="00FB0591" w:rsidRPr="00201DB3" w:rsidRDefault="00C01CDA"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Over the </w:t>
      </w:r>
      <w:r w:rsidR="00E374FC" w:rsidRPr="00201DB3">
        <w:rPr>
          <w:rFonts w:ascii="Times New Roman" w:hAnsi="Times New Roman" w:cs="Times New Roman"/>
          <w:sz w:val="22"/>
          <w:szCs w:val="22"/>
        </w:rPr>
        <w:t>timeframe</w:t>
      </w:r>
      <w:r w:rsidRPr="00201DB3">
        <w:rPr>
          <w:rFonts w:ascii="Times New Roman" w:hAnsi="Times New Roman" w:cs="Times New Roman"/>
          <w:sz w:val="22"/>
          <w:szCs w:val="22"/>
        </w:rPr>
        <w:t xml:space="preserve"> of the study</w:t>
      </w:r>
      <w:r w:rsidR="005767FE" w:rsidRPr="00201DB3">
        <w:rPr>
          <w:rFonts w:ascii="Times New Roman" w:hAnsi="Times New Roman" w:cs="Times New Roman"/>
          <w:sz w:val="22"/>
          <w:szCs w:val="22"/>
        </w:rPr>
        <w:t>,</w:t>
      </w:r>
      <w:r w:rsidRPr="00201DB3">
        <w:rPr>
          <w:rFonts w:ascii="Times New Roman" w:hAnsi="Times New Roman" w:cs="Times New Roman"/>
          <w:sz w:val="22"/>
          <w:szCs w:val="22"/>
        </w:rPr>
        <w:t xml:space="preserve"> the </w:t>
      </w:r>
      <w:r w:rsidR="00E374FC" w:rsidRPr="00201DB3">
        <w:rPr>
          <w:rFonts w:ascii="Times New Roman" w:hAnsi="Times New Roman" w:cs="Times New Roman"/>
          <w:sz w:val="22"/>
          <w:szCs w:val="22"/>
        </w:rPr>
        <w:t xml:space="preserve">related </w:t>
      </w:r>
      <w:r w:rsidR="00D46ADB" w:rsidRPr="00201DB3">
        <w:rPr>
          <w:rFonts w:ascii="Times New Roman" w:hAnsi="Times New Roman" w:cs="Times New Roman"/>
          <w:sz w:val="22"/>
          <w:szCs w:val="22"/>
        </w:rPr>
        <w:t xml:space="preserve">academic </w:t>
      </w:r>
      <w:r w:rsidRPr="00201DB3">
        <w:rPr>
          <w:rFonts w:ascii="Times New Roman" w:hAnsi="Times New Roman" w:cs="Times New Roman"/>
          <w:sz w:val="22"/>
          <w:szCs w:val="22"/>
        </w:rPr>
        <w:t xml:space="preserve">literature reflects </w:t>
      </w:r>
      <w:r w:rsidR="00C111A9" w:rsidRPr="00201DB3">
        <w:rPr>
          <w:rFonts w:ascii="Times New Roman" w:hAnsi="Times New Roman" w:cs="Times New Roman"/>
          <w:sz w:val="22"/>
          <w:szCs w:val="22"/>
        </w:rPr>
        <w:t>a rising</w:t>
      </w:r>
      <w:r w:rsidRPr="00201DB3">
        <w:rPr>
          <w:rFonts w:ascii="Times New Roman" w:hAnsi="Times New Roman" w:cs="Times New Roman"/>
          <w:sz w:val="22"/>
          <w:szCs w:val="22"/>
        </w:rPr>
        <w:t xml:space="preserve"> disillusionment with the ALP</w:t>
      </w:r>
      <w:r w:rsidR="00AB7103" w:rsidRPr="00201DB3">
        <w:rPr>
          <w:rFonts w:ascii="Times New Roman" w:hAnsi="Times New Roman" w:cs="Times New Roman"/>
          <w:sz w:val="22"/>
          <w:szCs w:val="22"/>
        </w:rPr>
        <w:t xml:space="preserve">, rooted in concerns about tax avoidance, </w:t>
      </w:r>
      <w:r w:rsidRPr="00201DB3">
        <w:rPr>
          <w:rFonts w:ascii="Times New Roman" w:hAnsi="Times New Roman" w:cs="Times New Roman"/>
          <w:sz w:val="22"/>
          <w:szCs w:val="22"/>
        </w:rPr>
        <w:t xml:space="preserve">and a move along the continuum towards </w:t>
      </w:r>
      <w:r w:rsidR="008359C7" w:rsidRPr="00201DB3">
        <w:rPr>
          <w:rFonts w:ascii="Times New Roman" w:hAnsi="Times New Roman" w:cs="Times New Roman"/>
          <w:sz w:val="22"/>
          <w:szCs w:val="22"/>
        </w:rPr>
        <w:t>formulary apportionment</w:t>
      </w:r>
      <w:r w:rsidRPr="00201DB3">
        <w:rPr>
          <w:rFonts w:ascii="Times New Roman" w:hAnsi="Times New Roman" w:cs="Times New Roman"/>
          <w:sz w:val="22"/>
          <w:szCs w:val="22"/>
        </w:rPr>
        <w:t xml:space="preserve">, notwithstanding the acknowledgement of </w:t>
      </w:r>
      <w:r w:rsidR="000E5C55" w:rsidRPr="00201DB3">
        <w:rPr>
          <w:rFonts w:ascii="Times New Roman" w:hAnsi="Times New Roman" w:cs="Times New Roman"/>
          <w:sz w:val="22"/>
          <w:szCs w:val="22"/>
        </w:rPr>
        <w:t xml:space="preserve">some </w:t>
      </w:r>
      <w:r w:rsidRPr="00201DB3">
        <w:rPr>
          <w:rFonts w:ascii="Times New Roman" w:hAnsi="Times New Roman" w:cs="Times New Roman"/>
          <w:sz w:val="22"/>
          <w:szCs w:val="22"/>
        </w:rPr>
        <w:t>disadvantages of this approach</w:t>
      </w:r>
      <w:r w:rsidR="00013DA9" w:rsidRPr="00201DB3">
        <w:rPr>
          <w:rFonts w:ascii="Times New Roman" w:hAnsi="Times New Roman" w:cs="Times New Roman"/>
          <w:sz w:val="22"/>
          <w:szCs w:val="22"/>
        </w:rPr>
        <w:t>.</w:t>
      </w:r>
      <w:r w:rsidRPr="00201DB3">
        <w:rPr>
          <w:rFonts w:ascii="Times New Roman" w:hAnsi="Times New Roman" w:cs="Times New Roman"/>
          <w:sz w:val="22"/>
          <w:szCs w:val="22"/>
        </w:rPr>
        <w:t xml:space="preserve"> A shift in this direction is echoed in the </w:t>
      </w:r>
      <w:r w:rsidR="00D46ADB" w:rsidRPr="00201DB3">
        <w:rPr>
          <w:rFonts w:ascii="Times New Roman" w:hAnsi="Times New Roman" w:cs="Times New Roman"/>
          <w:sz w:val="22"/>
          <w:szCs w:val="22"/>
        </w:rPr>
        <w:t xml:space="preserve">practitioner </w:t>
      </w:r>
      <w:r w:rsidRPr="00201DB3">
        <w:rPr>
          <w:rFonts w:ascii="Times New Roman" w:hAnsi="Times New Roman" w:cs="Times New Roman"/>
          <w:sz w:val="22"/>
          <w:szCs w:val="22"/>
        </w:rPr>
        <w:t>interview data, al</w:t>
      </w:r>
      <w:r w:rsidR="00013DA9" w:rsidRPr="00201DB3">
        <w:rPr>
          <w:rFonts w:ascii="Times New Roman" w:hAnsi="Times New Roman" w:cs="Times New Roman"/>
          <w:sz w:val="22"/>
          <w:szCs w:val="22"/>
        </w:rPr>
        <w:t xml:space="preserve">beit </w:t>
      </w:r>
      <w:r w:rsidR="00E374FC" w:rsidRPr="00201DB3">
        <w:rPr>
          <w:rFonts w:ascii="Times New Roman" w:hAnsi="Times New Roman" w:cs="Times New Roman"/>
          <w:sz w:val="22"/>
          <w:szCs w:val="22"/>
        </w:rPr>
        <w:t xml:space="preserve">starting </w:t>
      </w:r>
      <w:r w:rsidR="00013DA9" w:rsidRPr="00201DB3">
        <w:rPr>
          <w:rFonts w:ascii="Times New Roman" w:hAnsi="Times New Roman" w:cs="Times New Roman"/>
          <w:sz w:val="22"/>
          <w:szCs w:val="22"/>
        </w:rPr>
        <w:t xml:space="preserve">from a </w:t>
      </w:r>
      <w:r w:rsidR="00E374FC" w:rsidRPr="00201DB3">
        <w:rPr>
          <w:rFonts w:ascii="Times New Roman" w:hAnsi="Times New Roman" w:cs="Times New Roman"/>
          <w:sz w:val="22"/>
          <w:szCs w:val="22"/>
        </w:rPr>
        <w:t xml:space="preserve">different </w:t>
      </w:r>
      <w:r w:rsidR="00013DA9" w:rsidRPr="00201DB3">
        <w:rPr>
          <w:rFonts w:ascii="Times New Roman" w:hAnsi="Times New Roman" w:cs="Times New Roman"/>
          <w:sz w:val="22"/>
          <w:szCs w:val="22"/>
        </w:rPr>
        <w:t>position on this continuum</w:t>
      </w:r>
      <w:r w:rsidR="00C24B5A" w:rsidRPr="00201DB3">
        <w:rPr>
          <w:rFonts w:ascii="Times New Roman" w:hAnsi="Times New Roman" w:cs="Times New Roman"/>
          <w:sz w:val="22"/>
          <w:szCs w:val="22"/>
        </w:rPr>
        <w:t xml:space="preserve">. </w:t>
      </w:r>
      <w:r w:rsidR="00096CBC" w:rsidRPr="00201DB3">
        <w:rPr>
          <w:rFonts w:ascii="Times New Roman" w:hAnsi="Times New Roman" w:cs="Times New Roman"/>
          <w:sz w:val="22"/>
          <w:szCs w:val="22"/>
        </w:rPr>
        <w:t>In the main, the data evidence a consensus that, in 2016</w:t>
      </w:r>
      <w:r w:rsidR="00F94A61" w:rsidRPr="00201DB3">
        <w:rPr>
          <w:rFonts w:ascii="Times New Roman" w:hAnsi="Times New Roman" w:cs="Times New Roman"/>
          <w:sz w:val="22"/>
          <w:szCs w:val="22"/>
        </w:rPr>
        <w:t>/17</w:t>
      </w:r>
      <w:r w:rsidR="00096CBC" w:rsidRPr="00201DB3">
        <w:rPr>
          <w:rFonts w:ascii="Times New Roman" w:hAnsi="Times New Roman" w:cs="Times New Roman"/>
          <w:sz w:val="22"/>
          <w:szCs w:val="22"/>
        </w:rPr>
        <w:t xml:space="preserve">, </w:t>
      </w:r>
      <w:r w:rsidR="00C24B5A" w:rsidRPr="00201DB3">
        <w:rPr>
          <w:rFonts w:ascii="Times New Roman" w:hAnsi="Times New Roman" w:cs="Times New Roman"/>
          <w:sz w:val="22"/>
          <w:szCs w:val="22"/>
        </w:rPr>
        <w:t xml:space="preserve">the </w:t>
      </w:r>
      <w:r w:rsidR="00005A53" w:rsidRPr="00201DB3">
        <w:rPr>
          <w:rFonts w:ascii="Times New Roman" w:hAnsi="Times New Roman" w:cs="Times New Roman"/>
          <w:sz w:val="22"/>
          <w:szCs w:val="22"/>
        </w:rPr>
        <w:t xml:space="preserve">ALP is </w:t>
      </w:r>
      <w:r w:rsidR="000E5C55" w:rsidRPr="00201DB3">
        <w:rPr>
          <w:rFonts w:ascii="Times New Roman" w:hAnsi="Times New Roman" w:cs="Times New Roman"/>
          <w:sz w:val="22"/>
          <w:szCs w:val="22"/>
        </w:rPr>
        <w:t xml:space="preserve">seen as </w:t>
      </w:r>
      <w:r w:rsidR="00C24B5A" w:rsidRPr="00201DB3">
        <w:rPr>
          <w:rFonts w:ascii="Times New Roman" w:hAnsi="Times New Roman" w:cs="Times New Roman"/>
          <w:sz w:val="22"/>
          <w:szCs w:val="22"/>
        </w:rPr>
        <w:t>increasingly problematic</w:t>
      </w:r>
      <w:r w:rsidR="00AB7103" w:rsidRPr="00201DB3">
        <w:rPr>
          <w:rFonts w:ascii="Times New Roman" w:hAnsi="Times New Roman" w:cs="Times New Roman"/>
          <w:sz w:val="22"/>
          <w:szCs w:val="22"/>
        </w:rPr>
        <w:t xml:space="preserve">, </w:t>
      </w:r>
      <w:r w:rsidR="00B80FB8" w:rsidRPr="00201DB3">
        <w:rPr>
          <w:rFonts w:ascii="Times New Roman" w:hAnsi="Times New Roman" w:cs="Times New Roman"/>
          <w:sz w:val="22"/>
          <w:szCs w:val="22"/>
        </w:rPr>
        <w:t>and</w:t>
      </w:r>
      <w:r w:rsidR="00E07420" w:rsidRPr="00201DB3">
        <w:rPr>
          <w:rFonts w:ascii="Times New Roman" w:hAnsi="Times New Roman" w:cs="Times New Roman"/>
          <w:sz w:val="22"/>
          <w:szCs w:val="22"/>
        </w:rPr>
        <w:t xml:space="preserve"> t</w:t>
      </w:r>
      <w:r w:rsidR="00005A53" w:rsidRPr="00201DB3">
        <w:rPr>
          <w:rFonts w:ascii="Times New Roman" w:hAnsi="Times New Roman" w:cs="Times New Roman"/>
          <w:sz w:val="22"/>
          <w:szCs w:val="22"/>
        </w:rPr>
        <w:t xml:space="preserve">here </w:t>
      </w:r>
      <w:r w:rsidR="00A840F6" w:rsidRPr="00201DB3">
        <w:rPr>
          <w:rFonts w:ascii="Times New Roman" w:hAnsi="Times New Roman" w:cs="Times New Roman"/>
          <w:sz w:val="22"/>
          <w:szCs w:val="22"/>
        </w:rPr>
        <w:t xml:space="preserve">is now a </w:t>
      </w:r>
      <w:r w:rsidR="006B3021" w:rsidRPr="00201DB3">
        <w:rPr>
          <w:rFonts w:ascii="Times New Roman" w:hAnsi="Times New Roman" w:cs="Times New Roman"/>
          <w:sz w:val="22"/>
          <w:szCs w:val="22"/>
        </w:rPr>
        <w:t xml:space="preserve">willingness to consider </w:t>
      </w:r>
      <w:r w:rsidR="008359C7" w:rsidRPr="00201DB3">
        <w:rPr>
          <w:rFonts w:ascii="Times New Roman" w:hAnsi="Times New Roman" w:cs="Times New Roman"/>
          <w:sz w:val="22"/>
          <w:szCs w:val="22"/>
        </w:rPr>
        <w:t>formulary apportionment</w:t>
      </w:r>
      <w:r w:rsidR="006B3021" w:rsidRPr="00201DB3">
        <w:rPr>
          <w:rFonts w:ascii="Times New Roman" w:hAnsi="Times New Roman" w:cs="Times New Roman"/>
          <w:sz w:val="22"/>
          <w:szCs w:val="22"/>
        </w:rPr>
        <w:t xml:space="preserve">, </w:t>
      </w:r>
      <w:r w:rsidR="00A840F6" w:rsidRPr="00201DB3">
        <w:rPr>
          <w:rFonts w:ascii="Times New Roman" w:hAnsi="Times New Roman" w:cs="Times New Roman"/>
          <w:sz w:val="22"/>
          <w:szCs w:val="22"/>
        </w:rPr>
        <w:t xml:space="preserve">perhaps facilitating future changes in </w:t>
      </w:r>
      <w:r w:rsidR="00005A53" w:rsidRPr="00201DB3">
        <w:rPr>
          <w:rFonts w:ascii="Times New Roman" w:hAnsi="Times New Roman" w:cs="Times New Roman"/>
          <w:sz w:val="22"/>
          <w:szCs w:val="22"/>
        </w:rPr>
        <w:t xml:space="preserve">attitude and practice. </w:t>
      </w:r>
      <w:r w:rsidR="008A7BD9" w:rsidRPr="00201DB3">
        <w:rPr>
          <w:rFonts w:ascii="Times New Roman" w:hAnsi="Times New Roman" w:cs="Times New Roman"/>
          <w:sz w:val="22"/>
          <w:szCs w:val="22"/>
        </w:rPr>
        <w:t xml:space="preserve">However, </w:t>
      </w:r>
      <w:r w:rsidR="00761F0F" w:rsidRPr="00201DB3">
        <w:rPr>
          <w:rFonts w:ascii="Times New Roman" w:hAnsi="Times New Roman" w:cs="Times New Roman"/>
          <w:sz w:val="22"/>
          <w:szCs w:val="22"/>
        </w:rPr>
        <w:t xml:space="preserve">this is </w:t>
      </w:r>
      <w:r w:rsidR="00E07420" w:rsidRPr="00201DB3">
        <w:rPr>
          <w:rFonts w:ascii="Times New Roman" w:hAnsi="Times New Roman" w:cs="Times New Roman"/>
          <w:sz w:val="22"/>
          <w:szCs w:val="22"/>
        </w:rPr>
        <w:t xml:space="preserve">driven less by </w:t>
      </w:r>
      <w:r w:rsidR="001319B3" w:rsidRPr="00201DB3">
        <w:rPr>
          <w:rFonts w:ascii="Times New Roman" w:hAnsi="Times New Roman" w:cs="Times New Roman"/>
          <w:sz w:val="22"/>
          <w:szCs w:val="22"/>
        </w:rPr>
        <w:t>concerns about</w:t>
      </w:r>
      <w:r w:rsidR="00E07420" w:rsidRPr="00201DB3">
        <w:rPr>
          <w:rFonts w:ascii="Times New Roman" w:hAnsi="Times New Roman" w:cs="Times New Roman"/>
          <w:sz w:val="22"/>
          <w:szCs w:val="22"/>
        </w:rPr>
        <w:t xml:space="preserve"> </w:t>
      </w:r>
      <w:r w:rsidR="002F6374" w:rsidRPr="00201DB3">
        <w:rPr>
          <w:rFonts w:ascii="Times New Roman" w:hAnsi="Times New Roman" w:cs="Times New Roman"/>
          <w:sz w:val="22"/>
          <w:szCs w:val="22"/>
        </w:rPr>
        <w:t xml:space="preserve">inequitable </w:t>
      </w:r>
      <w:r w:rsidR="00761F0F" w:rsidRPr="00201DB3">
        <w:rPr>
          <w:rFonts w:ascii="Times New Roman" w:hAnsi="Times New Roman" w:cs="Times New Roman"/>
          <w:sz w:val="22"/>
          <w:szCs w:val="22"/>
        </w:rPr>
        <w:t>income shifting,</w:t>
      </w:r>
      <w:r w:rsidR="00E07420" w:rsidRPr="00201DB3">
        <w:rPr>
          <w:rFonts w:ascii="Times New Roman" w:hAnsi="Times New Roman" w:cs="Times New Roman"/>
          <w:sz w:val="22"/>
          <w:szCs w:val="22"/>
        </w:rPr>
        <w:t xml:space="preserve"> and more by frustration with the </w:t>
      </w:r>
      <w:r w:rsidR="00AB7103" w:rsidRPr="00201DB3">
        <w:rPr>
          <w:rFonts w:ascii="Times New Roman" w:hAnsi="Times New Roman" w:cs="Times New Roman"/>
          <w:sz w:val="22"/>
          <w:szCs w:val="22"/>
        </w:rPr>
        <w:t xml:space="preserve">complexity and </w:t>
      </w:r>
      <w:r w:rsidR="002E3747" w:rsidRPr="00201DB3">
        <w:rPr>
          <w:rFonts w:ascii="Times New Roman" w:hAnsi="Times New Roman" w:cs="Times New Roman"/>
          <w:sz w:val="22"/>
          <w:szCs w:val="22"/>
        </w:rPr>
        <w:t xml:space="preserve">problems of </w:t>
      </w:r>
      <w:r w:rsidR="00AB7103" w:rsidRPr="00201DB3">
        <w:rPr>
          <w:rFonts w:ascii="Times New Roman" w:hAnsi="Times New Roman" w:cs="Times New Roman"/>
          <w:sz w:val="22"/>
          <w:szCs w:val="22"/>
        </w:rPr>
        <w:t xml:space="preserve">the </w:t>
      </w:r>
      <w:r w:rsidR="00E07420" w:rsidRPr="00201DB3">
        <w:rPr>
          <w:rFonts w:ascii="Times New Roman" w:hAnsi="Times New Roman" w:cs="Times New Roman"/>
          <w:sz w:val="22"/>
          <w:szCs w:val="22"/>
        </w:rPr>
        <w:t>workability of the ALP in practice.</w:t>
      </w:r>
      <w:r w:rsidR="00A840F6" w:rsidRPr="00201DB3">
        <w:rPr>
          <w:rFonts w:ascii="Times New Roman" w:hAnsi="Times New Roman" w:cs="Times New Roman"/>
          <w:sz w:val="22"/>
          <w:szCs w:val="22"/>
        </w:rPr>
        <w:t xml:space="preserve"> </w:t>
      </w:r>
    </w:p>
    <w:p w14:paraId="146C616C" w14:textId="77777777" w:rsidR="00161ADC" w:rsidRPr="00201DB3" w:rsidRDefault="00161ADC" w:rsidP="00201DB3">
      <w:pPr>
        <w:spacing w:after="0" w:line="240" w:lineRule="auto"/>
        <w:rPr>
          <w:rFonts w:ascii="Times New Roman" w:hAnsi="Times New Roman" w:cs="Times New Roman"/>
          <w:sz w:val="22"/>
          <w:szCs w:val="22"/>
        </w:rPr>
      </w:pPr>
    </w:p>
    <w:p w14:paraId="3B932988" w14:textId="49AD8B19" w:rsidR="00161ADC" w:rsidRPr="00201DB3" w:rsidRDefault="00161ADC" w:rsidP="00201DB3">
      <w:pPr>
        <w:spacing w:after="0" w:line="240" w:lineRule="auto"/>
        <w:rPr>
          <w:rFonts w:ascii="Times New Roman" w:hAnsi="Times New Roman" w:cs="Times New Roman"/>
          <w:sz w:val="22"/>
          <w:szCs w:val="22"/>
        </w:rPr>
      </w:pPr>
      <w:r w:rsidRPr="00201DB3">
        <w:rPr>
          <w:rFonts w:ascii="Times New Roman" w:hAnsi="Times New Roman" w:cs="Times New Roman"/>
          <w:sz w:val="22"/>
          <w:szCs w:val="22"/>
        </w:rPr>
        <w:t xml:space="preserve">Consensus and the need for agreement is a recurring theme </w:t>
      </w:r>
      <w:r w:rsidR="00654A26" w:rsidRPr="00201DB3">
        <w:rPr>
          <w:rFonts w:ascii="Times New Roman" w:hAnsi="Times New Roman" w:cs="Times New Roman"/>
          <w:sz w:val="22"/>
          <w:szCs w:val="22"/>
        </w:rPr>
        <w:t xml:space="preserve">both </w:t>
      </w:r>
      <w:r w:rsidRPr="00201DB3">
        <w:rPr>
          <w:rFonts w:ascii="Times New Roman" w:hAnsi="Times New Roman" w:cs="Times New Roman"/>
          <w:sz w:val="22"/>
          <w:szCs w:val="22"/>
        </w:rPr>
        <w:t xml:space="preserve">in the </w:t>
      </w:r>
      <w:r w:rsidR="000B5B84" w:rsidRPr="00201DB3">
        <w:rPr>
          <w:rFonts w:ascii="Times New Roman" w:hAnsi="Times New Roman" w:cs="Times New Roman"/>
          <w:sz w:val="22"/>
          <w:szCs w:val="22"/>
        </w:rPr>
        <w:t xml:space="preserve">literature and the </w:t>
      </w:r>
      <w:r w:rsidRPr="00201DB3">
        <w:rPr>
          <w:rFonts w:ascii="Times New Roman" w:hAnsi="Times New Roman" w:cs="Times New Roman"/>
          <w:sz w:val="22"/>
          <w:szCs w:val="22"/>
        </w:rPr>
        <w:t xml:space="preserve">interview data. In 2006, the ALP was presented as a principled, flexible approach, and consensus </w:t>
      </w:r>
      <w:r w:rsidR="0088429C" w:rsidRPr="00201DB3">
        <w:rPr>
          <w:rFonts w:ascii="Times New Roman" w:hAnsi="Times New Roman" w:cs="Times New Roman"/>
          <w:sz w:val="22"/>
          <w:szCs w:val="22"/>
        </w:rPr>
        <w:t xml:space="preserve">had </w:t>
      </w:r>
      <w:r w:rsidRPr="00201DB3">
        <w:rPr>
          <w:rFonts w:ascii="Times New Roman" w:hAnsi="Times New Roman" w:cs="Times New Roman"/>
          <w:sz w:val="22"/>
          <w:szCs w:val="22"/>
        </w:rPr>
        <w:t>built around it. In 2016/17, despite recurring problems with the ALP, and the principled approach not working as well as had been anticipated, the consensus was now seen as a reason to retain it, rather than making a major change that would “squander that valuable consensus”</w:t>
      </w:r>
      <w:r w:rsidR="003C5332" w:rsidRPr="00201DB3">
        <w:rPr>
          <w:rStyle w:val="FootnoteReference"/>
          <w:rFonts w:ascii="Times New Roman" w:hAnsi="Times New Roman" w:cs="Times New Roman"/>
          <w:sz w:val="22"/>
          <w:szCs w:val="22"/>
        </w:rPr>
        <w:footnoteReference w:id="64"/>
      </w:r>
      <w:r w:rsidRPr="00201DB3">
        <w:rPr>
          <w:rFonts w:ascii="Times New Roman" w:hAnsi="Times New Roman" w:cs="Times New Roman"/>
          <w:sz w:val="22"/>
          <w:szCs w:val="22"/>
        </w:rPr>
        <w:t xml:space="preserve">. Accordingly, the consensus that was </w:t>
      </w:r>
      <w:r w:rsidR="0088429C" w:rsidRPr="00201DB3">
        <w:rPr>
          <w:rFonts w:ascii="Times New Roman" w:hAnsi="Times New Roman" w:cs="Times New Roman"/>
          <w:sz w:val="22"/>
          <w:szCs w:val="22"/>
        </w:rPr>
        <w:t xml:space="preserve">previously </w:t>
      </w:r>
      <w:r w:rsidRPr="00201DB3">
        <w:rPr>
          <w:rFonts w:ascii="Times New Roman" w:hAnsi="Times New Roman" w:cs="Times New Roman"/>
          <w:sz w:val="22"/>
          <w:szCs w:val="22"/>
        </w:rPr>
        <w:t xml:space="preserve">built up for the ALP, is now used as a reason to keep the ALP, even though the ALP is not now fully operating in the way that was envisaged when the consensus was being built up. </w:t>
      </w:r>
      <w:r w:rsidR="0088429C" w:rsidRPr="00201DB3">
        <w:rPr>
          <w:rFonts w:ascii="Times New Roman" w:hAnsi="Times New Roman" w:cs="Times New Roman"/>
          <w:sz w:val="22"/>
          <w:szCs w:val="22"/>
        </w:rPr>
        <w:t xml:space="preserve">This </w:t>
      </w:r>
      <w:r w:rsidR="000B5B84" w:rsidRPr="00201DB3">
        <w:rPr>
          <w:rFonts w:ascii="Times New Roman" w:hAnsi="Times New Roman" w:cs="Times New Roman"/>
          <w:sz w:val="22"/>
          <w:szCs w:val="22"/>
        </w:rPr>
        <w:t>longstanding</w:t>
      </w:r>
      <w:r w:rsidR="00113163" w:rsidRPr="00201DB3">
        <w:rPr>
          <w:rFonts w:ascii="Times New Roman" w:hAnsi="Times New Roman" w:cs="Times New Roman"/>
          <w:sz w:val="22"/>
          <w:szCs w:val="22"/>
        </w:rPr>
        <w:t>, sometimes uneasy</w:t>
      </w:r>
      <w:r w:rsidR="000B5B84" w:rsidRPr="00201DB3">
        <w:rPr>
          <w:rFonts w:ascii="Times New Roman" w:hAnsi="Times New Roman" w:cs="Times New Roman"/>
          <w:sz w:val="22"/>
          <w:szCs w:val="22"/>
        </w:rPr>
        <w:t xml:space="preserve"> </w:t>
      </w:r>
      <w:r w:rsidR="0088429C" w:rsidRPr="00201DB3">
        <w:rPr>
          <w:rFonts w:ascii="Times New Roman" w:hAnsi="Times New Roman" w:cs="Times New Roman"/>
          <w:sz w:val="22"/>
          <w:szCs w:val="22"/>
        </w:rPr>
        <w:t xml:space="preserve">consensus for a vague principle </w:t>
      </w:r>
      <w:r w:rsidR="00654A26" w:rsidRPr="00201DB3">
        <w:rPr>
          <w:rFonts w:ascii="Times New Roman" w:hAnsi="Times New Roman" w:cs="Times New Roman"/>
          <w:sz w:val="22"/>
          <w:szCs w:val="22"/>
        </w:rPr>
        <w:t xml:space="preserve">can be seen as </w:t>
      </w:r>
      <w:r w:rsidR="0088429C" w:rsidRPr="00201DB3">
        <w:rPr>
          <w:rFonts w:ascii="Times New Roman" w:hAnsi="Times New Roman" w:cs="Times New Roman"/>
          <w:sz w:val="22"/>
          <w:szCs w:val="22"/>
        </w:rPr>
        <w:t xml:space="preserve">an important, enduring </w:t>
      </w:r>
      <w:r w:rsidR="00113163" w:rsidRPr="00201DB3">
        <w:rPr>
          <w:rFonts w:ascii="Times New Roman" w:hAnsi="Times New Roman" w:cs="Times New Roman"/>
          <w:sz w:val="22"/>
          <w:szCs w:val="22"/>
        </w:rPr>
        <w:t>c</w:t>
      </w:r>
      <w:r w:rsidR="0088429C" w:rsidRPr="00201DB3">
        <w:rPr>
          <w:rFonts w:ascii="Times New Roman" w:hAnsi="Times New Roman" w:cs="Times New Roman"/>
          <w:sz w:val="22"/>
          <w:szCs w:val="22"/>
        </w:rPr>
        <w:t xml:space="preserve">ounter argument to the lack of consensus on </w:t>
      </w:r>
      <w:r w:rsidR="00790571" w:rsidRPr="00201DB3">
        <w:rPr>
          <w:rFonts w:ascii="Times New Roman" w:hAnsi="Times New Roman" w:cs="Times New Roman"/>
          <w:sz w:val="22"/>
          <w:szCs w:val="22"/>
        </w:rPr>
        <w:t>formulary apportionment</w:t>
      </w:r>
      <w:r w:rsidR="0088429C" w:rsidRPr="00201DB3">
        <w:rPr>
          <w:rFonts w:ascii="Times New Roman" w:hAnsi="Times New Roman" w:cs="Times New Roman"/>
          <w:sz w:val="22"/>
          <w:szCs w:val="22"/>
        </w:rPr>
        <w:t xml:space="preserve"> both as a</w:t>
      </w:r>
      <w:r w:rsidR="00113163" w:rsidRPr="00201DB3">
        <w:rPr>
          <w:rFonts w:ascii="Times New Roman" w:hAnsi="Times New Roman" w:cs="Times New Roman"/>
          <w:sz w:val="22"/>
          <w:szCs w:val="22"/>
        </w:rPr>
        <w:t xml:space="preserve"> general </w:t>
      </w:r>
      <w:r w:rsidR="0088429C" w:rsidRPr="00201DB3">
        <w:rPr>
          <w:rFonts w:ascii="Times New Roman" w:hAnsi="Times New Roman" w:cs="Times New Roman"/>
          <w:sz w:val="22"/>
          <w:szCs w:val="22"/>
        </w:rPr>
        <w:t xml:space="preserve">approach, and </w:t>
      </w:r>
      <w:r w:rsidR="00113163" w:rsidRPr="00201DB3">
        <w:rPr>
          <w:rFonts w:ascii="Times New Roman" w:hAnsi="Times New Roman" w:cs="Times New Roman"/>
          <w:sz w:val="22"/>
          <w:szCs w:val="22"/>
        </w:rPr>
        <w:t xml:space="preserve">more specifically </w:t>
      </w:r>
      <w:r w:rsidR="0088429C" w:rsidRPr="00201DB3">
        <w:rPr>
          <w:rFonts w:ascii="Times New Roman" w:hAnsi="Times New Roman" w:cs="Times New Roman"/>
          <w:sz w:val="22"/>
          <w:szCs w:val="22"/>
        </w:rPr>
        <w:t>regarding the specific formula to be used.</w:t>
      </w:r>
    </w:p>
    <w:p w14:paraId="4ABC142D" w14:textId="77777777" w:rsidR="004272F9" w:rsidRPr="00201DB3" w:rsidRDefault="004272F9" w:rsidP="00201DB3">
      <w:pPr>
        <w:spacing w:after="0" w:line="240" w:lineRule="auto"/>
        <w:rPr>
          <w:rFonts w:ascii="Times New Roman" w:hAnsi="Times New Roman" w:cs="Times New Roman"/>
          <w:sz w:val="22"/>
          <w:szCs w:val="22"/>
        </w:rPr>
      </w:pPr>
    </w:p>
    <w:p w14:paraId="65A3ADCA" w14:textId="04C8BC24" w:rsidR="00E374FC" w:rsidRPr="00201DB3" w:rsidRDefault="000E5C55" w:rsidP="00201DB3">
      <w:pPr>
        <w:spacing w:after="0" w:line="240" w:lineRule="auto"/>
        <w:rPr>
          <w:rFonts w:ascii="Times New Roman" w:hAnsi="Times New Roman" w:cs="Times New Roman"/>
          <w:sz w:val="22"/>
          <w:szCs w:val="22"/>
        </w:rPr>
      </w:pPr>
      <w:bookmarkStart w:id="10" w:name="_Hlk514754218"/>
      <w:r w:rsidRPr="00201DB3">
        <w:rPr>
          <w:rFonts w:ascii="Times New Roman" w:hAnsi="Times New Roman" w:cs="Times New Roman"/>
          <w:sz w:val="22"/>
          <w:szCs w:val="22"/>
        </w:rPr>
        <w:t>I</w:t>
      </w:r>
      <w:r w:rsidR="00797610" w:rsidRPr="00201DB3">
        <w:rPr>
          <w:rFonts w:ascii="Times New Roman" w:hAnsi="Times New Roman" w:cs="Times New Roman"/>
          <w:sz w:val="22"/>
          <w:szCs w:val="22"/>
        </w:rPr>
        <w:t xml:space="preserve">n the years covered by this </w:t>
      </w:r>
      <w:r w:rsidR="00C24B5A" w:rsidRPr="00201DB3">
        <w:rPr>
          <w:rFonts w:ascii="Times New Roman" w:hAnsi="Times New Roman" w:cs="Times New Roman"/>
          <w:sz w:val="22"/>
          <w:szCs w:val="22"/>
        </w:rPr>
        <w:t>study</w:t>
      </w:r>
      <w:r w:rsidR="00797610" w:rsidRPr="00201DB3">
        <w:rPr>
          <w:rFonts w:ascii="Times New Roman" w:hAnsi="Times New Roman" w:cs="Times New Roman"/>
          <w:sz w:val="22"/>
          <w:szCs w:val="22"/>
        </w:rPr>
        <w:t xml:space="preserve">, </w:t>
      </w:r>
      <w:r w:rsidR="00E374FC" w:rsidRPr="00201DB3">
        <w:rPr>
          <w:rFonts w:ascii="Times New Roman" w:hAnsi="Times New Roman" w:cs="Times New Roman"/>
          <w:sz w:val="22"/>
          <w:szCs w:val="22"/>
        </w:rPr>
        <w:t xml:space="preserve">there have been increasing calls for </w:t>
      </w:r>
      <w:r w:rsidR="00523733" w:rsidRPr="00201DB3">
        <w:rPr>
          <w:rFonts w:ascii="Times New Roman" w:hAnsi="Times New Roman" w:cs="Times New Roman"/>
          <w:sz w:val="22"/>
          <w:szCs w:val="22"/>
        </w:rPr>
        <w:t>formulary apportionment</w:t>
      </w:r>
      <w:r w:rsidR="003A5547" w:rsidRPr="00201DB3">
        <w:rPr>
          <w:rFonts w:ascii="Times New Roman" w:hAnsi="Times New Roman" w:cs="Times New Roman"/>
          <w:sz w:val="22"/>
          <w:szCs w:val="22"/>
        </w:rPr>
        <w:t xml:space="preserve"> by academic commentators</w:t>
      </w:r>
      <w:r w:rsidR="009F6146" w:rsidRPr="00201DB3">
        <w:rPr>
          <w:rFonts w:ascii="Times New Roman" w:hAnsi="Times New Roman" w:cs="Times New Roman"/>
          <w:sz w:val="22"/>
          <w:szCs w:val="22"/>
        </w:rPr>
        <w:t>.</w:t>
      </w:r>
      <w:r w:rsidR="000B5B84" w:rsidRPr="00201DB3">
        <w:rPr>
          <w:rFonts w:ascii="Times New Roman" w:hAnsi="Times New Roman" w:cs="Times New Roman"/>
          <w:sz w:val="22"/>
          <w:szCs w:val="22"/>
        </w:rPr>
        <w:t xml:space="preserve"> However, despite this discussion and increase in the academic literature on </w:t>
      </w:r>
      <w:r w:rsidR="00790571" w:rsidRPr="00201DB3">
        <w:rPr>
          <w:rFonts w:ascii="Times New Roman" w:hAnsi="Times New Roman" w:cs="Times New Roman"/>
          <w:sz w:val="22"/>
          <w:szCs w:val="22"/>
        </w:rPr>
        <w:t>formulary apportionment</w:t>
      </w:r>
      <w:r w:rsidR="000B5B84" w:rsidRPr="00201DB3">
        <w:rPr>
          <w:rFonts w:ascii="Times New Roman" w:hAnsi="Times New Roman" w:cs="Times New Roman"/>
          <w:sz w:val="22"/>
          <w:szCs w:val="22"/>
        </w:rPr>
        <w:t xml:space="preserve">, it is observed that </w:t>
      </w:r>
      <w:r w:rsidR="00654A26" w:rsidRPr="00201DB3">
        <w:rPr>
          <w:rFonts w:ascii="Times New Roman" w:hAnsi="Times New Roman" w:cs="Times New Roman"/>
          <w:sz w:val="22"/>
          <w:szCs w:val="22"/>
        </w:rPr>
        <w:t xml:space="preserve">a shift towards </w:t>
      </w:r>
      <w:r w:rsidR="00790571" w:rsidRPr="00201DB3">
        <w:rPr>
          <w:rFonts w:ascii="Times New Roman" w:hAnsi="Times New Roman" w:cs="Times New Roman"/>
          <w:sz w:val="22"/>
          <w:szCs w:val="22"/>
        </w:rPr>
        <w:t>formulary apportionment</w:t>
      </w:r>
      <w:r w:rsidR="000B5B84" w:rsidRPr="00201DB3">
        <w:rPr>
          <w:rFonts w:ascii="Times New Roman" w:hAnsi="Times New Roman" w:cs="Times New Roman"/>
          <w:sz w:val="22"/>
          <w:szCs w:val="22"/>
        </w:rPr>
        <w:t xml:space="preserve"> would require “a </w:t>
      </w:r>
      <w:r w:rsidR="007A0729" w:rsidRPr="00201DB3">
        <w:rPr>
          <w:rFonts w:ascii="Times New Roman" w:hAnsi="Times New Roman" w:cs="Times New Roman"/>
          <w:sz w:val="22"/>
          <w:szCs w:val="22"/>
        </w:rPr>
        <w:t>wrench to the mindset of many international tax professionals</w:t>
      </w:r>
      <w:r w:rsidR="00AD6C66" w:rsidRPr="00201DB3">
        <w:rPr>
          <w:rFonts w:ascii="Times New Roman" w:hAnsi="Times New Roman" w:cs="Times New Roman"/>
          <w:sz w:val="22"/>
          <w:szCs w:val="22"/>
        </w:rPr>
        <w:t>.</w:t>
      </w:r>
      <w:r w:rsidR="007A0729" w:rsidRPr="00201DB3">
        <w:rPr>
          <w:rFonts w:ascii="Times New Roman" w:hAnsi="Times New Roman" w:cs="Times New Roman"/>
          <w:sz w:val="22"/>
          <w:szCs w:val="22"/>
        </w:rPr>
        <w:t>”</w:t>
      </w:r>
      <w:r w:rsidR="003C5332" w:rsidRPr="00201DB3">
        <w:rPr>
          <w:rStyle w:val="FootnoteReference"/>
          <w:rFonts w:ascii="Times New Roman" w:hAnsi="Times New Roman" w:cs="Times New Roman"/>
          <w:sz w:val="22"/>
          <w:szCs w:val="22"/>
        </w:rPr>
        <w:footnoteReference w:id="65"/>
      </w:r>
      <w:r w:rsidR="007A0729" w:rsidRPr="00201DB3">
        <w:rPr>
          <w:rFonts w:ascii="Times New Roman" w:hAnsi="Times New Roman" w:cs="Times New Roman"/>
          <w:sz w:val="22"/>
          <w:szCs w:val="22"/>
        </w:rPr>
        <w:t xml:space="preserve"> This longitudinal study of international tax professionals </w:t>
      </w:r>
      <w:r w:rsidR="000B5B84" w:rsidRPr="00201DB3">
        <w:rPr>
          <w:rFonts w:ascii="Times New Roman" w:hAnsi="Times New Roman" w:cs="Times New Roman"/>
          <w:sz w:val="22"/>
          <w:szCs w:val="22"/>
        </w:rPr>
        <w:t xml:space="preserve">shows </w:t>
      </w:r>
      <w:r w:rsidR="007A0729" w:rsidRPr="00201DB3">
        <w:rPr>
          <w:rFonts w:ascii="Times New Roman" w:hAnsi="Times New Roman" w:cs="Times New Roman"/>
          <w:sz w:val="22"/>
          <w:szCs w:val="22"/>
        </w:rPr>
        <w:t>that</w:t>
      </w:r>
      <w:r w:rsidR="00695A66" w:rsidRPr="00201DB3">
        <w:rPr>
          <w:rFonts w:ascii="Times New Roman" w:hAnsi="Times New Roman" w:cs="Times New Roman"/>
          <w:sz w:val="22"/>
          <w:szCs w:val="22"/>
        </w:rPr>
        <w:t>,</w:t>
      </w:r>
      <w:r w:rsidR="007A0729" w:rsidRPr="00201DB3">
        <w:rPr>
          <w:rFonts w:ascii="Times New Roman" w:hAnsi="Times New Roman" w:cs="Times New Roman"/>
          <w:sz w:val="22"/>
          <w:szCs w:val="22"/>
        </w:rPr>
        <w:t xml:space="preserve"> while a wrench has not taken place, there is evidence to indicate incremental steps towards a change in the mindset</w:t>
      </w:r>
      <w:r w:rsidR="00523733" w:rsidRPr="00201DB3">
        <w:rPr>
          <w:rFonts w:ascii="Times New Roman" w:hAnsi="Times New Roman" w:cs="Times New Roman"/>
          <w:sz w:val="22"/>
          <w:szCs w:val="22"/>
        </w:rPr>
        <w:t>,</w:t>
      </w:r>
      <w:r w:rsidR="007A0729" w:rsidRPr="00201DB3">
        <w:rPr>
          <w:rFonts w:ascii="Times New Roman" w:hAnsi="Times New Roman" w:cs="Times New Roman"/>
          <w:sz w:val="22"/>
          <w:szCs w:val="22"/>
        </w:rPr>
        <w:t xml:space="preserve"> to view </w:t>
      </w:r>
      <w:r w:rsidR="00523733" w:rsidRPr="00201DB3">
        <w:rPr>
          <w:rFonts w:ascii="Times New Roman" w:hAnsi="Times New Roman" w:cs="Times New Roman"/>
          <w:sz w:val="22"/>
          <w:szCs w:val="22"/>
        </w:rPr>
        <w:t xml:space="preserve">formulary apportionment </w:t>
      </w:r>
      <w:r w:rsidR="007A0729" w:rsidRPr="00201DB3">
        <w:rPr>
          <w:rFonts w:ascii="Times New Roman" w:hAnsi="Times New Roman" w:cs="Times New Roman"/>
          <w:sz w:val="22"/>
          <w:szCs w:val="22"/>
        </w:rPr>
        <w:t xml:space="preserve">more positively and to </w:t>
      </w:r>
      <w:r w:rsidR="003D056C" w:rsidRPr="00201DB3">
        <w:rPr>
          <w:rFonts w:ascii="Times New Roman" w:hAnsi="Times New Roman" w:cs="Times New Roman"/>
          <w:sz w:val="22"/>
          <w:szCs w:val="22"/>
        </w:rPr>
        <w:t xml:space="preserve">make more </w:t>
      </w:r>
      <w:r w:rsidR="007A0729" w:rsidRPr="00201DB3">
        <w:rPr>
          <w:rFonts w:ascii="Times New Roman" w:hAnsi="Times New Roman" w:cs="Times New Roman"/>
          <w:sz w:val="22"/>
          <w:szCs w:val="22"/>
        </w:rPr>
        <w:t xml:space="preserve">use </w:t>
      </w:r>
      <w:r w:rsidR="003D056C" w:rsidRPr="00201DB3">
        <w:rPr>
          <w:rFonts w:ascii="Times New Roman" w:hAnsi="Times New Roman" w:cs="Times New Roman"/>
          <w:sz w:val="22"/>
          <w:szCs w:val="22"/>
        </w:rPr>
        <w:t xml:space="preserve">of </w:t>
      </w:r>
      <w:r w:rsidR="007A0729" w:rsidRPr="00201DB3">
        <w:rPr>
          <w:rFonts w:ascii="Times New Roman" w:hAnsi="Times New Roman" w:cs="Times New Roman"/>
          <w:sz w:val="22"/>
          <w:szCs w:val="22"/>
        </w:rPr>
        <w:t>formulary approache</w:t>
      </w:r>
      <w:r w:rsidR="00CC023B" w:rsidRPr="00201DB3">
        <w:rPr>
          <w:rFonts w:ascii="Times New Roman" w:hAnsi="Times New Roman" w:cs="Times New Roman"/>
          <w:sz w:val="22"/>
          <w:szCs w:val="22"/>
        </w:rPr>
        <w:t>s</w:t>
      </w:r>
      <w:r w:rsidR="007A0729" w:rsidRPr="00201DB3">
        <w:rPr>
          <w:rFonts w:ascii="Times New Roman" w:hAnsi="Times New Roman" w:cs="Times New Roman"/>
          <w:sz w:val="22"/>
          <w:szCs w:val="22"/>
        </w:rPr>
        <w:t xml:space="preserve"> in practice.</w:t>
      </w:r>
      <w:bookmarkEnd w:id="10"/>
      <w:r w:rsidR="00E374FC" w:rsidRPr="00201DB3">
        <w:rPr>
          <w:rFonts w:ascii="Times New Roman" w:hAnsi="Times New Roman" w:cs="Times New Roman"/>
          <w:sz w:val="22"/>
          <w:szCs w:val="22"/>
        </w:rPr>
        <w:t xml:space="preserve"> </w:t>
      </w:r>
      <w:r w:rsidR="00642CCE" w:rsidRPr="00201DB3">
        <w:rPr>
          <w:rFonts w:ascii="Times New Roman" w:hAnsi="Times New Roman" w:cs="Times New Roman"/>
          <w:sz w:val="22"/>
          <w:szCs w:val="22"/>
        </w:rPr>
        <w:t xml:space="preserve">While </w:t>
      </w:r>
      <w:r w:rsidR="001E1394" w:rsidRPr="00201DB3">
        <w:rPr>
          <w:rFonts w:ascii="Times New Roman" w:hAnsi="Times New Roman" w:cs="Times New Roman"/>
          <w:sz w:val="22"/>
          <w:szCs w:val="22"/>
        </w:rPr>
        <w:t>showing</w:t>
      </w:r>
      <w:r w:rsidR="00E374FC" w:rsidRPr="00201DB3">
        <w:rPr>
          <w:rFonts w:ascii="Times New Roman" w:hAnsi="Times New Roman" w:cs="Times New Roman"/>
          <w:sz w:val="22"/>
          <w:szCs w:val="22"/>
        </w:rPr>
        <w:t xml:space="preserve"> an increasing </w:t>
      </w:r>
      <w:r w:rsidR="00642CCE" w:rsidRPr="00201DB3">
        <w:rPr>
          <w:rFonts w:ascii="Times New Roman" w:hAnsi="Times New Roman" w:cs="Times New Roman"/>
          <w:sz w:val="22"/>
          <w:szCs w:val="22"/>
        </w:rPr>
        <w:t xml:space="preserve">openness to consider </w:t>
      </w:r>
      <w:r w:rsidR="00523733" w:rsidRPr="00201DB3">
        <w:rPr>
          <w:rFonts w:ascii="Times New Roman" w:hAnsi="Times New Roman" w:cs="Times New Roman"/>
          <w:sz w:val="22"/>
          <w:szCs w:val="22"/>
        </w:rPr>
        <w:t>formulary apportionment</w:t>
      </w:r>
      <w:r w:rsidR="001E1394" w:rsidRPr="00201DB3">
        <w:rPr>
          <w:rFonts w:ascii="Times New Roman" w:hAnsi="Times New Roman" w:cs="Times New Roman"/>
          <w:sz w:val="22"/>
          <w:szCs w:val="22"/>
        </w:rPr>
        <w:t xml:space="preserve">, the interview data </w:t>
      </w:r>
      <w:r w:rsidR="00E374FC" w:rsidRPr="00201DB3">
        <w:rPr>
          <w:rFonts w:ascii="Times New Roman" w:hAnsi="Times New Roman" w:cs="Times New Roman"/>
          <w:sz w:val="22"/>
          <w:szCs w:val="22"/>
        </w:rPr>
        <w:t>also identified senior pra</w:t>
      </w:r>
      <w:r w:rsidR="00642CCE" w:rsidRPr="00201DB3">
        <w:rPr>
          <w:rFonts w:ascii="Times New Roman" w:hAnsi="Times New Roman" w:cs="Times New Roman"/>
          <w:sz w:val="22"/>
          <w:szCs w:val="22"/>
        </w:rPr>
        <w:t xml:space="preserve">ctitioners’ areas of concern with the ALP and </w:t>
      </w:r>
      <w:r w:rsidR="00523733" w:rsidRPr="00201DB3">
        <w:rPr>
          <w:rFonts w:ascii="Times New Roman" w:hAnsi="Times New Roman" w:cs="Times New Roman"/>
          <w:sz w:val="22"/>
          <w:szCs w:val="22"/>
        </w:rPr>
        <w:t>formulary apportionment</w:t>
      </w:r>
      <w:r w:rsidR="00E374FC" w:rsidRPr="00201DB3">
        <w:rPr>
          <w:rFonts w:ascii="Times New Roman" w:hAnsi="Times New Roman" w:cs="Times New Roman"/>
          <w:sz w:val="22"/>
          <w:szCs w:val="22"/>
        </w:rPr>
        <w:t>.</w:t>
      </w:r>
      <w:r w:rsidR="00642CCE" w:rsidRPr="00201DB3">
        <w:rPr>
          <w:rFonts w:ascii="Times New Roman" w:hAnsi="Times New Roman" w:cs="Times New Roman"/>
          <w:sz w:val="22"/>
          <w:szCs w:val="22"/>
        </w:rPr>
        <w:t xml:space="preserve"> </w:t>
      </w:r>
      <w:r w:rsidR="00E374FC" w:rsidRPr="00201DB3">
        <w:rPr>
          <w:rFonts w:ascii="Times New Roman" w:hAnsi="Times New Roman" w:cs="Times New Roman"/>
          <w:sz w:val="22"/>
          <w:szCs w:val="22"/>
        </w:rPr>
        <w:t xml:space="preserve">This </w:t>
      </w:r>
      <w:r w:rsidR="001E1394" w:rsidRPr="00201DB3">
        <w:rPr>
          <w:rFonts w:ascii="Times New Roman" w:hAnsi="Times New Roman" w:cs="Times New Roman"/>
          <w:sz w:val="22"/>
          <w:szCs w:val="22"/>
        </w:rPr>
        <w:t>offer</w:t>
      </w:r>
      <w:r w:rsidR="008A7BD9" w:rsidRPr="00201DB3">
        <w:rPr>
          <w:rFonts w:ascii="Times New Roman" w:hAnsi="Times New Roman" w:cs="Times New Roman"/>
          <w:sz w:val="22"/>
          <w:szCs w:val="22"/>
        </w:rPr>
        <w:t>s</w:t>
      </w:r>
      <w:r w:rsidR="001E1394" w:rsidRPr="00201DB3">
        <w:rPr>
          <w:rFonts w:ascii="Times New Roman" w:hAnsi="Times New Roman" w:cs="Times New Roman"/>
          <w:sz w:val="22"/>
          <w:szCs w:val="22"/>
        </w:rPr>
        <w:t xml:space="preserve"> particular </w:t>
      </w:r>
      <w:r w:rsidR="009356D0" w:rsidRPr="00201DB3">
        <w:rPr>
          <w:rFonts w:ascii="Times New Roman" w:hAnsi="Times New Roman" w:cs="Times New Roman"/>
          <w:sz w:val="22"/>
          <w:szCs w:val="22"/>
        </w:rPr>
        <w:t xml:space="preserve">areas </w:t>
      </w:r>
      <w:r w:rsidR="00654A26" w:rsidRPr="00201DB3">
        <w:rPr>
          <w:rFonts w:ascii="Times New Roman" w:hAnsi="Times New Roman" w:cs="Times New Roman"/>
          <w:sz w:val="22"/>
          <w:szCs w:val="22"/>
        </w:rPr>
        <w:t xml:space="preserve">for attention, </w:t>
      </w:r>
      <w:r w:rsidR="009356D0" w:rsidRPr="00201DB3">
        <w:rPr>
          <w:rFonts w:ascii="Times New Roman" w:hAnsi="Times New Roman" w:cs="Times New Roman"/>
          <w:sz w:val="22"/>
          <w:szCs w:val="22"/>
        </w:rPr>
        <w:t xml:space="preserve">where proponents of </w:t>
      </w:r>
      <w:r w:rsidR="00114F90" w:rsidRPr="00201DB3">
        <w:rPr>
          <w:rFonts w:ascii="Times New Roman" w:hAnsi="Times New Roman" w:cs="Times New Roman"/>
          <w:sz w:val="22"/>
          <w:szCs w:val="22"/>
        </w:rPr>
        <w:t>formulary</w:t>
      </w:r>
      <w:r w:rsidR="00523733" w:rsidRPr="00201DB3">
        <w:rPr>
          <w:rFonts w:ascii="Times New Roman" w:hAnsi="Times New Roman" w:cs="Times New Roman"/>
          <w:sz w:val="22"/>
          <w:szCs w:val="22"/>
        </w:rPr>
        <w:t xml:space="preserve"> apportionment</w:t>
      </w:r>
      <w:r w:rsidR="009356D0" w:rsidRPr="00201DB3">
        <w:rPr>
          <w:rFonts w:ascii="Times New Roman" w:hAnsi="Times New Roman" w:cs="Times New Roman"/>
          <w:sz w:val="22"/>
          <w:szCs w:val="22"/>
        </w:rPr>
        <w:t xml:space="preserve"> c</w:t>
      </w:r>
      <w:r w:rsidR="00642CCE" w:rsidRPr="00201DB3">
        <w:rPr>
          <w:rFonts w:ascii="Times New Roman" w:hAnsi="Times New Roman" w:cs="Times New Roman"/>
          <w:sz w:val="22"/>
          <w:szCs w:val="22"/>
        </w:rPr>
        <w:t>ould focus</w:t>
      </w:r>
      <w:r w:rsidR="004F4A61" w:rsidRPr="00201DB3">
        <w:rPr>
          <w:rFonts w:ascii="Times New Roman" w:hAnsi="Times New Roman" w:cs="Times New Roman"/>
          <w:sz w:val="22"/>
          <w:szCs w:val="22"/>
        </w:rPr>
        <w:t>,</w:t>
      </w:r>
      <w:r w:rsidR="00642CCE" w:rsidRPr="00201DB3">
        <w:rPr>
          <w:rFonts w:ascii="Times New Roman" w:hAnsi="Times New Roman" w:cs="Times New Roman"/>
          <w:sz w:val="22"/>
          <w:szCs w:val="22"/>
        </w:rPr>
        <w:t xml:space="preserve"> in order to </w:t>
      </w:r>
      <w:r w:rsidR="009356D0" w:rsidRPr="00201DB3">
        <w:rPr>
          <w:rFonts w:ascii="Times New Roman" w:hAnsi="Times New Roman" w:cs="Times New Roman"/>
          <w:sz w:val="22"/>
          <w:szCs w:val="22"/>
        </w:rPr>
        <w:t xml:space="preserve">acknowledge and </w:t>
      </w:r>
      <w:r w:rsidR="00642CCE" w:rsidRPr="00201DB3">
        <w:rPr>
          <w:rFonts w:ascii="Times New Roman" w:hAnsi="Times New Roman" w:cs="Times New Roman"/>
          <w:sz w:val="22"/>
          <w:szCs w:val="22"/>
        </w:rPr>
        <w:t>address those concerns</w:t>
      </w:r>
      <w:r w:rsidRPr="00201DB3">
        <w:rPr>
          <w:rFonts w:ascii="Times New Roman" w:hAnsi="Times New Roman" w:cs="Times New Roman"/>
          <w:sz w:val="22"/>
          <w:szCs w:val="22"/>
        </w:rPr>
        <w:t>,</w:t>
      </w:r>
      <w:r w:rsidR="00E374FC" w:rsidRPr="00201DB3">
        <w:rPr>
          <w:rFonts w:ascii="Times New Roman" w:hAnsi="Times New Roman" w:cs="Times New Roman"/>
          <w:sz w:val="22"/>
          <w:szCs w:val="22"/>
        </w:rPr>
        <w:t xml:space="preserve"> and </w:t>
      </w:r>
      <w:r w:rsidR="009356D0" w:rsidRPr="00201DB3">
        <w:rPr>
          <w:rFonts w:ascii="Times New Roman" w:hAnsi="Times New Roman" w:cs="Times New Roman"/>
          <w:sz w:val="22"/>
          <w:szCs w:val="22"/>
        </w:rPr>
        <w:t>press</w:t>
      </w:r>
      <w:r w:rsidR="00E374FC" w:rsidRPr="00201DB3">
        <w:rPr>
          <w:rFonts w:ascii="Times New Roman" w:hAnsi="Times New Roman" w:cs="Times New Roman"/>
          <w:sz w:val="22"/>
          <w:szCs w:val="22"/>
        </w:rPr>
        <w:t xml:space="preserve"> the</w:t>
      </w:r>
      <w:r w:rsidR="001E1394" w:rsidRPr="00201DB3">
        <w:rPr>
          <w:rFonts w:ascii="Times New Roman" w:hAnsi="Times New Roman" w:cs="Times New Roman"/>
          <w:sz w:val="22"/>
          <w:szCs w:val="22"/>
        </w:rPr>
        <w:t>ir</w:t>
      </w:r>
      <w:r w:rsidR="00E374FC" w:rsidRPr="00201DB3">
        <w:rPr>
          <w:rFonts w:ascii="Times New Roman" w:hAnsi="Times New Roman" w:cs="Times New Roman"/>
          <w:sz w:val="22"/>
          <w:szCs w:val="22"/>
        </w:rPr>
        <w:t xml:space="preserve"> argument for </w:t>
      </w:r>
      <w:r w:rsidR="00523733" w:rsidRPr="00201DB3">
        <w:rPr>
          <w:rFonts w:ascii="Times New Roman" w:hAnsi="Times New Roman" w:cs="Times New Roman"/>
          <w:sz w:val="22"/>
          <w:szCs w:val="22"/>
        </w:rPr>
        <w:t>formulary apportionment</w:t>
      </w:r>
      <w:r w:rsidR="00E374FC" w:rsidRPr="00201DB3">
        <w:rPr>
          <w:rFonts w:ascii="Times New Roman" w:hAnsi="Times New Roman" w:cs="Times New Roman"/>
          <w:sz w:val="22"/>
          <w:szCs w:val="22"/>
        </w:rPr>
        <w:t>. Only time will tell whether these arguments will prevail.</w:t>
      </w:r>
    </w:p>
    <w:p w14:paraId="14676655" w14:textId="5DCD8F83" w:rsidR="001A7827" w:rsidRPr="0098279D" w:rsidRDefault="001A7827" w:rsidP="008A7BD9">
      <w:pPr>
        <w:spacing w:after="0" w:line="240" w:lineRule="auto"/>
        <w:rPr>
          <w:rFonts w:ascii="Times New Roman" w:hAnsi="Times New Roman" w:cs="Times New Roman"/>
          <w:sz w:val="22"/>
          <w:szCs w:val="22"/>
        </w:rPr>
      </w:pPr>
    </w:p>
    <w:p w14:paraId="0D36C8EE" w14:textId="3885F876" w:rsidR="005355EB" w:rsidRPr="00201DB3" w:rsidRDefault="005355EB" w:rsidP="001C37B8">
      <w:pPr>
        <w:rPr>
          <w:rFonts w:ascii="Times New Roman" w:hAnsi="Times New Roman" w:cs="Times New Roman"/>
        </w:rPr>
      </w:pPr>
    </w:p>
    <w:p w14:paraId="0699A8BA" w14:textId="4ECF4CD5" w:rsidR="00F76CAA" w:rsidRPr="00201DB3" w:rsidRDefault="00F76CAA" w:rsidP="001C37B8">
      <w:pPr>
        <w:rPr>
          <w:rFonts w:ascii="Times New Roman" w:hAnsi="Times New Roman" w:cs="Times New Roman"/>
        </w:rPr>
      </w:pPr>
    </w:p>
    <w:p w14:paraId="1B318482" w14:textId="77777777" w:rsidR="00D7061D" w:rsidRPr="00201DB3" w:rsidRDefault="00D7061D" w:rsidP="001C37B8">
      <w:pPr>
        <w:rPr>
          <w:rFonts w:ascii="Times New Roman" w:hAnsi="Times New Roman" w:cs="Times New Roman"/>
        </w:rPr>
      </w:pPr>
    </w:p>
    <w:sectPr w:rsidR="00D7061D" w:rsidRPr="00201D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6954" w14:textId="77777777" w:rsidR="00AA160A" w:rsidRDefault="00AA160A" w:rsidP="00BC13C3">
      <w:pPr>
        <w:spacing w:after="0" w:line="240" w:lineRule="auto"/>
      </w:pPr>
      <w:r>
        <w:separator/>
      </w:r>
    </w:p>
  </w:endnote>
  <w:endnote w:type="continuationSeparator" w:id="0">
    <w:p w14:paraId="2A6029E8" w14:textId="77777777" w:rsidR="00AA160A" w:rsidRDefault="00AA160A" w:rsidP="00BC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806174"/>
      <w:docPartObj>
        <w:docPartGallery w:val="Page Numbers (Bottom of Page)"/>
        <w:docPartUnique/>
      </w:docPartObj>
    </w:sdtPr>
    <w:sdtEndPr>
      <w:rPr>
        <w:noProof/>
      </w:rPr>
    </w:sdtEndPr>
    <w:sdtContent>
      <w:p w14:paraId="5094B585" w14:textId="21BCCF5D" w:rsidR="00656CDC" w:rsidRDefault="00656CDC">
        <w:pPr>
          <w:pStyle w:val="Footer"/>
          <w:jc w:val="center"/>
        </w:pPr>
        <w:r>
          <w:fldChar w:fldCharType="begin"/>
        </w:r>
        <w:r>
          <w:instrText xml:space="preserve"> PAGE   \* MERGEFORMAT </w:instrText>
        </w:r>
        <w:r>
          <w:fldChar w:fldCharType="separate"/>
        </w:r>
        <w:r w:rsidR="006E1233">
          <w:rPr>
            <w:noProof/>
          </w:rPr>
          <w:t>14</w:t>
        </w:r>
        <w:r>
          <w:rPr>
            <w:noProof/>
          </w:rPr>
          <w:fldChar w:fldCharType="end"/>
        </w:r>
      </w:p>
    </w:sdtContent>
  </w:sdt>
  <w:p w14:paraId="2F96D540" w14:textId="77777777" w:rsidR="00656CDC" w:rsidRDefault="0065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B9EA" w14:textId="77777777" w:rsidR="00AA160A" w:rsidRDefault="00AA160A" w:rsidP="00BC13C3">
      <w:pPr>
        <w:spacing w:after="0" w:line="240" w:lineRule="auto"/>
      </w:pPr>
      <w:r>
        <w:separator/>
      </w:r>
    </w:p>
  </w:footnote>
  <w:footnote w:type="continuationSeparator" w:id="0">
    <w:p w14:paraId="42DB955E" w14:textId="77777777" w:rsidR="00AA160A" w:rsidRDefault="00AA160A" w:rsidP="00BC13C3">
      <w:pPr>
        <w:spacing w:after="0" w:line="240" w:lineRule="auto"/>
      </w:pPr>
      <w:r>
        <w:continuationSeparator/>
      </w:r>
    </w:p>
  </w:footnote>
  <w:footnote w:id="1">
    <w:p w14:paraId="3CFB36E3" w14:textId="3C041E4A" w:rsidR="00656CDC" w:rsidRPr="00201DB3" w:rsidRDefault="00656CDC">
      <w:pPr>
        <w:pStyle w:val="FootnoteText"/>
      </w:pPr>
      <w:r w:rsidRPr="00201DB3">
        <w:rPr>
          <w:rStyle w:val="FootnoteReference"/>
        </w:rPr>
        <w:footnoteRef/>
      </w:r>
      <w:r w:rsidRPr="00201DB3">
        <w:t xml:space="preserve"> S</w:t>
      </w:r>
      <w:r w:rsidR="00AA389D">
        <w:t xml:space="preserve">.C. </w:t>
      </w:r>
      <w:r w:rsidRPr="00201DB3">
        <w:t xml:space="preserve">Morse, </w:t>
      </w:r>
      <w:r w:rsidR="00AA389D">
        <w:t>“</w:t>
      </w:r>
      <w:r w:rsidRPr="00201DB3">
        <w:t>Seeking Comparables in Patents and Tax</w:t>
      </w:r>
      <w:r w:rsidR="00AA389D">
        <w:t>”</w:t>
      </w:r>
      <w:r w:rsidRPr="00201DB3">
        <w:t xml:space="preserve"> </w:t>
      </w:r>
      <w:r w:rsidR="00AA389D">
        <w:t>(</w:t>
      </w:r>
      <w:r w:rsidRPr="00201DB3">
        <w:t>2019</w:t>
      </w:r>
      <w:r w:rsidR="00AA389D">
        <w:t>)</w:t>
      </w:r>
      <w:r w:rsidRPr="00201DB3">
        <w:t xml:space="preserve"> </w:t>
      </w:r>
      <w:r w:rsidRPr="00F85CCA">
        <w:rPr>
          <w:i/>
        </w:rPr>
        <w:t>Revenue Litigation Brief</w:t>
      </w:r>
      <w:r w:rsidR="00AA389D">
        <w:t xml:space="preserve"> 37</w:t>
      </w:r>
      <w:r w:rsidRPr="00201DB3">
        <w:t xml:space="preserve">. </w:t>
      </w:r>
    </w:p>
  </w:footnote>
  <w:footnote w:id="2">
    <w:p w14:paraId="2E83E2AF" w14:textId="7146A422" w:rsidR="00656CDC" w:rsidRPr="00F85CCA" w:rsidRDefault="00656CDC" w:rsidP="001C37B8">
      <w:pPr>
        <w:spacing w:after="0" w:line="240" w:lineRule="auto"/>
        <w:rPr>
          <w:rFonts w:ascii="Times New Roman" w:hAnsi="Times New Roman" w:cs="Times New Roman"/>
        </w:rPr>
      </w:pPr>
      <w:r w:rsidRPr="00F85CCA">
        <w:rPr>
          <w:rStyle w:val="FootnoteReference"/>
          <w:rFonts w:ascii="Times New Roman" w:hAnsi="Times New Roman" w:cs="Times New Roman"/>
        </w:rPr>
        <w:footnoteRef/>
      </w:r>
      <w:r w:rsidRPr="00F85CCA">
        <w:rPr>
          <w:rFonts w:ascii="Times New Roman" w:hAnsi="Times New Roman" w:cs="Times New Roman"/>
        </w:rPr>
        <w:t xml:space="preserve"> </w:t>
      </w:r>
      <w:r w:rsidRPr="00201DB3">
        <w:rPr>
          <w:rFonts w:ascii="Times New Roman" w:hAnsi="Times New Roman" w:cs="Times New Roman"/>
        </w:rPr>
        <w:t>Evidence of a shift in attitude in favour of formulary apportionment is limited, although occasionally it is referred to as a given, but unsubstantiated</w:t>
      </w:r>
      <w:r w:rsidR="00AA389D">
        <w:rPr>
          <w:rFonts w:ascii="Times New Roman" w:hAnsi="Times New Roman" w:cs="Times New Roman"/>
        </w:rPr>
        <w:t>. F</w:t>
      </w:r>
      <w:r w:rsidRPr="00201DB3">
        <w:rPr>
          <w:rFonts w:ascii="Times New Roman" w:hAnsi="Times New Roman" w:cs="Times New Roman"/>
        </w:rPr>
        <w:t>or example, Self reports that the UK All-Party Parliamentary Group on Responsible Tax report that in a seminar held by the APPG with academics and other stakeholders there was</w:t>
      </w:r>
      <w:r w:rsidRPr="00F85CCA">
        <w:rPr>
          <w:rFonts w:ascii="Times New Roman" w:hAnsi="Times New Roman" w:cs="Times New Roman"/>
        </w:rPr>
        <w:t xml:space="preserve"> </w:t>
      </w:r>
      <w:r w:rsidRPr="00201DB3">
        <w:rPr>
          <w:rFonts w:ascii="Times New Roman" w:hAnsi="Times New Roman" w:cs="Times New Roman"/>
        </w:rPr>
        <w:t xml:space="preserve">broad support for formula apportionment overseen by a global body; although there was no apparent explanatory support for this. H. Self “Report of the all-party parliamentary group on responsible tax on the OECD’s Base Erosion and Profit-shifting project” </w:t>
      </w:r>
      <w:r w:rsidR="00255DD9">
        <w:rPr>
          <w:rFonts w:ascii="Times New Roman" w:hAnsi="Times New Roman" w:cs="Times New Roman"/>
        </w:rPr>
        <w:t>[</w:t>
      </w:r>
      <w:r w:rsidRPr="00201DB3">
        <w:rPr>
          <w:rFonts w:ascii="Times New Roman" w:hAnsi="Times New Roman" w:cs="Times New Roman"/>
        </w:rPr>
        <w:t>2016</w:t>
      </w:r>
      <w:r w:rsidR="00255DD9">
        <w:rPr>
          <w:rFonts w:ascii="Times New Roman" w:hAnsi="Times New Roman" w:cs="Times New Roman"/>
        </w:rPr>
        <w:t>]</w:t>
      </w:r>
      <w:r w:rsidRPr="00201DB3">
        <w:rPr>
          <w:rFonts w:ascii="Times New Roman" w:hAnsi="Times New Roman" w:cs="Times New Roman"/>
        </w:rPr>
        <w:t xml:space="preserve"> BTR 407</w:t>
      </w:r>
      <w:r w:rsidR="00AA389D">
        <w:rPr>
          <w:rFonts w:ascii="Times New Roman" w:hAnsi="Times New Roman" w:cs="Times New Roman"/>
        </w:rPr>
        <w:t>.</w:t>
      </w:r>
      <w:r w:rsidRPr="00201DB3">
        <w:rPr>
          <w:rFonts w:ascii="Times New Roman" w:hAnsi="Times New Roman" w:cs="Times New Roman"/>
        </w:rPr>
        <w:t xml:space="preserve"> </w:t>
      </w:r>
    </w:p>
  </w:footnote>
  <w:footnote w:id="3">
    <w:p w14:paraId="22B3D6D0" w14:textId="7A1154C7" w:rsidR="00656CDC" w:rsidRPr="00201DB3" w:rsidRDefault="00656CDC">
      <w:pPr>
        <w:pStyle w:val="FootnoteText"/>
      </w:pPr>
      <w:r w:rsidRPr="00201DB3">
        <w:rPr>
          <w:rStyle w:val="FootnoteReference"/>
        </w:rPr>
        <w:footnoteRef/>
      </w:r>
      <w:r w:rsidRPr="00201DB3">
        <w:t xml:space="preserve"> </w:t>
      </w:r>
      <w:r w:rsidR="00F85CCA">
        <w:t xml:space="preserve">A. Auerbach, </w:t>
      </w:r>
      <w:r w:rsidRPr="00201DB3">
        <w:t>M</w:t>
      </w:r>
      <w:r w:rsidR="00F85CCA">
        <w:t xml:space="preserve">.P. </w:t>
      </w:r>
      <w:r w:rsidRPr="00201DB3">
        <w:t>Dever</w:t>
      </w:r>
      <w:r w:rsidR="00F85CCA">
        <w:t>e</w:t>
      </w:r>
      <w:r w:rsidRPr="00201DB3">
        <w:t>ux</w:t>
      </w:r>
      <w:r w:rsidR="00F85CCA">
        <w:t>. M. Keen and J. Vella, Destination-based cash flow taxation</w:t>
      </w:r>
      <w:r w:rsidR="0019125C">
        <w:t>,</w:t>
      </w:r>
      <w:r w:rsidR="00F85CCA">
        <w:t xml:space="preserve"> Said Business School Research Paper (2017)</w:t>
      </w:r>
      <w:r w:rsidR="00255DD9">
        <w:t>.</w:t>
      </w:r>
    </w:p>
  </w:footnote>
  <w:footnote w:id="4">
    <w:p w14:paraId="2C2FE4FA" w14:textId="24424ED5" w:rsidR="00656CDC" w:rsidRPr="00201DB3" w:rsidRDefault="00656CDC">
      <w:pPr>
        <w:pStyle w:val="FootnoteText"/>
      </w:pPr>
      <w:r w:rsidRPr="00201DB3">
        <w:rPr>
          <w:rStyle w:val="FootnoteReference"/>
        </w:rPr>
        <w:footnoteRef/>
      </w:r>
      <w:r w:rsidRPr="00201DB3">
        <w:t xml:space="preserve"> W</w:t>
      </w:r>
      <w:r w:rsidR="00AA389D">
        <w:t>.</w:t>
      </w:r>
      <w:r w:rsidRPr="00201DB3">
        <w:t xml:space="preserve"> Cui, </w:t>
      </w:r>
      <w:r w:rsidR="00AA389D">
        <w:t>“</w:t>
      </w:r>
      <w:r w:rsidRPr="00201DB3">
        <w:t>Residence-based formulary apportionment: (In)feasibility and Implications</w:t>
      </w:r>
      <w:r w:rsidR="00AA389D">
        <w:t>”</w:t>
      </w:r>
      <w:r w:rsidRPr="00201DB3">
        <w:t xml:space="preserve">, </w:t>
      </w:r>
      <w:r w:rsidR="007072C3">
        <w:t xml:space="preserve">(2018) </w:t>
      </w:r>
      <w:r w:rsidRPr="00201DB3">
        <w:rPr>
          <w:i/>
        </w:rPr>
        <w:t>Tax Law Review</w:t>
      </w:r>
      <w:r w:rsidRPr="00201DB3">
        <w:t xml:space="preserve"> </w:t>
      </w:r>
      <w:r w:rsidR="00AA389D">
        <w:t>551</w:t>
      </w:r>
      <w:r w:rsidR="007072C3">
        <w:t>.</w:t>
      </w:r>
    </w:p>
  </w:footnote>
  <w:footnote w:id="5">
    <w:p w14:paraId="23EB4ED9" w14:textId="275D396A" w:rsidR="00656CDC" w:rsidRPr="00201DB3" w:rsidRDefault="00656CDC">
      <w:pPr>
        <w:pStyle w:val="FootnoteText"/>
      </w:pPr>
      <w:r w:rsidRPr="00201DB3">
        <w:rPr>
          <w:rStyle w:val="FootnoteReference"/>
        </w:rPr>
        <w:footnoteRef/>
      </w:r>
      <w:r w:rsidRPr="00201DB3">
        <w:t xml:space="preserve"> </w:t>
      </w:r>
      <w:r w:rsidR="00AC3608" w:rsidRPr="00201DB3">
        <w:t>M. Durst</w:t>
      </w:r>
      <w:r w:rsidR="00F85CCA">
        <w:t>,</w:t>
      </w:r>
      <w:r w:rsidR="00AC3608" w:rsidRPr="00201DB3">
        <w:t xml:space="preserve"> “A practical approach to a transition to formulary apportionment</w:t>
      </w:r>
      <w:r w:rsidR="00C234EF" w:rsidRPr="00201DB3">
        <w:t>”</w:t>
      </w:r>
      <w:r w:rsidR="00AC3608" w:rsidRPr="00201DB3">
        <w:t xml:space="preserve"> </w:t>
      </w:r>
      <w:r w:rsidRPr="00201DB3">
        <w:t xml:space="preserve"> in S.</w:t>
      </w:r>
      <w:r w:rsidR="00F85CCA">
        <w:t xml:space="preserve"> </w:t>
      </w:r>
      <w:r w:rsidRPr="00201DB3">
        <w:t>Picciotto</w:t>
      </w:r>
      <w:r w:rsidR="00C234EF" w:rsidRPr="00201DB3">
        <w:t xml:space="preserve"> (ed) </w:t>
      </w:r>
      <w:r w:rsidRPr="00201DB3">
        <w:t xml:space="preserve"> </w:t>
      </w:r>
      <w:r w:rsidRPr="00201DB3">
        <w:rPr>
          <w:i/>
        </w:rPr>
        <w:t>Taxing Multinational Enterprises as Unitary Firms</w:t>
      </w:r>
      <w:r w:rsidRPr="00201DB3">
        <w:t>, (</w:t>
      </w:r>
      <w:r w:rsidR="00C234EF" w:rsidRPr="00201DB3">
        <w:t xml:space="preserve">Brighton: </w:t>
      </w:r>
      <w:r w:rsidRPr="00201DB3">
        <w:t>Institute of Development Studies,</w:t>
      </w:r>
      <w:r w:rsidR="00C234EF" w:rsidRPr="00201DB3">
        <w:t xml:space="preserve"> </w:t>
      </w:r>
      <w:r w:rsidRPr="00201DB3">
        <w:t>2017) 49.</w:t>
      </w:r>
    </w:p>
  </w:footnote>
  <w:footnote w:id="6">
    <w:p w14:paraId="52747D57" w14:textId="3E706F66" w:rsidR="00656CDC" w:rsidRPr="00F85CCA" w:rsidRDefault="00656CDC" w:rsidP="007072C3">
      <w:pPr>
        <w:spacing w:after="0" w:line="240" w:lineRule="auto"/>
        <w:rPr>
          <w:rFonts w:ascii="Times New Roman" w:hAnsi="Times New Roman" w:cs="Times New Roman"/>
        </w:rPr>
      </w:pPr>
      <w:r w:rsidRPr="00201DB3">
        <w:rPr>
          <w:rStyle w:val="FootnoteReference"/>
          <w:rFonts w:ascii="Times New Roman" w:hAnsi="Times New Roman" w:cs="Times New Roman"/>
        </w:rPr>
        <w:footnoteRef/>
      </w:r>
      <w:r w:rsidRPr="00201DB3">
        <w:rPr>
          <w:rFonts w:ascii="Times New Roman" w:hAnsi="Times New Roman" w:cs="Times New Roman"/>
        </w:rPr>
        <w:t xml:space="preserve"> S. </w:t>
      </w:r>
      <w:r w:rsidR="00457514" w:rsidRPr="00201DB3">
        <w:rPr>
          <w:rFonts w:ascii="Times New Roman" w:hAnsi="Times New Roman" w:cs="Times New Roman"/>
        </w:rPr>
        <w:t>Picciotto, “International</w:t>
      </w:r>
      <w:r w:rsidRPr="00201DB3">
        <w:rPr>
          <w:rFonts w:ascii="Times New Roman" w:hAnsi="Times New Roman" w:cs="Times New Roman"/>
        </w:rPr>
        <w:t xml:space="preserve"> taxation and intrafirm pricing in transnational corporate groups” (1992) </w:t>
      </w:r>
      <w:r w:rsidRPr="00F85CCA">
        <w:rPr>
          <w:rFonts w:ascii="Times New Roman" w:hAnsi="Times New Roman" w:cs="Times New Roman"/>
          <w:i/>
        </w:rPr>
        <w:t>Accounting Organizations and Society</w:t>
      </w:r>
      <w:r w:rsidRPr="00201DB3">
        <w:rPr>
          <w:rFonts w:ascii="Times New Roman" w:hAnsi="Times New Roman" w:cs="Times New Roman"/>
        </w:rPr>
        <w:t xml:space="preserve"> 759.</w:t>
      </w:r>
    </w:p>
  </w:footnote>
  <w:footnote w:id="7">
    <w:p w14:paraId="5D758E58" w14:textId="52532A30" w:rsidR="00656CDC" w:rsidRPr="00F85CCA" w:rsidRDefault="00656CDC" w:rsidP="007072C3">
      <w:pPr>
        <w:spacing w:after="0" w:line="240" w:lineRule="auto"/>
        <w:rPr>
          <w:rFonts w:ascii="Times New Roman" w:hAnsi="Times New Roman" w:cs="Times New Roman"/>
        </w:rPr>
      </w:pPr>
      <w:r w:rsidRPr="00201DB3">
        <w:rPr>
          <w:rStyle w:val="FootnoteReference"/>
          <w:rFonts w:ascii="Times New Roman" w:hAnsi="Times New Roman" w:cs="Times New Roman"/>
        </w:rPr>
        <w:footnoteRef/>
      </w:r>
      <w:r w:rsidRPr="00201DB3">
        <w:rPr>
          <w:rFonts w:ascii="Times New Roman" w:hAnsi="Times New Roman" w:cs="Times New Roman"/>
        </w:rPr>
        <w:t xml:space="preserve"> C.Radaelli. “Game theory and institutional entrepreneurship: transfer pricing and the search for coordination in international tax policy” (1998) </w:t>
      </w:r>
      <w:r w:rsidRPr="00F85CCA">
        <w:rPr>
          <w:rFonts w:ascii="Times New Roman" w:hAnsi="Times New Roman" w:cs="Times New Roman"/>
          <w:i/>
        </w:rPr>
        <w:t>Policy Studies Journal</w:t>
      </w:r>
      <w:r w:rsidRPr="00201DB3">
        <w:rPr>
          <w:rFonts w:ascii="Times New Roman" w:hAnsi="Times New Roman" w:cs="Times New Roman"/>
        </w:rPr>
        <w:t xml:space="preserve"> 603.</w:t>
      </w:r>
    </w:p>
  </w:footnote>
  <w:footnote w:id="8">
    <w:p w14:paraId="78F008C6" w14:textId="77777777" w:rsidR="00656CDC" w:rsidRPr="00201DB3" w:rsidRDefault="00656CDC" w:rsidP="007072C3">
      <w:pPr>
        <w:pStyle w:val="FootnoteText"/>
      </w:pPr>
      <w:r w:rsidRPr="00201DB3">
        <w:rPr>
          <w:rStyle w:val="FootnoteReference"/>
        </w:rPr>
        <w:footnoteRef/>
      </w:r>
      <w:r w:rsidRPr="00201DB3">
        <w:t xml:space="preserve"> E. Baistrocchi, “The transfer pricing problem: a global proposal for simplification” (2006) Tax Lawyer 4.</w:t>
      </w:r>
    </w:p>
  </w:footnote>
  <w:footnote w:id="9">
    <w:p w14:paraId="2B8D9D93" w14:textId="77777777" w:rsidR="00656CDC" w:rsidRPr="00201DB3" w:rsidRDefault="00656CDC" w:rsidP="007072C3">
      <w:pPr>
        <w:pStyle w:val="FootnoteText"/>
      </w:pPr>
      <w:r w:rsidRPr="00201DB3">
        <w:rPr>
          <w:rStyle w:val="FootnoteReference"/>
        </w:rPr>
        <w:footnoteRef/>
      </w:r>
      <w:r w:rsidRPr="00201DB3">
        <w:t xml:space="preserve"> L. Eden, T. Dacin and W. Wan, “Standards across borders: crossborder diffusion of the arm’s length standard in North America” (2001) </w:t>
      </w:r>
      <w:r w:rsidRPr="00F85CCA">
        <w:rPr>
          <w:i/>
        </w:rPr>
        <w:t>Accounting Organizations and Society</w:t>
      </w:r>
      <w:r w:rsidRPr="00201DB3">
        <w:t xml:space="preserve"> 1.</w:t>
      </w:r>
    </w:p>
  </w:footnote>
  <w:footnote w:id="10">
    <w:p w14:paraId="72E2DDCD" w14:textId="7A6E785D" w:rsidR="00656CDC" w:rsidRPr="00201DB3" w:rsidRDefault="00656CDC" w:rsidP="007072C3">
      <w:pPr>
        <w:pStyle w:val="FootnoteText"/>
      </w:pPr>
      <w:r w:rsidRPr="00201DB3">
        <w:rPr>
          <w:rStyle w:val="FootnoteReference"/>
        </w:rPr>
        <w:footnoteRef/>
      </w:r>
      <w:r w:rsidRPr="00201DB3">
        <w:t xml:space="preserve"> Radaelli above fn </w:t>
      </w:r>
      <w:r w:rsidR="00255DD9">
        <w:t>7</w:t>
      </w:r>
      <w:r w:rsidRPr="00201DB3">
        <w:t>.</w:t>
      </w:r>
    </w:p>
  </w:footnote>
  <w:footnote w:id="11">
    <w:p w14:paraId="14C03566" w14:textId="6A0D51EB" w:rsidR="00656CDC" w:rsidRPr="00201DB3" w:rsidRDefault="00656CDC" w:rsidP="007072C3">
      <w:pPr>
        <w:pStyle w:val="FootnoteText"/>
      </w:pPr>
      <w:r w:rsidRPr="00201DB3">
        <w:rPr>
          <w:rStyle w:val="FootnoteReference"/>
        </w:rPr>
        <w:footnoteRef/>
      </w:r>
      <w:r w:rsidRPr="00201DB3">
        <w:t xml:space="preserve"> Transfer pricing guidelines for multinational enterprises and tax administrations. Report of the OECD Committee on Fiscal Affairs, Paris: OECD Publishing, 1995 at I-1.</w:t>
      </w:r>
    </w:p>
  </w:footnote>
  <w:footnote w:id="12">
    <w:p w14:paraId="1901C29D" w14:textId="2987D525" w:rsidR="00656CDC" w:rsidRPr="0098279D" w:rsidRDefault="00656CDC" w:rsidP="0098279D">
      <w:pPr>
        <w:spacing w:after="0" w:line="240" w:lineRule="auto"/>
        <w:rPr>
          <w:rFonts w:ascii="Times New Roman" w:hAnsi="Times New Roman" w:cs="Times New Roman"/>
        </w:rPr>
      </w:pPr>
      <w:r w:rsidRPr="00201DB3">
        <w:rPr>
          <w:rStyle w:val="FootnoteReference"/>
          <w:rFonts w:ascii="Times New Roman" w:hAnsi="Times New Roman" w:cs="Times New Roman"/>
        </w:rPr>
        <w:footnoteRef/>
      </w:r>
      <w:r w:rsidRPr="00201DB3">
        <w:rPr>
          <w:rFonts w:ascii="Times New Roman" w:hAnsi="Times New Roman" w:cs="Times New Roman"/>
        </w:rPr>
        <w:t xml:space="preserve"> See for example M.C.Durst and R.</w:t>
      </w:r>
      <w:r w:rsidR="00090076">
        <w:rPr>
          <w:rFonts w:ascii="Times New Roman" w:hAnsi="Times New Roman" w:cs="Times New Roman"/>
        </w:rPr>
        <w:t>E.</w:t>
      </w:r>
      <w:r w:rsidRPr="00201DB3">
        <w:rPr>
          <w:rFonts w:ascii="Times New Roman" w:hAnsi="Times New Roman" w:cs="Times New Roman"/>
        </w:rPr>
        <w:t xml:space="preserve"> Culbertson, “Clearing away the sand: retrospective methods and prospective documentation in transfer pricing today”(2003) </w:t>
      </w:r>
      <w:r w:rsidRPr="0098279D">
        <w:rPr>
          <w:rFonts w:ascii="Times New Roman" w:hAnsi="Times New Roman" w:cs="Times New Roman"/>
          <w:i/>
        </w:rPr>
        <w:t>Tax Law Review</w:t>
      </w:r>
      <w:r w:rsidRPr="00201DB3">
        <w:rPr>
          <w:rFonts w:ascii="Times New Roman" w:hAnsi="Times New Roman" w:cs="Times New Roman"/>
        </w:rPr>
        <w:t xml:space="preserve"> 39</w:t>
      </w:r>
      <w:r w:rsidR="0019125C">
        <w:rPr>
          <w:rFonts w:ascii="Times New Roman" w:hAnsi="Times New Roman" w:cs="Times New Roman"/>
        </w:rPr>
        <w:t xml:space="preserve">; </w:t>
      </w:r>
      <w:r w:rsidRPr="00201DB3">
        <w:rPr>
          <w:rFonts w:ascii="Times New Roman" w:hAnsi="Times New Roman" w:cs="Times New Roman"/>
        </w:rPr>
        <w:t xml:space="preserve">J. </w:t>
      </w:r>
      <w:r w:rsidR="00457514" w:rsidRPr="00201DB3">
        <w:rPr>
          <w:rFonts w:ascii="Times New Roman" w:hAnsi="Times New Roman" w:cs="Times New Roman"/>
        </w:rPr>
        <w:t>Grocott, “Battered</w:t>
      </w:r>
      <w:r w:rsidRPr="00201DB3">
        <w:rPr>
          <w:rFonts w:ascii="Times New Roman" w:hAnsi="Times New Roman" w:cs="Times New Roman"/>
        </w:rPr>
        <w:t xml:space="preserve"> and bruised but still standing” (2009) </w:t>
      </w:r>
      <w:r w:rsidRPr="0098279D">
        <w:rPr>
          <w:rFonts w:ascii="Times New Roman" w:hAnsi="Times New Roman" w:cs="Times New Roman"/>
          <w:i/>
        </w:rPr>
        <w:t>International Tax Review</w:t>
      </w:r>
      <w:r w:rsidRPr="00201DB3">
        <w:rPr>
          <w:rFonts w:ascii="Times New Roman" w:hAnsi="Times New Roman" w:cs="Times New Roman"/>
        </w:rPr>
        <w:t xml:space="preserve"> 12; A. Vega “International governance through soft law: the case of the OECD transfer pricing guidelines” (2012) Working paper 2012-05 July 2012 Max Planck Institute for Tax Law and Public Finance.</w:t>
      </w:r>
    </w:p>
  </w:footnote>
  <w:footnote w:id="13">
    <w:p w14:paraId="17F9858A" w14:textId="5E5571A9" w:rsidR="00656CDC" w:rsidRPr="00201DB3" w:rsidRDefault="00656CDC" w:rsidP="007072C3">
      <w:pPr>
        <w:spacing w:after="0" w:line="240" w:lineRule="auto"/>
        <w:rPr>
          <w:rFonts w:ascii="Times New Roman" w:hAnsi="Times New Roman" w:cs="Times New Roman"/>
        </w:rPr>
      </w:pPr>
      <w:r w:rsidRPr="00201DB3">
        <w:rPr>
          <w:rStyle w:val="FootnoteReference"/>
          <w:rFonts w:ascii="Times New Roman" w:hAnsi="Times New Roman" w:cs="Times New Roman"/>
        </w:rPr>
        <w:footnoteRef/>
      </w:r>
      <w:r w:rsidRPr="00201DB3">
        <w:rPr>
          <w:rFonts w:ascii="Times New Roman" w:hAnsi="Times New Roman" w:cs="Times New Roman"/>
        </w:rPr>
        <w:t xml:space="preserve"> OECD 1995 Guidelines above fn 5 at 3.5. The hierarchy of methods persisted until the 2010 revision. </w:t>
      </w:r>
    </w:p>
  </w:footnote>
  <w:footnote w:id="14">
    <w:p w14:paraId="4F6DD48A" w14:textId="7616BE97" w:rsidR="00656CDC" w:rsidRPr="0098279D" w:rsidRDefault="00656CDC" w:rsidP="007072C3">
      <w:pPr>
        <w:spacing w:after="0" w:line="240" w:lineRule="auto"/>
        <w:rPr>
          <w:rFonts w:ascii="Times New Roman" w:hAnsi="Times New Roman" w:cs="Times New Roman"/>
        </w:rPr>
      </w:pPr>
      <w:r w:rsidRPr="00201DB3">
        <w:rPr>
          <w:rStyle w:val="FootnoteReference"/>
          <w:rFonts w:ascii="Times New Roman" w:hAnsi="Times New Roman" w:cs="Times New Roman"/>
        </w:rPr>
        <w:footnoteRef/>
      </w:r>
      <w:r w:rsidRPr="00201DB3">
        <w:rPr>
          <w:rFonts w:ascii="Times New Roman" w:hAnsi="Times New Roman" w:cs="Times New Roman"/>
        </w:rPr>
        <w:t xml:space="preserve"> R.S. </w:t>
      </w:r>
      <w:r w:rsidR="00457514" w:rsidRPr="00201DB3">
        <w:rPr>
          <w:rFonts w:ascii="Times New Roman" w:hAnsi="Times New Roman" w:cs="Times New Roman"/>
        </w:rPr>
        <w:t>Avid</w:t>
      </w:r>
      <w:r w:rsidRPr="00201DB3">
        <w:rPr>
          <w:rFonts w:ascii="Times New Roman" w:hAnsi="Times New Roman" w:cs="Times New Roman"/>
        </w:rPr>
        <w:t xml:space="preserve">-Yonah and Z. Pouga Tinhaga “Formulary apportionment and international tax rules” in S.Picciotto  </w:t>
      </w:r>
      <w:r w:rsidR="00090076">
        <w:rPr>
          <w:rFonts w:ascii="Times New Roman" w:hAnsi="Times New Roman" w:cs="Times New Roman"/>
        </w:rPr>
        <w:t xml:space="preserve">(ed) </w:t>
      </w:r>
      <w:r w:rsidRPr="00201DB3">
        <w:rPr>
          <w:rFonts w:ascii="Times New Roman" w:hAnsi="Times New Roman" w:cs="Times New Roman"/>
          <w:i/>
        </w:rPr>
        <w:t>Taxing Multinational Enterprises as Unitary Firms</w:t>
      </w:r>
      <w:r w:rsidRPr="00201DB3">
        <w:rPr>
          <w:rFonts w:ascii="Times New Roman" w:hAnsi="Times New Roman" w:cs="Times New Roman"/>
        </w:rPr>
        <w:t>, (</w:t>
      </w:r>
      <w:r w:rsidR="00090076">
        <w:rPr>
          <w:rFonts w:ascii="Times New Roman" w:hAnsi="Times New Roman" w:cs="Times New Roman"/>
        </w:rPr>
        <w:t xml:space="preserve">Brighton: </w:t>
      </w:r>
      <w:r w:rsidRPr="00201DB3">
        <w:rPr>
          <w:rFonts w:ascii="Times New Roman" w:hAnsi="Times New Roman" w:cs="Times New Roman"/>
        </w:rPr>
        <w:t>Institute of Development Studies,  2017).</w:t>
      </w:r>
    </w:p>
  </w:footnote>
  <w:footnote w:id="15">
    <w:p w14:paraId="3D140399" w14:textId="03F9885B"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S. Picciotto, “Indeterminacy, complexity technocracy and the reform of international corporate taxation” </w:t>
      </w:r>
      <w:r>
        <w:rPr>
          <w:rFonts w:ascii="Times New Roman" w:hAnsi="Times New Roman" w:cs="Times New Roman"/>
        </w:rPr>
        <w:t>(</w:t>
      </w:r>
      <w:r w:rsidRPr="001C37B8">
        <w:rPr>
          <w:rFonts w:ascii="Times New Roman" w:hAnsi="Times New Roman" w:cs="Times New Roman"/>
        </w:rPr>
        <w:t>2015</w:t>
      </w:r>
      <w:r>
        <w:rPr>
          <w:rFonts w:ascii="Times New Roman" w:hAnsi="Times New Roman" w:cs="Times New Roman"/>
        </w:rPr>
        <w:t>)</w:t>
      </w:r>
      <w:r w:rsidRPr="001C37B8">
        <w:rPr>
          <w:rFonts w:ascii="Times New Roman" w:hAnsi="Times New Roman" w:cs="Times New Roman"/>
          <w:i/>
        </w:rPr>
        <w:t xml:space="preserve"> </w:t>
      </w:r>
      <w:r w:rsidRPr="0098279D">
        <w:rPr>
          <w:rFonts w:ascii="Times New Roman" w:hAnsi="Times New Roman" w:cs="Times New Roman"/>
          <w:i/>
        </w:rPr>
        <w:t>Social and Legal Studies</w:t>
      </w:r>
      <w:r w:rsidRPr="001C37B8">
        <w:rPr>
          <w:rFonts w:ascii="Times New Roman" w:hAnsi="Times New Roman" w:cs="Times New Roman"/>
        </w:rPr>
        <w:t xml:space="preserve"> 165 179.</w:t>
      </w:r>
    </w:p>
  </w:footnote>
  <w:footnote w:id="16">
    <w:p w14:paraId="2B729790" w14:textId="5FFBF4CA" w:rsidR="00656CDC" w:rsidRPr="002E7A37" w:rsidRDefault="00656CDC">
      <w:pPr>
        <w:pStyle w:val="FootnoteText"/>
      </w:pPr>
      <w:r w:rsidRPr="002E7A37">
        <w:rPr>
          <w:rStyle w:val="FootnoteReference"/>
        </w:rPr>
        <w:footnoteRef/>
      </w:r>
      <w:r w:rsidRPr="002E7A37">
        <w:t xml:space="preserve"> J.M. </w:t>
      </w:r>
      <w:r w:rsidRPr="001C37B8">
        <w:t>Calderon</w:t>
      </w:r>
      <w:r w:rsidR="00090076">
        <w:t>,</w:t>
      </w:r>
      <w:r w:rsidRPr="001C37B8">
        <w:t xml:space="preserve"> “European transfer pricing trends at the crossroads: Caught between globalization, tax competition and EC law” </w:t>
      </w:r>
      <w:r>
        <w:t>(</w:t>
      </w:r>
      <w:r w:rsidRPr="001C37B8">
        <w:t>2005</w:t>
      </w:r>
      <w:r>
        <w:t>)</w:t>
      </w:r>
      <w:r w:rsidRPr="001C37B8">
        <w:t xml:space="preserve"> </w:t>
      </w:r>
      <w:r w:rsidRPr="0098279D">
        <w:rPr>
          <w:i/>
        </w:rPr>
        <w:t>Intertax</w:t>
      </w:r>
      <w:r w:rsidRPr="001C37B8">
        <w:t xml:space="preserve"> 103</w:t>
      </w:r>
      <w:r>
        <w:t>.</w:t>
      </w:r>
    </w:p>
  </w:footnote>
  <w:footnote w:id="17">
    <w:p w14:paraId="55BDA9E8" w14:textId="7E9E2C43" w:rsidR="00656CDC" w:rsidRDefault="00656CDC">
      <w:pPr>
        <w:pStyle w:val="FootnoteText"/>
      </w:pPr>
      <w:r>
        <w:rPr>
          <w:rStyle w:val="FootnoteReference"/>
        </w:rPr>
        <w:footnoteRef/>
      </w:r>
      <w:r>
        <w:t xml:space="preserve"> Ernst &amp; Young 2005-2006 Global Transfer Pricing Surveys, available at </w:t>
      </w:r>
      <w:hyperlink r:id="rId1" w:history="1">
        <w:r w:rsidRPr="00533B63">
          <w:rPr>
            <w:rStyle w:val="Hyperlink"/>
          </w:rPr>
          <w:t>https://www.ub.unibas.ch/digi/a125/sachdok/2012/BAU_1_5682903_2005_2006.pdf</w:t>
        </w:r>
      </w:hyperlink>
      <w:r>
        <w:t xml:space="preserve"> </w:t>
      </w:r>
    </w:p>
  </w:footnote>
  <w:footnote w:id="18">
    <w:p w14:paraId="53865321" w14:textId="199FC4D2"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M.A. Kane “Transfer pricing, integration and synergy intangibles: a consensus approach to the arm’s length stan</w:t>
      </w:r>
      <w:r>
        <w:rPr>
          <w:rFonts w:ascii="Times New Roman" w:hAnsi="Times New Roman" w:cs="Times New Roman"/>
        </w:rPr>
        <w:t xml:space="preserve">dard” (2014) </w:t>
      </w:r>
      <w:r w:rsidRPr="0098279D">
        <w:rPr>
          <w:rFonts w:ascii="Times New Roman" w:hAnsi="Times New Roman" w:cs="Times New Roman"/>
          <w:i/>
        </w:rPr>
        <w:t>World Tax Journal</w:t>
      </w:r>
      <w:r>
        <w:rPr>
          <w:rFonts w:ascii="Times New Roman" w:hAnsi="Times New Roman" w:cs="Times New Roman"/>
        </w:rPr>
        <w:t xml:space="preserve"> </w:t>
      </w:r>
      <w:r w:rsidRPr="001C37B8">
        <w:rPr>
          <w:rFonts w:ascii="Times New Roman" w:hAnsi="Times New Roman" w:cs="Times New Roman"/>
        </w:rPr>
        <w:t>290.</w:t>
      </w:r>
    </w:p>
  </w:footnote>
  <w:footnote w:id="19">
    <w:p w14:paraId="0266300D" w14:textId="2A3B5494"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D. </w:t>
      </w:r>
      <w:r w:rsidRPr="001C37B8">
        <w:rPr>
          <w:rFonts w:ascii="Times New Roman" w:hAnsi="Times New Roman" w:cs="Times New Roman"/>
          <w:lang w:val="en-US"/>
        </w:rPr>
        <w:t xml:space="preserve">Ring “On the Frontier of procedural innovation: advance pricing agreements and the struggle to allocate income for cross border taxation” </w:t>
      </w:r>
      <w:r>
        <w:rPr>
          <w:rFonts w:ascii="Times New Roman" w:hAnsi="Times New Roman" w:cs="Times New Roman"/>
          <w:lang w:val="en-US"/>
        </w:rPr>
        <w:t>(</w:t>
      </w:r>
      <w:r w:rsidRPr="001C37B8">
        <w:rPr>
          <w:rFonts w:ascii="Times New Roman" w:hAnsi="Times New Roman" w:cs="Times New Roman"/>
          <w:lang w:val="en-US"/>
        </w:rPr>
        <w:t>2000</w:t>
      </w:r>
      <w:r>
        <w:rPr>
          <w:rFonts w:ascii="Times New Roman" w:hAnsi="Times New Roman" w:cs="Times New Roman"/>
          <w:lang w:val="en-US"/>
        </w:rPr>
        <w:t>)</w:t>
      </w:r>
      <w:r w:rsidRPr="001C37B8">
        <w:rPr>
          <w:rFonts w:ascii="Times New Roman" w:hAnsi="Times New Roman" w:cs="Times New Roman"/>
          <w:lang w:val="en-US"/>
        </w:rPr>
        <w:t xml:space="preserve"> </w:t>
      </w:r>
      <w:r w:rsidRPr="0098279D">
        <w:rPr>
          <w:rFonts w:ascii="Times New Roman" w:hAnsi="Times New Roman" w:cs="Times New Roman"/>
          <w:i/>
          <w:lang w:val="en-US"/>
        </w:rPr>
        <w:t>Michigan Journal of International Law</w:t>
      </w:r>
      <w:r w:rsidRPr="001C37B8">
        <w:rPr>
          <w:rFonts w:ascii="Times New Roman" w:hAnsi="Times New Roman" w:cs="Times New Roman"/>
          <w:lang w:val="en-US"/>
        </w:rPr>
        <w:t xml:space="preserve"> 143.</w:t>
      </w:r>
    </w:p>
  </w:footnote>
  <w:footnote w:id="20">
    <w:p w14:paraId="7154FD7F" w14:textId="6131E233" w:rsidR="00656CDC" w:rsidRPr="002E7A37" w:rsidRDefault="00656CDC">
      <w:pPr>
        <w:pStyle w:val="FootnoteText"/>
      </w:pPr>
      <w:r w:rsidRPr="002E7A37">
        <w:rPr>
          <w:rStyle w:val="FootnoteReference"/>
        </w:rPr>
        <w:footnoteRef/>
      </w:r>
      <w:r w:rsidRPr="002E7A37">
        <w:t xml:space="preserve"> </w:t>
      </w:r>
      <w:r>
        <w:t xml:space="preserve">H. Rogers and L. Oats “The use of Advance Pricing Agreements in transfer pricing management” </w:t>
      </w:r>
      <w:r w:rsidR="00255DD9">
        <w:t>[</w:t>
      </w:r>
      <w:r>
        <w:t>2013</w:t>
      </w:r>
      <w:r w:rsidR="00255DD9">
        <w:t>]</w:t>
      </w:r>
      <w:r>
        <w:t xml:space="preserve"> BTR 76. APAs are becoming more prevalent</w:t>
      </w:r>
      <w:r w:rsidR="00600DDE">
        <w:t>, for example a</w:t>
      </w:r>
      <w:r>
        <w:t xml:space="preserve"> 2017 survey by Ernst &amp; Young reports that some 38% of respondents have used APAs of one form or another to increased certainty and prevent controversy, see </w:t>
      </w:r>
      <w:hyperlink r:id="rId2" w:history="1">
        <w:r w:rsidRPr="00533B63">
          <w:rPr>
            <w:rStyle w:val="Hyperlink"/>
          </w:rPr>
          <w:t>https://www.ey.com/Publication/vwLUAssets/ey-transfer-pricing-controversy-avoidance-and-resolution/$FILE/ey-transfer-pricing-controversy-avoidance-and-resolution.pdf</w:t>
        </w:r>
      </w:hyperlink>
      <w:r>
        <w:t xml:space="preserve"> . Ryding records a sharp increase in APAs across the European Union from 399 at the end of 2013 to 2,1053 at the end of 2016, Tax Sweetheart Deals between multinationals and EU countries at record high, Eurodad, available at </w:t>
      </w:r>
      <w:hyperlink r:id="rId3" w:history="1">
        <w:r w:rsidR="00FD1BB8" w:rsidRPr="00C142F1">
          <w:rPr>
            <w:rStyle w:val="Hyperlink"/>
          </w:rPr>
          <w:t>https://eurodad.org/files/pdf/1546881-tax-sweetheart-deals-between-multinationals-and-eu-countries-at-record-high.pdf</w:t>
        </w:r>
      </w:hyperlink>
      <w:r w:rsidR="00FD1BB8">
        <w:t xml:space="preserve"> </w:t>
      </w:r>
    </w:p>
  </w:footnote>
  <w:footnote w:id="21">
    <w:p w14:paraId="67C96726" w14:textId="071E4296" w:rsidR="00656CDC" w:rsidRPr="001C37B8" w:rsidRDefault="00656CDC" w:rsidP="001C37B8">
      <w:pPr>
        <w:spacing w:after="0" w:line="240" w:lineRule="auto"/>
        <w:rPr>
          <w:rFonts w:ascii="Times New Roman" w:hAnsi="Times New Roman" w:cs="Times New Roman"/>
        </w:rPr>
      </w:pPr>
      <w:r w:rsidRPr="001C37B8">
        <w:rPr>
          <w:rStyle w:val="FootnoteReference"/>
          <w:rFonts w:ascii="Times New Roman" w:hAnsi="Times New Roman" w:cs="Times New Roman"/>
        </w:rPr>
        <w:footnoteRef/>
      </w:r>
      <w:r w:rsidRPr="001C37B8">
        <w:rPr>
          <w:rFonts w:ascii="Times New Roman" w:hAnsi="Times New Roman" w:cs="Times New Roman"/>
        </w:rPr>
        <w:t xml:space="preserve"> </w:t>
      </w:r>
      <w:r w:rsidRPr="001C37B8">
        <w:rPr>
          <w:rFonts w:ascii="Times New Roman" w:eastAsia="Batang" w:hAnsi="Times New Roman" w:cs="Times New Roman"/>
          <w:lang w:eastAsia="ko-KR"/>
        </w:rPr>
        <w:t xml:space="preserve">(OECD, 2010 3 1.32).  </w:t>
      </w:r>
      <w:r w:rsidRPr="001C37B8">
        <w:rPr>
          <w:rFonts w:ascii="Times New Roman" w:hAnsi="Times New Roman" w:cs="Times New Roman"/>
        </w:rPr>
        <w:t>OECD, (1995). Transfer pricing guidelines for multinational enterprises and tax administrations 2017. Report of the OECD Committee on Fiscal Affairs, Paris: OECD Publishing (2017)</w:t>
      </w:r>
      <w:r>
        <w:rPr>
          <w:rFonts w:ascii="Times New Roman" w:hAnsi="Times New Roman" w:cs="Times New Roman"/>
        </w:rPr>
        <w:t>.</w:t>
      </w:r>
    </w:p>
  </w:footnote>
  <w:footnote w:id="22">
    <w:p w14:paraId="41BCBF8B" w14:textId="00644A7A" w:rsidR="00656CDC" w:rsidRPr="002751C3" w:rsidRDefault="00656CDC" w:rsidP="001C37B8">
      <w:pPr>
        <w:tabs>
          <w:tab w:val="left" w:pos="2880"/>
        </w:tabs>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M.P. </w:t>
      </w:r>
      <w:r w:rsidRPr="001C37B8">
        <w:rPr>
          <w:rFonts w:ascii="Times New Roman" w:hAnsi="Times New Roman" w:cs="Times New Roman"/>
          <w:color w:val="222222"/>
          <w:shd w:val="clear" w:color="auto" w:fill="FFFFFF"/>
        </w:rPr>
        <w:t xml:space="preserve">Devereux and J. Vella. (2014). “Are we heading towards a tax system fit for the 2st century?” (2014) </w:t>
      </w:r>
      <w:r w:rsidRPr="0098279D">
        <w:rPr>
          <w:rFonts w:ascii="Times New Roman" w:hAnsi="Times New Roman" w:cs="Times New Roman"/>
          <w:i/>
          <w:color w:val="222222"/>
          <w:shd w:val="clear" w:color="auto" w:fill="FFFFFF"/>
        </w:rPr>
        <w:t>Fiscal Studies</w:t>
      </w:r>
      <w:r w:rsidRPr="001C37B8">
        <w:rPr>
          <w:rFonts w:ascii="Times New Roman" w:hAnsi="Times New Roman" w:cs="Times New Roman"/>
          <w:color w:val="222222"/>
          <w:shd w:val="clear" w:color="auto" w:fill="FFFFFF"/>
        </w:rPr>
        <w:t xml:space="preserve"> 449</w:t>
      </w:r>
      <w:r w:rsidRPr="001C37B8">
        <w:rPr>
          <w:rFonts w:ascii="Times New Roman" w:hAnsi="Times New Roman" w:cs="Times New Roman"/>
        </w:rPr>
        <w:t>.</w:t>
      </w:r>
    </w:p>
  </w:footnote>
  <w:footnote w:id="23">
    <w:p w14:paraId="05F83E96" w14:textId="0F69C516" w:rsidR="00656CDC" w:rsidRPr="002E7A37" w:rsidRDefault="00656CDC">
      <w:pPr>
        <w:pStyle w:val="FootnoteText"/>
      </w:pPr>
      <w:r w:rsidRPr="001C37B8">
        <w:rPr>
          <w:rStyle w:val="FootnoteReference"/>
        </w:rPr>
        <w:footnoteRef/>
      </w:r>
      <w:r w:rsidRPr="001C37B8">
        <w:t>M.P.</w:t>
      </w:r>
      <w:r>
        <w:t xml:space="preserve"> </w:t>
      </w:r>
      <w:r w:rsidRPr="001C37B8">
        <w:rPr>
          <w:color w:val="222222"/>
          <w:shd w:val="clear" w:color="auto" w:fill="FFFFFF"/>
        </w:rPr>
        <w:t xml:space="preserve">Devereux and J. Vella. (2017). “Implications of digitalization for international corporate tax reform” [2017] OUCBT WP17/07; O. </w:t>
      </w:r>
      <w:r w:rsidRPr="001C37B8">
        <w:t xml:space="preserve">Mazur “Transfer pricing challenges in the cloud” </w:t>
      </w:r>
      <w:r>
        <w:t>(</w:t>
      </w:r>
      <w:r w:rsidRPr="001C37B8">
        <w:t>2016</w:t>
      </w:r>
      <w:r>
        <w:t>)</w:t>
      </w:r>
      <w:r w:rsidRPr="001C37B8">
        <w:t xml:space="preserve"> </w:t>
      </w:r>
      <w:r w:rsidRPr="0098279D">
        <w:rPr>
          <w:i/>
        </w:rPr>
        <w:t>Boston College Law Review</w:t>
      </w:r>
      <w:r w:rsidRPr="001C37B8">
        <w:t xml:space="preserve"> 643.</w:t>
      </w:r>
    </w:p>
  </w:footnote>
  <w:footnote w:id="24">
    <w:p w14:paraId="394C5331" w14:textId="51BFAF5E" w:rsidR="00656CDC" w:rsidRPr="002E7A37" w:rsidRDefault="00656CDC">
      <w:pPr>
        <w:pStyle w:val="FootnoteText"/>
      </w:pPr>
      <w:r w:rsidRPr="002E7A37">
        <w:rPr>
          <w:rStyle w:val="FootnoteReference"/>
        </w:rPr>
        <w:footnoteRef/>
      </w:r>
      <w:r w:rsidRPr="002E7A37">
        <w:t xml:space="preserve"> </w:t>
      </w:r>
      <w:r>
        <w:t>See for example Y.Brauner</w:t>
      </w:r>
      <w:r w:rsidR="00255DD9">
        <w:t>,</w:t>
      </w:r>
      <w:r>
        <w:t xml:space="preserve"> “BEPS: an interim evaluation” (2014) World Tax Journal 10</w:t>
      </w:r>
      <w:r w:rsidR="00090076">
        <w:t>; this</w:t>
      </w:r>
      <w:r>
        <w:t xml:space="preserve"> highlights publicity for Apple, Microsoft and Google.</w:t>
      </w:r>
    </w:p>
  </w:footnote>
  <w:footnote w:id="25">
    <w:p w14:paraId="2CA45679" w14:textId="41B7981E"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See for example J. Thompson and V. Houlder “Starbucks faces boycott calls over tax affairs” </w:t>
      </w:r>
      <w:r>
        <w:rPr>
          <w:rFonts w:ascii="Times New Roman" w:hAnsi="Times New Roman" w:cs="Times New Roman"/>
        </w:rPr>
        <w:t>(</w:t>
      </w:r>
      <w:r w:rsidRPr="001C37B8">
        <w:rPr>
          <w:rFonts w:ascii="Times New Roman" w:hAnsi="Times New Roman" w:cs="Times New Roman"/>
        </w:rPr>
        <w:t>2012</w:t>
      </w:r>
      <w:r>
        <w:rPr>
          <w:rFonts w:ascii="Times New Roman" w:hAnsi="Times New Roman" w:cs="Times New Roman"/>
        </w:rPr>
        <w:t>)</w:t>
      </w:r>
      <w:r w:rsidRPr="001C37B8">
        <w:rPr>
          <w:rFonts w:ascii="Times New Roman" w:hAnsi="Times New Roman" w:cs="Times New Roman"/>
        </w:rPr>
        <w:t xml:space="preserve"> </w:t>
      </w:r>
      <w:r w:rsidRPr="001C37B8">
        <w:rPr>
          <w:rFonts w:ascii="Times New Roman" w:hAnsi="Times New Roman" w:cs="Times New Roman"/>
          <w:i/>
        </w:rPr>
        <w:t>Financial Times</w:t>
      </w:r>
      <w:r w:rsidRPr="001C37B8">
        <w:rPr>
          <w:rFonts w:ascii="Times New Roman" w:hAnsi="Times New Roman" w:cs="Times New Roman"/>
        </w:rPr>
        <w:t xml:space="preserve"> 17 October 2012</w:t>
      </w:r>
      <w:r w:rsidR="00711D77">
        <w:rPr>
          <w:rFonts w:ascii="Times New Roman" w:hAnsi="Times New Roman" w:cs="Times New Roman"/>
        </w:rPr>
        <w:t xml:space="preserve"> available at </w:t>
      </w:r>
      <w:hyperlink r:id="rId4" w:history="1">
        <w:r w:rsidR="00711D77" w:rsidRPr="00C94A23">
          <w:rPr>
            <w:rStyle w:val="Hyperlink"/>
            <w:rFonts w:ascii="Times New Roman" w:hAnsi="Times New Roman" w:cs="Times New Roman"/>
          </w:rPr>
          <w:t>www.ft.com/content/5cd14dcc-187f-11e2-8705-00144feabdc0</w:t>
        </w:r>
      </w:hyperlink>
      <w:r w:rsidR="00711D77">
        <w:rPr>
          <w:rFonts w:ascii="Times New Roman" w:hAnsi="Times New Roman" w:cs="Times New Roman"/>
        </w:rPr>
        <w:t xml:space="preserve">   </w:t>
      </w:r>
    </w:p>
  </w:footnote>
  <w:footnote w:id="26">
    <w:p w14:paraId="768ECDFC" w14:textId="48A891F2" w:rsidR="00656CDC" w:rsidRPr="002E7A37" w:rsidRDefault="00656CDC">
      <w:pPr>
        <w:pStyle w:val="FootnoteText"/>
      </w:pPr>
      <w:r w:rsidRPr="002E7A37">
        <w:rPr>
          <w:rStyle w:val="FootnoteReference"/>
        </w:rPr>
        <w:footnoteRef/>
      </w:r>
      <w:r w:rsidRPr="002E7A37">
        <w:t xml:space="preserve"> I. </w:t>
      </w:r>
      <w:r w:rsidRPr="001C37B8">
        <w:t xml:space="preserve">Young “BEPS and beyond,” </w:t>
      </w:r>
      <w:r>
        <w:t>(</w:t>
      </w:r>
      <w:r w:rsidRPr="001C37B8">
        <w:t>2018</w:t>
      </w:r>
      <w:r>
        <w:t>)</w:t>
      </w:r>
      <w:r w:rsidRPr="001C37B8">
        <w:t xml:space="preserve"> </w:t>
      </w:r>
      <w:r w:rsidRPr="001C37B8">
        <w:rPr>
          <w:i/>
        </w:rPr>
        <w:t>TAXline</w:t>
      </w:r>
      <w:r w:rsidRPr="001C37B8">
        <w:t>, April 2018.</w:t>
      </w:r>
    </w:p>
  </w:footnote>
  <w:footnote w:id="27">
    <w:p w14:paraId="278CB37E" w14:textId="3B53911D"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Brauner</w:t>
      </w:r>
      <w:r>
        <w:rPr>
          <w:rFonts w:ascii="Times New Roman" w:hAnsi="Times New Roman" w:cs="Times New Roman"/>
        </w:rPr>
        <w:t xml:space="preserve"> above fn 2</w:t>
      </w:r>
      <w:r w:rsidR="00255DD9">
        <w:rPr>
          <w:rFonts w:ascii="Times New Roman" w:hAnsi="Times New Roman" w:cs="Times New Roman"/>
        </w:rPr>
        <w:t>4</w:t>
      </w:r>
      <w:r>
        <w:rPr>
          <w:rFonts w:ascii="Times New Roman" w:hAnsi="Times New Roman" w:cs="Times New Roman"/>
        </w:rPr>
        <w:t>.</w:t>
      </w:r>
    </w:p>
  </w:footnote>
  <w:footnote w:id="28">
    <w:p w14:paraId="2B5969B6" w14:textId="71AFCBB8"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R.S Collier and J.L. Andrus</w:t>
      </w:r>
      <w:r w:rsidR="00090076">
        <w:rPr>
          <w:rFonts w:ascii="Times New Roman" w:hAnsi="Times New Roman" w:cs="Times New Roman"/>
        </w:rPr>
        <w:t>,</w:t>
      </w:r>
      <w:r w:rsidRPr="001C37B8">
        <w:rPr>
          <w:rFonts w:ascii="Times New Roman" w:hAnsi="Times New Roman" w:cs="Times New Roman"/>
          <w:i/>
        </w:rPr>
        <w:t>Transfer pricing and the arm’s length principle</w:t>
      </w:r>
      <w:r w:rsidRPr="001C37B8">
        <w:rPr>
          <w:rFonts w:ascii="Times New Roman" w:hAnsi="Times New Roman" w:cs="Times New Roman"/>
        </w:rPr>
        <w:t xml:space="preserve">, (Oxford: </w:t>
      </w:r>
      <w:r w:rsidR="00AF4261">
        <w:rPr>
          <w:rFonts w:ascii="Times New Roman" w:hAnsi="Times New Roman" w:cs="Times New Roman"/>
        </w:rPr>
        <w:t xml:space="preserve">Oxford </w:t>
      </w:r>
      <w:r w:rsidRPr="001C37B8">
        <w:rPr>
          <w:rFonts w:ascii="Times New Roman" w:hAnsi="Times New Roman" w:cs="Times New Roman"/>
        </w:rPr>
        <w:t>University Press, 2017)</w:t>
      </w:r>
      <w:r>
        <w:rPr>
          <w:rFonts w:ascii="Times New Roman" w:hAnsi="Times New Roman" w:cs="Times New Roman"/>
        </w:rPr>
        <w:t>.</w:t>
      </w:r>
    </w:p>
  </w:footnote>
  <w:footnote w:id="29">
    <w:p w14:paraId="4DBF344A" w14:textId="6D6156B9" w:rsidR="00656CDC" w:rsidRPr="001C37B8" w:rsidRDefault="00656CDC" w:rsidP="001C37B8">
      <w:pPr>
        <w:spacing w:after="0" w:line="240" w:lineRule="auto"/>
        <w:rPr>
          <w:rFonts w:ascii="Times New Roman" w:hAnsi="Times New Roman" w:cs="Times New Roman"/>
        </w:rPr>
      </w:pPr>
      <w:r w:rsidRPr="001C37B8">
        <w:rPr>
          <w:rStyle w:val="FootnoteReference"/>
          <w:rFonts w:ascii="Times New Roman" w:hAnsi="Times New Roman" w:cs="Times New Roman"/>
        </w:rPr>
        <w:footnoteRef/>
      </w:r>
      <w:r w:rsidRPr="001C37B8">
        <w:rPr>
          <w:rFonts w:ascii="Times New Roman" w:hAnsi="Times New Roman" w:cs="Times New Roman"/>
        </w:rPr>
        <w:t xml:space="preserve"> Transfer pricing guidelines for multinational enterprises and tax administrations 2017. Report of the OECD Committee on Fiscal Affairs, Paris: OECD Publishing. 2017</w:t>
      </w:r>
      <w:r>
        <w:rPr>
          <w:rFonts w:ascii="Times New Roman" w:hAnsi="Times New Roman" w:cs="Times New Roman"/>
        </w:rPr>
        <w:t>.</w:t>
      </w:r>
    </w:p>
  </w:footnote>
  <w:footnote w:id="30">
    <w:p w14:paraId="7D4986D2" w14:textId="0411FA65" w:rsidR="00656CDC" w:rsidRPr="003C5332" w:rsidRDefault="00656CDC">
      <w:pPr>
        <w:pStyle w:val="FootnoteText"/>
      </w:pPr>
      <w:r w:rsidRPr="003C5332">
        <w:rPr>
          <w:rStyle w:val="FootnoteReference"/>
        </w:rPr>
        <w:footnoteRef/>
      </w:r>
      <w:r w:rsidRPr="003C5332">
        <w:t xml:space="preserve"> </w:t>
      </w:r>
      <w:hyperlink r:id="rId5" w:history="1">
        <w:r w:rsidRPr="00EB1D3E">
          <w:rPr>
            <w:rStyle w:val="Hyperlink"/>
            <w:lang w:val="en"/>
          </w:rPr>
          <w:t>http://www.oecd.org/ctp/beps-frequentlyaskedquestions.htm</w:t>
        </w:r>
      </w:hyperlink>
      <w:r>
        <w:rPr>
          <w:lang w:val="en"/>
        </w:rPr>
        <w:t xml:space="preserve"> (accessed on7 October 2018).</w:t>
      </w:r>
      <w:r w:rsidR="00684B2C">
        <w:rPr>
          <w:lang w:val="en"/>
        </w:rPr>
        <w:t xml:space="preserve"> The 2017 United Nations Transfer Pricing Manual similarly endorses </w:t>
      </w:r>
      <w:r w:rsidR="009916A9">
        <w:rPr>
          <w:lang w:val="en"/>
        </w:rPr>
        <w:t xml:space="preserve">the ALP and largely follows the OECD BEPS project recommendations. </w:t>
      </w:r>
    </w:p>
  </w:footnote>
  <w:footnote w:id="31">
    <w:p w14:paraId="5F6E8AA8" w14:textId="0027484F" w:rsidR="00970D1D" w:rsidRDefault="00970D1D">
      <w:pPr>
        <w:pStyle w:val="FootnoteText"/>
      </w:pPr>
      <w:r>
        <w:rPr>
          <w:rStyle w:val="FootnoteReference"/>
        </w:rPr>
        <w:footnoteRef/>
      </w:r>
      <w:r>
        <w:t xml:space="preserve"> Collier &amp; Andrus </w:t>
      </w:r>
      <w:r w:rsidR="00255DD9">
        <w:t xml:space="preserve">above fn </w:t>
      </w:r>
      <w:r w:rsidR="00194C0E">
        <w:t xml:space="preserve">28 </w:t>
      </w:r>
      <w:r>
        <w:t>see this as particularly problematic  stating that ‘if these issues are not addressed, this will accelerate the tax drivers to the cross-border mobility of capital, accelerate and expand the problems related to the taxation of digital businesses, and thereby present huge problems for the system of transfer pricing and the ALP, and for the existing international tax system as a whole.’</w:t>
      </w:r>
      <w:r w:rsidR="00255DD9">
        <w:t>295</w:t>
      </w:r>
    </w:p>
  </w:footnote>
  <w:footnote w:id="32">
    <w:p w14:paraId="6A22DF0D" w14:textId="0074F3C2" w:rsidR="00656CDC" w:rsidRDefault="00656CDC">
      <w:pPr>
        <w:pStyle w:val="FootnoteText"/>
      </w:pPr>
      <w:r>
        <w:rPr>
          <w:rStyle w:val="FootnoteReference"/>
        </w:rPr>
        <w:footnoteRef/>
      </w:r>
      <w:r>
        <w:t xml:space="preserve"> J</w:t>
      </w:r>
      <w:r w:rsidR="007072C3">
        <w:t xml:space="preserve">. </w:t>
      </w:r>
      <w:r>
        <w:t xml:space="preserve">Osborn </w:t>
      </w:r>
      <w:r w:rsidR="007072C3">
        <w:t>and E.</w:t>
      </w:r>
      <w:r>
        <w:t xml:space="preserve">Khripounova, </w:t>
      </w:r>
      <w:r w:rsidR="00090076">
        <w:t>“</w:t>
      </w:r>
      <w:r>
        <w:t>Advance Pricing Agreements in the Post-BEPS Era</w:t>
      </w:r>
      <w:r w:rsidR="00090076">
        <w:t>”</w:t>
      </w:r>
      <w:r>
        <w:t xml:space="preserve">, 2016 </w:t>
      </w:r>
      <w:r w:rsidRPr="0098279D">
        <w:rPr>
          <w:i/>
        </w:rPr>
        <w:t>Tax Notes</w:t>
      </w:r>
      <w:r>
        <w:t xml:space="preserve"> 150(19) 1179.</w:t>
      </w:r>
    </w:p>
  </w:footnote>
  <w:footnote w:id="33">
    <w:p w14:paraId="6FC3EEDE" w14:textId="29B0E287"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M. Ylönen and T. Teivainen. “The Politics of Intra-firm Trade: Corporate price -planning and the double role of the arm’s length principle” </w:t>
      </w:r>
      <w:r>
        <w:rPr>
          <w:rFonts w:ascii="Times New Roman" w:hAnsi="Times New Roman" w:cs="Times New Roman"/>
        </w:rPr>
        <w:t>(</w:t>
      </w:r>
      <w:r w:rsidRPr="001C37B8">
        <w:rPr>
          <w:rFonts w:ascii="Times New Roman" w:hAnsi="Times New Roman" w:cs="Times New Roman"/>
        </w:rPr>
        <w:t>2017</w:t>
      </w:r>
      <w:r>
        <w:rPr>
          <w:rFonts w:ascii="Times New Roman" w:hAnsi="Times New Roman" w:cs="Times New Roman"/>
        </w:rPr>
        <w:t>)</w:t>
      </w:r>
      <w:r w:rsidRPr="001C37B8">
        <w:rPr>
          <w:rFonts w:ascii="Times New Roman" w:hAnsi="Times New Roman" w:cs="Times New Roman"/>
        </w:rPr>
        <w:t xml:space="preserve"> </w:t>
      </w:r>
      <w:r w:rsidRPr="0098279D">
        <w:rPr>
          <w:rFonts w:ascii="Times New Roman" w:hAnsi="Times New Roman" w:cs="Times New Roman"/>
          <w:i/>
        </w:rPr>
        <w:t>New Political Economy</w:t>
      </w:r>
      <w:r w:rsidRPr="001C37B8">
        <w:rPr>
          <w:rFonts w:ascii="Times New Roman" w:hAnsi="Times New Roman" w:cs="Times New Roman"/>
        </w:rPr>
        <w:t xml:space="preserve"> 451</w:t>
      </w:r>
      <w:r>
        <w:rPr>
          <w:rFonts w:ascii="Times New Roman" w:hAnsi="Times New Roman" w:cs="Times New Roman"/>
        </w:rPr>
        <w:t>.</w:t>
      </w:r>
      <w:r w:rsidR="008F7F10">
        <w:rPr>
          <w:rFonts w:ascii="Times New Roman" w:hAnsi="Times New Roman" w:cs="Times New Roman"/>
        </w:rPr>
        <w:t xml:space="preserve">R.D.Bucks ”The case for worldwide unitary: stronger and better than ever” (2019) </w:t>
      </w:r>
      <w:r w:rsidR="008F7F10" w:rsidRPr="0098279D">
        <w:rPr>
          <w:rFonts w:ascii="Times New Roman" w:hAnsi="Times New Roman" w:cs="Times New Roman"/>
          <w:i/>
        </w:rPr>
        <w:t>Tax Notes</w:t>
      </w:r>
      <w:r w:rsidR="007072C3">
        <w:rPr>
          <w:rFonts w:ascii="Times New Roman" w:hAnsi="Times New Roman" w:cs="Times New Roman"/>
        </w:rPr>
        <w:t>.</w:t>
      </w:r>
    </w:p>
  </w:footnote>
  <w:footnote w:id="34">
    <w:p w14:paraId="39560B0D" w14:textId="6C45C1FC" w:rsidR="00656CDC" w:rsidRPr="00C062FA" w:rsidRDefault="00656CDC">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w:t>
      </w:r>
      <w:r>
        <w:rPr>
          <w:rFonts w:ascii="Times New Roman" w:hAnsi="Times New Roman" w:cs="Times New Roman"/>
        </w:rPr>
        <w:t>See fo</w:t>
      </w:r>
      <w:r w:rsidRPr="001C37B8">
        <w:rPr>
          <w:rFonts w:ascii="Times New Roman" w:hAnsi="Times New Roman" w:cs="Times New Roman"/>
        </w:rPr>
        <w:t>r example: Piccio</w:t>
      </w:r>
      <w:r w:rsidR="00255DD9">
        <w:rPr>
          <w:rFonts w:ascii="Times New Roman" w:hAnsi="Times New Roman" w:cs="Times New Roman"/>
        </w:rPr>
        <w:t xml:space="preserve">tto above fn  6; </w:t>
      </w:r>
      <w:r w:rsidRPr="001C37B8">
        <w:rPr>
          <w:rFonts w:ascii="Times New Roman" w:hAnsi="Times New Roman" w:cs="Times New Roman"/>
        </w:rPr>
        <w:t xml:space="preserve">R.S. Avi-Yonah “The rise and fall of arm’s length: a study of the evolution of US international tax” (1995) </w:t>
      </w:r>
      <w:r w:rsidRPr="0098279D">
        <w:rPr>
          <w:rFonts w:ascii="Times New Roman" w:hAnsi="Times New Roman" w:cs="Times New Roman"/>
          <w:i/>
        </w:rPr>
        <w:t>Virginia Tax Review</w:t>
      </w:r>
      <w:r w:rsidRPr="001C37B8">
        <w:rPr>
          <w:rFonts w:ascii="Times New Roman" w:hAnsi="Times New Roman" w:cs="Times New Roman"/>
        </w:rPr>
        <w:t xml:space="preserve">  90; F. Vincent, “Transfer pricing and attribution of income to permanent establishments: the case for systemic global profit splits (just don’t say formulary apportionment)” (2005) </w:t>
      </w:r>
      <w:r w:rsidRPr="0098279D">
        <w:rPr>
          <w:rFonts w:ascii="Times New Roman" w:hAnsi="Times New Roman" w:cs="Times New Roman"/>
          <w:i/>
        </w:rPr>
        <w:t>Canadian Tax Journal</w:t>
      </w:r>
      <w:r w:rsidRPr="001C37B8">
        <w:rPr>
          <w:rFonts w:ascii="Times New Roman" w:hAnsi="Times New Roman" w:cs="Times New Roman"/>
        </w:rPr>
        <w:t xml:space="preserve"> 409.; K. Clausing and R.S. Avi-Yonah “Reforming corporate taxation in a global economy; a proposal to adopt formulary apportionment” (2007) Discussion paper, </w:t>
      </w:r>
      <w:r w:rsidRPr="00447AAA">
        <w:rPr>
          <w:rFonts w:ascii="Times New Roman" w:hAnsi="Times New Roman" w:cs="Times New Roman"/>
        </w:rPr>
        <w:t>the Hamilton Project The Brookings Institute; Mazur above fn 2</w:t>
      </w:r>
      <w:r w:rsidR="00194C0E">
        <w:rPr>
          <w:rFonts w:ascii="Times New Roman" w:hAnsi="Times New Roman" w:cs="Times New Roman"/>
        </w:rPr>
        <w:t>3</w:t>
      </w:r>
      <w:r w:rsidRPr="00447AAA">
        <w:rPr>
          <w:rFonts w:ascii="Times New Roman" w:hAnsi="Times New Roman" w:cs="Times New Roman"/>
        </w:rPr>
        <w:t xml:space="preserve">; R.S </w:t>
      </w:r>
      <w:r w:rsidRPr="00C062FA">
        <w:rPr>
          <w:rFonts w:ascii="Times New Roman" w:hAnsi="Times New Roman" w:cs="Times New Roman"/>
        </w:rPr>
        <w:t xml:space="preserve">Avi-Yonah, K.A. Clausing and M. Durst, “Allocating business profits for tax purposes: a proposal to adopt formulary profit split” (2009), </w:t>
      </w:r>
      <w:r w:rsidRPr="00C062FA">
        <w:rPr>
          <w:rFonts w:ascii="Times New Roman" w:hAnsi="Times New Roman" w:cs="Times New Roman"/>
          <w:i/>
        </w:rPr>
        <w:t>Florida Tax Review,</w:t>
      </w:r>
      <w:r w:rsidRPr="00C062FA">
        <w:rPr>
          <w:rFonts w:ascii="Times New Roman" w:hAnsi="Times New Roman" w:cs="Times New Roman"/>
        </w:rPr>
        <w:t xml:space="preserve"> 497;</w:t>
      </w:r>
      <w:r w:rsidRPr="00447AAA">
        <w:rPr>
          <w:rFonts w:ascii="Times New Roman" w:hAnsi="Times New Roman" w:cs="Times New Roman"/>
        </w:rPr>
        <w:t xml:space="preserve">Devereux and Vella above fn </w:t>
      </w:r>
      <w:r w:rsidR="00194C0E">
        <w:rPr>
          <w:rFonts w:ascii="Times New Roman" w:hAnsi="Times New Roman" w:cs="Times New Roman"/>
        </w:rPr>
        <w:t>22</w:t>
      </w:r>
      <w:r>
        <w:rPr>
          <w:rFonts w:ascii="Times New Roman" w:hAnsi="Times New Roman" w:cs="Times New Roman"/>
        </w:rPr>
        <w:t>.</w:t>
      </w:r>
    </w:p>
  </w:footnote>
  <w:footnote w:id="35">
    <w:p w14:paraId="756D31E6" w14:textId="05B82DFF" w:rsidR="00656CDC" w:rsidRPr="00447AAA" w:rsidRDefault="00656CDC">
      <w:pPr>
        <w:pStyle w:val="FootnoteText"/>
      </w:pPr>
      <w:r w:rsidRPr="00447AAA">
        <w:rPr>
          <w:rStyle w:val="FootnoteReference"/>
        </w:rPr>
        <w:footnoteRef/>
      </w:r>
      <w:r w:rsidRPr="00447AAA">
        <w:t xml:space="preserve"> See for example:</w:t>
      </w:r>
      <w:r w:rsidRPr="00447AAA">
        <w:rPr>
          <w:color w:val="222222"/>
          <w:shd w:val="clear" w:color="auto" w:fill="FFFFFF"/>
        </w:rPr>
        <w:t xml:space="preserve"> R De Mooji and S.Ederveen “Will corporate income taxation survive?” (2008) </w:t>
      </w:r>
      <w:r w:rsidRPr="0098279D">
        <w:rPr>
          <w:i/>
          <w:color w:val="222222"/>
          <w:shd w:val="clear" w:color="auto" w:fill="FFFFFF"/>
        </w:rPr>
        <w:t>De economist</w:t>
      </w:r>
      <w:r w:rsidRPr="00447AAA">
        <w:rPr>
          <w:color w:val="222222"/>
          <w:shd w:val="clear" w:color="auto" w:fill="FFFFFF"/>
        </w:rPr>
        <w:t xml:space="preserve"> 227; </w:t>
      </w:r>
      <w:r w:rsidRPr="00447AAA">
        <w:t>H. Huizing and L.Laeven, L. “</w:t>
      </w:r>
      <w:r w:rsidRPr="00447AAA">
        <w:rPr>
          <w:bCs/>
          <w:color w:val="111111"/>
          <w:lang w:val="en"/>
        </w:rPr>
        <w:t xml:space="preserve">International Profit Shifting Within Multinationals: A Multi-Country Perspective” Journal of Public Economics 1164; K. </w:t>
      </w:r>
      <w:r w:rsidRPr="00447AAA">
        <w:t xml:space="preserve">Clausing “The US state experience under formulary apportionment: are there lessons for international taxation?” (2016) </w:t>
      </w:r>
      <w:r w:rsidRPr="0098279D">
        <w:rPr>
          <w:i/>
        </w:rPr>
        <w:t>National Tax Journal</w:t>
      </w:r>
      <w:r w:rsidRPr="00447AAA">
        <w:t xml:space="preserve"> 353.</w:t>
      </w:r>
      <w:r>
        <w:t xml:space="preserve"> The OECD has recently published a Corporate Tax Statistics Database in response to concerns elicited during consideration of BEPS Action 11 about the difficulties in measuring profit shifting, available at </w:t>
      </w:r>
      <w:hyperlink r:id="rId6" w:history="1">
        <w:r w:rsidRPr="00533B63">
          <w:rPr>
            <w:rStyle w:val="Hyperlink"/>
          </w:rPr>
          <w:t>http://www.oecd.org/tax/beps/corporate-tax-statistics-database.htm</w:t>
        </w:r>
      </w:hyperlink>
      <w:r>
        <w:t xml:space="preserve">. </w:t>
      </w:r>
    </w:p>
  </w:footnote>
  <w:footnote w:id="36">
    <w:p w14:paraId="63C0F386" w14:textId="2EE77E62" w:rsidR="00656CDC" w:rsidRPr="00447AAA" w:rsidRDefault="00656CDC">
      <w:pPr>
        <w:pStyle w:val="FootnoteText"/>
      </w:pPr>
      <w:r w:rsidRPr="00447AAA">
        <w:rPr>
          <w:rStyle w:val="FootnoteReference"/>
        </w:rPr>
        <w:footnoteRef/>
      </w:r>
      <w:r w:rsidRPr="00447AAA">
        <w:t xml:space="preserve">B. Wells and C. Lowell, “Tax base erosion and homeless income: collection at source is the linchpin” (2011) </w:t>
      </w:r>
      <w:r w:rsidRPr="0098279D">
        <w:rPr>
          <w:i/>
        </w:rPr>
        <w:t>Tax Law Review</w:t>
      </w:r>
      <w:r w:rsidRPr="00447AAA">
        <w:t xml:space="preserve"> 535.</w:t>
      </w:r>
    </w:p>
  </w:footnote>
  <w:footnote w:id="37">
    <w:p w14:paraId="6CCB5D84" w14:textId="01E84B53"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w:t>
      </w:r>
      <w:r>
        <w:rPr>
          <w:rFonts w:ascii="Times New Roman" w:hAnsi="Times New Roman" w:cs="Times New Roman"/>
        </w:rPr>
        <w:t xml:space="preserve">J. </w:t>
      </w:r>
      <w:r w:rsidRPr="001C37B8">
        <w:rPr>
          <w:rFonts w:ascii="Times New Roman" w:hAnsi="Times New Roman" w:cs="Times New Roman"/>
        </w:rPr>
        <w:t xml:space="preserve"> Fleming, R. Peroni and S. Shay. “Formulary Apportionment in the US International tax system: Putting Lipstick on a Pig” (2014) </w:t>
      </w:r>
      <w:r w:rsidRPr="0098279D">
        <w:rPr>
          <w:rFonts w:ascii="Times New Roman" w:hAnsi="Times New Roman" w:cs="Times New Roman"/>
          <w:i/>
        </w:rPr>
        <w:t>Michigan Journal of International Law</w:t>
      </w:r>
      <w:r w:rsidRPr="001C37B8">
        <w:rPr>
          <w:rFonts w:ascii="Times New Roman" w:hAnsi="Times New Roman" w:cs="Times New Roman"/>
        </w:rPr>
        <w:t xml:space="preserve"> 1.</w:t>
      </w:r>
    </w:p>
  </w:footnote>
  <w:footnote w:id="38">
    <w:p w14:paraId="35442AA4" w14:textId="77304D21" w:rsidR="00656CDC" w:rsidRPr="00F1103B" w:rsidRDefault="00656CDC">
      <w:pPr>
        <w:pStyle w:val="FootnoteText"/>
      </w:pPr>
      <w:r w:rsidRPr="00F1103B">
        <w:rPr>
          <w:rStyle w:val="FootnoteReference"/>
        </w:rPr>
        <w:footnoteRef/>
      </w:r>
      <w:r w:rsidRPr="00F1103B">
        <w:t xml:space="preserve"> </w:t>
      </w:r>
      <w:r>
        <w:t xml:space="preserve">M. </w:t>
      </w:r>
      <w:r w:rsidRPr="00F1103B">
        <w:t xml:space="preserve">Durst </w:t>
      </w:r>
      <w:r>
        <w:t>“The tax policy outlook for developing countries: reflections on international formulary apportionment” (2015) ICTD working paper 32.</w:t>
      </w:r>
    </w:p>
  </w:footnote>
  <w:footnote w:id="39">
    <w:p w14:paraId="332D7EA5" w14:textId="4B2FC82C" w:rsidR="00656CDC" w:rsidRPr="002751C3" w:rsidRDefault="00656CDC" w:rsidP="001C37B8">
      <w:pPr>
        <w:tabs>
          <w:tab w:val="left" w:pos="2880"/>
        </w:tabs>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See for example Durst fn </w:t>
      </w:r>
      <w:r>
        <w:rPr>
          <w:rFonts w:ascii="Times New Roman" w:hAnsi="Times New Roman" w:cs="Times New Roman"/>
        </w:rPr>
        <w:t>3</w:t>
      </w:r>
      <w:r w:rsidR="00255DD9">
        <w:rPr>
          <w:rFonts w:ascii="Times New Roman" w:hAnsi="Times New Roman" w:cs="Times New Roman"/>
        </w:rPr>
        <w:t>9</w:t>
      </w:r>
      <w:r w:rsidRPr="001C37B8">
        <w:rPr>
          <w:rFonts w:ascii="Times New Roman" w:hAnsi="Times New Roman" w:cs="Times New Roman"/>
        </w:rPr>
        <w:t xml:space="preserve"> above; T.  </w:t>
      </w:r>
      <w:r w:rsidRPr="001C37B8">
        <w:rPr>
          <w:rFonts w:ascii="Times New Roman" w:hAnsi="Times New Roman" w:cs="Times New Roman"/>
          <w:lang w:val="en"/>
        </w:rPr>
        <w:t xml:space="preserve">Hopper, P. Lassou and T. Soobaroyen, T. “Globalisation, Accounting and Developing Countries” (2017), </w:t>
      </w:r>
      <w:r w:rsidRPr="0098279D">
        <w:rPr>
          <w:rFonts w:ascii="Times New Roman" w:hAnsi="Times New Roman" w:cs="Times New Roman"/>
          <w:i/>
          <w:lang w:val="en"/>
        </w:rPr>
        <w:t>Critical Perspectives on Accounting</w:t>
      </w:r>
      <w:r w:rsidRPr="001C37B8">
        <w:rPr>
          <w:rFonts w:ascii="Times New Roman" w:hAnsi="Times New Roman" w:cs="Times New Roman"/>
          <w:lang w:val="en"/>
        </w:rPr>
        <w:t xml:space="preserve"> 125; O.J </w:t>
      </w:r>
      <w:r w:rsidRPr="001C37B8">
        <w:rPr>
          <w:rFonts w:ascii="Times New Roman" w:hAnsi="Times New Roman" w:cs="Times New Roman"/>
        </w:rPr>
        <w:t xml:space="preserve">Otusanya “, The role of multinational companies in tax evasion and tax avoidance: The case of Nigeria” (2011) </w:t>
      </w:r>
      <w:r w:rsidRPr="0098279D">
        <w:rPr>
          <w:rFonts w:ascii="Times New Roman" w:hAnsi="Times New Roman" w:cs="Times New Roman"/>
          <w:i/>
        </w:rPr>
        <w:t>Critical Perspectives on Accounting</w:t>
      </w:r>
      <w:r w:rsidRPr="001C37B8">
        <w:rPr>
          <w:rFonts w:ascii="Times New Roman" w:hAnsi="Times New Roman" w:cs="Times New Roman"/>
        </w:rPr>
        <w:t xml:space="preserve"> </w:t>
      </w:r>
      <w:r>
        <w:rPr>
          <w:rFonts w:ascii="Times New Roman" w:hAnsi="Times New Roman" w:cs="Times New Roman"/>
        </w:rPr>
        <w:t>316</w:t>
      </w:r>
      <w:r>
        <w:rPr>
          <w:rFonts w:ascii="Times New Roman" w:hAnsi="Times New Roman" w:cs="Times New Roman"/>
          <w:lang w:val="en"/>
        </w:rPr>
        <w:t>.</w:t>
      </w:r>
    </w:p>
  </w:footnote>
  <w:footnote w:id="40">
    <w:p w14:paraId="15AEB109" w14:textId="16119094" w:rsidR="00656CDC" w:rsidRPr="00100AD8" w:rsidRDefault="00656CDC">
      <w:pPr>
        <w:pStyle w:val="FootnoteText"/>
      </w:pPr>
      <w:r w:rsidRPr="00100AD8">
        <w:rPr>
          <w:rStyle w:val="FootnoteReference"/>
        </w:rPr>
        <w:footnoteRef/>
      </w:r>
      <w:r w:rsidRPr="00100AD8">
        <w:t xml:space="preserve"> E. </w:t>
      </w:r>
      <w:r w:rsidRPr="001C37B8">
        <w:t>Crivelli,,R. De Mooji and M.  “Base Erosion, Profit shifting and developing countries” (2015) IMF Working Paper WP/15/118, International Monetary Fund, OUCBT Working paper 15/09. Oxford University Centre for Business Taxation</w:t>
      </w:r>
      <w:r>
        <w:t>.</w:t>
      </w:r>
    </w:p>
  </w:footnote>
  <w:footnote w:id="41">
    <w:p w14:paraId="1AC91EB2" w14:textId="5C64F75B"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G. </w:t>
      </w:r>
      <w:r w:rsidRPr="001C37B8">
        <w:rPr>
          <w:rFonts w:ascii="Times New Roman" w:eastAsia="Times New Roman" w:hAnsi="Times New Roman" w:cs="Times New Roman"/>
          <w:lang w:eastAsia="en-GB"/>
        </w:rPr>
        <w:t xml:space="preserve">Cottani, “Formulary Apportionment: A Revamp in the Post-Base Erosion and Profit Shifting Era?” (2016) </w:t>
      </w:r>
      <w:r w:rsidRPr="0098279D">
        <w:rPr>
          <w:rFonts w:ascii="Times New Roman" w:eastAsia="Times New Roman" w:hAnsi="Times New Roman" w:cs="Times New Roman"/>
          <w:i/>
          <w:lang w:eastAsia="en-GB"/>
        </w:rPr>
        <w:t xml:space="preserve">Intertax </w:t>
      </w:r>
      <w:r>
        <w:rPr>
          <w:rFonts w:ascii="Times New Roman" w:eastAsia="Times New Roman" w:hAnsi="Times New Roman" w:cs="Times New Roman"/>
          <w:lang w:eastAsia="en-GB"/>
        </w:rPr>
        <w:t xml:space="preserve">755. </w:t>
      </w:r>
      <w:r w:rsidRPr="001C37B8">
        <w:rPr>
          <w:rFonts w:ascii="Times New Roman" w:eastAsia="Times New Roman" w:hAnsi="Times New Roman" w:cs="Times New Roman"/>
          <w:lang w:eastAsia="en-GB"/>
        </w:rPr>
        <w:t xml:space="preserve"> </w:t>
      </w:r>
    </w:p>
  </w:footnote>
  <w:footnote w:id="42">
    <w:p w14:paraId="4A24EEAC" w14:textId="287246BD"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See for example C. Emmanuel “Exploring the transfer pricing conundrum” in T Hopper, M. Tsamenyi, S Uddin &amp; D Wickramashinga (Eds) </w:t>
      </w:r>
      <w:r w:rsidRPr="001C37B8">
        <w:rPr>
          <w:rFonts w:ascii="Times New Roman" w:hAnsi="Times New Roman" w:cs="Times New Roman"/>
          <w:i/>
        </w:rPr>
        <w:t>Handbook of Accounting and Development</w:t>
      </w:r>
      <w:r w:rsidRPr="001C37B8">
        <w:rPr>
          <w:rFonts w:ascii="Times New Roman" w:hAnsi="Times New Roman" w:cs="Times New Roman"/>
        </w:rPr>
        <w:t>, (Cheltenham: Edward Elgar Publishing, 2012); Hopper, Lassou &amp; Soobarayan, above fn 3</w:t>
      </w:r>
      <w:r>
        <w:rPr>
          <w:rFonts w:ascii="Times New Roman" w:hAnsi="Times New Roman" w:cs="Times New Roman"/>
        </w:rPr>
        <w:t>5</w:t>
      </w:r>
      <w:r w:rsidRPr="001C37B8">
        <w:rPr>
          <w:rFonts w:ascii="Times New Roman" w:hAnsi="Times New Roman" w:cs="Times New Roman"/>
        </w:rPr>
        <w:t>;  Collier and Andrus, above fn 2</w:t>
      </w:r>
      <w:r w:rsidR="00194C0E">
        <w:rPr>
          <w:rFonts w:ascii="Times New Roman" w:hAnsi="Times New Roman" w:cs="Times New Roman"/>
        </w:rPr>
        <w:t>8.</w:t>
      </w:r>
      <w:r w:rsidRPr="001C37B8">
        <w:rPr>
          <w:rFonts w:ascii="Times New Roman" w:hAnsi="Times New Roman" w:cs="Times New Roman"/>
        </w:rPr>
        <w:t xml:space="preserve">  </w:t>
      </w:r>
    </w:p>
  </w:footnote>
  <w:footnote w:id="43">
    <w:p w14:paraId="61F4E5C4" w14:textId="6B499D1B"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K. Clausing, </w:t>
      </w:r>
      <w:r>
        <w:rPr>
          <w:rFonts w:ascii="Times New Roman" w:hAnsi="Times New Roman" w:cs="Times New Roman"/>
        </w:rPr>
        <w:t>“</w:t>
      </w:r>
      <w:r w:rsidRPr="001C37B8">
        <w:rPr>
          <w:rFonts w:ascii="Times New Roman" w:hAnsi="Times New Roman" w:cs="Times New Roman"/>
        </w:rPr>
        <w:t>Lessons for international tax reform from the US State experience under formulary apportionment</w:t>
      </w:r>
      <w:r>
        <w:rPr>
          <w:rFonts w:ascii="Times New Roman" w:hAnsi="Times New Roman" w:cs="Times New Roman"/>
        </w:rPr>
        <w:t>”</w:t>
      </w:r>
      <w:r w:rsidRPr="001C37B8">
        <w:rPr>
          <w:rFonts w:ascii="Times New Roman" w:hAnsi="Times New Roman" w:cs="Times New Roman"/>
        </w:rPr>
        <w:t xml:space="preserve"> (2014)</w:t>
      </w:r>
      <w:r>
        <w:rPr>
          <w:rFonts w:ascii="Times New Roman" w:hAnsi="Times New Roman" w:cs="Times New Roman"/>
        </w:rPr>
        <w:t xml:space="preserve"> </w:t>
      </w:r>
      <w:r w:rsidRPr="001C37B8">
        <w:rPr>
          <w:rFonts w:ascii="Times New Roman" w:hAnsi="Times New Roman" w:cs="Times New Roman"/>
        </w:rPr>
        <w:t>ICTD Research report 2</w:t>
      </w:r>
      <w:r w:rsidR="00255DD9">
        <w:rPr>
          <w:rFonts w:ascii="Times New Roman" w:hAnsi="Times New Roman" w:cs="Times New Roman"/>
        </w:rPr>
        <w:t>.</w:t>
      </w:r>
      <w:r w:rsidRPr="001C37B8" w:rsidDel="00100AD8">
        <w:rPr>
          <w:rFonts w:ascii="Times New Roman" w:hAnsi="Times New Roman" w:cs="Times New Roman"/>
        </w:rPr>
        <w:t xml:space="preserve"> </w:t>
      </w:r>
    </w:p>
  </w:footnote>
  <w:footnote w:id="44">
    <w:p w14:paraId="0B1F8099" w14:textId="021D07AE" w:rsidR="00656CDC" w:rsidRPr="00D774CE" w:rsidRDefault="00656CDC">
      <w:pPr>
        <w:pStyle w:val="FootnoteText"/>
      </w:pPr>
      <w:r w:rsidRPr="00D774CE">
        <w:rPr>
          <w:rStyle w:val="FootnoteReference"/>
        </w:rPr>
        <w:footnoteRef/>
      </w:r>
      <w:r w:rsidRPr="00D774CE">
        <w:t xml:space="preserve">  J. </w:t>
      </w:r>
      <w:r w:rsidRPr="001C37B8">
        <w:t xml:space="preserve">Mintz, J. and M. Smart, “Income shifting, investment and tax competition: theory and evidence from provincial taxation in Canada” (2004), </w:t>
      </w:r>
      <w:r w:rsidRPr="0098279D">
        <w:rPr>
          <w:i/>
        </w:rPr>
        <w:t>Journal of Public Economics</w:t>
      </w:r>
      <w:r w:rsidRPr="001C37B8">
        <w:t xml:space="preserve"> 1149.</w:t>
      </w:r>
    </w:p>
  </w:footnote>
  <w:footnote w:id="45">
    <w:p w14:paraId="529532BD" w14:textId="28B5B8E6"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N. Riedel. “The downside of formula apportionment: evidence on factor demand distortions” (2009) </w:t>
      </w:r>
      <w:r w:rsidRPr="0098279D">
        <w:rPr>
          <w:rFonts w:ascii="Times New Roman" w:hAnsi="Times New Roman" w:cs="Times New Roman"/>
          <w:i/>
        </w:rPr>
        <w:t>International Tax and Public Finance</w:t>
      </w:r>
      <w:r w:rsidRPr="001C37B8">
        <w:rPr>
          <w:rFonts w:ascii="Times New Roman" w:hAnsi="Times New Roman" w:cs="Times New Roman"/>
        </w:rPr>
        <w:t xml:space="preserve"> 236.</w:t>
      </w:r>
    </w:p>
  </w:footnote>
  <w:footnote w:id="46">
    <w:p w14:paraId="40C86F9A" w14:textId="06778291" w:rsidR="00656CDC" w:rsidRPr="00D774CE" w:rsidRDefault="00656CDC">
      <w:pPr>
        <w:pStyle w:val="FootnoteText"/>
      </w:pPr>
      <w:r w:rsidRPr="00D774CE">
        <w:rPr>
          <w:rStyle w:val="FootnoteReference"/>
        </w:rPr>
        <w:footnoteRef/>
      </w:r>
      <w:r w:rsidRPr="00D774CE">
        <w:t xml:space="preserve"> </w:t>
      </w:r>
      <w:r>
        <w:t xml:space="preserve">K. </w:t>
      </w:r>
      <w:r w:rsidRPr="00D774CE">
        <w:t xml:space="preserve">Clausing, above fn </w:t>
      </w:r>
      <w:r w:rsidR="00255DD9">
        <w:t>44</w:t>
      </w:r>
      <w:r w:rsidRPr="00D774CE">
        <w:t>; Mintz and Smart above fn 4</w:t>
      </w:r>
      <w:r w:rsidR="00255DD9">
        <w:t>5</w:t>
      </w:r>
      <w:r>
        <w:t>.</w:t>
      </w:r>
    </w:p>
  </w:footnote>
  <w:footnote w:id="47">
    <w:p w14:paraId="646E32D9" w14:textId="31D8B976" w:rsidR="00656CDC" w:rsidRPr="00D774CE" w:rsidRDefault="00656CDC">
      <w:pPr>
        <w:pStyle w:val="FootnoteText"/>
      </w:pPr>
      <w:r w:rsidRPr="00D774CE">
        <w:rPr>
          <w:rStyle w:val="FootnoteReference"/>
        </w:rPr>
        <w:footnoteRef/>
      </w:r>
      <w:r w:rsidRPr="00D774CE">
        <w:t xml:space="preserve"> Reidel above fn 4</w:t>
      </w:r>
      <w:r w:rsidR="00255DD9">
        <w:t>6</w:t>
      </w:r>
      <w:r>
        <w:t>.</w:t>
      </w:r>
    </w:p>
  </w:footnote>
  <w:footnote w:id="48">
    <w:p w14:paraId="72A188BE" w14:textId="624FB3F7" w:rsidR="00656CDC" w:rsidRPr="00D774CE" w:rsidRDefault="00656CDC">
      <w:pPr>
        <w:pStyle w:val="FootnoteText"/>
      </w:pPr>
      <w:r w:rsidRPr="00D774CE">
        <w:rPr>
          <w:rStyle w:val="FootnoteReference"/>
        </w:rPr>
        <w:footnoteRef/>
      </w:r>
      <w:r w:rsidRPr="00D774CE">
        <w:t xml:space="preserve"> L. </w:t>
      </w:r>
      <w:r w:rsidRPr="001C37B8">
        <w:t>Bettendorf, M.P. Devereux, A. van der Horst, A, Loretz, and R. A. De Mooji, “Corporate tax harmonization in the EU” (2014</w:t>
      </w:r>
      <w:r w:rsidRPr="0098279D">
        <w:rPr>
          <w:i/>
        </w:rPr>
        <w:t>), Economic Policy</w:t>
      </w:r>
      <w:r w:rsidRPr="001C37B8">
        <w:t xml:space="preserve"> 537</w:t>
      </w:r>
      <w:r w:rsidRPr="00D774CE">
        <w:t xml:space="preserve">; E. </w:t>
      </w:r>
      <w:r w:rsidRPr="001C37B8">
        <w:t>Eberhartinger, and M. Petu</w:t>
      </w:r>
      <w:r w:rsidR="0007155E">
        <w:t>t</w:t>
      </w:r>
      <w:r w:rsidRPr="001C37B8">
        <w:t xml:space="preserve">schnig, (2017). “CCCTB: the employment factor game” (2017) </w:t>
      </w:r>
      <w:r w:rsidRPr="0098279D">
        <w:rPr>
          <w:i/>
        </w:rPr>
        <w:t>European Journal of Law and Economics</w:t>
      </w:r>
      <w:r w:rsidRPr="001C37B8">
        <w:t xml:space="preserve"> 333</w:t>
      </w:r>
      <w:r w:rsidRPr="00D774CE">
        <w:t>; Fleming, Peroni &amp; Shay above fn 3</w:t>
      </w:r>
      <w:r w:rsidR="00194C0E">
        <w:t>8</w:t>
      </w:r>
      <w:r w:rsidRPr="00D774CE">
        <w:t>.</w:t>
      </w:r>
    </w:p>
  </w:footnote>
  <w:footnote w:id="49">
    <w:p w14:paraId="77296153" w14:textId="26B7EB3D" w:rsidR="00F22330" w:rsidRDefault="00F22330">
      <w:pPr>
        <w:pStyle w:val="FootnoteText"/>
      </w:pPr>
      <w:r>
        <w:rPr>
          <w:rStyle w:val="FootnoteReference"/>
        </w:rPr>
        <w:footnoteRef/>
      </w:r>
      <w:r>
        <w:t xml:space="preserve"> Some proponents of formulary apportionment have also highlighted the need for anti-avoidance powers to counter those “gaming the apportionment formulas applicable” S Picciotto 2017 Unitary Alternatives and Formulary Apportionment </w:t>
      </w:r>
      <w:r w:rsidR="00090076">
        <w:t xml:space="preserve"> in S. Picciotto ed Taxing Multinational Enterprises as unitary firms </w:t>
      </w:r>
      <w:r w:rsidR="00090076" w:rsidRPr="00201DB3">
        <w:t xml:space="preserve">(Brighton: Institute of Development Studies, </w:t>
      </w:r>
      <w:r>
        <w:t>32</w:t>
      </w:r>
    </w:p>
  </w:footnote>
  <w:footnote w:id="50">
    <w:p w14:paraId="769B6DF3" w14:textId="129D477A" w:rsidR="00656CDC" w:rsidRDefault="00656CDC">
      <w:pPr>
        <w:pStyle w:val="FootnoteText"/>
      </w:pPr>
      <w:r>
        <w:rPr>
          <w:rStyle w:val="FootnoteReference"/>
        </w:rPr>
        <w:footnoteRef/>
      </w:r>
      <w:r>
        <w:t xml:space="preserve"> S</w:t>
      </w:r>
      <w:r w:rsidR="00194C0E">
        <w:t>-C.</w:t>
      </w:r>
      <w:r>
        <w:t xml:space="preserve"> Chen “Tax avoidance in the sales factor: comparison between the CCCTB directive and USA’s formulary apportionment taxation</w:t>
      </w:r>
      <w:r w:rsidRPr="0098279D">
        <w:rPr>
          <w:i/>
        </w:rPr>
        <w:t>, Indian Journal of Tax Law</w:t>
      </w:r>
      <w:r>
        <w:t xml:space="preserve">, 3(2). </w:t>
      </w:r>
      <w:r w:rsidR="00970D1D">
        <w:t>See also J</w:t>
      </w:r>
      <w:r w:rsidR="007072C3">
        <w:t xml:space="preserve">. </w:t>
      </w:r>
      <w:r w:rsidR="00970D1D">
        <w:t xml:space="preserve">Roin “Can the Income Tax be Saved? The Promise and Pitfalls of Adopting Unitary Formulary Apportionment,” University of Chicago Public Law and Legal Theory Working Paper No 170, 2007, </w:t>
      </w:r>
      <w:r w:rsidR="00667B63">
        <w:t xml:space="preserve">that discusses scope for factor manipulation, </w:t>
      </w:r>
      <w:r w:rsidR="00711D77">
        <w:t xml:space="preserve">cited by </w:t>
      </w:r>
      <w:r w:rsidR="00970D1D">
        <w:t xml:space="preserve">Collier and Andrus </w:t>
      </w:r>
      <w:r w:rsidR="00194C0E">
        <w:t xml:space="preserve">above fn 28 </w:t>
      </w:r>
      <w:r w:rsidR="00970D1D">
        <w:t xml:space="preserve">285. </w:t>
      </w:r>
    </w:p>
  </w:footnote>
  <w:footnote w:id="51">
    <w:p w14:paraId="3A07E007" w14:textId="36CBDEA0" w:rsidR="00656CDC" w:rsidRPr="00D774CE" w:rsidRDefault="00656CDC">
      <w:pPr>
        <w:pStyle w:val="FootnoteText"/>
      </w:pPr>
      <w:r w:rsidRPr="00D774CE">
        <w:rPr>
          <w:rStyle w:val="FootnoteReference"/>
        </w:rPr>
        <w:footnoteRef/>
      </w:r>
      <w:r w:rsidRPr="00D774CE">
        <w:t xml:space="preserve"> Avi Yonah and Pouga Tinhaga, above fn 1</w:t>
      </w:r>
      <w:r w:rsidR="00194C0E">
        <w:t>4</w:t>
      </w:r>
      <w:r>
        <w:t>.</w:t>
      </w:r>
    </w:p>
  </w:footnote>
  <w:footnote w:id="52">
    <w:p w14:paraId="5B2A41E3" w14:textId="462868A8" w:rsidR="00656CDC" w:rsidRPr="00D774CE" w:rsidRDefault="00656CDC">
      <w:pPr>
        <w:pStyle w:val="FootnoteText"/>
      </w:pPr>
      <w:r w:rsidRPr="00D774CE">
        <w:rPr>
          <w:rStyle w:val="FootnoteReference"/>
        </w:rPr>
        <w:footnoteRef/>
      </w:r>
      <w:r w:rsidRPr="00D774CE">
        <w:t xml:space="preserve"> Collier and Andrus, 2017 above fn 2</w:t>
      </w:r>
      <w:r w:rsidR="00255DD9">
        <w:t>8</w:t>
      </w:r>
      <w:r>
        <w:t>.</w:t>
      </w:r>
    </w:p>
  </w:footnote>
  <w:footnote w:id="53">
    <w:p w14:paraId="7F2E7708" w14:textId="1743C848" w:rsidR="00656CDC" w:rsidRPr="00D774CE" w:rsidRDefault="00656CDC">
      <w:pPr>
        <w:pStyle w:val="FootnoteText"/>
      </w:pPr>
      <w:r w:rsidRPr="00D774CE">
        <w:rPr>
          <w:rStyle w:val="FootnoteReference"/>
        </w:rPr>
        <w:footnoteRef/>
      </w:r>
      <w:r w:rsidRPr="00D774CE">
        <w:t xml:space="preserve"> Durst, 2015</w:t>
      </w:r>
      <w:r>
        <w:t xml:space="preserve"> above fn 3</w:t>
      </w:r>
      <w:r w:rsidR="00255DD9">
        <w:t>9</w:t>
      </w:r>
      <w:r>
        <w:t>.</w:t>
      </w:r>
    </w:p>
  </w:footnote>
  <w:footnote w:id="54">
    <w:p w14:paraId="34995861" w14:textId="3654CCDD" w:rsidR="00656CDC" w:rsidRPr="003C5332" w:rsidRDefault="00656CDC">
      <w:pPr>
        <w:pStyle w:val="FootnoteText"/>
      </w:pPr>
      <w:r w:rsidRPr="00D774CE">
        <w:rPr>
          <w:rStyle w:val="FootnoteReference"/>
        </w:rPr>
        <w:footnoteRef/>
      </w:r>
      <w:r w:rsidRPr="00D774CE">
        <w:t xml:space="preserve"> </w:t>
      </w:r>
      <w:r>
        <w:t xml:space="preserve">A. </w:t>
      </w:r>
      <w:r w:rsidRPr="00D774CE">
        <w:t>Ting</w:t>
      </w:r>
      <w:r>
        <w:t xml:space="preserve"> “Multilateral formulary apportionment model – a reality check” (2010) </w:t>
      </w:r>
      <w:r w:rsidRPr="0098279D">
        <w:rPr>
          <w:i/>
        </w:rPr>
        <w:t>Australian Tax Forum</w:t>
      </w:r>
      <w:r>
        <w:t xml:space="preserve"> 95.</w:t>
      </w:r>
    </w:p>
  </w:footnote>
  <w:footnote w:id="55">
    <w:p w14:paraId="21299459" w14:textId="5301E349" w:rsidR="00656CDC" w:rsidRDefault="00656CDC">
      <w:pPr>
        <w:pStyle w:val="FootnoteText"/>
      </w:pPr>
      <w:r>
        <w:rPr>
          <w:rStyle w:val="FootnoteReference"/>
        </w:rPr>
        <w:footnoteRef/>
      </w:r>
      <w:r>
        <w:t xml:space="preserve"> Collier &amp; Andrus </w:t>
      </w:r>
      <w:r w:rsidR="00255DD9">
        <w:t xml:space="preserve">above fn 28 </w:t>
      </w:r>
      <w:r>
        <w:t>refer in this regard to work by Dhammika Dharmapala The Economics of Corporate and Business Tax Reform, Oxford University Centre for Business Taxation Working Paper 16/04, 2016</w:t>
      </w:r>
      <w:r w:rsidR="00711D77">
        <w:t>; this</w:t>
      </w:r>
      <w:r>
        <w:t xml:space="preserve"> suggest</w:t>
      </w:r>
      <w:r w:rsidR="00711D77">
        <w:t>s</w:t>
      </w:r>
      <w:r>
        <w:t xml:space="preserve"> that formulary apportionment will only address about half of the economic distortions arising from the existing regime and would potentially introduce new kinds of efficiency costs. </w:t>
      </w:r>
    </w:p>
  </w:footnote>
  <w:footnote w:id="56">
    <w:p w14:paraId="386D0D78" w14:textId="0A793DB1" w:rsidR="00656CDC" w:rsidRPr="005C38A7" w:rsidRDefault="00656CDC">
      <w:pPr>
        <w:pStyle w:val="FootnoteText"/>
      </w:pPr>
      <w:r w:rsidRPr="005C38A7">
        <w:rPr>
          <w:rStyle w:val="FootnoteReference"/>
        </w:rPr>
        <w:footnoteRef/>
      </w:r>
      <w:r w:rsidRPr="005C38A7">
        <w:t xml:space="preserve"> </w:t>
      </w:r>
      <w:r w:rsidRPr="001C37B8">
        <w:t>Avi Yonah, Clausing &amp; Durst</w:t>
      </w:r>
      <w:r w:rsidRPr="005C38A7">
        <w:t xml:space="preserve"> above fn 3</w:t>
      </w:r>
      <w:r w:rsidR="0019125C">
        <w:t>5</w:t>
      </w:r>
      <w:r w:rsidRPr="005C38A7">
        <w:t xml:space="preserve"> at </w:t>
      </w:r>
      <w:r w:rsidRPr="001C37B8">
        <w:t>6</w:t>
      </w:r>
      <w:r w:rsidRPr="005C38A7">
        <w:t>.</w:t>
      </w:r>
    </w:p>
  </w:footnote>
  <w:footnote w:id="57">
    <w:p w14:paraId="72A42C90" w14:textId="089238C4" w:rsidR="00656CDC" w:rsidRPr="005C38A7" w:rsidRDefault="00656CDC">
      <w:pPr>
        <w:pStyle w:val="FootnoteText"/>
      </w:pPr>
      <w:r w:rsidRPr="005C38A7">
        <w:rPr>
          <w:rStyle w:val="FootnoteReference"/>
        </w:rPr>
        <w:footnoteRef/>
      </w:r>
      <w:r w:rsidRPr="005C38A7">
        <w:t xml:space="preserve"> </w:t>
      </w:r>
      <w:r w:rsidRPr="001C37B8">
        <w:t>Durst</w:t>
      </w:r>
      <w:r w:rsidRPr="005C38A7">
        <w:t xml:space="preserve"> above fn </w:t>
      </w:r>
      <w:r w:rsidR="0019125C">
        <w:t>5</w:t>
      </w:r>
      <w:r w:rsidR="00194C0E">
        <w:t>.</w:t>
      </w:r>
    </w:p>
  </w:footnote>
  <w:footnote w:id="58">
    <w:p w14:paraId="5201721E" w14:textId="45A0D94E" w:rsidR="00656CDC" w:rsidRPr="002751C3" w:rsidRDefault="00656CDC" w:rsidP="001C37B8">
      <w:pPr>
        <w:spacing w:after="0" w:line="240" w:lineRule="auto"/>
      </w:pPr>
      <w:r w:rsidRPr="001C37B8">
        <w:rPr>
          <w:rStyle w:val="FootnoteReference"/>
          <w:rFonts w:ascii="Times New Roman" w:hAnsi="Times New Roman" w:cs="Times New Roman"/>
        </w:rPr>
        <w:footnoteRef/>
      </w:r>
      <w:r w:rsidRPr="001C37B8">
        <w:rPr>
          <w:rFonts w:ascii="Times New Roman" w:hAnsi="Times New Roman" w:cs="Times New Roman"/>
        </w:rPr>
        <w:t xml:space="preserve"> </w:t>
      </w:r>
      <w:r w:rsidRPr="005C38A7">
        <w:rPr>
          <w:rFonts w:ascii="Times New Roman" w:hAnsi="Times New Roman" w:cs="Times New Roman"/>
        </w:rPr>
        <w:t xml:space="preserve">The first round of interviews was conducted in </w:t>
      </w:r>
      <w:r>
        <w:rPr>
          <w:rFonts w:ascii="Times New Roman" w:hAnsi="Times New Roman" w:cs="Times New Roman"/>
        </w:rPr>
        <w:t xml:space="preserve">a six-month period </w:t>
      </w:r>
      <w:r w:rsidR="00287F06">
        <w:rPr>
          <w:rFonts w:ascii="Times New Roman" w:hAnsi="Times New Roman" w:cs="Times New Roman"/>
        </w:rPr>
        <w:t xml:space="preserve">starting </w:t>
      </w:r>
      <w:r>
        <w:rPr>
          <w:rFonts w:ascii="Times New Roman" w:hAnsi="Times New Roman" w:cs="Times New Roman"/>
        </w:rPr>
        <w:t xml:space="preserve">in </w:t>
      </w:r>
      <w:r w:rsidRPr="005C38A7">
        <w:rPr>
          <w:rFonts w:ascii="Times New Roman" w:hAnsi="Times New Roman" w:cs="Times New Roman"/>
        </w:rPr>
        <w:t xml:space="preserve">2006 (the 2006 interviews) and </w:t>
      </w:r>
      <w:r>
        <w:rPr>
          <w:rFonts w:ascii="Times New Roman" w:hAnsi="Times New Roman" w:cs="Times New Roman"/>
        </w:rPr>
        <w:t xml:space="preserve">in </w:t>
      </w:r>
      <w:r w:rsidRPr="005C38A7">
        <w:rPr>
          <w:rFonts w:ascii="Times New Roman" w:hAnsi="Times New Roman" w:cs="Times New Roman"/>
        </w:rPr>
        <w:t>the</w:t>
      </w:r>
      <w:r>
        <w:rPr>
          <w:rFonts w:ascii="Times New Roman" w:hAnsi="Times New Roman" w:cs="Times New Roman"/>
        </w:rPr>
        <w:t xml:space="preserve"> case of the</w:t>
      </w:r>
      <w:r w:rsidRPr="005C38A7">
        <w:rPr>
          <w:rFonts w:ascii="Times New Roman" w:hAnsi="Times New Roman" w:cs="Times New Roman"/>
        </w:rPr>
        <w:t xml:space="preserve"> second round of interviews, (the 2016/17 interviews) most took place in 2016/17, with 3 conducted at the start of 2018; for convenience here, we use the phrase 2016/17 interviews to refer to this round. Both rounds of interviews </w:t>
      </w:r>
      <w:r>
        <w:rPr>
          <w:rFonts w:ascii="Times New Roman" w:hAnsi="Times New Roman" w:cs="Times New Roman"/>
        </w:rPr>
        <w:t>were with</w:t>
      </w:r>
      <w:r w:rsidRPr="005C38A7">
        <w:rPr>
          <w:rFonts w:ascii="Times New Roman" w:hAnsi="Times New Roman" w:cs="Times New Roman"/>
        </w:rPr>
        <w:t xml:space="preserve"> interviewees working at the most senior level of transfer pricing in one of the following key organisations: tax authorities, tax advisers, corporate taxpayers and the OECD.</w:t>
      </w:r>
      <w:r w:rsidRPr="001C37B8">
        <w:rPr>
          <w:rFonts w:ascii="Times New Roman" w:hAnsi="Times New Roman" w:cs="Times New Roman"/>
        </w:rPr>
        <w:t xml:space="preserve"> </w:t>
      </w:r>
      <w:r w:rsidRPr="005C38A7">
        <w:rPr>
          <w:rFonts w:ascii="Times New Roman" w:hAnsi="Times New Roman" w:cs="Times New Roman"/>
        </w:rPr>
        <w:t>Of the 34 interviews a</w:t>
      </w:r>
      <w:r w:rsidRPr="001C37B8">
        <w:rPr>
          <w:rFonts w:ascii="Times New Roman" w:hAnsi="Times New Roman" w:cs="Times New Roman"/>
        </w:rPr>
        <w:t xml:space="preserve">ll but </w:t>
      </w:r>
      <w:r w:rsidR="00AF4261">
        <w:rPr>
          <w:rFonts w:ascii="Times New Roman" w:hAnsi="Times New Roman" w:cs="Times New Roman"/>
        </w:rPr>
        <w:t>5</w:t>
      </w:r>
      <w:r w:rsidRPr="001C37B8">
        <w:rPr>
          <w:rFonts w:ascii="Times New Roman" w:hAnsi="Times New Roman" w:cs="Times New Roman"/>
        </w:rPr>
        <w:t xml:space="preserve"> interviews were </w:t>
      </w:r>
      <w:r w:rsidR="00AF4261">
        <w:rPr>
          <w:rFonts w:ascii="Times New Roman" w:hAnsi="Times New Roman" w:cs="Times New Roman"/>
        </w:rPr>
        <w:t xml:space="preserve">conducted </w:t>
      </w:r>
      <w:r w:rsidRPr="001C37B8">
        <w:rPr>
          <w:rFonts w:ascii="Times New Roman" w:hAnsi="Times New Roman" w:cs="Times New Roman"/>
        </w:rPr>
        <w:t xml:space="preserve">at the workplace of the interviewee (including London, Washington and Paris) and all but </w:t>
      </w:r>
      <w:r w:rsidR="00AF4261">
        <w:rPr>
          <w:rFonts w:ascii="Times New Roman" w:hAnsi="Times New Roman" w:cs="Times New Roman"/>
        </w:rPr>
        <w:t>3</w:t>
      </w:r>
      <w:r w:rsidRPr="001C37B8">
        <w:rPr>
          <w:rFonts w:ascii="Times New Roman" w:hAnsi="Times New Roman" w:cs="Times New Roman"/>
        </w:rPr>
        <w:t xml:space="preserve"> of the interviews w</w:t>
      </w:r>
      <w:r w:rsidR="00AF4261">
        <w:rPr>
          <w:rFonts w:ascii="Times New Roman" w:hAnsi="Times New Roman" w:cs="Times New Roman"/>
        </w:rPr>
        <w:t>ere</w:t>
      </w:r>
      <w:r w:rsidRPr="001C37B8">
        <w:rPr>
          <w:rFonts w:ascii="Times New Roman" w:hAnsi="Times New Roman" w:cs="Times New Roman"/>
        </w:rPr>
        <w:t xml:space="preserve"> face to face. The average length of each interview was approximately 65 minutes</w:t>
      </w:r>
      <w:r>
        <w:rPr>
          <w:rFonts w:ascii="Times New Roman" w:hAnsi="Times New Roman" w:cs="Times New Roman"/>
        </w:rPr>
        <w:t>,</w:t>
      </w:r>
      <w:r w:rsidRPr="001C37B8">
        <w:rPr>
          <w:rFonts w:ascii="Times New Roman" w:hAnsi="Times New Roman" w:cs="Times New Roman"/>
        </w:rPr>
        <w:t xml:space="preserve"> and, with interviewees’ permission, interviews were recorded and transcribed. </w:t>
      </w:r>
    </w:p>
  </w:footnote>
  <w:footnote w:id="59">
    <w:p w14:paraId="484D3259" w14:textId="46BD5A14" w:rsidR="00656CDC" w:rsidRDefault="00656CDC">
      <w:pPr>
        <w:pStyle w:val="FootnoteText"/>
      </w:pPr>
      <w:r>
        <w:rPr>
          <w:rStyle w:val="FootnoteReference"/>
        </w:rPr>
        <w:footnoteRef/>
      </w:r>
      <w:r>
        <w:t xml:space="preserve"> </w:t>
      </w:r>
      <w:r w:rsidRPr="00A4379B">
        <w:t xml:space="preserve">Rogers and Oats above fn </w:t>
      </w:r>
      <w:r w:rsidR="00194C0E">
        <w:t xml:space="preserve"> 20</w:t>
      </w:r>
      <w:r w:rsidRPr="00A4379B">
        <w:t>.</w:t>
      </w:r>
    </w:p>
  </w:footnote>
  <w:footnote w:id="60">
    <w:p w14:paraId="331C2FA9" w14:textId="44698D79" w:rsidR="00656CDC" w:rsidRPr="003C5332" w:rsidRDefault="00656CDC">
      <w:pPr>
        <w:pStyle w:val="FootnoteText"/>
      </w:pPr>
      <w:r w:rsidRPr="003C5332">
        <w:rPr>
          <w:rStyle w:val="FootnoteReference"/>
        </w:rPr>
        <w:footnoteRef/>
      </w:r>
      <w:r w:rsidRPr="003C5332">
        <w:t xml:space="preserve"> </w:t>
      </w:r>
      <w:r w:rsidRPr="001C37B8">
        <w:t>Durst and Culbertson</w:t>
      </w:r>
      <w:r>
        <w:t xml:space="preserve"> above fn </w:t>
      </w:r>
      <w:r w:rsidR="00194C0E">
        <w:t xml:space="preserve">12 </w:t>
      </w:r>
      <w:r w:rsidR="00DE638F">
        <w:t xml:space="preserve">Eden, Dacin and Wan </w:t>
      </w:r>
      <w:r w:rsidR="00194C0E">
        <w:t>above fn 9.</w:t>
      </w:r>
    </w:p>
  </w:footnote>
  <w:footnote w:id="61">
    <w:p w14:paraId="013A217F" w14:textId="20653566" w:rsidR="00656CDC" w:rsidRPr="003C5332" w:rsidRDefault="00656CDC">
      <w:pPr>
        <w:pStyle w:val="FootnoteText"/>
      </w:pPr>
      <w:r w:rsidRPr="003C5332">
        <w:rPr>
          <w:rStyle w:val="FootnoteReference"/>
        </w:rPr>
        <w:footnoteRef/>
      </w:r>
      <w:r w:rsidRPr="003C5332">
        <w:t xml:space="preserve"> </w:t>
      </w:r>
      <w:r w:rsidRPr="001C37B8">
        <w:rPr>
          <w:lang w:val="en-US"/>
        </w:rPr>
        <w:t>Fleming, Peroni &amp; Shay</w:t>
      </w:r>
      <w:r>
        <w:rPr>
          <w:lang w:val="en-US"/>
        </w:rPr>
        <w:t xml:space="preserve"> above fn 3</w:t>
      </w:r>
      <w:r w:rsidR="00194C0E">
        <w:rPr>
          <w:lang w:val="en-US"/>
        </w:rPr>
        <w:t>8</w:t>
      </w:r>
      <w:r>
        <w:rPr>
          <w:lang w:val="en-US"/>
        </w:rPr>
        <w:t>.</w:t>
      </w:r>
    </w:p>
  </w:footnote>
  <w:footnote w:id="62">
    <w:p w14:paraId="2C897F78" w14:textId="37ED2535" w:rsidR="00656CDC" w:rsidRPr="003C5332" w:rsidRDefault="00656CDC">
      <w:pPr>
        <w:pStyle w:val="FootnoteText"/>
      </w:pPr>
      <w:r w:rsidRPr="003C5332">
        <w:rPr>
          <w:rStyle w:val="FootnoteReference"/>
        </w:rPr>
        <w:footnoteRef/>
      </w:r>
      <w:r w:rsidRPr="003C5332">
        <w:t xml:space="preserve"> </w:t>
      </w:r>
      <w:r w:rsidRPr="001C37B8">
        <w:rPr>
          <w:lang w:val="en-US"/>
        </w:rPr>
        <w:t>Durst, 2015</w:t>
      </w:r>
      <w:r>
        <w:rPr>
          <w:lang w:val="en-US"/>
        </w:rPr>
        <w:t xml:space="preserve"> above fn 3</w:t>
      </w:r>
      <w:r w:rsidR="00C42959">
        <w:rPr>
          <w:lang w:val="en-US"/>
        </w:rPr>
        <w:t>9.</w:t>
      </w:r>
    </w:p>
  </w:footnote>
  <w:footnote w:id="63">
    <w:p w14:paraId="52820816" w14:textId="348671BC" w:rsidR="00656CDC" w:rsidRPr="00201DB3" w:rsidRDefault="00656CDC" w:rsidP="00E90847">
      <w:pPr>
        <w:spacing w:line="240" w:lineRule="auto"/>
        <w:rPr>
          <w:rFonts w:ascii="Times New Roman" w:hAnsi="Times New Roman" w:cs="Times New Roman"/>
        </w:rPr>
      </w:pPr>
      <w:r w:rsidRPr="0098279D">
        <w:rPr>
          <w:rStyle w:val="FootnoteReference"/>
          <w:rFonts w:ascii="Times New Roman" w:hAnsi="Times New Roman" w:cs="Times New Roman"/>
        </w:rPr>
        <w:footnoteRef/>
      </w:r>
      <w:r w:rsidRPr="0098279D">
        <w:rPr>
          <w:rFonts w:ascii="Times New Roman" w:hAnsi="Times New Roman" w:cs="Times New Roman"/>
        </w:rPr>
        <w:t xml:space="preserve"> </w:t>
      </w:r>
      <w:r w:rsidRPr="00201DB3">
        <w:rPr>
          <w:rFonts w:ascii="Times New Roman" w:hAnsi="Times New Roman" w:cs="Times New Roman"/>
        </w:rPr>
        <w:t xml:space="preserve">S. C. Morse, “Revisiting global formulary apportionment” (2010) </w:t>
      </w:r>
      <w:r w:rsidRPr="0098279D">
        <w:rPr>
          <w:rFonts w:ascii="Times New Roman" w:hAnsi="Times New Roman" w:cs="Times New Roman"/>
          <w:i/>
        </w:rPr>
        <w:t>Virginia Tax Review</w:t>
      </w:r>
      <w:r w:rsidRPr="00201DB3">
        <w:rPr>
          <w:rFonts w:ascii="Times New Roman" w:hAnsi="Times New Roman" w:cs="Times New Roman"/>
        </w:rPr>
        <w:t xml:space="preserve"> 593.</w:t>
      </w:r>
    </w:p>
    <w:p w14:paraId="4027A22F" w14:textId="4124533B" w:rsidR="00656CDC" w:rsidRPr="003C5332" w:rsidRDefault="00656CDC" w:rsidP="00E90847">
      <w:pPr>
        <w:pStyle w:val="FootnoteText"/>
      </w:pPr>
    </w:p>
  </w:footnote>
  <w:footnote w:id="64">
    <w:p w14:paraId="21C36A4B" w14:textId="1FB93833" w:rsidR="00656CDC" w:rsidRPr="003C5332" w:rsidRDefault="00656CDC">
      <w:pPr>
        <w:pStyle w:val="FootnoteText"/>
      </w:pPr>
      <w:r w:rsidRPr="003C5332">
        <w:rPr>
          <w:rStyle w:val="FootnoteReference"/>
        </w:rPr>
        <w:footnoteRef/>
      </w:r>
      <w:r w:rsidRPr="003C5332">
        <w:t xml:space="preserve"> </w:t>
      </w:r>
      <w:r w:rsidRPr="001C37B8">
        <w:t>Kane</w:t>
      </w:r>
      <w:r>
        <w:t xml:space="preserve"> above fn 1</w:t>
      </w:r>
      <w:r w:rsidR="00C42959">
        <w:t>8</w:t>
      </w:r>
      <w:r>
        <w:t>.</w:t>
      </w:r>
    </w:p>
  </w:footnote>
  <w:footnote w:id="65">
    <w:p w14:paraId="16CF1645" w14:textId="7454D865" w:rsidR="00C42959" w:rsidRPr="00201DB3" w:rsidRDefault="00656CDC" w:rsidP="00C42959">
      <w:pPr>
        <w:pStyle w:val="FootnoteText"/>
      </w:pPr>
      <w:r w:rsidRPr="003C5332">
        <w:rPr>
          <w:rStyle w:val="FootnoteReference"/>
        </w:rPr>
        <w:footnoteRef/>
      </w:r>
      <w:r w:rsidRPr="003C5332">
        <w:t xml:space="preserve"> </w:t>
      </w:r>
      <w:r w:rsidR="00C42959">
        <w:t xml:space="preserve">S. </w:t>
      </w:r>
      <w:r w:rsidRPr="001C37B8">
        <w:t>Picciotto</w:t>
      </w:r>
      <w:r>
        <w:t xml:space="preserve"> </w:t>
      </w:r>
      <w:r w:rsidR="00C42959">
        <w:t>“Introduction” in</w:t>
      </w:r>
      <w:r w:rsidR="00C42959" w:rsidRPr="00C42959">
        <w:t xml:space="preserve"> </w:t>
      </w:r>
      <w:r w:rsidR="00C42959" w:rsidRPr="00201DB3">
        <w:t>in S.</w:t>
      </w:r>
      <w:r w:rsidR="00C42959">
        <w:t xml:space="preserve"> </w:t>
      </w:r>
      <w:r w:rsidR="00C42959" w:rsidRPr="00201DB3">
        <w:t xml:space="preserve">Picciotto (ed)  </w:t>
      </w:r>
      <w:r w:rsidR="00C42959" w:rsidRPr="00201DB3">
        <w:rPr>
          <w:i/>
        </w:rPr>
        <w:t>Taxing Multinational Enterprises as Unitary Firms</w:t>
      </w:r>
      <w:r w:rsidR="00C42959" w:rsidRPr="00201DB3">
        <w:t xml:space="preserve">, (Brighton: Institute of Development Studies, 2017) </w:t>
      </w:r>
      <w:r w:rsidR="00C42959">
        <w:t>2</w:t>
      </w:r>
      <w:r w:rsidR="00C42959" w:rsidRPr="00201DB3">
        <w:t>.</w:t>
      </w:r>
    </w:p>
    <w:p w14:paraId="45E9E7F7" w14:textId="1FADBD1E" w:rsidR="00656CDC" w:rsidRPr="003C5332" w:rsidRDefault="00656C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788"/>
    <w:multiLevelType w:val="hybridMultilevel"/>
    <w:tmpl w:val="20AE0F7A"/>
    <w:lvl w:ilvl="0" w:tplc="806E8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459A5"/>
    <w:multiLevelType w:val="hybridMultilevel"/>
    <w:tmpl w:val="C0C258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272881"/>
    <w:multiLevelType w:val="multilevel"/>
    <w:tmpl w:val="089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74A6F"/>
    <w:multiLevelType w:val="hybridMultilevel"/>
    <w:tmpl w:val="858AA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820A32"/>
    <w:multiLevelType w:val="hybridMultilevel"/>
    <w:tmpl w:val="3812703A"/>
    <w:lvl w:ilvl="0" w:tplc="8BE8ED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85AB7"/>
    <w:multiLevelType w:val="hybridMultilevel"/>
    <w:tmpl w:val="CAC44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4320A"/>
    <w:multiLevelType w:val="hybridMultilevel"/>
    <w:tmpl w:val="9774A1B8"/>
    <w:lvl w:ilvl="0" w:tplc="5FF2583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0C"/>
    <w:rsid w:val="0000114B"/>
    <w:rsid w:val="00005A53"/>
    <w:rsid w:val="00010A94"/>
    <w:rsid w:val="00010C24"/>
    <w:rsid w:val="00012ECD"/>
    <w:rsid w:val="00013DA9"/>
    <w:rsid w:val="00013EB1"/>
    <w:rsid w:val="00015E9D"/>
    <w:rsid w:val="000239AC"/>
    <w:rsid w:val="000263E7"/>
    <w:rsid w:val="00040853"/>
    <w:rsid w:val="00040A3C"/>
    <w:rsid w:val="00041340"/>
    <w:rsid w:val="0004183D"/>
    <w:rsid w:val="0004785B"/>
    <w:rsid w:val="00050277"/>
    <w:rsid w:val="000503E7"/>
    <w:rsid w:val="00053363"/>
    <w:rsid w:val="00055E8C"/>
    <w:rsid w:val="0005642C"/>
    <w:rsid w:val="00064D0B"/>
    <w:rsid w:val="000651E1"/>
    <w:rsid w:val="000666A7"/>
    <w:rsid w:val="0007155E"/>
    <w:rsid w:val="00075C76"/>
    <w:rsid w:val="00075E36"/>
    <w:rsid w:val="0008395E"/>
    <w:rsid w:val="00084799"/>
    <w:rsid w:val="000873A2"/>
    <w:rsid w:val="00087CCC"/>
    <w:rsid w:val="00090076"/>
    <w:rsid w:val="000914A7"/>
    <w:rsid w:val="00093E8B"/>
    <w:rsid w:val="0009416F"/>
    <w:rsid w:val="000941D8"/>
    <w:rsid w:val="000950B6"/>
    <w:rsid w:val="00096CBC"/>
    <w:rsid w:val="000A136E"/>
    <w:rsid w:val="000A2FC1"/>
    <w:rsid w:val="000A4E5C"/>
    <w:rsid w:val="000A5A70"/>
    <w:rsid w:val="000B383E"/>
    <w:rsid w:val="000B3F34"/>
    <w:rsid w:val="000B5B84"/>
    <w:rsid w:val="000C1EC9"/>
    <w:rsid w:val="000C49B7"/>
    <w:rsid w:val="000C6FEB"/>
    <w:rsid w:val="000D0AEE"/>
    <w:rsid w:val="000D526B"/>
    <w:rsid w:val="000D5422"/>
    <w:rsid w:val="000D5491"/>
    <w:rsid w:val="000D5889"/>
    <w:rsid w:val="000D5B26"/>
    <w:rsid w:val="000E1859"/>
    <w:rsid w:val="000E240B"/>
    <w:rsid w:val="000E24C0"/>
    <w:rsid w:val="000E3714"/>
    <w:rsid w:val="000E5C55"/>
    <w:rsid w:val="000F4A70"/>
    <w:rsid w:val="000F4B92"/>
    <w:rsid w:val="00100AD8"/>
    <w:rsid w:val="00103BD0"/>
    <w:rsid w:val="001077C6"/>
    <w:rsid w:val="001102E2"/>
    <w:rsid w:val="0011269D"/>
    <w:rsid w:val="00113163"/>
    <w:rsid w:val="00114F90"/>
    <w:rsid w:val="001216CD"/>
    <w:rsid w:val="00123E45"/>
    <w:rsid w:val="001319B3"/>
    <w:rsid w:val="001342D1"/>
    <w:rsid w:val="00135640"/>
    <w:rsid w:val="00135D1B"/>
    <w:rsid w:val="00137747"/>
    <w:rsid w:val="00144BDC"/>
    <w:rsid w:val="00155358"/>
    <w:rsid w:val="00160BCC"/>
    <w:rsid w:val="00161ADC"/>
    <w:rsid w:val="00163B40"/>
    <w:rsid w:val="0016573E"/>
    <w:rsid w:val="00166B30"/>
    <w:rsid w:val="0017039A"/>
    <w:rsid w:val="00172F9E"/>
    <w:rsid w:val="00180C34"/>
    <w:rsid w:val="00183631"/>
    <w:rsid w:val="00186633"/>
    <w:rsid w:val="00187CD2"/>
    <w:rsid w:val="0019125C"/>
    <w:rsid w:val="001936EE"/>
    <w:rsid w:val="00194C0E"/>
    <w:rsid w:val="001A1431"/>
    <w:rsid w:val="001A573A"/>
    <w:rsid w:val="001A7827"/>
    <w:rsid w:val="001B51F4"/>
    <w:rsid w:val="001C37B8"/>
    <w:rsid w:val="001C3B15"/>
    <w:rsid w:val="001D1CC2"/>
    <w:rsid w:val="001D6C2F"/>
    <w:rsid w:val="001D7874"/>
    <w:rsid w:val="001E0732"/>
    <w:rsid w:val="001E1394"/>
    <w:rsid w:val="001E1A3A"/>
    <w:rsid w:val="001E1F32"/>
    <w:rsid w:val="001E1F8A"/>
    <w:rsid w:val="001E2986"/>
    <w:rsid w:val="001E2FA6"/>
    <w:rsid w:val="001E5B3A"/>
    <w:rsid w:val="00200978"/>
    <w:rsid w:val="00201118"/>
    <w:rsid w:val="00201DB3"/>
    <w:rsid w:val="00205065"/>
    <w:rsid w:val="00207100"/>
    <w:rsid w:val="0021059D"/>
    <w:rsid w:val="002129C1"/>
    <w:rsid w:val="00212D06"/>
    <w:rsid w:val="0022191D"/>
    <w:rsid w:val="00221C8E"/>
    <w:rsid w:val="00242A24"/>
    <w:rsid w:val="002459B5"/>
    <w:rsid w:val="00251DD7"/>
    <w:rsid w:val="00255DD9"/>
    <w:rsid w:val="002601A0"/>
    <w:rsid w:val="00264B27"/>
    <w:rsid w:val="00265D31"/>
    <w:rsid w:val="002704AE"/>
    <w:rsid w:val="0027496B"/>
    <w:rsid w:val="002751C3"/>
    <w:rsid w:val="00276D07"/>
    <w:rsid w:val="00280E6C"/>
    <w:rsid w:val="002843E1"/>
    <w:rsid w:val="00287C00"/>
    <w:rsid w:val="00287F06"/>
    <w:rsid w:val="002915A1"/>
    <w:rsid w:val="00296792"/>
    <w:rsid w:val="00297D7F"/>
    <w:rsid w:val="002A0DC4"/>
    <w:rsid w:val="002A7B70"/>
    <w:rsid w:val="002B054F"/>
    <w:rsid w:val="002B2519"/>
    <w:rsid w:val="002B3A9B"/>
    <w:rsid w:val="002B431D"/>
    <w:rsid w:val="002B752D"/>
    <w:rsid w:val="002C2AFB"/>
    <w:rsid w:val="002D5751"/>
    <w:rsid w:val="002E3747"/>
    <w:rsid w:val="002E4C02"/>
    <w:rsid w:val="002E7A37"/>
    <w:rsid w:val="002F40CF"/>
    <w:rsid w:val="002F6374"/>
    <w:rsid w:val="00300D58"/>
    <w:rsid w:val="003010A3"/>
    <w:rsid w:val="003023F3"/>
    <w:rsid w:val="0030317D"/>
    <w:rsid w:val="003040EE"/>
    <w:rsid w:val="003058D6"/>
    <w:rsid w:val="00310DAD"/>
    <w:rsid w:val="00311751"/>
    <w:rsid w:val="00314CC5"/>
    <w:rsid w:val="00317FC1"/>
    <w:rsid w:val="0032026D"/>
    <w:rsid w:val="003219F4"/>
    <w:rsid w:val="00324375"/>
    <w:rsid w:val="003249ED"/>
    <w:rsid w:val="0033170D"/>
    <w:rsid w:val="00340781"/>
    <w:rsid w:val="003444B6"/>
    <w:rsid w:val="00345E8F"/>
    <w:rsid w:val="003473A1"/>
    <w:rsid w:val="003528AC"/>
    <w:rsid w:val="0035440A"/>
    <w:rsid w:val="003654FE"/>
    <w:rsid w:val="00365523"/>
    <w:rsid w:val="00365FCA"/>
    <w:rsid w:val="00367F1B"/>
    <w:rsid w:val="00373461"/>
    <w:rsid w:val="003744DE"/>
    <w:rsid w:val="00376CA0"/>
    <w:rsid w:val="00376EA6"/>
    <w:rsid w:val="00383006"/>
    <w:rsid w:val="00385DA2"/>
    <w:rsid w:val="0039001C"/>
    <w:rsid w:val="00393DAA"/>
    <w:rsid w:val="00395A81"/>
    <w:rsid w:val="003A3832"/>
    <w:rsid w:val="003A44CC"/>
    <w:rsid w:val="003A5547"/>
    <w:rsid w:val="003A587D"/>
    <w:rsid w:val="003A6472"/>
    <w:rsid w:val="003A7924"/>
    <w:rsid w:val="003B0D3C"/>
    <w:rsid w:val="003B459C"/>
    <w:rsid w:val="003B70F5"/>
    <w:rsid w:val="003C0C81"/>
    <w:rsid w:val="003C2C0C"/>
    <w:rsid w:val="003C5332"/>
    <w:rsid w:val="003C6BE0"/>
    <w:rsid w:val="003D056C"/>
    <w:rsid w:val="003D0E20"/>
    <w:rsid w:val="003D0E90"/>
    <w:rsid w:val="003D0F47"/>
    <w:rsid w:val="003E1186"/>
    <w:rsid w:val="003F188C"/>
    <w:rsid w:val="003F77C9"/>
    <w:rsid w:val="00405D14"/>
    <w:rsid w:val="00407018"/>
    <w:rsid w:val="004141BB"/>
    <w:rsid w:val="004172DE"/>
    <w:rsid w:val="00420DBA"/>
    <w:rsid w:val="00422086"/>
    <w:rsid w:val="004272F9"/>
    <w:rsid w:val="004326C8"/>
    <w:rsid w:val="004426E4"/>
    <w:rsid w:val="0044703F"/>
    <w:rsid w:val="00447AAA"/>
    <w:rsid w:val="00451144"/>
    <w:rsid w:val="00454F37"/>
    <w:rsid w:val="00457514"/>
    <w:rsid w:val="00460C2A"/>
    <w:rsid w:val="00463706"/>
    <w:rsid w:val="00464FA5"/>
    <w:rsid w:val="004677C4"/>
    <w:rsid w:val="00472332"/>
    <w:rsid w:val="00472CA5"/>
    <w:rsid w:val="00473F32"/>
    <w:rsid w:val="0047605E"/>
    <w:rsid w:val="00484939"/>
    <w:rsid w:val="00485234"/>
    <w:rsid w:val="0048547A"/>
    <w:rsid w:val="00485EC4"/>
    <w:rsid w:val="00486DDE"/>
    <w:rsid w:val="0049003F"/>
    <w:rsid w:val="004907E6"/>
    <w:rsid w:val="00491F13"/>
    <w:rsid w:val="00492983"/>
    <w:rsid w:val="004962CB"/>
    <w:rsid w:val="00497299"/>
    <w:rsid w:val="004A43E7"/>
    <w:rsid w:val="004B0BC3"/>
    <w:rsid w:val="004B592B"/>
    <w:rsid w:val="004B5CD7"/>
    <w:rsid w:val="004C25EE"/>
    <w:rsid w:val="004C5A19"/>
    <w:rsid w:val="004C799D"/>
    <w:rsid w:val="004D15B7"/>
    <w:rsid w:val="004D35F4"/>
    <w:rsid w:val="004F1C7E"/>
    <w:rsid w:val="004F4A61"/>
    <w:rsid w:val="004F5521"/>
    <w:rsid w:val="004F68D7"/>
    <w:rsid w:val="00500572"/>
    <w:rsid w:val="00500F01"/>
    <w:rsid w:val="00502483"/>
    <w:rsid w:val="00504BE5"/>
    <w:rsid w:val="005059B8"/>
    <w:rsid w:val="0051193A"/>
    <w:rsid w:val="00511B3D"/>
    <w:rsid w:val="00512147"/>
    <w:rsid w:val="00522E1F"/>
    <w:rsid w:val="00523733"/>
    <w:rsid w:val="00523D5E"/>
    <w:rsid w:val="00525192"/>
    <w:rsid w:val="00530CA3"/>
    <w:rsid w:val="005355EB"/>
    <w:rsid w:val="00543584"/>
    <w:rsid w:val="00544161"/>
    <w:rsid w:val="00544256"/>
    <w:rsid w:val="005444C2"/>
    <w:rsid w:val="0055722A"/>
    <w:rsid w:val="0055726C"/>
    <w:rsid w:val="00560BD2"/>
    <w:rsid w:val="00562321"/>
    <w:rsid w:val="00564355"/>
    <w:rsid w:val="00564FEC"/>
    <w:rsid w:val="00574D2D"/>
    <w:rsid w:val="005767FE"/>
    <w:rsid w:val="00577F59"/>
    <w:rsid w:val="00583442"/>
    <w:rsid w:val="0058479A"/>
    <w:rsid w:val="00584FF8"/>
    <w:rsid w:val="005850A0"/>
    <w:rsid w:val="0059100D"/>
    <w:rsid w:val="005935B6"/>
    <w:rsid w:val="00597339"/>
    <w:rsid w:val="005A1CE7"/>
    <w:rsid w:val="005A40FC"/>
    <w:rsid w:val="005A7833"/>
    <w:rsid w:val="005B124E"/>
    <w:rsid w:val="005B23A5"/>
    <w:rsid w:val="005B37AA"/>
    <w:rsid w:val="005B3ED8"/>
    <w:rsid w:val="005B4B49"/>
    <w:rsid w:val="005B6D50"/>
    <w:rsid w:val="005C0512"/>
    <w:rsid w:val="005C38A7"/>
    <w:rsid w:val="005C6476"/>
    <w:rsid w:val="005C72A6"/>
    <w:rsid w:val="005C7EF5"/>
    <w:rsid w:val="005D0E17"/>
    <w:rsid w:val="005D1CFE"/>
    <w:rsid w:val="005D4E35"/>
    <w:rsid w:val="005E3768"/>
    <w:rsid w:val="005E5E3B"/>
    <w:rsid w:val="005E7758"/>
    <w:rsid w:val="006007F3"/>
    <w:rsid w:val="00600DDE"/>
    <w:rsid w:val="006040A4"/>
    <w:rsid w:val="006105DE"/>
    <w:rsid w:val="006128E5"/>
    <w:rsid w:val="00613728"/>
    <w:rsid w:val="00615041"/>
    <w:rsid w:val="00617307"/>
    <w:rsid w:val="00622677"/>
    <w:rsid w:val="00623F81"/>
    <w:rsid w:val="006243CA"/>
    <w:rsid w:val="0063253E"/>
    <w:rsid w:val="00636F42"/>
    <w:rsid w:val="006402EB"/>
    <w:rsid w:val="006419FB"/>
    <w:rsid w:val="00642CCE"/>
    <w:rsid w:val="00646DB7"/>
    <w:rsid w:val="00647206"/>
    <w:rsid w:val="00651620"/>
    <w:rsid w:val="00654635"/>
    <w:rsid w:val="00654A26"/>
    <w:rsid w:val="00656CDC"/>
    <w:rsid w:val="00661C99"/>
    <w:rsid w:val="0066485B"/>
    <w:rsid w:val="00666338"/>
    <w:rsid w:val="00666C0C"/>
    <w:rsid w:val="00667B63"/>
    <w:rsid w:val="00671935"/>
    <w:rsid w:val="00680D8A"/>
    <w:rsid w:val="00681D8D"/>
    <w:rsid w:val="0068358B"/>
    <w:rsid w:val="00684B2C"/>
    <w:rsid w:val="00692D43"/>
    <w:rsid w:val="006955B1"/>
    <w:rsid w:val="00695A66"/>
    <w:rsid w:val="00695AF0"/>
    <w:rsid w:val="006A1DCE"/>
    <w:rsid w:val="006A3125"/>
    <w:rsid w:val="006A3C25"/>
    <w:rsid w:val="006A4EEA"/>
    <w:rsid w:val="006B2977"/>
    <w:rsid w:val="006B3021"/>
    <w:rsid w:val="006B56A8"/>
    <w:rsid w:val="006B59EB"/>
    <w:rsid w:val="006B6D91"/>
    <w:rsid w:val="006C022D"/>
    <w:rsid w:val="006C35B4"/>
    <w:rsid w:val="006D0987"/>
    <w:rsid w:val="006D1EE8"/>
    <w:rsid w:val="006D542D"/>
    <w:rsid w:val="006D7188"/>
    <w:rsid w:val="006E1233"/>
    <w:rsid w:val="006E1A2D"/>
    <w:rsid w:val="006E652E"/>
    <w:rsid w:val="006E6AED"/>
    <w:rsid w:val="006F32CA"/>
    <w:rsid w:val="006F3DB0"/>
    <w:rsid w:val="006F5A14"/>
    <w:rsid w:val="007072C3"/>
    <w:rsid w:val="00707749"/>
    <w:rsid w:val="007105EF"/>
    <w:rsid w:val="00711D77"/>
    <w:rsid w:val="00715A2B"/>
    <w:rsid w:val="00731DD4"/>
    <w:rsid w:val="00732620"/>
    <w:rsid w:val="0073598E"/>
    <w:rsid w:val="00735DB9"/>
    <w:rsid w:val="00744BF7"/>
    <w:rsid w:val="00744F19"/>
    <w:rsid w:val="0075396A"/>
    <w:rsid w:val="00754380"/>
    <w:rsid w:val="00760273"/>
    <w:rsid w:val="00761F0F"/>
    <w:rsid w:val="00764C29"/>
    <w:rsid w:val="007748EE"/>
    <w:rsid w:val="007769CB"/>
    <w:rsid w:val="00776B3B"/>
    <w:rsid w:val="00782659"/>
    <w:rsid w:val="00783D03"/>
    <w:rsid w:val="00783E87"/>
    <w:rsid w:val="0078764D"/>
    <w:rsid w:val="00790571"/>
    <w:rsid w:val="00793E8A"/>
    <w:rsid w:val="0079442B"/>
    <w:rsid w:val="0079512C"/>
    <w:rsid w:val="00797610"/>
    <w:rsid w:val="007A0729"/>
    <w:rsid w:val="007A4911"/>
    <w:rsid w:val="007A6CA9"/>
    <w:rsid w:val="007B050F"/>
    <w:rsid w:val="007C076D"/>
    <w:rsid w:val="007C0875"/>
    <w:rsid w:val="007C76B8"/>
    <w:rsid w:val="007D0659"/>
    <w:rsid w:val="007D0B58"/>
    <w:rsid w:val="007D0D21"/>
    <w:rsid w:val="007D1FD8"/>
    <w:rsid w:val="007D3323"/>
    <w:rsid w:val="007D35ED"/>
    <w:rsid w:val="007D4420"/>
    <w:rsid w:val="007D540C"/>
    <w:rsid w:val="007E57C9"/>
    <w:rsid w:val="007E5D65"/>
    <w:rsid w:val="007F0858"/>
    <w:rsid w:val="007F0D64"/>
    <w:rsid w:val="007F56AC"/>
    <w:rsid w:val="00800121"/>
    <w:rsid w:val="00801A9F"/>
    <w:rsid w:val="00803DB5"/>
    <w:rsid w:val="0080640D"/>
    <w:rsid w:val="00806EBE"/>
    <w:rsid w:val="00807111"/>
    <w:rsid w:val="00810254"/>
    <w:rsid w:val="00810503"/>
    <w:rsid w:val="00821AAA"/>
    <w:rsid w:val="00823166"/>
    <w:rsid w:val="008239C9"/>
    <w:rsid w:val="0082418D"/>
    <w:rsid w:val="00830222"/>
    <w:rsid w:val="00832A37"/>
    <w:rsid w:val="00832BED"/>
    <w:rsid w:val="008336B6"/>
    <w:rsid w:val="008357EE"/>
    <w:rsid w:val="008359C7"/>
    <w:rsid w:val="00836E54"/>
    <w:rsid w:val="008431E9"/>
    <w:rsid w:val="00846A10"/>
    <w:rsid w:val="0085084F"/>
    <w:rsid w:val="00861636"/>
    <w:rsid w:val="008668E0"/>
    <w:rsid w:val="008748CB"/>
    <w:rsid w:val="00874F4B"/>
    <w:rsid w:val="00875032"/>
    <w:rsid w:val="0087752F"/>
    <w:rsid w:val="00880239"/>
    <w:rsid w:val="00881F99"/>
    <w:rsid w:val="0088249B"/>
    <w:rsid w:val="0088429C"/>
    <w:rsid w:val="00884BA7"/>
    <w:rsid w:val="0088518F"/>
    <w:rsid w:val="008870C7"/>
    <w:rsid w:val="00887D29"/>
    <w:rsid w:val="008953A6"/>
    <w:rsid w:val="00896302"/>
    <w:rsid w:val="00896748"/>
    <w:rsid w:val="00897556"/>
    <w:rsid w:val="008A50F2"/>
    <w:rsid w:val="008A79B0"/>
    <w:rsid w:val="008A7BD9"/>
    <w:rsid w:val="008B19EE"/>
    <w:rsid w:val="008B3371"/>
    <w:rsid w:val="008C7FFB"/>
    <w:rsid w:val="008D5EAB"/>
    <w:rsid w:val="008E3CA7"/>
    <w:rsid w:val="008E6BBF"/>
    <w:rsid w:val="008E75FB"/>
    <w:rsid w:val="008F27C8"/>
    <w:rsid w:val="008F7F10"/>
    <w:rsid w:val="009005A1"/>
    <w:rsid w:val="009019C4"/>
    <w:rsid w:val="00901C47"/>
    <w:rsid w:val="00905731"/>
    <w:rsid w:val="009103C9"/>
    <w:rsid w:val="00913EBE"/>
    <w:rsid w:val="009238C0"/>
    <w:rsid w:val="009319D8"/>
    <w:rsid w:val="009356D0"/>
    <w:rsid w:val="00935A12"/>
    <w:rsid w:val="00945669"/>
    <w:rsid w:val="009478D7"/>
    <w:rsid w:val="009511D0"/>
    <w:rsid w:val="0095292F"/>
    <w:rsid w:val="00955269"/>
    <w:rsid w:val="00957A45"/>
    <w:rsid w:val="00957E35"/>
    <w:rsid w:val="00960249"/>
    <w:rsid w:val="00961173"/>
    <w:rsid w:val="009622BB"/>
    <w:rsid w:val="00965DF5"/>
    <w:rsid w:val="00966ACB"/>
    <w:rsid w:val="00967B4E"/>
    <w:rsid w:val="00970D1D"/>
    <w:rsid w:val="00973183"/>
    <w:rsid w:val="00974AA0"/>
    <w:rsid w:val="0097720E"/>
    <w:rsid w:val="00980382"/>
    <w:rsid w:val="0098279D"/>
    <w:rsid w:val="009916A9"/>
    <w:rsid w:val="00993BA4"/>
    <w:rsid w:val="00994266"/>
    <w:rsid w:val="009A0983"/>
    <w:rsid w:val="009A23A3"/>
    <w:rsid w:val="009A71EA"/>
    <w:rsid w:val="009B18AF"/>
    <w:rsid w:val="009B4B49"/>
    <w:rsid w:val="009B5F31"/>
    <w:rsid w:val="009C1B7C"/>
    <w:rsid w:val="009C350C"/>
    <w:rsid w:val="009C4BEB"/>
    <w:rsid w:val="009C63FC"/>
    <w:rsid w:val="009C78FB"/>
    <w:rsid w:val="009D196F"/>
    <w:rsid w:val="009D5C4E"/>
    <w:rsid w:val="009E0AA9"/>
    <w:rsid w:val="009E307B"/>
    <w:rsid w:val="009E74E1"/>
    <w:rsid w:val="009F0DC3"/>
    <w:rsid w:val="009F15C2"/>
    <w:rsid w:val="009F26A2"/>
    <w:rsid w:val="009F3A67"/>
    <w:rsid w:val="009F4641"/>
    <w:rsid w:val="009F5950"/>
    <w:rsid w:val="009F6146"/>
    <w:rsid w:val="009F78F3"/>
    <w:rsid w:val="00A01FC0"/>
    <w:rsid w:val="00A0214A"/>
    <w:rsid w:val="00A10D6E"/>
    <w:rsid w:val="00A11394"/>
    <w:rsid w:val="00A11519"/>
    <w:rsid w:val="00A12B02"/>
    <w:rsid w:val="00A12C01"/>
    <w:rsid w:val="00A17EA5"/>
    <w:rsid w:val="00A22850"/>
    <w:rsid w:val="00A23974"/>
    <w:rsid w:val="00A25028"/>
    <w:rsid w:val="00A2771F"/>
    <w:rsid w:val="00A319BD"/>
    <w:rsid w:val="00A346F7"/>
    <w:rsid w:val="00A37FCD"/>
    <w:rsid w:val="00A47920"/>
    <w:rsid w:val="00A531BB"/>
    <w:rsid w:val="00A56E23"/>
    <w:rsid w:val="00A60FF9"/>
    <w:rsid w:val="00A621F1"/>
    <w:rsid w:val="00A63BF1"/>
    <w:rsid w:val="00A67268"/>
    <w:rsid w:val="00A67D06"/>
    <w:rsid w:val="00A706A0"/>
    <w:rsid w:val="00A71449"/>
    <w:rsid w:val="00A7260C"/>
    <w:rsid w:val="00A730F0"/>
    <w:rsid w:val="00A74369"/>
    <w:rsid w:val="00A755DE"/>
    <w:rsid w:val="00A840F6"/>
    <w:rsid w:val="00A8537D"/>
    <w:rsid w:val="00A87773"/>
    <w:rsid w:val="00A971AC"/>
    <w:rsid w:val="00AA160A"/>
    <w:rsid w:val="00AA1F7D"/>
    <w:rsid w:val="00AA389D"/>
    <w:rsid w:val="00AA606F"/>
    <w:rsid w:val="00AB0AC0"/>
    <w:rsid w:val="00AB56C6"/>
    <w:rsid w:val="00AB7103"/>
    <w:rsid w:val="00AC060B"/>
    <w:rsid w:val="00AC3608"/>
    <w:rsid w:val="00AC4280"/>
    <w:rsid w:val="00AC4BFE"/>
    <w:rsid w:val="00AC4C92"/>
    <w:rsid w:val="00AC52A7"/>
    <w:rsid w:val="00AD08B1"/>
    <w:rsid w:val="00AD37A0"/>
    <w:rsid w:val="00AD6C66"/>
    <w:rsid w:val="00AE37B6"/>
    <w:rsid w:val="00AE6617"/>
    <w:rsid w:val="00AE6B28"/>
    <w:rsid w:val="00AF4261"/>
    <w:rsid w:val="00AF7212"/>
    <w:rsid w:val="00B0097F"/>
    <w:rsid w:val="00B02389"/>
    <w:rsid w:val="00B11208"/>
    <w:rsid w:val="00B14835"/>
    <w:rsid w:val="00B157F5"/>
    <w:rsid w:val="00B3107A"/>
    <w:rsid w:val="00B348B4"/>
    <w:rsid w:val="00B40494"/>
    <w:rsid w:val="00B45158"/>
    <w:rsid w:val="00B46133"/>
    <w:rsid w:val="00B50E37"/>
    <w:rsid w:val="00B50F62"/>
    <w:rsid w:val="00B51DDB"/>
    <w:rsid w:val="00B55F12"/>
    <w:rsid w:val="00B5667A"/>
    <w:rsid w:val="00B630FC"/>
    <w:rsid w:val="00B64391"/>
    <w:rsid w:val="00B74043"/>
    <w:rsid w:val="00B75A38"/>
    <w:rsid w:val="00B75CD8"/>
    <w:rsid w:val="00B75D46"/>
    <w:rsid w:val="00B76713"/>
    <w:rsid w:val="00B769B4"/>
    <w:rsid w:val="00B7710E"/>
    <w:rsid w:val="00B80FB8"/>
    <w:rsid w:val="00B855C2"/>
    <w:rsid w:val="00B8705E"/>
    <w:rsid w:val="00B95E79"/>
    <w:rsid w:val="00BA000F"/>
    <w:rsid w:val="00BA2546"/>
    <w:rsid w:val="00BA256E"/>
    <w:rsid w:val="00BA6570"/>
    <w:rsid w:val="00BA6D63"/>
    <w:rsid w:val="00BB6C92"/>
    <w:rsid w:val="00BC13C3"/>
    <w:rsid w:val="00BC520A"/>
    <w:rsid w:val="00BC5C68"/>
    <w:rsid w:val="00BD0A2A"/>
    <w:rsid w:val="00BD0D89"/>
    <w:rsid w:val="00BD3A24"/>
    <w:rsid w:val="00BD5B52"/>
    <w:rsid w:val="00BD6EF7"/>
    <w:rsid w:val="00BE4DBF"/>
    <w:rsid w:val="00BE5BEB"/>
    <w:rsid w:val="00BE629A"/>
    <w:rsid w:val="00BF05E2"/>
    <w:rsid w:val="00BF16E3"/>
    <w:rsid w:val="00BF1E9A"/>
    <w:rsid w:val="00BF478D"/>
    <w:rsid w:val="00C01352"/>
    <w:rsid w:val="00C01CDA"/>
    <w:rsid w:val="00C02C58"/>
    <w:rsid w:val="00C0336E"/>
    <w:rsid w:val="00C062FA"/>
    <w:rsid w:val="00C111A9"/>
    <w:rsid w:val="00C11D12"/>
    <w:rsid w:val="00C15038"/>
    <w:rsid w:val="00C16D74"/>
    <w:rsid w:val="00C21561"/>
    <w:rsid w:val="00C234EF"/>
    <w:rsid w:val="00C24B5A"/>
    <w:rsid w:val="00C27E0A"/>
    <w:rsid w:val="00C30638"/>
    <w:rsid w:val="00C31FDA"/>
    <w:rsid w:val="00C34B97"/>
    <w:rsid w:val="00C35853"/>
    <w:rsid w:val="00C3724E"/>
    <w:rsid w:val="00C37EB0"/>
    <w:rsid w:val="00C40F01"/>
    <w:rsid w:val="00C42959"/>
    <w:rsid w:val="00C4320D"/>
    <w:rsid w:val="00C550EF"/>
    <w:rsid w:val="00C56CE0"/>
    <w:rsid w:val="00C5729F"/>
    <w:rsid w:val="00C60C73"/>
    <w:rsid w:val="00C644F7"/>
    <w:rsid w:val="00C76D64"/>
    <w:rsid w:val="00C77408"/>
    <w:rsid w:val="00C77B87"/>
    <w:rsid w:val="00C8151B"/>
    <w:rsid w:val="00C86981"/>
    <w:rsid w:val="00C90C6C"/>
    <w:rsid w:val="00C91135"/>
    <w:rsid w:val="00CA0242"/>
    <w:rsid w:val="00CA204D"/>
    <w:rsid w:val="00CA4638"/>
    <w:rsid w:val="00CA5355"/>
    <w:rsid w:val="00CA60AD"/>
    <w:rsid w:val="00CA7A2B"/>
    <w:rsid w:val="00CB024C"/>
    <w:rsid w:val="00CB0F35"/>
    <w:rsid w:val="00CB0FAD"/>
    <w:rsid w:val="00CB2873"/>
    <w:rsid w:val="00CB4984"/>
    <w:rsid w:val="00CB4A13"/>
    <w:rsid w:val="00CC023B"/>
    <w:rsid w:val="00CC255F"/>
    <w:rsid w:val="00CC3AF3"/>
    <w:rsid w:val="00CC4BDE"/>
    <w:rsid w:val="00CC655B"/>
    <w:rsid w:val="00CD04DD"/>
    <w:rsid w:val="00CD3E7D"/>
    <w:rsid w:val="00CD57F3"/>
    <w:rsid w:val="00CD7D42"/>
    <w:rsid w:val="00CE0D86"/>
    <w:rsid w:val="00CE2D60"/>
    <w:rsid w:val="00CE681C"/>
    <w:rsid w:val="00CF0EF9"/>
    <w:rsid w:val="00CF1873"/>
    <w:rsid w:val="00CF51F8"/>
    <w:rsid w:val="00CF5D6C"/>
    <w:rsid w:val="00D11094"/>
    <w:rsid w:val="00D12E02"/>
    <w:rsid w:val="00D143EB"/>
    <w:rsid w:val="00D232F1"/>
    <w:rsid w:val="00D32739"/>
    <w:rsid w:val="00D34700"/>
    <w:rsid w:val="00D36E95"/>
    <w:rsid w:val="00D4153E"/>
    <w:rsid w:val="00D437CD"/>
    <w:rsid w:val="00D44A56"/>
    <w:rsid w:val="00D46ADB"/>
    <w:rsid w:val="00D52D31"/>
    <w:rsid w:val="00D56B07"/>
    <w:rsid w:val="00D610AD"/>
    <w:rsid w:val="00D6133D"/>
    <w:rsid w:val="00D636E9"/>
    <w:rsid w:val="00D63C18"/>
    <w:rsid w:val="00D658FC"/>
    <w:rsid w:val="00D7061D"/>
    <w:rsid w:val="00D71D8C"/>
    <w:rsid w:val="00D74185"/>
    <w:rsid w:val="00D748F3"/>
    <w:rsid w:val="00D74A69"/>
    <w:rsid w:val="00D774CE"/>
    <w:rsid w:val="00D81BAE"/>
    <w:rsid w:val="00D852C2"/>
    <w:rsid w:val="00D85B9D"/>
    <w:rsid w:val="00D867E8"/>
    <w:rsid w:val="00D955FA"/>
    <w:rsid w:val="00D9649B"/>
    <w:rsid w:val="00DA2554"/>
    <w:rsid w:val="00DA5F21"/>
    <w:rsid w:val="00DB658F"/>
    <w:rsid w:val="00DB703B"/>
    <w:rsid w:val="00DC2C6B"/>
    <w:rsid w:val="00DC4447"/>
    <w:rsid w:val="00DC50CA"/>
    <w:rsid w:val="00DC680C"/>
    <w:rsid w:val="00DC721B"/>
    <w:rsid w:val="00DD22A6"/>
    <w:rsid w:val="00DD2A06"/>
    <w:rsid w:val="00DD3C40"/>
    <w:rsid w:val="00DD63B9"/>
    <w:rsid w:val="00DD66DE"/>
    <w:rsid w:val="00DE0CDB"/>
    <w:rsid w:val="00DE27C3"/>
    <w:rsid w:val="00DE638F"/>
    <w:rsid w:val="00DE63D5"/>
    <w:rsid w:val="00DE6587"/>
    <w:rsid w:val="00DF4483"/>
    <w:rsid w:val="00DF70EC"/>
    <w:rsid w:val="00DF7F05"/>
    <w:rsid w:val="00E0110B"/>
    <w:rsid w:val="00E01EA9"/>
    <w:rsid w:val="00E07420"/>
    <w:rsid w:val="00E108C7"/>
    <w:rsid w:val="00E2265F"/>
    <w:rsid w:val="00E2510B"/>
    <w:rsid w:val="00E36845"/>
    <w:rsid w:val="00E37210"/>
    <w:rsid w:val="00E374FC"/>
    <w:rsid w:val="00E4322C"/>
    <w:rsid w:val="00E47042"/>
    <w:rsid w:val="00E5324C"/>
    <w:rsid w:val="00E570EC"/>
    <w:rsid w:val="00E62FA2"/>
    <w:rsid w:val="00E65985"/>
    <w:rsid w:val="00E65C18"/>
    <w:rsid w:val="00E66872"/>
    <w:rsid w:val="00E67D48"/>
    <w:rsid w:val="00E70B9D"/>
    <w:rsid w:val="00E719E0"/>
    <w:rsid w:val="00E731E5"/>
    <w:rsid w:val="00E73EE6"/>
    <w:rsid w:val="00E74D66"/>
    <w:rsid w:val="00E76F34"/>
    <w:rsid w:val="00E77693"/>
    <w:rsid w:val="00E777F5"/>
    <w:rsid w:val="00E84164"/>
    <w:rsid w:val="00E8629C"/>
    <w:rsid w:val="00E90847"/>
    <w:rsid w:val="00E908CD"/>
    <w:rsid w:val="00E90F1C"/>
    <w:rsid w:val="00E92E63"/>
    <w:rsid w:val="00E95058"/>
    <w:rsid w:val="00E96B47"/>
    <w:rsid w:val="00E97B4D"/>
    <w:rsid w:val="00EA408D"/>
    <w:rsid w:val="00EA4235"/>
    <w:rsid w:val="00EA5DAC"/>
    <w:rsid w:val="00EB3B06"/>
    <w:rsid w:val="00EC07B7"/>
    <w:rsid w:val="00EC15AA"/>
    <w:rsid w:val="00EC44F1"/>
    <w:rsid w:val="00EC57C5"/>
    <w:rsid w:val="00ED18D4"/>
    <w:rsid w:val="00ED4FC8"/>
    <w:rsid w:val="00ED7429"/>
    <w:rsid w:val="00EE3ADD"/>
    <w:rsid w:val="00EF5C10"/>
    <w:rsid w:val="00EF679D"/>
    <w:rsid w:val="00EF6922"/>
    <w:rsid w:val="00F03156"/>
    <w:rsid w:val="00F05666"/>
    <w:rsid w:val="00F1103B"/>
    <w:rsid w:val="00F11E98"/>
    <w:rsid w:val="00F14812"/>
    <w:rsid w:val="00F153C9"/>
    <w:rsid w:val="00F16044"/>
    <w:rsid w:val="00F16DB2"/>
    <w:rsid w:val="00F17801"/>
    <w:rsid w:val="00F17D91"/>
    <w:rsid w:val="00F20A43"/>
    <w:rsid w:val="00F22330"/>
    <w:rsid w:val="00F23709"/>
    <w:rsid w:val="00F3101F"/>
    <w:rsid w:val="00F3759E"/>
    <w:rsid w:val="00F41106"/>
    <w:rsid w:val="00F47059"/>
    <w:rsid w:val="00F47D23"/>
    <w:rsid w:val="00F511FA"/>
    <w:rsid w:val="00F52D11"/>
    <w:rsid w:val="00F61D92"/>
    <w:rsid w:val="00F65381"/>
    <w:rsid w:val="00F67811"/>
    <w:rsid w:val="00F70FED"/>
    <w:rsid w:val="00F75618"/>
    <w:rsid w:val="00F76CAA"/>
    <w:rsid w:val="00F805CE"/>
    <w:rsid w:val="00F85139"/>
    <w:rsid w:val="00F85CCA"/>
    <w:rsid w:val="00F90854"/>
    <w:rsid w:val="00F91759"/>
    <w:rsid w:val="00F92248"/>
    <w:rsid w:val="00F94A0F"/>
    <w:rsid w:val="00F94A61"/>
    <w:rsid w:val="00F97737"/>
    <w:rsid w:val="00FA55BD"/>
    <w:rsid w:val="00FA729D"/>
    <w:rsid w:val="00FB0591"/>
    <w:rsid w:val="00FB23BB"/>
    <w:rsid w:val="00FB51A1"/>
    <w:rsid w:val="00FB6F36"/>
    <w:rsid w:val="00FC3E42"/>
    <w:rsid w:val="00FC4457"/>
    <w:rsid w:val="00FC6C39"/>
    <w:rsid w:val="00FD1BB8"/>
    <w:rsid w:val="00FD5F7F"/>
    <w:rsid w:val="00FD73E8"/>
    <w:rsid w:val="00FE7823"/>
    <w:rsid w:val="00FF2C3C"/>
    <w:rsid w:val="00FF3000"/>
    <w:rsid w:val="00FF34EE"/>
    <w:rsid w:val="00FF3D73"/>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9BD8"/>
  <w15:chartTrackingRefBased/>
  <w15:docId w15:val="{B6EBCCEC-2E51-4A43-83F5-A43B88E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DB3"/>
  </w:style>
  <w:style w:type="paragraph" w:styleId="Heading1">
    <w:name w:val="heading 1"/>
    <w:basedOn w:val="Normal"/>
    <w:next w:val="Normal"/>
    <w:link w:val="Heading1Char"/>
    <w:uiPriority w:val="9"/>
    <w:qFormat/>
    <w:rsid w:val="00201DB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DB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01DB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01DB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01DB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01DB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01DB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01DB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01DB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C4"/>
    <w:pPr>
      <w:ind w:left="720"/>
      <w:contextualSpacing/>
    </w:pPr>
  </w:style>
  <w:style w:type="paragraph" w:styleId="NormalWeb">
    <w:name w:val="Normal (Web)"/>
    <w:basedOn w:val="Normal"/>
    <w:uiPriority w:val="99"/>
    <w:unhideWhenUsed/>
    <w:rsid w:val="004C5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5E9D"/>
    <w:rPr>
      <w:sz w:val="16"/>
      <w:szCs w:val="16"/>
    </w:rPr>
  </w:style>
  <w:style w:type="paragraph" w:styleId="CommentText">
    <w:name w:val="annotation text"/>
    <w:basedOn w:val="Normal"/>
    <w:link w:val="CommentTextChar"/>
    <w:uiPriority w:val="99"/>
    <w:semiHidden/>
    <w:unhideWhenUsed/>
    <w:rsid w:val="00015E9D"/>
    <w:pPr>
      <w:spacing w:line="240" w:lineRule="auto"/>
    </w:pPr>
  </w:style>
  <w:style w:type="character" w:customStyle="1" w:styleId="CommentTextChar">
    <w:name w:val="Comment Text Char"/>
    <w:basedOn w:val="DefaultParagraphFont"/>
    <w:link w:val="CommentText"/>
    <w:uiPriority w:val="99"/>
    <w:semiHidden/>
    <w:rsid w:val="00015E9D"/>
    <w:rPr>
      <w:sz w:val="20"/>
      <w:szCs w:val="20"/>
    </w:rPr>
  </w:style>
  <w:style w:type="paragraph" w:styleId="CommentSubject">
    <w:name w:val="annotation subject"/>
    <w:basedOn w:val="CommentText"/>
    <w:next w:val="CommentText"/>
    <w:link w:val="CommentSubjectChar"/>
    <w:uiPriority w:val="99"/>
    <w:semiHidden/>
    <w:unhideWhenUsed/>
    <w:rsid w:val="00015E9D"/>
    <w:rPr>
      <w:b/>
      <w:bCs/>
    </w:rPr>
  </w:style>
  <w:style w:type="character" w:customStyle="1" w:styleId="CommentSubjectChar">
    <w:name w:val="Comment Subject Char"/>
    <w:basedOn w:val="CommentTextChar"/>
    <w:link w:val="CommentSubject"/>
    <w:uiPriority w:val="99"/>
    <w:semiHidden/>
    <w:rsid w:val="00015E9D"/>
    <w:rPr>
      <w:b/>
      <w:bCs/>
      <w:sz w:val="20"/>
      <w:szCs w:val="20"/>
    </w:rPr>
  </w:style>
  <w:style w:type="paragraph" w:styleId="BalloonText">
    <w:name w:val="Balloon Text"/>
    <w:basedOn w:val="Normal"/>
    <w:link w:val="BalloonTextChar"/>
    <w:uiPriority w:val="99"/>
    <w:semiHidden/>
    <w:unhideWhenUsed/>
    <w:rsid w:val="0001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9D"/>
    <w:rPr>
      <w:rFonts w:ascii="Segoe UI" w:hAnsi="Segoe UI" w:cs="Segoe UI"/>
      <w:sz w:val="18"/>
      <w:szCs w:val="18"/>
    </w:rPr>
  </w:style>
  <w:style w:type="paragraph" w:styleId="Header">
    <w:name w:val="header"/>
    <w:basedOn w:val="Normal"/>
    <w:link w:val="HeaderChar"/>
    <w:uiPriority w:val="99"/>
    <w:unhideWhenUsed/>
    <w:rsid w:val="00BC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C3"/>
  </w:style>
  <w:style w:type="paragraph" w:styleId="Footer">
    <w:name w:val="footer"/>
    <w:basedOn w:val="Normal"/>
    <w:link w:val="FooterChar"/>
    <w:uiPriority w:val="99"/>
    <w:unhideWhenUsed/>
    <w:rsid w:val="00BC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C3"/>
  </w:style>
  <w:style w:type="paragraph" w:styleId="Revision">
    <w:name w:val="Revision"/>
    <w:hidden/>
    <w:uiPriority w:val="99"/>
    <w:semiHidden/>
    <w:rsid w:val="003A5547"/>
    <w:pPr>
      <w:spacing w:after="0" w:line="240" w:lineRule="auto"/>
    </w:pPr>
  </w:style>
  <w:style w:type="character" w:customStyle="1" w:styleId="Heading1Char">
    <w:name w:val="Heading 1 Char"/>
    <w:basedOn w:val="DefaultParagraphFont"/>
    <w:link w:val="Heading1"/>
    <w:uiPriority w:val="9"/>
    <w:rsid w:val="00201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1DB3"/>
    <w:rPr>
      <w:rFonts w:asciiTheme="majorHAnsi" w:eastAsiaTheme="majorEastAsia" w:hAnsiTheme="majorHAnsi" w:cstheme="majorBidi"/>
      <w:color w:val="404040" w:themeColor="text1" w:themeTint="BF"/>
      <w:sz w:val="28"/>
      <w:szCs w:val="28"/>
    </w:rPr>
  </w:style>
  <w:style w:type="paragraph" w:styleId="FootnoteText">
    <w:name w:val="footnote text"/>
    <w:basedOn w:val="Normal"/>
    <w:link w:val="FootnoteTextChar"/>
    <w:semiHidden/>
    <w:rsid w:val="006B59EB"/>
    <w:pPr>
      <w:spacing w:after="0"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semiHidden/>
    <w:rsid w:val="006B59EB"/>
    <w:rPr>
      <w:rFonts w:ascii="Times New Roman" w:eastAsia="Times New Roman" w:hAnsi="Times New Roman" w:cs="Times New Roman"/>
      <w:sz w:val="20"/>
      <w:szCs w:val="20"/>
      <w:lang w:eastAsia="en-GB"/>
    </w:rPr>
  </w:style>
  <w:style w:type="character" w:styleId="FootnoteReference">
    <w:name w:val="footnote reference"/>
    <w:semiHidden/>
    <w:rsid w:val="006B59EB"/>
    <w:rPr>
      <w:vertAlign w:val="superscript"/>
    </w:rPr>
  </w:style>
  <w:style w:type="character" w:styleId="Emphasis">
    <w:name w:val="Emphasis"/>
    <w:basedOn w:val="DefaultParagraphFont"/>
    <w:uiPriority w:val="20"/>
    <w:qFormat/>
    <w:rsid w:val="00201DB3"/>
    <w:rPr>
      <w:i/>
      <w:iCs/>
    </w:rPr>
  </w:style>
  <w:style w:type="character" w:customStyle="1" w:styleId="apple-converted-space">
    <w:name w:val="apple-converted-space"/>
    <w:basedOn w:val="DefaultParagraphFont"/>
    <w:rsid w:val="006B59EB"/>
  </w:style>
  <w:style w:type="character" w:styleId="Hyperlink">
    <w:name w:val="Hyperlink"/>
    <w:basedOn w:val="DefaultParagraphFont"/>
    <w:uiPriority w:val="99"/>
    <w:unhideWhenUsed/>
    <w:rsid w:val="006B59EB"/>
    <w:rPr>
      <w:color w:val="0563C1" w:themeColor="hyperlink"/>
      <w:u w:val="single"/>
    </w:rPr>
  </w:style>
  <w:style w:type="character" w:styleId="PageNumber">
    <w:name w:val="page number"/>
    <w:basedOn w:val="DefaultParagraphFont"/>
    <w:uiPriority w:val="99"/>
    <w:semiHidden/>
    <w:unhideWhenUsed/>
    <w:rsid w:val="006B59EB"/>
  </w:style>
  <w:style w:type="paragraph" w:styleId="EndnoteText">
    <w:name w:val="endnote text"/>
    <w:basedOn w:val="Normal"/>
    <w:link w:val="EndnoteTextChar"/>
    <w:uiPriority w:val="99"/>
    <w:semiHidden/>
    <w:unhideWhenUsed/>
    <w:rsid w:val="006B59EB"/>
    <w:pPr>
      <w:spacing w:after="0" w:line="240" w:lineRule="auto"/>
    </w:pPr>
  </w:style>
  <w:style w:type="character" w:customStyle="1" w:styleId="EndnoteTextChar">
    <w:name w:val="Endnote Text Char"/>
    <w:basedOn w:val="DefaultParagraphFont"/>
    <w:link w:val="EndnoteText"/>
    <w:uiPriority w:val="99"/>
    <w:semiHidden/>
    <w:rsid w:val="006B59EB"/>
    <w:rPr>
      <w:sz w:val="20"/>
      <w:szCs w:val="20"/>
    </w:rPr>
  </w:style>
  <w:style w:type="character" w:styleId="EndnoteReference">
    <w:name w:val="endnote reference"/>
    <w:basedOn w:val="DefaultParagraphFont"/>
    <w:uiPriority w:val="99"/>
    <w:semiHidden/>
    <w:unhideWhenUsed/>
    <w:rsid w:val="006B59EB"/>
    <w:rPr>
      <w:vertAlign w:val="superscript"/>
    </w:rPr>
  </w:style>
  <w:style w:type="character" w:customStyle="1" w:styleId="UnresolvedMention1">
    <w:name w:val="Unresolved Mention1"/>
    <w:basedOn w:val="DefaultParagraphFont"/>
    <w:uiPriority w:val="99"/>
    <w:semiHidden/>
    <w:unhideWhenUsed/>
    <w:rsid w:val="0039001C"/>
    <w:rPr>
      <w:color w:val="605E5C"/>
      <w:shd w:val="clear" w:color="auto" w:fill="E1DFDD"/>
    </w:rPr>
  </w:style>
  <w:style w:type="character" w:customStyle="1" w:styleId="UnresolvedMention2">
    <w:name w:val="Unresolved Mention2"/>
    <w:basedOn w:val="DefaultParagraphFont"/>
    <w:uiPriority w:val="99"/>
    <w:semiHidden/>
    <w:unhideWhenUsed/>
    <w:rsid w:val="007D0D21"/>
    <w:rPr>
      <w:color w:val="605E5C"/>
      <w:shd w:val="clear" w:color="auto" w:fill="E1DFDD"/>
    </w:rPr>
  </w:style>
  <w:style w:type="character" w:styleId="FollowedHyperlink">
    <w:name w:val="FollowedHyperlink"/>
    <w:basedOn w:val="DefaultParagraphFont"/>
    <w:uiPriority w:val="99"/>
    <w:semiHidden/>
    <w:unhideWhenUsed/>
    <w:rsid w:val="00C234EF"/>
    <w:rPr>
      <w:color w:val="954F72" w:themeColor="followedHyperlink"/>
      <w:u w:val="single"/>
    </w:rPr>
  </w:style>
  <w:style w:type="character" w:customStyle="1" w:styleId="Heading3Char">
    <w:name w:val="Heading 3 Char"/>
    <w:basedOn w:val="DefaultParagraphFont"/>
    <w:link w:val="Heading3"/>
    <w:uiPriority w:val="9"/>
    <w:semiHidden/>
    <w:rsid w:val="00201DB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01DB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01DB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01DB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01DB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01DB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01DB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01DB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01DB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01DB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01DB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01DB3"/>
    <w:rPr>
      <w:rFonts w:asciiTheme="majorHAnsi" w:eastAsiaTheme="majorEastAsia" w:hAnsiTheme="majorHAnsi" w:cstheme="majorBidi"/>
      <w:sz w:val="24"/>
      <w:szCs w:val="24"/>
    </w:rPr>
  </w:style>
  <w:style w:type="character" w:styleId="Strong">
    <w:name w:val="Strong"/>
    <w:basedOn w:val="DefaultParagraphFont"/>
    <w:uiPriority w:val="22"/>
    <w:qFormat/>
    <w:rsid w:val="00201DB3"/>
    <w:rPr>
      <w:b/>
      <w:bCs/>
    </w:rPr>
  </w:style>
  <w:style w:type="paragraph" w:styleId="NoSpacing">
    <w:name w:val="No Spacing"/>
    <w:uiPriority w:val="1"/>
    <w:qFormat/>
    <w:rsid w:val="00201DB3"/>
    <w:pPr>
      <w:spacing w:after="0" w:line="240" w:lineRule="auto"/>
    </w:pPr>
  </w:style>
  <w:style w:type="paragraph" w:styleId="Quote">
    <w:name w:val="Quote"/>
    <w:basedOn w:val="Normal"/>
    <w:next w:val="Normal"/>
    <w:link w:val="QuoteChar"/>
    <w:uiPriority w:val="29"/>
    <w:qFormat/>
    <w:rsid w:val="00201DB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01DB3"/>
    <w:rPr>
      <w:i/>
      <w:iCs/>
      <w:color w:val="404040" w:themeColor="text1" w:themeTint="BF"/>
    </w:rPr>
  </w:style>
  <w:style w:type="paragraph" w:styleId="IntenseQuote">
    <w:name w:val="Intense Quote"/>
    <w:basedOn w:val="Normal"/>
    <w:next w:val="Normal"/>
    <w:link w:val="IntenseQuoteChar"/>
    <w:uiPriority w:val="30"/>
    <w:qFormat/>
    <w:rsid w:val="00201DB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01DB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01DB3"/>
    <w:rPr>
      <w:i/>
      <w:iCs/>
      <w:color w:val="404040" w:themeColor="text1" w:themeTint="BF"/>
    </w:rPr>
  </w:style>
  <w:style w:type="character" w:styleId="IntenseEmphasis">
    <w:name w:val="Intense Emphasis"/>
    <w:basedOn w:val="DefaultParagraphFont"/>
    <w:uiPriority w:val="21"/>
    <w:qFormat/>
    <w:rsid w:val="00201DB3"/>
    <w:rPr>
      <w:b/>
      <w:bCs/>
      <w:i/>
      <w:iCs/>
    </w:rPr>
  </w:style>
  <w:style w:type="character" w:styleId="SubtleReference">
    <w:name w:val="Subtle Reference"/>
    <w:basedOn w:val="DefaultParagraphFont"/>
    <w:uiPriority w:val="31"/>
    <w:qFormat/>
    <w:rsid w:val="00201D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1DB3"/>
    <w:rPr>
      <w:b/>
      <w:bCs/>
      <w:smallCaps/>
      <w:spacing w:val="5"/>
      <w:u w:val="single"/>
    </w:rPr>
  </w:style>
  <w:style w:type="character" w:styleId="BookTitle">
    <w:name w:val="Book Title"/>
    <w:basedOn w:val="DefaultParagraphFont"/>
    <w:uiPriority w:val="33"/>
    <w:qFormat/>
    <w:rsid w:val="00201DB3"/>
    <w:rPr>
      <w:b/>
      <w:bCs/>
      <w:smallCaps/>
    </w:rPr>
  </w:style>
  <w:style w:type="paragraph" w:styleId="TOCHeading">
    <w:name w:val="TOC Heading"/>
    <w:basedOn w:val="Heading1"/>
    <w:next w:val="Normal"/>
    <w:uiPriority w:val="39"/>
    <w:semiHidden/>
    <w:unhideWhenUsed/>
    <w:qFormat/>
    <w:rsid w:val="00201DB3"/>
    <w:pPr>
      <w:outlineLvl w:val="9"/>
    </w:pPr>
  </w:style>
  <w:style w:type="character" w:styleId="UnresolvedMention">
    <w:name w:val="Unresolved Mention"/>
    <w:basedOn w:val="DefaultParagraphFont"/>
    <w:uiPriority w:val="99"/>
    <w:semiHidden/>
    <w:unhideWhenUsed/>
    <w:rsid w:val="00711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dad.org/files/pdf/1546881-tax-sweetheart-deals-between-multinationals-and-eu-countries-at-record-high.pdf" TargetMode="External"/><Relationship Id="rId2" Type="http://schemas.openxmlformats.org/officeDocument/2006/relationships/hyperlink" Target="https://www.ey.com/Publication/vwLUAssets/ey-transfer-pricing-controversy-avoidance-and-resolution/$FILE/ey-transfer-pricing-controversy-avoidance-and-resolution.pdf" TargetMode="External"/><Relationship Id="rId1" Type="http://schemas.openxmlformats.org/officeDocument/2006/relationships/hyperlink" Target="https://www.ub.unibas.ch/digi/a125/sachdok/2012/BAU_1_5682903_2005_2006.pdf" TargetMode="External"/><Relationship Id="rId6" Type="http://schemas.openxmlformats.org/officeDocument/2006/relationships/hyperlink" Target="http://www.oecd.org/tax/beps/corporate-tax-statistics-database.htm" TargetMode="External"/><Relationship Id="rId5" Type="http://schemas.openxmlformats.org/officeDocument/2006/relationships/hyperlink" Target="http://www.oecd.org/ctp/beps-frequentlyaskedquestions.htm" TargetMode="External"/><Relationship Id="rId4" Type="http://schemas.openxmlformats.org/officeDocument/2006/relationships/hyperlink" Target="http://www.ft.com/content/5cd14dcc-187f-11e2-8705-00144feab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4D3E-B323-42A5-AB4C-E022AF1A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Rogers</dc:creator>
  <cp:keywords/>
  <dc:description/>
  <cp:lastModifiedBy>Helen Rogers</cp:lastModifiedBy>
  <cp:revision>3</cp:revision>
  <cp:lastPrinted>2019-03-05T16:16:00Z</cp:lastPrinted>
  <dcterms:created xsi:type="dcterms:W3CDTF">2019-03-28T20:13:00Z</dcterms:created>
  <dcterms:modified xsi:type="dcterms:W3CDTF">2019-03-28T20:14:00Z</dcterms:modified>
</cp:coreProperties>
</file>