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B26E3" w14:textId="77777777" w:rsidR="00F001F9" w:rsidRDefault="00F001F9" w:rsidP="006C51C5">
      <w:pPr>
        <w:rPr>
          <w:rFonts w:ascii="Garamond" w:eastAsia="Times New Roman" w:hAnsi="Garamond" w:cs="Times New Roman"/>
        </w:rPr>
      </w:pPr>
    </w:p>
    <w:p w14:paraId="09E28A78" w14:textId="77777777" w:rsidR="00FF34F0" w:rsidRDefault="00FF34F0" w:rsidP="006C51C5">
      <w:pPr>
        <w:rPr>
          <w:rFonts w:ascii="Garamond" w:eastAsia="Times New Roman" w:hAnsi="Garamond" w:cs="Times New Roman"/>
        </w:rPr>
      </w:pPr>
    </w:p>
    <w:p w14:paraId="52E6E1C7" w14:textId="77777777" w:rsidR="00FF34F0" w:rsidRDefault="00FF34F0" w:rsidP="006C51C5">
      <w:pPr>
        <w:rPr>
          <w:rFonts w:ascii="Garamond" w:eastAsia="Times New Roman" w:hAnsi="Garamond" w:cs="Times New Roman"/>
        </w:rPr>
      </w:pPr>
    </w:p>
    <w:p w14:paraId="7E70745E" w14:textId="77777777" w:rsidR="00FF34F0" w:rsidRDefault="00FF34F0" w:rsidP="006C51C5">
      <w:pPr>
        <w:rPr>
          <w:rFonts w:ascii="Garamond" w:eastAsia="Times New Roman" w:hAnsi="Garamond" w:cs="Times New Roman"/>
        </w:rPr>
      </w:pPr>
    </w:p>
    <w:p w14:paraId="3B2D3BA0" w14:textId="77777777" w:rsidR="00FF34F0" w:rsidRDefault="00FF34F0" w:rsidP="006C51C5">
      <w:pPr>
        <w:rPr>
          <w:rFonts w:ascii="Garamond" w:eastAsia="Times New Roman" w:hAnsi="Garamond" w:cs="Times New Roman"/>
        </w:rPr>
      </w:pPr>
    </w:p>
    <w:p w14:paraId="01E03E8A" w14:textId="43009F0D" w:rsidR="00FF34F0" w:rsidRPr="00FF34F0" w:rsidRDefault="00FF34F0" w:rsidP="00FF34F0">
      <w:pPr>
        <w:rPr>
          <w:rFonts w:ascii="Garamond" w:eastAsia="Times New Roman" w:hAnsi="Garamond" w:cs="Times New Roman"/>
        </w:rPr>
      </w:pPr>
      <w:r>
        <w:rPr>
          <w:rFonts w:ascii="Garamond" w:eastAsia="Times New Roman" w:hAnsi="Garamond" w:cs="Times New Roman"/>
        </w:rPr>
        <w:t xml:space="preserve">Jones, L., Fraser, A., Stewart, E. </w:t>
      </w:r>
      <w:r w:rsidRPr="00FF34F0">
        <w:rPr>
          <w:rFonts w:ascii="Garamond" w:eastAsia="Times New Roman" w:hAnsi="Garamond" w:cs="Times New Roman"/>
        </w:rPr>
        <w:t>Exploring the neglected and hidden dimensions of large-scale healthcare change</w:t>
      </w:r>
      <w:r>
        <w:rPr>
          <w:rFonts w:ascii="Garamond" w:eastAsia="Times New Roman" w:hAnsi="Garamond" w:cs="Times New Roman"/>
        </w:rPr>
        <w:t xml:space="preserve">. </w:t>
      </w:r>
      <w:r w:rsidRPr="00FF34F0">
        <w:rPr>
          <w:rFonts w:ascii="Garamond" w:eastAsia="Times New Roman" w:hAnsi="Garamond" w:cs="Times New Roman"/>
          <w:i/>
        </w:rPr>
        <w:t>Sociology of Health and Illness</w:t>
      </w:r>
      <w:r>
        <w:rPr>
          <w:rFonts w:ascii="Garamond" w:eastAsia="Times New Roman" w:hAnsi="Garamond" w:cs="Times New Roman"/>
        </w:rPr>
        <w:t xml:space="preserve"> 2019 </w:t>
      </w:r>
      <w:hyperlink r:id="rId8" w:history="1">
        <w:r w:rsidRPr="00FF34F0">
          <w:rPr>
            <w:rStyle w:val="Hyperlink"/>
            <w:rFonts w:ascii="Garamond" w:eastAsia="Times New Roman" w:hAnsi="Garamond" w:cs="Times New Roman"/>
            <w:b/>
            <w:bCs/>
          </w:rPr>
          <w:t>https://doi.org/10.1111/1467-9566.12923</w:t>
        </w:r>
      </w:hyperlink>
    </w:p>
    <w:p w14:paraId="034CB914" w14:textId="77777777" w:rsidR="00FF34F0" w:rsidRPr="00FF34F0" w:rsidRDefault="00FF34F0" w:rsidP="006C51C5">
      <w:pPr>
        <w:rPr>
          <w:rFonts w:ascii="Garamond" w:eastAsia="Times New Roman" w:hAnsi="Garamond" w:cs="Times New Roman"/>
        </w:rPr>
      </w:pPr>
    </w:p>
    <w:p w14:paraId="6B8F82DE" w14:textId="77777777" w:rsidR="00F001F9" w:rsidRPr="00FF34F0" w:rsidRDefault="00F001F9" w:rsidP="006C51C5">
      <w:pPr>
        <w:rPr>
          <w:rFonts w:ascii="Garamond" w:eastAsia="Times New Roman" w:hAnsi="Garamond" w:cs="Times New Roman"/>
        </w:rPr>
      </w:pPr>
    </w:p>
    <w:p w14:paraId="7B9C6586" w14:textId="77777777" w:rsidR="00F001F9" w:rsidRPr="00FF34F0" w:rsidRDefault="00F001F9" w:rsidP="006C51C5">
      <w:pPr>
        <w:rPr>
          <w:rFonts w:ascii="Garamond" w:eastAsia="Times New Roman" w:hAnsi="Garamond" w:cs="Times New Roman"/>
        </w:rPr>
      </w:pPr>
    </w:p>
    <w:p w14:paraId="39EFAEA8" w14:textId="77777777" w:rsidR="00F001F9" w:rsidRPr="00FF34F0" w:rsidRDefault="00F001F9" w:rsidP="006C51C5">
      <w:pPr>
        <w:rPr>
          <w:rFonts w:ascii="Garamond" w:eastAsia="Times New Roman" w:hAnsi="Garamond" w:cs="Times New Roman"/>
        </w:rPr>
      </w:pPr>
    </w:p>
    <w:p w14:paraId="19268BEE" w14:textId="51553E2B" w:rsidR="00FB6192" w:rsidRPr="00FF34F0" w:rsidRDefault="005E4202" w:rsidP="006C51C5">
      <w:pPr>
        <w:rPr>
          <w:rFonts w:ascii="Garamond" w:eastAsia="Times New Roman" w:hAnsi="Garamond" w:cs="Times New Roman"/>
          <w:b/>
        </w:rPr>
      </w:pPr>
      <w:r w:rsidRPr="00FF34F0">
        <w:rPr>
          <w:rFonts w:ascii="Garamond" w:eastAsia="Times New Roman" w:hAnsi="Garamond" w:cs="Times New Roman"/>
        </w:rPr>
        <w:br w:type="page"/>
      </w:r>
      <w:r w:rsidR="00A735D5" w:rsidRPr="00FF34F0">
        <w:rPr>
          <w:rFonts w:ascii="Garamond" w:eastAsia="Times New Roman" w:hAnsi="Garamond" w:cs="Times New Roman"/>
          <w:b/>
        </w:rPr>
        <w:lastRenderedPageBreak/>
        <w:t>Exploring</w:t>
      </w:r>
      <w:r w:rsidR="00BB1051" w:rsidRPr="00FF34F0">
        <w:rPr>
          <w:rFonts w:ascii="Garamond" w:eastAsia="Times New Roman" w:hAnsi="Garamond" w:cs="Times New Roman"/>
          <w:b/>
        </w:rPr>
        <w:t xml:space="preserve"> the neglected and hidden</w:t>
      </w:r>
      <w:r w:rsidR="009E6D16" w:rsidRPr="00FF34F0">
        <w:rPr>
          <w:rFonts w:ascii="Garamond" w:eastAsia="Times New Roman" w:hAnsi="Garamond" w:cs="Times New Roman"/>
          <w:b/>
        </w:rPr>
        <w:t xml:space="preserve"> dime</w:t>
      </w:r>
      <w:r w:rsidR="00A735D5" w:rsidRPr="00FF34F0">
        <w:rPr>
          <w:rFonts w:ascii="Garamond" w:eastAsia="Times New Roman" w:hAnsi="Garamond" w:cs="Times New Roman"/>
          <w:b/>
        </w:rPr>
        <w:t>n</w:t>
      </w:r>
      <w:r w:rsidR="009E6D16" w:rsidRPr="00FF34F0">
        <w:rPr>
          <w:rFonts w:ascii="Garamond" w:eastAsia="Times New Roman" w:hAnsi="Garamond" w:cs="Times New Roman"/>
          <w:b/>
        </w:rPr>
        <w:t>sions</w:t>
      </w:r>
      <w:r w:rsidR="00A735D5" w:rsidRPr="00FF34F0">
        <w:rPr>
          <w:rFonts w:ascii="Garamond" w:eastAsia="Times New Roman" w:hAnsi="Garamond" w:cs="Times New Roman"/>
          <w:b/>
        </w:rPr>
        <w:t xml:space="preserve"> of large-scale </w:t>
      </w:r>
      <w:r w:rsidR="00FD16A0" w:rsidRPr="00FF34F0">
        <w:rPr>
          <w:rFonts w:ascii="Garamond" w:eastAsia="Times New Roman" w:hAnsi="Garamond" w:cs="Times New Roman"/>
          <w:b/>
        </w:rPr>
        <w:t>healthcare change</w:t>
      </w:r>
    </w:p>
    <w:p w14:paraId="0E801D2E" w14:textId="77777777" w:rsidR="003E5FF7" w:rsidRPr="00FF34F0" w:rsidRDefault="003E5FF7" w:rsidP="006C51C5">
      <w:pPr>
        <w:rPr>
          <w:rFonts w:ascii="Garamond" w:eastAsia="Times New Roman" w:hAnsi="Garamond" w:cs="Times New Roman"/>
          <w:i/>
        </w:rPr>
      </w:pPr>
    </w:p>
    <w:p w14:paraId="453879FF" w14:textId="0AEF458C" w:rsidR="003E5FF7" w:rsidRPr="00CC3859" w:rsidRDefault="006A5820" w:rsidP="006C51C5">
      <w:pPr>
        <w:rPr>
          <w:rFonts w:ascii="Garamond" w:eastAsia="Times New Roman" w:hAnsi="Garamond" w:cs="Times New Roman"/>
        </w:rPr>
      </w:pPr>
      <w:r w:rsidRPr="00CC3859">
        <w:rPr>
          <w:rFonts w:ascii="Garamond" w:eastAsia="Times New Roman" w:hAnsi="Garamond" w:cs="Times New Roman"/>
        </w:rPr>
        <w:t>Lorelei Jones</w:t>
      </w:r>
      <w:r w:rsidR="0020666B" w:rsidRPr="00CC3859">
        <w:rPr>
          <w:rFonts w:ascii="Garamond" w:eastAsia="Times New Roman" w:hAnsi="Garamond" w:cs="Times New Roman"/>
          <w:vertAlign w:val="superscript"/>
        </w:rPr>
        <w:t>1</w:t>
      </w:r>
      <w:r w:rsidRPr="00CC3859">
        <w:rPr>
          <w:rFonts w:ascii="Garamond" w:eastAsia="Times New Roman" w:hAnsi="Garamond" w:cs="Times New Roman"/>
        </w:rPr>
        <w:t>, Alec Fraser</w:t>
      </w:r>
      <w:r w:rsidR="0020666B" w:rsidRPr="00CC3859">
        <w:rPr>
          <w:rFonts w:ascii="Garamond" w:eastAsia="Times New Roman" w:hAnsi="Garamond" w:cs="Times New Roman"/>
          <w:vertAlign w:val="superscript"/>
        </w:rPr>
        <w:t>2</w:t>
      </w:r>
      <w:r w:rsidRPr="00CC3859">
        <w:rPr>
          <w:rFonts w:ascii="Garamond" w:eastAsia="Times New Roman" w:hAnsi="Garamond" w:cs="Times New Roman"/>
        </w:rPr>
        <w:t>,</w:t>
      </w:r>
      <w:r w:rsidR="003E5FF7" w:rsidRPr="00CC3859">
        <w:rPr>
          <w:rFonts w:ascii="Garamond" w:eastAsia="Times New Roman" w:hAnsi="Garamond" w:cs="Times New Roman"/>
        </w:rPr>
        <w:t xml:space="preserve"> Ellen Stewart</w:t>
      </w:r>
      <w:r w:rsidR="0020666B" w:rsidRPr="00CC3859">
        <w:rPr>
          <w:rFonts w:ascii="Garamond" w:eastAsia="Times New Roman" w:hAnsi="Garamond" w:cs="Times New Roman"/>
          <w:vertAlign w:val="superscript"/>
        </w:rPr>
        <w:t>3</w:t>
      </w:r>
    </w:p>
    <w:p w14:paraId="3E7DCFD5" w14:textId="77777777" w:rsidR="001D5C51" w:rsidRDefault="001D5C51" w:rsidP="006C51C5">
      <w:pPr>
        <w:rPr>
          <w:rFonts w:ascii="Garamond" w:eastAsia="Times New Roman" w:hAnsi="Garamond" w:cs="Times New Roman"/>
          <w:i/>
        </w:rPr>
      </w:pPr>
    </w:p>
    <w:p w14:paraId="061901DF" w14:textId="77777777" w:rsidR="0020666B" w:rsidRPr="00CC3859" w:rsidRDefault="0020666B" w:rsidP="0020666B">
      <w:pPr>
        <w:rPr>
          <w:rFonts w:ascii="MS Mincho" w:eastAsia="MS Mincho" w:hAnsi="MS Mincho" w:cs="MS Mincho"/>
          <w:i/>
        </w:rPr>
      </w:pPr>
      <w:r w:rsidRPr="00CC3859">
        <w:rPr>
          <w:rFonts w:ascii="Garamond" w:eastAsia="Times New Roman" w:hAnsi="Garamond" w:cs="Times New Roman"/>
          <w:i/>
        </w:rPr>
        <w:t>1School of Health Sciences, University of Bangor, Bangor, UK</w:t>
      </w:r>
      <w:r w:rsidRPr="00CC3859">
        <w:rPr>
          <w:rFonts w:ascii="MS Mincho" w:eastAsia="MS Mincho" w:hAnsi="MS Mincho" w:cs="MS Mincho"/>
          <w:i/>
        </w:rPr>
        <w:t> </w:t>
      </w:r>
    </w:p>
    <w:p w14:paraId="50296DCD" w14:textId="77777777" w:rsidR="0020666B" w:rsidRPr="00CC3859" w:rsidRDefault="0020666B" w:rsidP="0020666B">
      <w:pPr>
        <w:rPr>
          <w:rFonts w:ascii="MS Mincho" w:eastAsia="MS Mincho" w:hAnsi="MS Mincho" w:cs="MS Mincho"/>
          <w:i/>
        </w:rPr>
      </w:pPr>
      <w:r w:rsidRPr="00CC3859">
        <w:rPr>
          <w:rFonts w:ascii="Garamond" w:eastAsia="Times New Roman" w:hAnsi="Garamond" w:cs="Times New Roman"/>
          <w:i/>
        </w:rPr>
        <w:t>2Department of Health Services Research and Policy, London School of Hygiene and Tropical Medicine, London, UK</w:t>
      </w:r>
      <w:r w:rsidRPr="00CC3859">
        <w:rPr>
          <w:rFonts w:ascii="MS Mincho" w:eastAsia="MS Mincho" w:hAnsi="MS Mincho" w:cs="MS Mincho"/>
          <w:i/>
        </w:rPr>
        <w:t> </w:t>
      </w:r>
    </w:p>
    <w:p w14:paraId="7701665D" w14:textId="60661FFF" w:rsidR="0020666B" w:rsidRPr="00CC3859" w:rsidRDefault="0020666B" w:rsidP="0020666B">
      <w:pPr>
        <w:rPr>
          <w:rFonts w:ascii="Garamond" w:eastAsia="Times New Roman" w:hAnsi="Garamond" w:cs="Times New Roman"/>
          <w:i/>
        </w:rPr>
      </w:pPr>
      <w:r w:rsidRPr="00CC3859">
        <w:rPr>
          <w:rFonts w:ascii="Garamond" w:eastAsia="Times New Roman" w:hAnsi="Garamond" w:cs="Times New Roman"/>
          <w:i/>
        </w:rPr>
        <w:t xml:space="preserve">3Centre for Biomedicine, Self and Society, University of Edinburgh, Edinburgh, UK </w:t>
      </w:r>
    </w:p>
    <w:p w14:paraId="6A24B3CA" w14:textId="77777777" w:rsidR="0020666B" w:rsidRPr="00CC3859" w:rsidRDefault="0020666B" w:rsidP="006C51C5">
      <w:pPr>
        <w:rPr>
          <w:rFonts w:ascii="Garamond" w:eastAsia="Times New Roman" w:hAnsi="Garamond" w:cs="Times New Roman"/>
          <w:i/>
        </w:rPr>
      </w:pPr>
    </w:p>
    <w:p w14:paraId="1D12404D" w14:textId="77777777" w:rsidR="0020666B" w:rsidRPr="00FF34F0" w:rsidRDefault="0020666B" w:rsidP="006C51C5">
      <w:pPr>
        <w:rPr>
          <w:rFonts w:ascii="Garamond" w:eastAsia="Times New Roman" w:hAnsi="Garamond" w:cs="Times New Roman"/>
          <w:i/>
        </w:rPr>
      </w:pPr>
    </w:p>
    <w:p w14:paraId="5554DEBF" w14:textId="77777777" w:rsidR="00F001F9" w:rsidRPr="00FF34F0" w:rsidRDefault="00F001F9" w:rsidP="006C51C5">
      <w:pPr>
        <w:rPr>
          <w:rFonts w:ascii="Garamond" w:eastAsia="Times New Roman" w:hAnsi="Garamond" w:cs="Times New Roman"/>
          <w:i/>
        </w:rPr>
      </w:pPr>
      <w:bookmarkStart w:id="0" w:name="_GoBack"/>
      <w:bookmarkEnd w:id="0"/>
    </w:p>
    <w:p w14:paraId="34DB8811" w14:textId="2412B096" w:rsidR="001D5C51" w:rsidRDefault="001D5C51" w:rsidP="006C51C5">
      <w:pPr>
        <w:rPr>
          <w:rFonts w:ascii="Garamond" w:eastAsia="Times New Roman" w:hAnsi="Garamond" w:cs="Times New Roman"/>
          <w:b/>
        </w:rPr>
      </w:pPr>
      <w:r w:rsidRPr="0020666B">
        <w:rPr>
          <w:rFonts w:ascii="Garamond" w:eastAsia="Times New Roman" w:hAnsi="Garamond" w:cs="Times New Roman"/>
          <w:b/>
        </w:rPr>
        <w:t>Abstract</w:t>
      </w:r>
    </w:p>
    <w:p w14:paraId="184BD24B" w14:textId="77777777" w:rsidR="0020666B" w:rsidRPr="0020666B" w:rsidRDefault="0020666B" w:rsidP="006C51C5">
      <w:pPr>
        <w:rPr>
          <w:rFonts w:ascii="Garamond" w:eastAsia="Times New Roman" w:hAnsi="Garamond" w:cs="Times New Roman"/>
          <w:b/>
        </w:rPr>
      </w:pPr>
    </w:p>
    <w:p w14:paraId="715B61FF" w14:textId="6F0DD009" w:rsidR="001D5C51" w:rsidRPr="00FF34F0" w:rsidRDefault="00C07BA3" w:rsidP="006C51C5">
      <w:pPr>
        <w:rPr>
          <w:rFonts w:ascii="Garamond" w:eastAsia="Times New Roman" w:hAnsi="Garamond" w:cs="Times New Roman"/>
        </w:rPr>
      </w:pPr>
      <w:r w:rsidRPr="00FF34F0">
        <w:rPr>
          <w:rFonts w:ascii="Garamond" w:eastAsia="Times New Roman" w:hAnsi="Garamond" w:cs="Times New Roman"/>
        </w:rPr>
        <w:t>Forms of large-scale change, such as the regional re-distribution of clinical services, are an enduring reform orthodoxy in health systems of high-income countries. The topic is of relevance and importance to medical sociology because of the way that large-scale change significantly disrupts and transforms therapeutic landscapes, relationships, and practices. In this paper we review the literature on large-scale change. We find that the literature is dominated by competing forms of knowledge, such as health services research, and show how sociology can contribute new and critical perspectives and insights on what is for many people a troubling issue.</w:t>
      </w:r>
    </w:p>
    <w:p w14:paraId="1550C185" w14:textId="77777777" w:rsidR="00A735D5" w:rsidRPr="00FF34F0" w:rsidRDefault="00A735D5" w:rsidP="006C51C5">
      <w:pPr>
        <w:rPr>
          <w:rFonts w:ascii="Garamond" w:eastAsia="Times New Roman" w:hAnsi="Garamond" w:cs="Times New Roman"/>
          <w:lang w:val="en-GB"/>
        </w:rPr>
      </w:pPr>
    </w:p>
    <w:p w14:paraId="36C74CA4" w14:textId="77777777" w:rsidR="006C51C5" w:rsidRPr="00FF34F0" w:rsidRDefault="006C51C5" w:rsidP="006C51C5">
      <w:pPr>
        <w:rPr>
          <w:rFonts w:ascii="Garamond" w:eastAsia="Times New Roman" w:hAnsi="Garamond" w:cs="Times New Roman"/>
          <w:lang w:val="en-GB"/>
        </w:rPr>
      </w:pPr>
    </w:p>
    <w:p w14:paraId="098E078D" w14:textId="10394BF8" w:rsidR="00AA119E" w:rsidRPr="00FF34F0" w:rsidRDefault="00AA119E" w:rsidP="006C51C5">
      <w:pPr>
        <w:rPr>
          <w:rFonts w:ascii="Garamond" w:eastAsia="Times New Roman" w:hAnsi="Garamond" w:cs="Times New Roman"/>
          <w:lang w:val="en-GB"/>
        </w:rPr>
      </w:pPr>
      <w:r w:rsidRPr="00FF34F0">
        <w:rPr>
          <w:rFonts w:ascii="Garamond" w:eastAsia="Times New Roman" w:hAnsi="Garamond" w:cs="Times New Roman"/>
          <w:lang w:val="en-GB"/>
        </w:rPr>
        <w:t>Key words:</w:t>
      </w:r>
    </w:p>
    <w:p w14:paraId="28C45D3A" w14:textId="64799B67" w:rsidR="00AA119E" w:rsidRPr="00FF34F0" w:rsidRDefault="00AA119E" w:rsidP="006C51C5">
      <w:pPr>
        <w:rPr>
          <w:rFonts w:ascii="Garamond" w:eastAsia="Times New Roman" w:hAnsi="Garamond" w:cs="Times New Roman"/>
          <w:lang w:val="en-GB"/>
        </w:rPr>
      </w:pPr>
      <w:r w:rsidRPr="00FF34F0">
        <w:rPr>
          <w:rFonts w:ascii="Garamond" w:eastAsia="Times New Roman" w:hAnsi="Garamond" w:cs="Times New Roman"/>
          <w:lang w:val="en-GB"/>
        </w:rPr>
        <w:t>Large-scale change, Healthcare policy, Health services research, critical theory, governmentality</w:t>
      </w:r>
    </w:p>
    <w:p w14:paraId="09612D4A" w14:textId="77777777" w:rsidR="00C07BA3" w:rsidRPr="00FF34F0" w:rsidRDefault="00C07BA3" w:rsidP="006C51C5">
      <w:pPr>
        <w:rPr>
          <w:rFonts w:ascii="Garamond" w:eastAsia="Times New Roman" w:hAnsi="Garamond" w:cs="Times New Roman"/>
          <w:lang w:val="en-GB"/>
        </w:rPr>
      </w:pPr>
    </w:p>
    <w:p w14:paraId="284BB1A9" w14:textId="77777777" w:rsidR="00AA119E" w:rsidRPr="00FF34F0" w:rsidRDefault="00AA119E" w:rsidP="006C51C5">
      <w:pPr>
        <w:rPr>
          <w:rFonts w:ascii="Garamond" w:eastAsia="Times New Roman" w:hAnsi="Garamond" w:cs="Times New Roman"/>
          <w:lang w:val="en-GB"/>
        </w:rPr>
      </w:pPr>
    </w:p>
    <w:p w14:paraId="7AEB6D45" w14:textId="77777777" w:rsidR="00AA119E" w:rsidRPr="00FF34F0" w:rsidRDefault="00AA119E" w:rsidP="006C51C5">
      <w:pPr>
        <w:rPr>
          <w:rFonts w:ascii="Garamond" w:eastAsia="Times New Roman" w:hAnsi="Garamond" w:cs="Times New Roman"/>
          <w:lang w:val="en-GB"/>
        </w:rPr>
      </w:pPr>
    </w:p>
    <w:p w14:paraId="34CBD7D8" w14:textId="77777777" w:rsidR="00AA119E" w:rsidRPr="00FF34F0" w:rsidRDefault="00AA119E" w:rsidP="006C51C5">
      <w:pPr>
        <w:rPr>
          <w:rFonts w:ascii="Garamond" w:eastAsia="Times New Roman" w:hAnsi="Garamond" w:cs="Times New Roman"/>
          <w:lang w:val="en-GB"/>
        </w:rPr>
      </w:pPr>
    </w:p>
    <w:p w14:paraId="0B2442FA" w14:textId="77777777" w:rsidR="00AA119E" w:rsidRPr="00FF34F0" w:rsidRDefault="00AA119E" w:rsidP="006C51C5">
      <w:pPr>
        <w:rPr>
          <w:rFonts w:ascii="Garamond" w:eastAsia="Times New Roman" w:hAnsi="Garamond" w:cs="Times New Roman"/>
          <w:lang w:val="en-GB"/>
        </w:rPr>
      </w:pPr>
    </w:p>
    <w:p w14:paraId="092A2B91" w14:textId="77777777" w:rsidR="00AA119E" w:rsidRPr="00FF34F0" w:rsidRDefault="00AA119E" w:rsidP="006C51C5">
      <w:pPr>
        <w:rPr>
          <w:rFonts w:ascii="Garamond" w:eastAsia="Times New Roman" w:hAnsi="Garamond" w:cs="Times New Roman"/>
          <w:lang w:val="en-GB"/>
        </w:rPr>
      </w:pPr>
    </w:p>
    <w:p w14:paraId="31D61CBD" w14:textId="77777777" w:rsidR="00AA119E" w:rsidRPr="00FF34F0" w:rsidRDefault="00AA119E" w:rsidP="006C51C5">
      <w:pPr>
        <w:rPr>
          <w:rFonts w:ascii="Garamond" w:eastAsia="Times New Roman" w:hAnsi="Garamond" w:cs="Times New Roman"/>
          <w:lang w:val="en-GB"/>
        </w:rPr>
      </w:pPr>
    </w:p>
    <w:p w14:paraId="7E1947F0" w14:textId="77777777" w:rsidR="00AA119E" w:rsidRPr="00FF34F0" w:rsidRDefault="00AA119E" w:rsidP="006C51C5">
      <w:pPr>
        <w:rPr>
          <w:rFonts w:ascii="Garamond" w:eastAsia="Times New Roman" w:hAnsi="Garamond" w:cs="Times New Roman"/>
          <w:lang w:val="en-GB"/>
        </w:rPr>
      </w:pPr>
    </w:p>
    <w:p w14:paraId="2AE9B4C1" w14:textId="77777777" w:rsidR="00AA119E" w:rsidRPr="00FF34F0" w:rsidRDefault="00AA119E" w:rsidP="006C51C5">
      <w:pPr>
        <w:rPr>
          <w:rFonts w:ascii="Garamond" w:eastAsia="Times New Roman" w:hAnsi="Garamond" w:cs="Times New Roman"/>
          <w:lang w:val="en-GB"/>
        </w:rPr>
      </w:pPr>
    </w:p>
    <w:p w14:paraId="62C81F9C" w14:textId="77777777" w:rsidR="00AA119E" w:rsidRPr="00FF34F0" w:rsidRDefault="00AA119E" w:rsidP="006C51C5">
      <w:pPr>
        <w:rPr>
          <w:rFonts w:ascii="Garamond" w:eastAsia="Times New Roman" w:hAnsi="Garamond" w:cs="Times New Roman"/>
          <w:lang w:val="en-GB"/>
        </w:rPr>
      </w:pPr>
    </w:p>
    <w:p w14:paraId="32719929" w14:textId="77777777" w:rsidR="00AA119E" w:rsidRPr="00FF34F0" w:rsidRDefault="00AA119E" w:rsidP="006C51C5">
      <w:pPr>
        <w:rPr>
          <w:rFonts w:ascii="Garamond" w:eastAsia="Times New Roman" w:hAnsi="Garamond" w:cs="Times New Roman"/>
          <w:lang w:val="en-GB"/>
        </w:rPr>
      </w:pPr>
    </w:p>
    <w:p w14:paraId="2E194FD7" w14:textId="77777777" w:rsidR="005E4202" w:rsidRPr="00FF34F0" w:rsidRDefault="005E4202" w:rsidP="006C51C5">
      <w:pPr>
        <w:rPr>
          <w:rFonts w:ascii="Garamond" w:eastAsia="Times New Roman" w:hAnsi="Garamond" w:cs="Times New Roman"/>
          <w:lang w:val="en-GB"/>
        </w:rPr>
      </w:pPr>
    </w:p>
    <w:p w14:paraId="1C18B1C4" w14:textId="77777777" w:rsidR="005E4202" w:rsidRPr="00FF34F0" w:rsidRDefault="005E4202" w:rsidP="006C51C5">
      <w:pPr>
        <w:rPr>
          <w:rFonts w:ascii="Garamond" w:eastAsia="Times New Roman" w:hAnsi="Garamond" w:cs="Times New Roman"/>
          <w:lang w:val="en-GB"/>
        </w:rPr>
      </w:pPr>
    </w:p>
    <w:p w14:paraId="7A686AB1" w14:textId="12D1F4E0" w:rsidR="005E4202" w:rsidRPr="00FF34F0" w:rsidRDefault="005E4202" w:rsidP="006C51C5">
      <w:pPr>
        <w:rPr>
          <w:rFonts w:ascii="Garamond" w:eastAsia="Times New Roman" w:hAnsi="Garamond" w:cs="Times New Roman"/>
          <w:lang w:val="en-GB"/>
        </w:rPr>
      </w:pPr>
      <w:r w:rsidRPr="00FF34F0">
        <w:rPr>
          <w:rFonts w:ascii="Garamond" w:eastAsia="Times New Roman" w:hAnsi="Garamond" w:cs="Times New Roman"/>
          <w:lang w:val="en-GB"/>
        </w:rPr>
        <w:br w:type="page"/>
      </w:r>
    </w:p>
    <w:p w14:paraId="1BABF07F" w14:textId="77777777" w:rsidR="005E4202" w:rsidRPr="00FF34F0" w:rsidRDefault="005E4202" w:rsidP="006C51C5">
      <w:pPr>
        <w:rPr>
          <w:rFonts w:ascii="Garamond" w:eastAsia="Times New Roman" w:hAnsi="Garamond" w:cs="Times New Roman"/>
          <w:lang w:val="en-GB"/>
        </w:rPr>
      </w:pPr>
    </w:p>
    <w:p w14:paraId="6DD79088" w14:textId="41467665" w:rsidR="00F00A28" w:rsidRPr="00FF34F0" w:rsidRDefault="00A735D5" w:rsidP="006C51C5">
      <w:pPr>
        <w:rPr>
          <w:rFonts w:ascii="Garamond" w:eastAsia="Times New Roman" w:hAnsi="Garamond" w:cs="Times New Roman"/>
          <w:lang w:val="en-GB"/>
        </w:rPr>
      </w:pPr>
      <w:r w:rsidRPr="00FF34F0">
        <w:rPr>
          <w:rFonts w:ascii="Garamond" w:eastAsia="Times New Roman" w:hAnsi="Garamond" w:cs="Times New Roman"/>
          <w:lang w:val="en-GB"/>
        </w:rPr>
        <w:t>Regional ‘reconfigurations’ of clinical s</w:t>
      </w:r>
      <w:r w:rsidR="009F6AA8" w:rsidRPr="00FF34F0">
        <w:rPr>
          <w:rFonts w:ascii="Garamond" w:eastAsia="Times New Roman" w:hAnsi="Garamond" w:cs="Times New Roman"/>
          <w:lang w:val="en-GB"/>
        </w:rPr>
        <w:t>e</w:t>
      </w:r>
      <w:r w:rsidRPr="00FF34F0">
        <w:rPr>
          <w:rFonts w:ascii="Garamond" w:eastAsia="Times New Roman" w:hAnsi="Garamond" w:cs="Times New Roman"/>
          <w:lang w:val="en-GB"/>
        </w:rPr>
        <w:t xml:space="preserve">rvices, and other forms of large-scale </w:t>
      </w:r>
      <w:r w:rsidR="00AF2B02" w:rsidRPr="00FF34F0">
        <w:rPr>
          <w:rFonts w:ascii="Garamond" w:eastAsia="Times New Roman" w:hAnsi="Garamond" w:cs="Times New Roman"/>
          <w:lang w:val="en-GB"/>
        </w:rPr>
        <w:t>change</w:t>
      </w:r>
      <w:r w:rsidRPr="00FF34F0">
        <w:rPr>
          <w:rFonts w:ascii="Garamond" w:eastAsia="Times New Roman" w:hAnsi="Garamond" w:cs="Times New Roman"/>
          <w:lang w:val="en-GB"/>
        </w:rPr>
        <w:t xml:space="preserve">, </w:t>
      </w:r>
      <w:r w:rsidR="00A07A92" w:rsidRPr="00FF34F0">
        <w:rPr>
          <w:rFonts w:ascii="Garamond" w:eastAsia="Times New Roman" w:hAnsi="Garamond" w:cs="Times New Roman"/>
          <w:lang w:val="en-GB"/>
        </w:rPr>
        <w:t>are an enduring orthodoxy in</w:t>
      </w:r>
      <w:r w:rsidR="009924BD" w:rsidRPr="00FF34F0">
        <w:rPr>
          <w:rFonts w:ascii="Garamond" w:eastAsia="Times New Roman" w:hAnsi="Garamond" w:cs="Times New Roman"/>
          <w:lang w:val="en-GB"/>
        </w:rPr>
        <w:t xml:space="preserve"> health systems of high-income countries, despite limited evidence of either clinical or financial benefits (</w:t>
      </w:r>
      <w:r w:rsidR="00C20259" w:rsidRPr="00FF34F0">
        <w:rPr>
          <w:rFonts w:ascii="Garamond" w:eastAsia="Times New Roman" w:hAnsi="Garamond" w:cs="Times New Roman"/>
          <w:lang w:val="en-GB"/>
        </w:rPr>
        <w:t>Bal</w:t>
      </w:r>
      <w:r w:rsidR="00667FFC" w:rsidRPr="00FF34F0">
        <w:rPr>
          <w:rFonts w:ascii="Garamond" w:eastAsia="Times New Roman" w:hAnsi="Garamond" w:cs="Times New Roman"/>
          <w:lang w:val="en-GB"/>
        </w:rPr>
        <w:t xml:space="preserve"> 2017, </w:t>
      </w:r>
      <w:r w:rsidR="00FA07E2" w:rsidRPr="00FF34F0">
        <w:rPr>
          <w:rFonts w:ascii="Garamond" w:eastAsia="Times New Roman" w:hAnsi="Garamond" w:cs="Times New Roman"/>
          <w:lang w:val="en-GB"/>
        </w:rPr>
        <w:t xml:space="preserve">Jones and </w:t>
      </w:r>
      <w:proofErr w:type="spellStart"/>
      <w:r w:rsidR="00FA07E2" w:rsidRPr="00FF34F0">
        <w:rPr>
          <w:rFonts w:ascii="Garamond" w:eastAsia="Times New Roman" w:hAnsi="Garamond" w:cs="Times New Roman"/>
          <w:lang w:val="en-GB"/>
        </w:rPr>
        <w:t>Exworthy</w:t>
      </w:r>
      <w:proofErr w:type="spellEnd"/>
      <w:r w:rsidR="00FA07E2" w:rsidRPr="00FF34F0">
        <w:rPr>
          <w:rFonts w:ascii="Garamond" w:eastAsia="Times New Roman" w:hAnsi="Garamond" w:cs="Times New Roman"/>
          <w:lang w:val="en-GB"/>
        </w:rPr>
        <w:t xml:space="preserve"> 2015,</w:t>
      </w:r>
      <w:r w:rsidR="009924BD" w:rsidRPr="00FF34F0">
        <w:rPr>
          <w:rFonts w:ascii="Garamond" w:eastAsia="Times New Roman" w:hAnsi="Garamond" w:cs="Times New Roman"/>
          <w:lang w:val="en-GB"/>
        </w:rPr>
        <w:t xml:space="preserve"> </w:t>
      </w:r>
      <w:proofErr w:type="spellStart"/>
      <w:r w:rsidR="00EF5A7F" w:rsidRPr="00FF34F0">
        <w:rPr>
          <w:rFonts w:ascii="Garamond" w:eastAsia="Times New Roman" w:hAnsi="Garamond" w:cs="Times New Roman"/>
          <w:lang w:val="en-GB"/>
        </w:rPr>
        <w:t>Fulop</w:t>
      </w:r>
      <w:proofErr w:type="spellEnd"/>
      <w:r w:rsidR="00EF5A7F" w:rsidRPr="00FF34F0">
        <w:rPr>
          <w:rFonts w:ascii="Garamond" w:eastAsia="Times New Roman" w:hAnsi="Garamond" w:cs="Times New Roman"/>
          <w:lang w:val="en-GB"/>
        </w:rPr>
        <w:t xml:space="preserve"> et al 2005</w:t>
      </w:r>
      <w:r w:rsidR="00112165" w:rsidRPr="00FF34F0">
        <w:rPr>
          <w:rFonts w:ascii="Garamond" w:eastAsia="Times New Roman" w:hAnsi="Garamond" w:cs="Times New Roman"/>
          <w:lang w:val="en-GB"/>
        </w:rPr>
        <w:t>).</w:t>
      </w:r>
      <w:r w:rsidR="00B8348E" w:rsidRPr="00FF34F0">
        <w:rPr>
          <w:rFonts w:ascii="Garamond" w:eastAsia="Times New Roman" w:hAnsi="Garamond" w:cs="Times New Roman"/>
          <w:lang w:val="en-GB"/>
        </w:rPr>
        <w:t xml:space="preserve"> </w:t>
      </w:r>
      <w:r w:rsidR="00355A12" w:rsidRPr="00FF34F0">
        <w:rPr>
          <w:rFonts w:ascii="Garamond" w:eastAsia="Times New Roman" w:hAnsi="Garamond" w:cs="Times New Roman"/>
          <w:lang w:val="en-GB"/>
        </w:rPr>
        <w:t xml:space="preserve">While </w:t>
      </w:r>
      <w:r w:rsidR="00980893" w:rsidRPr="00FF34F0">
        <w:rPr>
          <w:rFonts w:ascii="Garamond" w:eastAsia="Times New Roman" w:hAnsi="Garamond" w:cs="Times New Roman"/>
          <w:lang w:val="en-GB"/>
        </w:rPr>
        <w:t>some scholars have</w:t>
      </w:r>
      <w:r w:rsidR="0007192E" w:rsidRPr="00FF34F0">
        <w:rPr>
          <w:rFonts w:ascii="Garamond" w:eastAsia="Times New Roman" w:hAnsi="Garamond" w:cs="Times New Roman"/>
          <w:lang w:val="en-GB"/>
        </w:rPr>
        <w:t xml:space="preserve"> viewed these policies and programmes as </w:t>
      </w:r>
      <w:r w:rsidR="00355A12" w:rsidRPr="00FF34F0">
        <w:rPr>
          <w:rFonts w:ascii="Garamond" w:eastAsia="Times New Roman" w:hAnsi="Garamond" w:cs="Times New Roman"/>
          <w:lang w:val="en-GB"/>
        </w:rPr>
        <w:t xml:space="preserve">a manifestation of managerialism, legitimated as </w:t>
      </w:r>
      <w:r w:rsidR="00F00A28" w:rsidRPr="00FF34F0">
        <w:rPr>
          <w:rFonts w:ascii="Garamond" w:eastAsia="Times New Roman" w:hAnsi="Garamond" w:cs="Times New Roman"/>
          <w:lang w:val="en-GB"/>
        </w:rPr>
        <w:t>originating in the private sector</w:t>
      </w:r>
      <w:r w:rsidR="0007192E" w:rsidRPr="00FF34F0">
        <w:rPr>
          <w:rFonts w:ascii="Garamond" w:eastAsia="Times New Roman" w:hAnsi="Garamond" w:cs="Times New Roman"/>
          <w:lang w:val="en-GB"/>
        </w:rPr>
        <w:t xml:space="preserve"> (Kitchener and </w:t>
      </w:r>
      <w:proofErr w:type="spellStart"/>
      <w:r w:rsidR="0007192E" w:rsidRPr="00FF34F0">
        <w:rPr>
          <w:rFonts w:ascii="Garamond" w:eastAsia="Times New Roman" w:hAnsi="Garamond" w:cs="Times New Roman"/>
          <w:lang w:val="en-GB"/>
        </w:rPr>
        <w:t>Gask</w:t>
      </w:r>
      <w:proofErr w:type="spellEnd"/>
      <w:r w:rsidR="0007192E" w:rsidRPr="00FF34F0">
        <w:rPr>
          <w:rFonts w:ascii="Garamond" w:eastAsia="Times New Roman" w:hAnsi="Garamond" w:cs="Times New Roman"/>
          <w:lang w:val="en-GB"/>
        </w:rPr>
        <w:t xml:space="preserve"> 2003)</w:t>
      </w:r>
      <w:r w:rsidR="00355A12" w:rsidRPr="00FF34F0">
        <w:rPr>
          <w:rFonts w:ascii="Garamond" w:eastAsia="Times New Roman" w:hAnsi="Garamond" w:cs="Times New Roman"/>
          <w:lang w:val="en-GB"/>
        </w:rPr>
        <w:t xml:space="preserve">, others </w:t>
      </w:r>
      <w:r w:rsidR="00F00A28" w:rsidRPr="00FF34F0">
        <w:rPr>
          <w:rFonts w:ascii="Garamond" w:eastAsia="Times New Roman" w:hAnsi="Garamond" w:cs="Times New Roman"/>
          <w:lang w:val="en-GB"/>
        </w:rPr>
        <w:t xml:space="preserve">have traced a longer history, surfacing an instrumental rationality that has attracted a confluence of </w:t>
      </w:r>
      <w:r w:rsidR="002B68CF" w:rsidRPr="00FF34F0">
        <w:rPr>
          <w:rFonts w:ascii="Garamond" w:eastAsia="Times New Roman" w:hAnsi="Garamond" w:cs="Times New Roman"/>
          <w:lang w:val="en-GB"/>
        </w:rPr>
        <w:t>clinical, economic</w:t>
      </w:r>
      <w:r w:rsidR="0007192E" w:rsidRPr="00FF34F0">
        <w:rPr>
          <w:rFonts w:ascii="Garamond" w:eastAsia="Times New Roman" w:hAnsi="Garamond" w:cs="Times New Roman"/>
          <w:lang w:val="en-GB"/>
        </w:rPr>
        <w:t>,</w:t>
      </w:r>
      <w:r w:rsidR="00BA3DEF" w:rsidRPr="00FF34F0">
        <w:rPr>
          <w:rFonts w:ascii="Garamond" w:eastAsia="Times New Roman" w:hAnsi="Garamond" w:cs="Times New Roman"/>
          <w:lang w:val="en-GB"/>
        </w:rPr>
        <w:t xml:space="preserve"> and techno-managerial</w:t>
      </w:r>
      <w:r w:rsidR="002B68CF" w:rsidRPr="00FF34F0">
        <w:rPr>
          <w:rFonts w:ascii="Garamond" w:eastAsia="Times New Roman" w:hAnsi="Garamond" w:cs="Times New Roman"/>
          <w:lang w:val="en-GB"/>
        </w:rPr>
        <w:t xml:space="preserve"> interests (Jones and </w:t>
      </w:r>
      <w:proofErr w:type="spellStart"/>
      <w:r w:rsidR="002B68CF" w:rsidRPr="00FF34F0">
        <w:rPr>
          <w:rFonts w:ascii="Garamond" w:eastAsia="Times New Roman" w:hAnsi="Garamond" w:cs="Times New Roman"/>
          <w:lang w:val="en-GB"/>
        </w:rPr>
        <w:t>Exworthy</w:t>
      </w:r>
      <w:proofErr w:type="spellEnd"/>
      <w:r w:rsidR="002B68CF" w:rsidRPr="00FF34F0">
        <w:rPr>
          <w:rFonts w:ascii="Garamond" w:eastAsia="Times New Roman" w:hAnsi="Garamond" w:cs="Times New Roman"/>
          <w:lang w:val="en-GB"/>
        </w:rPr>
        <w:t xml:space="preserve"> 2015). </w:t>
      </w:r>
      <w:r w:rsidR="00F00A28" w:rsidRPr="00FF34F0">
        <w:rPr>
          <w:rFonts w:ascii="Garamond" w:eastAsia="Times New Roman" w:hAnsi="Garamond" w:cs="Times New Roman"/>
          <w:lang w:val="en-GB"/>
        </w:rPr>
        <w:t xml:space="preserve"> For policy elites</w:t>
      </w:r>
      <w:r w:rsidR="0007192E" w:rsidRPr="00FF34F0">
        <w:rPr>
          <w:rFonts w:ascii="Garamond" w:eastAsia="Times New Roman" w:hAnsi="Garamond" w:cs="Times New Roman"/>
          <w:lang w:val="en-GB"/>
        </w:rPr>
        <w:t>,</w:t>
      </w:r>
      <w:r w:rsidR="00F00A28" w:rsidRPr="00FF34F0">
        <w:rPr>
          <w:rFonts w:ascii="Garamond" w:eastAsia="Times New Roman" w:hAnsi="Garamond" w:cs="Times New Roman"/>
          <w:lang w:val="en-GB"/>
        </w:rPr>
        <w:t xml:space="preserve"> </w:t>
      </w:r>
      <w:r w:rsidRPr="00FF34F0">
        <w:rPr>
          <w:rFonts w:ascii="Garamond" w:eastAsia="Times New Roman" w:hAnsi="Garamond" w:cs="Times New Roman"/>
          <w:lang w:val="en-GB"/>
        </w:rPr>
        <w:t>large-scale change</w:t>
      </w:r>
      <w:r w:rsidR="00C61920" w:rsidRPr="00FF34F0">
        <w:rPr>
          <w:rFonts w:ascii="Garamond" w:eastAsia="Times New Roman" w:hAnsi="Garamond" w:cs="Times New Roman"/>
          <w:lang w:val="en-GB"/>
        </w:rPr>
        <w:t xml:space="preserve"> </w:t>
      </w:r>
      <w:r w:rsidR="00F00A28" w:rsidRPr="00FF34F0">
        <w:rPr>
          <w:rFonts w:ascii="Garamond" w:eastAsia="Times New Roman" w:hAnsi="Garamond" w:cs="Times New Roman"/>
          <w:lang w:val="en-GB"/>
        </w:rPr>
        <w:t>serves a performative function, showing, clearly, that ‘something is being done’ (</w:t>
      </w:r>
      <w:proofErr w:type="spellStart"/>
      <w:r w:rsidR="00F00A28" w:rsidRPr="00FF34F0">
        <w:rPr>
          <w:rFonts w:ascii="Garamond" w:eastAsia="Times New Roman" w:hAnsi="Garamond" w:cs="Times New Roman"/>
          <w:lang w:val="en-GB"/>
        </w:rPr>
        <w:t>Coid</w:t>
      </w:r>
      <w:proofErr w:type="spellEnd"/>
      <w:r w:rsidR="00F00A28" w:rsidRPr="00FF34F0">
        <w:rPr>
          <w:rFonts w:ascii="Garamond" w:eastAsia="Times New Roman" w:hAnsi="Garamond" w:cs="Times New Roman"/>
          <w:lang w:val="en-GB"/>
        </w:rPr>
        <w:t xml:space="preserve"> and Davies 2008), and yet that same visibility can generate opposition on the ground (Stewart and Aitken 2015, Barnett and Barnett 2003).  </w:t>
      </w:r>
    </w:p>
    <w:p w14:paraId="7247D3FA" w14:textId="77777777" w:rsidR="00F00A28" w:rsidRPr="00FF34F0" w:rsidRDefault="00F00A28" w:rsidP="006C51C5">
      <w:pPr>
        <w:rPr>
          <w:rFonts w:ascii="Garamond" w:eastAsia="Times New Roman" w:hAnsi="Garamond" w:cs="Times New Roman"/>
          <w:lang w:val="en-GB"/>
        </w:rPr>
      </w:pPr>
    </w:p>
    <w:p w14:paraId="5CF032C8" w14:textId="40DF46BE" w:rsidR="004852BE" w:rsidRPr="00FF34F0" w:rsidRDefault="00F00A28" w:rsidP="006C51C5">
      <w:pPr>
        <w:rPr>
          <w:rFonts w:ascii="Garamond" w:eastAsia="Times New Roman" w:hAnsi="Garamond" w:cs="Times New Roman"/>
          <w:lang w:val="en-GB"/>
        </w:rPr>
      </w:pPr>
      <w:r w:rsidRPr="00FF34F0">
        <w:rPr>
          <w:rFonts w:ascii="Garamond" w:eastAsia="Times New Roman" w:hAnsi="Garamond" w:cs="Times New Roman"/>
          <w:lang w:val="en-GB"/>
        </w:rPr>
        <w:t>Despite the inherently political</w:t>
      </w:r>
      <w:r w:rsidR="000E6E26" w:rsidRPr="00FF34F0">
        <w:rPr>
          <w:rFonts w:ascii="Garamond" w:eastAsia="Times New Roman" w:hAnsi="Garamond" w:cs="Times New Roman"/>
          <w:lang w:val="en-GB"/>
        </w:rPr>
        <w:t xml:space="preserve"> nature of healthcare planning,</w:t>
      </w:r>
      <w:r w:rsidR="006A5820" w:rsidRPr="00FF34F0">
        <w:rPr>
          <w:rFonts w:ascii="Garamond" w:eastAsia="Times New Roman" w:hAnsi="Garamond" w:cs="Times New Roman"/>
          <w:lang w:val="en-GB"/>
        </w:rPr>
        <w:t xml:space="preserve"> policy and planning texts</w:t>
      </w:r>
      <w:r w:rsidR="009D75EC" w:rsidRPr="00FF34F0">
        <w:rPr>
          <w:rFonts w:ascii="Garamond" w:eastAsia="Times New Roman" w:hAnsi="Garamond" w:cs="Times New Roman"/>
          <w:lang w:val="en-GB"/>
        </w:rPr>
        <w:t xml:space="preserve"> </w:t>
      </w:r>
      <w:r w:rsidR="00B41858" w:rsidRPr="00FF34F0">
        <w:rPr>
          <w:rFonts w:ascii="Garamond" w:eastAsia="Times New Roman" w:hAnsi="Garamond" w:cs="Times New Roman"/>
          <w:lang w:val="en-GB"/>
        </w:rPr>
        <w:t xml:space="preserve">often </w:t>
      </w:r>
      <w:r w:rsidR="006A5820" w:rsidRPr="00FF34F0">
        <w:rPr>
          <w:rFonts w:ascii="Garamond" w:eastAsia="Times New Roman" w:hAnsi="Garamond" w:cs="Times New Roman"/>
          <w:lang w:val="en-GB"/>
        </w:rPr>
        <w:t>cast</w:t>
      </w:r>
      <w:r w:rsidR="00764CFF" w:rsidRPr="00FF34F0">
        <w:rPr>
          <w:rFonts w:ascii="Garamond" w:eastAsia="Times New Roman" w:hAnsi="Garamond" w:cs="Times New Roman"/>
          <w:lang w:val="en-GB"/>
        </w:rPr>
        <w:t xml:space="preserve"> </w:t>
      </w:r>
      <w:r w:rsidR="009D75EC" w:rsidRPr="00FF34F0">
        <w:rPr>
          <w:rFonts w:ascii="Garamond" w:eastAsia="Times New Roman" w:hAnsi="Garamond" w:cs="Times New Roman"/>
          <w:lang w:val="en-GB"/>
        </w:rPr>
        <w:t>large-scale change as a</w:t>
      </w:r>
      <w:r w:rsidR="00B41858" w:rsidRPr="00FF34F0">
        <w:rPr>
          <w:rFonts w:ascii="Garamond" w:eastAsia="Times New Roman" w:hAnsi="Garamond" w:cs="Times New Roman"/>
          <w:lang w:val="en-GB"/>
        </w:rPr>
        <w:t xml:space="preserve"> technical intervention to address healthcare problems </w:t>
      </w:r>
      <w:r w:rsidR="009D75EC" w:rsidRPr="00FF34F0">
        <w:rPr>
          <w:rFonts w:ascii="Garamond" w:eastAsia="Times New Roman" w:hAnsi="Garamond" w:cs="Times New Roman"/>
          <w:lang w:val="en-GB"/>
        </w:rPr>
        <w:t>(</w:t>
      </w:r>
      <w:proofErr w:type="spellStart"/>
      <w:r w:rsidR="009D75EC" w:rsidRPr="00FF34F0">
        <w:rPr>
          <w:rFonts w:ascii="Garamond" w:eastAsia="Times New Roman" w:hAnsi="Garamond" w:cs="Times New Roman"/>
          <w:lang w:val="en-GB"/>
        </w:rPr>
        <w:t>Fulop</w:t>
      </w:r>
      <w:proofErr w:type="spellEnd"/>
      <w:r w:rsidR="009D75EC" w:rsidRPr="00FF34F0">
        <w:rPr>
          <w:rFonts w:ascii="Garamond" w:eastAsia="Times New Roman" w:hAnsi="Garamond" w:cs="Times New Roman"/>
          <w:lang w:val="en-GB"/>
        </w:rPr>
        <w:t xml:space="preserve"> et al 2</w:t>
      </w:r>
      <w:r w:rsidR="000E6E26" w:rsidRPr="00FF34F0">
        <w:rPr>
          <w:rFonts w:ascii="Garamond" w:eastAsia="Times New Roman" w:hAnsi="Garamond" w:cs="Times New Roman"/>
          <w:lang w:val="en-GB"/>
        </w:rPr>
        <w:t>012). A</w:t>
      </w:r>
      <w:r w:rsidR="009D75EC" w:rsidRPr="00FF34F0">
        <w:rPr>
          <w:rFonts w:ascii="Garamond" w:eastAsia="Times New Roman" w:hAnsi="Garamond" w:cs="Times New Roman"/>
          <w:lang w:val="en-GB"/>
        </w:rPr>
        <w:t xml:space="preserve">cademic literature </w:t>
      </w:r>
      <w:r w:rsidR="000E6E26" w:rsidRPr="00FF34F0">
        <w:rPr>
          <w:rFonts w:ascii="Garamond" w:eastAsia="Times New Roman" w:hAnsi="Garamond" w:cs="Times New Roman"/>
          <w:lang w:val="en-GB"/>
        </w:rPr>
        <w:t xml:space="preserve">on the topic </w:t>
      </w:r>
      <w:r w:rsidR="009D75EC" w:rsidRPr="00FF34F0">
        <w:rPr>
          <w:rFonts w:ascii="Garamond" w:eastAsia="Times New Roman" w:hAnsi="Garamond" w:cs="Times New Roman"/>
          <w:lang w:val="en-GB"/>
        </w:rPr>
        <w:t xml:space="preserve">is </w:t>
      </w:r>
      <w:r w:rsidRPr="00FF34F0">
        <w:rPr>
          <w:rFonts w:ascii="Garamond" w:eastAsia="Times New Roman" w:hAnsi="Garamond" w:cs="Times New Roman"/>
          <w:lang w:val="en-GB"/>
        </w:rPr>
        <w:t>dominated by instrumental evalu</w:t>
      </w:r>
      <w:r w:rsidR="000E6E26" w:rsidRPr="00FF34F0">
        <w:rPr>
          <w:rFonts w:ascii="Garamond" w:eastAsia="Times New Roman" w:hAnsi="Garamond" w:cs="Times New Roman"/>
          <w:lang w:val="en-GB"/>
        </w:rPr>
        <w:t>ative research</w:t>
      </w:r>
      <w:r w:rsidR="00B41858" w:rsidRPr="00FF34F0">
        <w:rPr>
          <w:rFonts w:ascii="Garamond" w:eastAsia="Times New Roman" w:hAnsi="Garamond" w:cs="Times New Roman"/>
          <w:lang w:val="en-GB"/>
        </w:rPr>
        <w:t xml:space="preserve"> that</w:t>
      </w:r>
      <w:r w:rsidRPr="00FF34F0">
        <w:rPr>
          <w:rFonts w:ascii="Garamond" w:eastAsia="Times New Roman" w:hAnsi="Garamond" w:cs="Times New Roman"/>
          <w:lang w:val="en-GB"/>
        </w:rPr>
        <w:t xml:space="preserve"> presupposes the need for change and is concerned with judging the ‘success’ of changes that have been introduced in terms of clinical or economic outcomes. In contrast, sociological approaches understand that healthcare change occurs within contexts of organisations, communities and places. Health services employ local people, sit at the centre of communities, and act as a symbol of the wider health system. Sociological research can offer valuable perspectives on the macro, </w:t>
      </w:r>
      <w:proofErr w:type="spellStart"/>
      <w:r w:rsidRPr="00FF34F0">
        <w:rPr>
          <w:rFonts w:ascii="Garamond" w:eastAsia="Times New Roman" w:hAnsi="Garamond" w:cs="Times New Roman"/>
          <w:lang w:val="en-GB"/>
        </w:rPr>
        <w:t>meso</w:t>
      </w:r>
      <w:proofErr w:type="spellEnd"/>
      <w:r w:rsidRPr="00FF34F0">
        <w:rPr>
          <w:rFonts w:ascii="Garamond" w:eastAsia="Times New Roman" w:hAnsi="Garamond" w:cs="Times New Roman"/>
          <w:lang w:val="en-GB"/>
        </w:rPr>
        <w:t xml:space="preserve"> and micro-level processes through which services change, and on what is left behind.</w:t>
      </w:r>
    </w:p>
    <w:p w14:paraId="16E86251" w14:textId="4B93C19C" w:rsidR="004308AF" w:rsidRPr="00FF34F0" w:rsidRDefault="003561A7" w:rsidP="006C51C5">
      <w:pPr>
        <w:rPr>
          <w:rFonts w:ascii="Garamond" w:eastAsia="Times New Roman" w:hAnsi="Garamond" w:cs="Times New Roman"/>
          <w:lang w:val="en-GB"/>
        </w:rPr>
      </w:pPr>
      <w:r w:rsidRPr="00FF34F0">
        <w:rPr>
          <w:rFonts w:ascii="Garamond" w:eastAsia="Times New Roman" w:hAnsi="Garamond" w:cs="Times New Roman"/>
          <w:lang w:val="en-GB"/>
        </w:rPr>
        <w:t xml:space="preserve"> </w:t>
      </w:r>
    </w:p>
    <w:p w14:paraId="7013EA55" w14:textId="65DD01AD" w:rsidR="00650BC6" w:rsidRPr="00FF34F0" w:rsidRDefault="00103321" w:rsidP="006C51C5">
      <w:pPr>
        <w:rPr>
          <w:rFonts w:ascii="Garamond" w:eastAsia="Times New Roman" w:hAnsi="Garamond" w:cs="Times New Roman"/>
          <w:lang w:val="en-GB"/>
        </w:rPr>
      </w:pPr>
      <w:r w:rsidRPr="00FF34F0">
        <w:rPr>
          <w:rFonts w:ascii="Garamond" w:eastAsia="Times New Roman" w:hAnsi="Garamond" w:cs="Times New Roman"/>
          <w:lang w:val="en-GB"/>
        </w:rPr>
        <w:t>W</w:t>
      </w:r>
      <w:r w:rsidR="00882124" w:rsidRPr="00FF34F0">
        <w:rPr>
          <w:rFonts w:ascii="Garamond" w:eastAsia="Times New Roman" w:hAnsi="Garamond" w:cs="Times New Roman"/>
          <w:lang w:val="en-GB"/>
        </w:rPr>
        <w:t xml:space="preserve">e review the </w:t>
      </w:r>
      <w:r w:rsidR="00627C91" w:rsidRPr="00FF34F0">
        <w:rPr>
          <w:rFonts w:ascii="Garamond" w:eastAsia="Times New Roman" w:hAnsi="Garamond" w:cs="Times New Roman"/>
          <w:lang w:val="en-GB" w:eastAsia="en-GB"/>
        </w:rPr>
        <w:t>litera</w:t>
      </w:r>
      <w:r w:rsidR="00A5646C" w:rsidRPr="00FF34F0">
        <w:rPr>
          <w:rFonts w:ascii="Garamond" w:eastAsia="Times New Roman" w:hAnsi="Garamond" w:cs="Times New Roman"/>
          <w:lang w:val="en-GB" w:eastAsia="en-GB"/>
        </w:rPr>
        <w:t xml:space="preserve">ture on </w:t>
      </w:r>
      <w:r w:rsidR="00A735D5" w:rsidRPr="00FF34F0">
        <w:rPr>
          <w:rFonts w:ascii="Garamond" w:eastAsia="Times New Roman" w:hAnsi="Garamond" w:cs="Times New Roman"/>
          <w:lang w:val="en-GB" w:eastAsia="en-GB"/>
        </w:rPr>
        <w:t xml:space="preserve">large-scale </w:t>
      </w:r>
      <w:r w:rsidR="00882124" w:rsidRPr="00FF34F0">
        <w:rPr>
          <w:rFonts w:ascii="Garamond" w:eastAsia="Times New Roman" w:hAnsi="Garamond" w:cs="Times New Roman"/>
          <w:lang w:val="en-GB" w:eastAsia="en-GB"/>
        </w:rPr>
        <w:t xml:space="preserve">change, </w:t>
      </w:r>
      <w:r w:rsidR="00667FFC" w:rsidRPr="00FF34F0">
        <w:rPr>
          <w:rFonts w:ascii="Garamond" w:eastAsia="Times New Roman" w:hAnsi="Garamond" w:cs="Times New Roman"/>
          <w:lang w:val="en-GB" w:eastAsia="en-GB"/>
        </w:rPr>
        <w:t xml:space="preserve">following the </w:t>
      </w:r>
      <w:r w:rsidR="00667FFC" w:rsidRPr="00FF34F0">
        <w:rPr>
          <w:rFonts w:ascii="Garamond" w:hAnsi="Garamond" w:cs="Times New Roman"/>
          <w:lang w:val="en-GB"/>
        </w:rPr>
        <w:t>narrative tradition</w:t>
      </w:r>
      <w:r w:rsidR="00901FC5" w:rsidRPr="00FF34F0">
        <w:rPr>
          <w:rFonts w:ascii="Garamond" w:hAnsi="Garamond" w:cs="Times New Roman"/>
          <w:lang w:val="en-GB"/>
        </w:rPr>
        <w:t xml:space="preserve"> wi</w:t>
      </w:r>
      <w:r w:rsidR="000B2476" w:rsidRPr="00FF34F0">
        <w:rPr>
          <w:rFonts w:ascii="Garamond" w:hAnsi="Garamond" w:cs="Times New Roman"/>
          <w:lang w:val="en-GB"/>
        </w:rPr>
        <w:t>thin sociology</w:t>
      </w:r>
      <w:r w:rsidRPr="00FF34F0">
        <w:rPr>
          <w:rFonts w:ascii="Garamond" w:hAnsi="Garamond" w:cs="Times New Roman"/>
          <w:lang w:val="en-GB"/>
        </w:rPr>
        <w:t xml:space="preserve"> (Waring et al 2016, </w:t>
      </w:r>
      <w:r w:rsidR="009F1B93" w:rsidRPr="00FF34F0">
        <w:rPr>
          <w:rFonts w:ascii="Garamond" w:hAnsi="Garamond" w:cs="Times New Roman"/>
          <w:lang w:val="en-GB"/>
        </w:rPr>
        <w:t>Martin et al 2015,</w:t>
      </w:r>
      <w:r w:rsidR="00667FFC" w:rsidRPr="00FF34F0">
        <w:rPr>
          <w:rFonts w:ascii="Garamond" w:hAnsi="Garamond" w:cs="Times New Roman"/>
          <w:lang w:val="en-GB"/>
        </w:rPr>
        <w:t xml:space="preserve"> </w:t>
      </w:r>
      <w:r w:rsidR="00314EFA">
        <w:rPr>
          <w:rFonts w:ascii="Garamond" w:hAnsi="Garamond" w:cs="Times New Roman"/>
          <w:lang w:val="en-GB"/>
        </w:rPr>
        <w:t>Davies 2003, Griffiths 2003</w:t>
      </w:r>
      <w:r w:rsidRPr="00FF34F0">
        <w:rPr>
          <w:rFonts w:ascii="Garamond" w:hAnsi="Garamond" w:cs="Times New Roman"/>
          <w:lang w:val="en-GB"/>
        </w:rPr>
        <w:t>,</w:t>
      </w:r>
      <w:r w:rsidRPr="00FF34F0">
        <w:rPr>
          <w:rFonts w:ascii="Garamond" w:hAnsi="Garamond"/>
        </w:rPr>
        <w:t xml:space="preserve"> </w:t>
      </w:r>
      <w:r w:rsidRPr="00FF34F0">
        <w:rPr>
          <w:rFonts w:ascii="Garamond" w:hAnsi="Garamond" w:cs="Times New Roman"/>
          <w:lang w:val="en-GB"/>
        </w:rPr>
        <w:t>Learmonth 2003). Our analysis is thematic, aimed at describing, summarising and interpreting</w:t>
      </w:r>
      <w:r w:rsidR="00107EA8" w:rsidRPr="00FF34F0">
        <w:rPr>
          <w:rFonts w:ascii="Garamond" w:hAnsi="Garamond" w:cs="Times New Roman"/>
          <w:lang w:val="en-GB"/>
        </w:rPr>
        <w:t xml:space="preserve"> a diverse body of literature. It is also explicitly</w:t>
      </w:r>
      <w:r w:rsidRPr="00FF34F0">
        <w:rPr>
          <w:rFonts w:ascii="Garamond" w:hAnsi="Garamond" w:cs="Times New Roman"/>
          <w:lang w:val="en-GB"/>
        </w:rPr>
        <w:t xml:space="preserve"> critical, </w:t>
      </w:r>
      <w:r w:rsidR="00901FC5" w:rsidRPr="00FF34F0">
        <w:rPr>
          <w:rFonts w:ascii="Garamond" w:hAnsi="Garamond" w:cs="Times New Roman"/>
          <w:lang w:val="en-GB"/>
        </w:rPr>
        <w:t xml:space="preserve">asking questions about the nature of power, culture and practice, and identifying additional perspectives. </w:t>
      </w:r>
      <w:r w:rsidR="004A2F3C" w:rsidRPr="00FF34F0">
        <w:rPr>
          <w:rFonts w:ascii="Garamond" w:hAnsi="Garamond" w:cs="Times New Roman"/>
          <w:lang w:val="en-GB"/>
        </w:rPr>
        <w:t xml:space="preserve">Our aim is to articulate a sociological contribution to understanding </w:t>
      </w:r>
      <w:r w:rsidR="00BB1051" w:rsidRPr="00FF34F0">
        <w:rPr>
          <w:rFonts w:ascii="Garamond" w:hAnsi="Garamond" w:cs="Times New Roman"/>
          <w:lang w:val="en-GB"/>
        </w:rPr>
        <w:t>large-scale</w:t>
      </w:r>
      <w:r w:rsidR="00882124" w:rsidRPr="00FF34F0">
        <w:rPr>
          <w:rFonts w:ascii="Garamond" w:hAnsi="Garamond" w:cs="Times New Roman"/>
          <w:lang w:val="en-GB"/>
        </w:rPr>
        <w:t xml:space="preserve"> </w:t>
      </w:r>
      <w:r w:rsidR="004A2F3C" w:rsidRPr="00FF34F0">
        <w:rPr>
          <w:rFonts w:ascii="Garamond" w:hAnsi="Garamond" w:cs="Times New Roman"/>
          <w:lang w:val="en-GB"/>
        </w:rPr>
        <w:t xml:space="preserve">change, with implications for the study of healthcare policy more generally. </w:t>
      </w:r>
      <w:r w:rsidR="00072BFE" w:rsidRPr="00FF34F0">
        <w:rPr>
          <w:rFonts w:ascii="Garamond" w:eastAsia="Times New Roman" w:hAnsi="Garamond" w:cs="Times New Roman"/>
          <w:lang w:val="en-GB" w:eastAsia="en-GB"/>
        </w:rPr>
        <w:t xml:space="preserve">We ask, what might sociology contribute to an understanding of </w:t>
      </w:r>
      <w:r w:rsidR="00197B74" w:rsidRPr="00FF34F0">
        <w:rPr>
          <w:rFonts w:ascii="Garamond" w:eastAsia="Times New Roman" w:hAnsi="Garamond" w:cs="Times New Roman"/>
          <w:lang w:val="en-GB" w:eastAsia="en-GB"/>
        </w:rPr>
        <w:t>large-scale</w:t>
      </w:r>
      <w:r w:rsidR="00882124" w:rsidRPr="00FF34F0">
        <w:rPr>
          <w:rFonts w:ascii="Garamond" w:eastAsia="Times New Roman" w:hAnsi="Garamond" w:cs="Times New Roman"/>
          <w:lang w:val="en-GB" w:eastAsia="en-GB"/>
        </w:rPr>
        <w:t xml:space="preserve"> </w:t>
      </w:r>
      <w:r w:rsidR="00072BFE" w:rsidRPr="00FF34F0">
        <w:rPr>
          <w:rFonts w:ascii="Garamond" w:eastAsia="Times New Roman" w:hAnsi="Garamond" w:cs="Times New Roman"/>
          <w:lang w:val="en-GB" w:eastAsia="en-GB"/>
        </w:rPr>
        <w:t xml:space="preserve">change?  </w:t>
      </w:r>
      <w:r w:rsidR="004A2F3C" w:rsidRPr="00FF34F0">
        <w:rPr>
          <w:rFonts w:ascii="Garamond" w:eastAsia="Times New Roman" w:hAnsi="Garamond" w:cs="Times New Roman"/>
          <w:lang w:val="en-GB" w:eastAsia="en-GB"/>
        </w:rPr>
        <w:t>And h</w:t>
      </w:r>
      <w:r w:rsidR="00072BFE" w:rsidRPr="00FF34F0">
        <w:rPr>
          <w:rFonts w:ascii="Garamond" w:eastAsia="Times New Roman" w:hAnsi="Garamond" w:cs="Times New Roman"/>
          <w:lang w:val="en-GB" w:eastAsia="en-GB"/>
        </w:rPr>
        <w:t xml:space="preserve">ow does the study of </w:t>
      </w:r>
      <w:r w:rsidR="00197B74" w:rsidRPr="00FF34F0">
        <w:rPr>
          <w:rFonts w:ascii="Garamond" w:eastAsia="Times New Roman" w:hAnsi="Garamond" w:cs="Times New Roman"/>
          <w:lang w:val="en-GB" w:eastAsia="en-GB"/>
        </w:rPr>
        <w:t>large-scale</w:t>
      </w:r>
      <w:r w:rsidR="00475C32" w:rsidRPr="00FF34F0">
        <w:rPr>
          <w:rFonts w:ascii="Garamond" w:eastAsia="Times New Roman" w:hAnsi="Garamond" w:cs="Times New Roman"/>
          <w:lang w:val="en-GB" w:eastAsia="en-GB"/>
        </w:rPr>
        <w:t xml:space="preserve"> </w:t>
      </w:r>
      <w:r w:rsidR="00072BFE" w:rsidRPr="00FF34F0">
        <w:rPr>
          <w:rFonts w:ascii="Garamond" w:eastAsia="Times New Roman" w:hAnsi="Garamond" w:cs="Times New Roman"/>
          <w:lang w:val="en-GB" w:eastAsia="en-GB"/>
        </w:rPr>
        <w:t xml:space="preserve">change extend our understanding of social processes? </w:t>
      </w:r>
      <w:r w:rsidR="00533B87" w:rsidRPr="00FF34F0">
        <w:rPr>
          <w:rFonts w:ascii="Garamond" w:eastAsia="Times New Roman" w:hAnsi="Garamond" w:cs="Times New Roman"/>
          <w:lang w:val="en-GB" w:eastAsia="en-GB"/>
        </w:rPr>
        <w:t xml:space="preserve">Our analysis develops sociological perspectives in three areas: local </w:t>
      </w:r>
      <w:r w:rsidR="00980893" w:rsidRPr="00FF34F0">
        <w:rPr>
          <w:rFonts w:ascii="Garamond" w:eastAsia="Times New Roman" w:hAnsi="Garamond" w:cs="Times New Roman"/>
          <w:lang w:val="en-GB" w:eastAsia="en-GB"/>
        </w:rPr>
        <w:t>meanings, cultures and identiti</w:t>
      </w:r>
      <w:r w:rsidR="00533B87" w:rsidRPr="00FF34F0">
        <w:rPr>
          <w:rFonts w:ascii="Garamond" w:eastAsia="Times New Roman" w:hAnsi="Garamond" w:cs="Times New Roman"/>
          <w:lang w:val="en-GB" w:eastAsia="en-GB"/>
        </w:rPr>
        <w:t xml:space="preserve">es; leadership, co-optation and control; and framing, evidencing and strategies. </w:t>
      </w:r>
      <w:r w:rsidR="00355A12" w:rsidRPr="00FF34F0">
        <w:rPr>
          <w:rFonts w:ascii="Garamond" w:eastAsia="Times New Roman" w:hAnsi="Garamond" w:cs="Times New Roman"/>
          <w:lang w:val="en-GB" w:eastAsia="en-GB"/>
        </w:rPr>
        <w:t xml:space="preserve">We illustrate our analysis with </w:t>
      </w:r>
      <w:r w:rsidR="00F00A28" w:rsidRPr="00FF34F0">
        <w:rPr>
          <w:rFonts w:ascii="Garamond" w:eastAsia="Times New Roman" w:hAnsi="Garamond" w:cs="Times New Roman"/>
          <w:lang w:val="en-GB" w:eastAsia="en-GB"/>
        </w:rPr>
        <w:t xml:space="preserve">examples </w:t>
      </w:r>
      <w:r w:rsidR="007263A2" w:rsidRPr="00FF34F0">
        <w:rPr>
          <w:rFonts w:ascii="Garamond" w:eastAsia="Times New Roman" w:hAnsi="Garamond" w:cs="Times New Roman"/>
          <w:lang w:val="en-GB" w:eastAsia="en-GB"/>
        </w:rPr>
        <w:t>from sociological research in a range of relevant areas</w:t>
      </w:r>
      <w:r w:rsidR="00355A12" w:rsidRPr="00FF34F0">
        <w:rPr>
          <w:rFonts w:ascii="Garamond" w:eastAsia="Times New Roman" w:hAnsi="Garamond" w:cs="Times New Roman"/>
          <w:lang w:val="en-GB" w:eastAsia="en-GB"/>
        </w:rPr>
        <w:t xml:space="preserve">, showing how </w:t>
      </w:r>
      <w:r w:rsidR="00F00A28" w:rsidRPr="00FF34F0">
        <w:rPr>
          <w:rFonts w:ascii="Garamond" w:eastAsia="Times New Roman" w:hAnsi="Garamond" w:cs="Times New Roman"/>
          <w:lang w:val="en-GB" w:eastAsia="en-GB"/>
        </w:rPr>
        <w:t xml:space="preserve">the unique sensibilities and theoretical resources of sociology can enrich research, support public debate, and enlarge and rebalance healthcare policy. </w:t>
      </w:r>
    </w:p>
    <w:p w14:paraId="452791B4" w14:textId="618311FC" w:rsidR="003636B1" w:rsidRPr="00FF34F0" w:rsidRDefault="003636B1" w:rsidP="006C51C5">
      <w:pPr>
        <w:rPr>
          <w:rFonts w:ascii="Garamond" w:hAnsi="Garamond" w:cs="Times New Roman"/>
          <w:lang w:val="en-GB"/>
        </w:rPr>
      </w:pPr>
    </w:p>
    <w:p w14:paraId="20A658A4" w14:textId="77777777" w:rsidR="00CC7FF1" w:rsidRPr="00FF34F0" w:rsidRDefault="00CC7FF1" w:rsidP="006C51C5">
      <w:pPr>
        <w:rPr>
          <w:rFonts w:ascii="Garamond" w:hAnsi="Garamond" w:cs="Times New Roman"/>
          <w:lang w:val="en-GB"/>
        </w:rPr>
      </w:pPr>
    </w:p>
    <w:p w14:paraId="43480D55" w14:textId="2CED241E" w:rsidR="00980893" w:rsidRPr="00FF34F0" w:rsidRDefault="006A5820" w:rsidP="006C51C5">
      <w:pPr>
        <w:rPr>
          <w:rFonts w:ascii="Garamond" w:hAnsi="Garamond" w:cs="Times New Roman"/>
          <w:b/>
          <w:lang w:val="en-GB"/>
        </w:rPr>
      </w:pPr>
      <w:r w:rsidRPr="00FF34F0">
        <w:rPr>
          <w:rFonts w:ascii="Garamond" w:hAnsi="Garamond" w:cs="Times New Roman"/>
          <w:b/>
          <w:lang w:val="en-GB"/>
        </w:rPr>
        <w:t>Health s</w:t>
      </w:r>
      <w:r w:rsidR="00E15770" w:rsidRPr="00FF34F0">
        <w:rPr>
          <w:rFonts w:ascii="Garamond" w:hAnsi="Garamond" w:cs="Times New Roman"/>
          <w:b/>
          <w:lang w:val="en-GB"/>
        </w:rPr>
        <w:t>erv</w:t>
      </w:r>
      <w:r w:rsidRPr="00FF34F0">
        <w:rPr>
          <w:rFonts w:ascii="Garamond" w:hAnsi="Garamond" w:cs="Times New Roman"/>
          <w:b/>
          <w:lang w:val="en-GB"/>
        </w:rPr>
        <w:t>ices r</w:t>
      </w:r>
      <w:r w:rsidR="00E15770" w:rsidRPr="00FF34F0">
        <w:rPr>
          <w:rFonts w:ascii="Garamond" w:hAnsi="Garamond" w:cs="Times New Roman"/>
          <w:b/>
          <w:lang w:val="en-GB"/>
        </w:rPr>
        <w:t>esearch and the ‘</w:t>
      </w:r>
      <w:proofErr w:type="spellStart"/>
      <w:r w:rsidR="00E15770" w:rsidRPr="00FF34F0">
        <w:rPr>
          <w:rFonts w:ascii="Garamond" w:hAnsi="Garamond" w:cs="Times New Roman"/>
          <w:b/>
          <w:lang w:val="en-GB"/>
        </w:rPr>
        <w:t>technicist</w:t>
      </w:r>
      <w:proofErr w:type="spellEnd"/>
      <w:r w:rsidR="00E15770" w:rsidRPr="00FF34F0">
        <w:rPr>
          <w:rFonts w:ascii="Garamond" w:hAnsi="Garamond" w:cs="Times New Roman"/>
          <w:b/>
          <w:lang w:val="en-GB"/>
        </w:rPr>
        <w:t>’ impulse</w:t>
      </w:r>
    </w:p>
    <w:p w14:paraId="1B39022E" w14:textId="77777777" w:rsidR="00E0183F" w:rsidRPr="00FF34F0" w:rsidRDefault="00E0183F" w:rsidP="006C51C5">
      <w:pPr>
        <w:autoSpaceDE w:val="0"/>
        <w:autoSpaceDN w:val="0"/>
        <w:adjustRightInd w:val="0"/>
        <w:rPr>
          <w:rFonts w:ascii="Garamond" w:eastAsia="Times New Roman" w:hAnsi="Garamond" w:cs="Times New Roman"/>
          <w:b/>
          <w:lang w:val="en-GB"/>
        </w:rPr>
      </w:pPr>
    </w:p>
    <w:p w14:paraId="5BBB77C1" w14:textId="6A3F5B85" w:rsidR="00057CFE" w:rsidRPr="00FF34F0" w:rsidRDefault="00E03A73" w:rsidP="006C51C5">
      <w:pPr>
        <w:autoSpaceDE w:val="0"/>
        <w:autoSpaceDN w:val="0"/>
        <w:adjustRightInd w:val="0"/>
        <w:rPr>
          <w:rFonts w:ascii="Garamond" w:hAnsi="Garamond" w:cs="Times New Roman"/>
        </w:rPr>
      </w:pPr>
      <w:r w:rsidRPr="00FF34F0">
        <w:rPr>
          <w:rFonts w:ascii="Garamond" w:hAnsi="Garamond" w:cs="Times New Roman"/>
          <w:lang w:val="en-GB"/>
        </w:rPr>
        <w:t>Ferlie</w:t>
      </w:r>
      <w:r w:rsidR="00B3513E" w:rsidRPr="00FF34F0">
        <w:rPr>
          <w:rFonts w:ascii="Garamond" w:hAnsi="Garamond" w:cs="Times New Roman"/>
          <w:lang w:val="en-GB"/>
        </w:rPr>
        <w:t xml:space="preserve"> </w:t>
      </w:r>
      <w:r w:rsidRPr="00FF34F0">
        <w:rPr>
          <w:rFonts w:ascii="Garamond" w:hAnsi="Garamond" w:cs="Times New Roman"/>
          <w:lang w:val="en-GB"/>
        </w:rPr>
        <w:t xml:space="preserve">(2016) argues that there has been a decline in social science-based analysis of organisational change in the context of public policy. He attributes this to competing forms of knowledge, such as health economics, management consultancy, and health services research. Health services research is an applied field that has grown rapidly since the 1990s. </w:t>
      </w:r>
      <w:r w:rsidR="00314462" w:rsidRPr="00FF34F0">
        <w:rPr>
          <w:rFonts w:ascii="Garamond" w:hAnsi="Garamond" w:cs="Times New Roman"/>
          <w:lang w:val="en-GB"/>
        </w:rPr>
        <w:t>In the UK t</w:t>
      </w:r>
      <w:r w:rsidRPr="00FF34F0">
        <w:rPr>
          <w:rFonts w:ascii="Garamond" w:hAnsi="Garamond" w:cs="Times New Roman"/>
          <w:lang w:val="en-GB"/>
        </w:rPr>
        <w:t xml:space="preserve">his is partly an effect of funding - health services research has attracted substantial resources from the newly created (2006), government-funded National Institute of Health and Research. </w:t>
      </w:r>
      <w:r w:rsidR="00471ADE" w:rsidRPr="00FF34F0">
        <w:rPr>
          <w:rFonts w:ascii="Garamond" w:eastAsia="Times New Roman" w:hAnsi="Garamond" w:cs="Times New Roman"/>
          <w:lang w:val="en-GB"/>
        </w:rPr>
        <w:t xml:space="preserve">According </w:t>
      </w:r>
      <w:proofErr w:type="gramStart"/>
      <w:r w:rsidR="00471ADE" w:rsidRPr="00FF34F0">
        <w:rPr>
          <w:rFonts w:ascii="Garamond" w:eastAsia="Times New Roman" w:hAnsi="Garamond" w:cs="Times New Roman"/>
          <w:lang w:val="en-GB"/>
        </w:rPr>
        <w:t>to</w:t>
      </w:r>
      <w:proofErr w:type="gramEnd"/>
      <w:r w:rsidR="00471ADE" w:rsidRPr="00FF34F0">
        <w:rPr>
          <w:rFonts w:ascii="Garamond" w:eastAsia="Times New Roman" w:hAnsi="Garamond" w:cs="Times New Roman"/>
          <w:lang w:val="en-GB"/>
        </w:rPr>
        <w:t xml:space="preserve"> Black</w:t>
      </w:r>
      <w:r w:rsidR="00CD3A41" w:rsidRPr="00FF34F0">
        <w:rPr>
          <w:rFonts w:ascii="Garamond" w:eastAsia="Times New Roman" w:hAnsi="Garamond" w:cs="Times New Roman"/>
          <w:lang w:val="en-GB"/>
        </w:rPr>
        <w:t xml:space="preserve">: </w:t>
      </w:r>
      <w:r w:rsidR="00057CFE" w:rsidRPr="00FF34F0">
        <w:rPr>
          <w:rFonts w:ascii="Garamond" w:eastAsia="Times New Roman" w:hAnsi="Garamond" w:cs="Times New Roman"/>
          <w:b/>
          <w:lang w:val="en-GB"/>
        </w:rPr>
        <w:t xml:space="preserve"> </w:t>
      </w:r>
    </w:p>
    <w:p w14:paraId="4269DB96" w14:textId="77777777" w:rsidR="00057CFE" w:rsidRPr="00FF34F0" w:rsidRDefault="00057CFE" w:rsidP="006C51C5">
      <w:pPr>
        <w:autoSpaceDE w:val="0"/>
        <w:autoSpaceDN w:val="0"/>
        <w:adjustRightInd w:val="0"/>
        <w:rPr>
          <w:rFonts w:ascii="Garamond" w:hAnsi="Garamond" w:cs="Times New Roman"/>
        </w:rPr>
      </w:pPr>
    </w:p>
    <w:p w14:paraId="372A1062" w14:textId="4E3ED7AE" w:rsidR="00057CFE" w:rsidRPr="00FF34F0" w:rsidRDefault="00CD3A41" w:rsidP="006C51C5">
      <w:pPr>
        <w:autoSpaceDE w:val="0"/>
        <w:autoSpaceDN w:val="0"/>
        <w:adjustRightInd w:val="0"/>
        <w:ind w:left="720"/>
        <w:rPr>
          <w:rFonts w:ascii="Garamond" w:eastAsia="Times New Roman" w:hAnsi="Garamond" w:cs="Times New Roman"/>
          <w:b/>
          <w:lang w:val="en-GB"/>
        </w:rPr>
      </w:pPr>
      <w:r w:rsidRPr="00FF34F0">
        <w:rPr>
          <w:rFonts w:ascii="Garamond" w:hAnsi="Garamond" w:cs="Times New Roman"/>
        </w:rPr>
        <w:t xml:space="preserve">The aim of HSR is to provide unbiased, scientific evidence to influence health services policy at all levels so as to improve the health of the public. It is not a scientific discipline but draws on and uses a wide range of methods from several disciplines including </w:t>
      </w:r>
      <w:r w:rsidRPr="00FF34F0">
        <w:rPr>
          <w:rFonts w:ascii="Garamond" w:hAnsi="Garamond" w:cs="Times New Roman"/>
        </w:rPr>
        <w:lastRenderedPageBreak/>
        <w:t>sociology, statistics, economics, epidemiology, psychology, and history. It also requires input from and an understanding of biology, medicine, nursing, and other clinical areas.  (</w:t>
      </w:r>
      <w:r w:rsidR="00057CFE" w:rsidRPr="00FF34F0">
        <w:rPr>
          <w:rFonts w:ascii="Garamond" w:hAnsi="Garamond" w:cs="Times New Roman"/>
        </w:rPr>
        <w:t>1997, p</w:t>
      </w:r>
      <w:r w:rsidR="009F1B93" w:rsidRPr="00FF34F0">
        <w:rPr>
          <w:rFonts w:ascii="Garamond" w:hAnsi="Garamond" w:cs="Times New Roman"/>
        </w:rPr>
        <w:t>1834</w:t>
      </w:r>
      <w:r w:rsidR="00057CFE" w:rsidRPr="00FF34F0">
        <w:rPr>
          <w:rFonts w:ascii="Garamond" w:hAnsi="Garamond" w:cs="Times New Roman"/>
        </w:rPr>
        <w:t>)</w:t>
      </w:r>
      <w:r w:rsidR="00E03A73" w:rsidRPr="00FF34F0">
        <w:rPr>
          <w:rFonts w:ascii="Garamond" w:eastAsia="Times New Roman" w:hAnsi="Garamond" w:cs="Times New Roman"/>
          <w:b/>
          <w:lang w:val="en-GB"/>
        </w:rPr>
        <w:t xml:space="preserve"> </w:t>
      </w:r>
    </w:p>
    <w:p w14:paraId="12BBE861" w14:textId="77777777" w:rsidR="00057CFE" w:rsidRPr="00FF34F0" w:rsidRDefault="00057CFE" w:rsidP="006C51C5">
      <w:pPr>
        <w:autoSpaceDE w:val="0"/>
        <w:autoSpaceDN w:val="0"/>
        <w:adjustRightInd w:val="0"/>
        <w:rPr>
          <w:rFonts w:ascii="Garamond" w:eastAsia="Times New Roman" w:hAnsi="Garamond" w:cs="Times New Roman"/>
          <w:b/>
          <w:lang w:val="en-GB"/>
        </w:rPr>
      </w:pPr>
    </w:p>
    <w:p w14:paraId="2334797C" w14:textId="4CA90C12" w:rsidR="007101A5" w:rsidRPr="007101A5" w:rsidRDefault="00471ADE" w:rsidP="007101A5">
      <w:pPr>
        <w:autoSpaceDE w:val="0"/>
        <w:autoSpaceDN w:val="0"/>
        <w:adjustRightInd w:val="0"/>
        <w:rPr>
          <w:rFonts w:ascii="Garamond" w:hAnsi="Garamond" w:cs="Times New Roman"/>
        </w:rPr>
      </w:pPr>
      <w:r w:rsidRPr="00FF34F0">
        <w:rPr>
          <w:rFonts w:ascii="Garamond" w:hAnsi="Garamond" w:cs="Times New Roman"/>
          <w:lang w:val="en-GB"/>
        </w:rPr>
        <w:t>Ferlie describes health service</w:t>
      </w:r>
      <w:r w:rsidR="0084394B" w:rsidRPr="00FF34F0">
        <w:rPr>
          <w:rFonts w:ascii="Garamond" w:hAnsi="Garamond" w:cs="Times New Roman"/>
          <w:lang w:val="en-GB"/>
        </w:rPr>
        <w:t xml:space="preserve">s research as having developed </w:t>
      </w:r>
      <w:r w:rsidRPr="00FF34F0">
        <w:rPr>
          <w:rFonts w:ascii="Garamond" w:hAnsi="Garamond" w:cs="Times New Roman"/>
          <w:lang w:val="en-GB"/>
        </w:rPr>
        <w:t xml:space="preserve">in a ‘near clinical’ manner </w:t>
      </w:r>
      <w:r w:rsidR="007101A5">
        <w:rPr>
          <w:rFonts w:ascii="Garamond" w:hAnsi="Garamond" w:cs="Times New Roman"/>
          <w:lang w:val="en-GB"/>
        </w:rPr>
        <w:t>‘</w:t>
      </w:r>
      <w:r w:rsidR="007101A5" w:rsidRPr="007101A5">
        <w:rPr>
          <w:rFonts w:ascii="Garamond" w:hAnsi="Garamond" w:cs="Times New Roman"/>
        </w:rPr>
        <w:t>with a predominant interest in microanalysis and the evaluatio</w:t>
      </w:r>
      <w:r w:rsidR="007101A5">
        <w:rPr>
          <w:rFonts w:ascii="Garamond" w:hAnsi="Garamond" w:cs="Times New Roman"/>
        </w:rPr>
        <w:t>n of discrete service interven</w:t>
      </w:r>
      <w:r w:rsidR="007101A5" w:rsidRPr="007101A5">
        <w:rPr>
          <w:rFonts w:ascii="Garamond" w:hAnsi="Garamond" w:cs="Times New Roman"/>
        </w:rPr>
        <w:t xml:space="preserve">tions (e.g. a new model of service delivery). There is a strong focus on the specification of clinical outcomes and cost effectiveness, albeit combined </w:t>
      </w:r>
      <w:r w:rsidR="007101A5">
        <w:rPr>
          <w:rFonts w:ascii="Garamond" w:hAnsi="Garamond" w:cs="Times New Roman"/>
        </w:rPr>
        <w:t>with some interest in organiza</w:t>
      </w:r>
      <w:r w:rsidR="007101A5" w:rsidRPr="007101A5">
        <w:rPr>
          <w:rFonts w:ascii="Garamond" w:hAnsi="Garamond" w:cs="Times New Roman"/>
        </w:rPr>
        <w:t xml:space="preserve">tional processes’. (2016, p7). </w:t>
      </w:r>
    </w:p>
    <w:p w14:paraId="4A97BE3B" w14:textId="77777777" w:rsidR="00471ADE" w:rsidRPr="00FF34F0" w:rsidRDefault="00471ADE" w:rsidP="006C51C5">
      <w:pPr>
        <w:autoSpaceDE w:val="0"/>
        <w:autoSpaceDN w:val="0"/>
        <w:adjustRightInd w:val="0"/>
        <w:rPr>
          <w:rFonts w:ascii="Garamond" w:eastAsia="Times New Roman" w:hAnsi="Garamond" w:cs="Times New Roman"/>
          <w:b/>
          <w:lang w:val="en-GB"/>
        </w:rPr>
      </w:pPr>
    </w:p>
    <w:p w14:paraId="46DBC08C" w14:textId="61E67D4A" w:rsidR="005F57AE" w:rsidRPr="007101A5" w:rsidRDefault="007101A5" w:rsidP="006C51C5">
      <w:pPr>
        <w:outlineLvl w:val="0"/>
        <w:rPr>
          <w:rFonts w:ascii="Garamond" w:eastAsia="Times New Roman" w:hAnsi="Garamond" w:cs="Times New Roman"/>
        </w:rPr>
      </w:pPr>
      <w:r w:rsidRPr="007101A5">
        <w:rPr>
          <w:rFonts w:ascii="Garamond" w:eastAsia="Times New Roman" w:hAnsi="Garamond" w:cs="Times New Roman"/>
        </w:rPr>
        <w:t>Our paper develops and extends a project aimed at fosteri</w:t>
      </w:r>
      <w:r>
        <w:rPr>
          <w:rFonts w:ascii="Garamond" w:eastAsia="Times New Roman" w:hAnsi="Garamond" w:cs="Times New Roman"/>
        </w:rPr>
        <w:t>ng dialogue between those work</w:t>
      </w:r>
      <w:r w:rsidRPr="007101A5">
        <w:rPr>
          <w:rFonts w:ascii="Garamond" w:eastAsia="Times New Roman" w:hAnsi="Garamond" w:cs="Times New Roman"/>
        </w:rPr>
        <w:t xml:space="preserve">ing at different positions on the ‘translational spectrum’ in healthcare research (Cribb 2018a). Whilst </w:t>
      </w:r>
      <w:proofErr w:type="spellStart"/>
      <w:r w:rsidRPr="007101A5">
        <w:rPr>
          <w:rFonts w:ascii="Garamond" w:eastAsia="Times New Roman" w:hAnsi="Garamond" w:cs="Times New Roman"/>
        </w:rPr>
        <w:t>recognising</w:t>
      </w:r>
      <w:proofErr w:type="spellEnd"/>
      <w:r w:rsidRPr="007101A5">
        <w:rPr>
          <w:rFonts w:ascii="Garamond" w:eastAsia="Times New Roman" w:hAnsi="Garamond" w:cs="Times New Roman"/>
        </w:rPr>
        <w:t xml:space="preserve"> the moral seriousness of research geared to the concerns of practitioners and policy, Cribb identifies a ‘</w:t>
      </w:r>
      <w:proofErr w:type="spellStart"/>
      <w:r w:rsidRPr="007101A5">
        <w:rPr>
          <w:rFonts w:ascii="Garamond" w:eastAsia="Times New Roman" w:hAnsi="Garamond" w:cs="Times New Roman"/>
        </w:rPr>
        <w:t>technicist</w:t>
      </w:r>
      <w:proofErr w:type="spellEnd"/>
      <w:r w:rsidRPr="007101A5">
        <w:rPr>
          <w:rFonts w:ascii="Garamond" w:eastAsia="Times New Roman" w:hAnsi="Garamond" w:cs="Times New Roman"/>
        </w:rPr>
        <w:t xml:space="preserve">’ impulse, defined as a focus on identifying technical solutions to healthcare problems, underpinned by a means-end rationality, with the end defined in operational terms. Cribb acknowledges that the </w:t>
      </w:r>
      <w:proofErr w:type="spellStart"/>
      <w:r w:rsidRPr="007101A5">
        <w:rPr>
          <w:rFonts w:ascii="Garamond" w:eastAsia="Times New Roman" w:hAnsi="Garamond" w:cs="Times New Roman"/>
        </w:rPr>
        <w:t>technicist</w:t>
      </w:r>
      <w:proofErr w:type="spellEnd"/>
      <w:r w:rsidRPr="007101A5">
        <w:rPr>
          <w:rFonts w:ascii="Garamond" w:eastAsia="Times New Roman" w:hAnsi="Garamond" w:cs="Times New Roman"/>
        </w:rPr>
        <w:t xml:space="preserve"> o</w:t>
      </w:r>
      <w:r>
        <w:rPr>
          <w:rFonts w:ascii="Garamond" w:eastAsia="Times New Roman" w:hAnsi="Garamond" w:cs="Times New Roman"/>
        </w:rPr>
        <w:t>rientation embodies some impor</w:t>
      </w:r>
      <w:r w:rsidRPr="007101A5">
        <w:rPr>
          <w:rFonts w:ascii="Garamond" w:eastAsia="Times New Roman" w:hAnsi="Garamond" w:cs="Times New Roman"/>
        </w:rPr>
        <w:t xml:space="preserve">tant values – it enables the measurement of effectiveness (important for professional account- ability), and facilitates communication and transparency. However, he argues that some values, perspectives and features of health care are neglected or obscured. </w:t>
      </w:r>
      <w:r w:rsidR="00F57971" w:rsidRPr="00FF34F0">
        <w:rPr>
          <w:rFonts w:ascii="Garamond" w:eastAsia="Times New Roman" w:hAnsi="Garamond" w:cs="Times New Roman"/>
          <w:lang w:val="en-GB"/>
        </w:rPr>
        <w:t xml:space="preserve">The ethos </w:t>
      </w:r>
      <w:r w:rsidR="007A3436" w:rsidRPr="00FF34F0">
        <w:rPr>
          <w:rFonts w:ascii="Garamond" w:eastAsia="Times New Roman" w:hAnsi="Garamond" w:cs="Times New Roman"/>
          <w:lang w:val="en-GB"/>
        </w:rPr>
        <w:t>is collaborative and inclusive</w:t>
      </w:r>
      <w:r w:rsidR="0095317A" w:rsidRPr="00FF34F0">
        <w:rPr>
          <w:rFonts w:ascii="Garamond" w:eastAsia="Times New Roman" w:hAnsi="Garamond" w:cs="Times New Roman"/>
          <w:lang w:val="en-GB"/>
        </w:rPr>
        <w:t>. The aim is to expand</w:t>
      </w:r>
      <w:r w:rsidR="0061405D" w:rsidRPr="00FF34F0">
        <w:rPr>
          <w:rFonts w:ascii="Garamond" w:eastAsia="Times New Roman" w:hAnsi="Garamond" w:cs="Times New Roman"/>
          <w:lang w:val="en-GB"/>
        </w:rPr>
        <w:t xml:space="preserve"> and enrich</w:t>
      </w:r>
      <w:r w:rsidR="00586A62" w:rsidRPr="00FF34F0">
        <w:rPr>
          <w:rFonts w:ascii="Garamond" w:eastAsia="Times New Roman" w:hAnsi="Garamond" w:cs="Times New Roman"/>
          <w:lang w:val="en-GB"/>
        </w:rPr>
        <w:t xml:space="preserve"> healthcare research, debate and policy through </w:t>
      </w:r>
      <w:r w:rsidR="00AE748C" w:rsidRPr="00FF34F0">
        <w:rPr>
          <w:rFonts w:ascii="Garamond" w:eastAsia="Times New Roman" w:hAnsi="Garamond" w:cs="Times New Roman"/>
          <w:lang w:val="en-GB"/>
        </w:rPr>
        <w:t xml:space="preserve">greater </w:t>
      </w:r>
      <w:r w:rsidR="00471ADE" w:rsidRPr="00FF34F0">
        <w:rPr>
          <w:rFonts w:ascii="Garamond" w:eastAsia="Times New Roman" w:hAnsi="Garamond" w:cs="Times New Roman"/>
          <w:lang w:val="en-GB"/>
        </w:rPr>
        <w:t xml:space="preserve">attention to the social, cultural and political dimensions of healthcare. </w:t>
      </w:r>
      <w:r w:rsidR="005F57AE" w:rsidRPr="00FF34F0">
        <w:rPr>
          <w:rFonts w:ascii="Garamond" w:eastAsia="Times New Roman" w:hAnsi="Garamond" w:cs="Times New Roman"/>
          <w:lang w:val="en-GB"/>
        </w:rPr>
        <w:t>A recent</w:t>
      </w:r>
      <w:r w:rsidR="006350EE" w:rsidRPr="00FF34F0">
        <w:rPr>
          <w:rFonts w:ascii="Garamond" w:eastAsia="Times New Roman" w:hAnsi="Garamond" w:cs="Times New Roman"/>
          <w:lang w:val="en-GB"/>
        </w:rPr>
        <w:t xml:space="preserve"> example of this project</w:t>
      </w:r>
      <w:r w:rsidR="002A41F0" w:rsidRPr="00FF34F0">
        <w:rPr>
          <w:rFonts w:ascii="Garamond" w:eastAsia="Times New Roman" w:hAnsi="Garamond" w:cs="Times New Roman"/>
          <w:lang w:val="en-GB"/>
        </w:rPr>
        <w:t xml:space="preserve"> </w:t>
      </w:r>
      <w:r w:rsidR="00C90461" w:rsidRPr="00FF34F0">
        <w:rPr>
          <w:rFonts w:ascii="Garamond" w:eastAsia="Times New Roman" w:hAnsi="Garamond" w:cs="Times New Roman"/>
          <w:lang w:val="en-GB"/>
        </w:rPr>
        <w:t xml:space="preserve">is </w:t>
      </w:r>
      <w:r w:rsidR="002A41F0" w:rsidRPr="00FF34F0">
        <w:rPr>
          <w:rFonts w:ascii="Garamond" w:eastAsia="Times New Roman" w:hAnsi="Garamond" w:cs="Times New Roman"/>
          <w:lang w:val="en-GB"/>
        </w:rPr>
        <w:t xml:space="preserve">the </w:t>
      </w:r>
      <w:r w:rsidR="00752449" w:rsidRPr="00FF34F0">
        <w:rPr>
          <w:rFonts w:ascii="Garamond" w:eastAsia="Times New Roman" w:hAnsi="Garamond" w:cs="Times New Roman"/>
          <w:lang w:val="en-GB"/>
        </w:rPr>
        <w:t>Sociology of Health</w:t>
      </w:r>
      <w:r w:rsidR="00C52FAA" w:rsidRPr="00FF34F0">
        <w:rPr>
          <w:rFonts w:ascii="Garamond" w:eastAsia="Times New Roman" w:hAnsi="Garamond" w:cs="Times New Roman"/>
          <w:lang w:val="en-GB"/>
        </w:rPr>
        <w:t xml:space="preserve"> </w:t>
      </w:r>
      <w:r w:rsidR="00F06395" w:rsidRPr="00FF34F0">
        <w:rPr>
          <w:rFonts w:ascii="Garamond" w:eastAsia="Times New Roman" w:hAnsi="Garamond" w:cs="Times New Roman"/>
          <w:lang w:val="en-GB"/>
        </w:rPr>
        <w:t>and Illness mono</w:t>
      </w:r>
      <w:r w:rsidR="00752449" w:rsidRPr="00FF34F0">
        <w:rPr>
          <w:rFonts w:ascii="Garamond" w:eastAsia="Times New Roman" w:hAnsi="Garamond" w:cs="Times New Roman"/>
          <w:lang w:val="en-GB"/>
        </w:rPr>
        <w:t>graph on safety (Allen et al</w:t>
      </w:r>
      <w:r w:rsidR="001655C0" w:rsidRPr="00FF34F0">
        <w:rPr>
          <w:rFonts w:ascii="Garamond" w:eastAsia="Times New Roman" w:hAnsi="Garamond" w:cs="Times New Roman"/>
          <w:lang w:val="en-GB"/>
        </w:rPr>
        <w:t xml:space="preserve"> 2016</w:t>
      </w:r>
      <w:r w:rsidR="00752449" w:rsidRPr="00FF34F0">
        <w:rPr>
          <w:rFonts w:ascii="Garamond" w:eastAsia="Times New Roman" w:hAnsi="Garamond" w:cs="Times New Roman"/>
          <w:lang w:val="en-GB"/>
        </w:rPr>
        <w:t>). In a review of policy, practice and research on healthcare quality and safety</w:t>
      </w:r>
      <w:r w:rsidR="001655C0" w:rsidRPr="00FF34F0">
        <w:rPr>
          <w:rFonts w:ascii="Garamond" w:eastAsia="Times New Roman" w:hAnsi="Garamond" w:cs="Times New Roman"/>
          <w:lang w:val="en-GB"/>
        </w:rPr>
        <w:t>,</w:t>
      </w:r>
      <w:r w:rsidR="00C52FAA" w:rsidRPr="00FF34F0">
        <w:rPr>
          <w:rFonts w:ascii="Garamond" w:eastAsia="Times New Roman" w:hAnsi="Garamond" w:cs="Times New Roman"/>
          <w:lang w:val="en-GB"/>
        </w:rPr>
        <w:t xml:space="preserve"> </w:t>
      </w:r>
      <w:proofErr w:type="gramStart"/>
      <w:r w:rsidR="00C52FAA" w:rsidRPr="00FF34F0">
        <w:rPr>
          <w:rFonts w:ascii="Garamond" w:eastAsia="Times New Roman" w:hAnsi="Garamond" w:cs="Times New Roman"/>
          <w:lang w:val="en-GB"/>
        </w:rPr>
        <w:t>Waring</w:t>
      </w:r>
      <w:proofErr w:type="gramEnd"/>
      <w:r w:rsidR="00C52FAA" w:rsidRPr="00FF34F0">
        <w:rPr>
          <w:rFonts w:ascii="Garamond" w:eastAsia="Times New Roman" w:hAnsi="Garamond" w:cs="Times New Roman"/>
          <w:lang w:val="en-GB"/>
        </w:rPr>
        <w:t xml:space="preserve"> et </w:t>
      </w:r>
      <w:r w:rsidR="001655C0" w:rsidRPr="00FF34F0">
        <w:rPr>
          <w:rFonts w:ascii="Garamond" w:eastAsia="Times New Roman" w:hAnsi="Garamond" w:cs="Times New Roman"/>
          <w:lang w:val="en-GB"/>
        </w:rPr>
        <w:t xml:space="preserve">al (2016) </w:t>
      </w:r>
      <w:r w:rsidR="006350EE" w:rsidRPr="00FF34F0">
        <w:rPr>
          <w:rFonts w:ascii="Garamond" w:eastAsia="Times New Roman" w:hAnsi="Garamond" w:cs="Times New Roman"/>
          <w:lang w:val="en-GB"/>
        </w:rPr>
        <w:t xml:space="preserve">identify an </w:t>
      </w:r>
      <w:r w:rsidR="00752449" w:rsidRPr="00FF34F0">
        <w:rPr>
          <w:rFonts w:ascii="Garamond" w:eastAsia="Times New Roman" w:hAnsi="Garamond" w:cs="Times New Roman"/>
          <w:lang w:val="en-GB"/>
        </w:rPr>
        <w:t>‘orthodox paradigm’</w:t>
      </w:r>
      <w:r w:rsidR="001655C0" w:rsidRPr="00FF34F0">
        <w:rPr>
          <w:rFonts w:ascii="Garamond" w:eastAsia="Times New Roman" w:hAnsi="Garamond" w:cs="Times New Roman"/>
          <w:lang w:val="en-GB"/>
        </w:rPr>
        <w:t xml:space="preserve">, </w:t>
      </w:r>
      <w:r w:rsidR="00D573E8" w:rsidRPr="00FF34F0">
        <w:rPr>
          <w:rFonts w:ascii="Garamond" w:eastAsia="Times New Roman" w:hAnsi="Garamond" w:cs="Times New Roman"/>
          <w:lang w:val="en-GB"/>
        </w:rPr>
        <w:t>which draws on</w:t>
      </w:r>
      <w:r w:rsidR="006350EE" w:rsidRPr="00FF34F0">
        <w:rPr>
          <w:rFonts w:ascii="Garamond" w:eastAsia="Times New Roman" w:hAnsi="Garamond" w:cs="Times New Roman"/>
          <w:lang w:val="en-GB"/>
        </w:rPr>
        <w:t xml:space="preserve"> clinical and behavioural sciences, </w:t>
      </w:r>
      <w:r w:rsidR="00752449" w:rsidRPr="00FF34F0">
        <w:rPr>
          <w:rFonts w:ascii="Garamond" w:eastAsia="Times New Roman" w:hAnsi="Garamond" w:cs="Times New Roman"/>
          <w:lang w:val="en-GB"/>
        </w:rPr>
        <w:t>a</w:t>
      </w:r>
      <w:r w:rsidR="006350EE" w:rsidRPr="00FF34F0">
        <w:rPr>
          <w:rFonts w:ascii="Garamond" w:eastAsia="Times New Roman" w:hAnsi="Garamond" w:cs="Times New Roman"/>
          <w:lang w:val="en-GB"/>
        </w:rPr>
        <w:t>nd a</w:t>
      </w:r>
      <w:r w:rsidR="00752449" w:rsidRPr="00FF34F0">
        <w:rPr>
          <w:rFonts w:ascii="Garamond" w:eastAsia="Times New Roman" w:hAnsi="Garamond" w:cs="Times New Roman"/>
          <w:lang w:val="en-GB"/>
        </w:rPr>
        <w:t xml:space="preserve"> broader ‘sociological’ paradigm.  Although sociology has already made a signific</w:t>
      </w:r>
      <w:r w:rsidR="001655C0" w:rsidRPr="00FF34F0">
        <w:rPr>
          <w:rFonts w:ascii="Garamond" w:eastAsia="Times New Roman" w:hAnsi="Garamond" w:cs="Times New Roman"/>
          <w:lang w:val="en-GB"/>
        </w:rPr>
        <w:t xml:space="preserve">ant contribution in this area, </w:t>
      </w:r>
      <w:proofErr w:type="gramStart"/>
      <w:r w:rsidR="001655C0" w:rsidRPr="00FF34F0">
        <w:rPr>
          <w:rFonts w:ascii="Garamond" w:eastAsia="Times New Roman" w:hAnsi="Garamond" w:cs="Times New Roman"/>
          <w:lang w:val="en-GB"/>
        </w:rPr>
        <w:t>W</w:t>
      </w:r>
      <w:r w:rsidR="00752449" w:rsidRPr="00FF34F0">
        <w:rPr>
          <w:rFonts w:ascii="Garamond" w:eastAsia="Times New Roman" w:hAnsi="Garamond" w:cs="Times New Roman"/>
          <w:lang w:val="en-GB"/>
        </w:rPr>
        <w:t>aring</w:t>
      </w:r>
      <w:proofErr w:type="gramEnd"/>
      <w:r w:rsidR="00752449" w:rsidRPr="00FF34F0">
        <w:rPr>
          <w:rFonts w:ascii="Garamond" w:eastAsia="Times New Roman" w:hAnsi="Garamond" w:cs="Times New Roman"/>
          <w:lang w:val="en-GB"/>
        </w:rPr>
        <w:t xml:space="preserve"> et al identify addition contributions, both critical and complimentary, that enable a fuller understanding of quality and safety. </w:t>
      </w:r>
    </w:p>
    <w:p w14:paraId="19D582DE" w14:textId="77777777" w:rsidR="005F57AE" w:rsidRPr="00FF34F0" w:rsidRDefault="005F57AE" w:rsidP="006C51C5">
      <w:pPr>
        <w:outlineLvl w:val="0"/>
        <w:rPr>
          <w:rFonts w:ascii="Garamond" w:eastAsia="Times New Roman" w:hAnsi="Garamond" w:cs="Times New Roman"/>
          <w:lang w:val="en-GB"/>
        </w:rPr>
      </w:pPr>
    </w:p>
    <w:p w14:paraId="58A3A616" w14:textId="56C46F09" w:rsidR="007B1FD4" w:rsidRPr="00FF34F0" w:rsidRDefault="00020C70" w:rsidP="006C51C5">
      <w:pPr>
        <w:outlineLvl w:val="0"/>
        <w:rPr>
          <w:rFonts w:ascii="Garamond" w:eastAsia="Times New Roman" w:hAnsi="Garamond" w:cs="Times New Roman"/>
          <w:b/>
          <w:lang w:val="en-GB"/>
        </w:rPr>
      </w:pPr>
      <w:r w:rsidRPr="00FF34F0">
        <w:rPr>
          <w:rFonts w:ascii="Garamond" w:eastAsia="Times New Roman" w:hAnsi="Garamond" w:cs="Times New Roman"/>
          <w:lang w:val="en-GB"/>
        </w:rPr>
        <w:t>W</w:t>
      </w:r>
      <w:r w:rsidR="00645FBB" w:rsidRPr="00FF34F0">
        <w:rPr>
          <w:rFonts w:ascii="Garamond" w:eastAsia="Times New Roman" w:hAnsi="Garamond" w:cs="Times New Roman"/>
          <w:lang w:val="en-GB"/>
        </w:rPr>
        <w:t>e extend this lens</w:t>
      </w:r>
      <w:r w:rsidR="007B1FD4" w:rsidRPr="00FF34F0">
        <w:rPr>
          <w:rFonts w:ascii="Garamond" w:eastAsia="Times New Roman" w:hAnsi="Garamond" w:cs="Times New Roman"/>
          <w:lang w:val="en-GB"/>
        </w:rPr>
        <w:t xml:space="preserve"> to large-sca</w:t>
      </w:r>
      <w:r w:rsidR="00314462" w:rsidRPr="00FF34F0">
        <w:rPr>
          <w:rFonts w:ascii="Garamond" w:eastAsia="Times New Roman" w:hAnsi="Garamond" w:cs="Times New Roman"/>
          <w:lang w:val="en-GB"/>
        </w:rPr>
        <w:t>le changes to clinical services</w:t>
      </w:r>
      <w:r w:rsidR="007B1FD4" w:rsidRPr="00FF34F0">
        <w:rPr>
          <w:rFonts w:ascii="Garamond" w:eastAsia="Times New Roman" w:hAnsi="Garamond" w:cs="Times New Roman"/>
          <w:lang w:val="en-GB"/>
        </w:rPr>
        <w:t xml:space="preserve">. Our analysis is </w:t>
      </w:r>
      <w:r w:rsidR="009D28CA" w:rsidRPr="00FF34F0">
        <w:rPr>
          <w:rFonts w:ascii="Garamond" w:eastAsia="Times New Roman" w:hAnsi="Garamond" w:cs="Times New Roman"/>
          <w:lang w:val="en-GB"/>
        </w:rPr>
        <w:t>informed</w:t>
      </w:r>
      <w:r w:rsidR="007A5CE6" w:rsidRPr="00FF34F0">
        <w:rPr>
          <w:rFonts w:ascii="Garamond" w:eastAsia="Times New Roman" w:hAnsi="Garamond" w:cs="Times New Roman"/>
          <w:lang w:val="en-GB"/>
        </w:rPr>
        <w:t xml:space="preserve"> by a review of </w:t>
      </w:r>
      <w:r w:rsidR="007B1FD4" w:rsidRPr="00FF34F0">
        <w:rPr>
          <w:rFonts w:ascii="Garamond" w:eastAsia="Times New Roman" w:hAnsi="Garamond" w:cs="Times New Roman"/>
          <w:lang w:val="en-GB"/>
        </w:rPr>
        <w:t xml:space="preserve">research </w:t>
      </w:r>
      <w:r w:rsidR="007A3436" w:rsidRPr="00FF34F0">
        <w:rPr>
          <w:rFonts w:ascii="Garamond" w:eastAsia="Times New Roman" w:hAnsi="Garamond" w:cs="Times New Roman"/>
          <w:lang w:val="en-GB"/>
        </w:rPr>
        <w:t xml:space="preserve">on </w:t>
      </w:r>
      <w:r w:rsidR="0061405D" w:rsidRPr="00FF34F0">
        <w:rPr>
          <w:rFonts w:ascii="Garamond" w:eastAsia="Times New Roman" w:hAnsi="Garamond" w:cs="Times New Roman"/>
          <w:lang w:val="en-GB"/>
        </w:rPr>
        <w:t xml:space="preserve">this topic. </w:t>
      </w:r>
      <w:r w:rsidR="009F1B93" w:rsidRPr="00FF34F0">
        <w:rPr>
          <w:rFonts w:ascii="Garamond" w:hAnsi="Garamond" w:cs="Times New Roman"/>
          <w:lang w:val="en-GB"/>
        </w:rPr>
        <w:t>For this</w:t>
      </w:r>
      <w:r w:rsidR="009D28CA" w:rsidRPr="00FF34F0">
        <w:rPr>
          <w:rFonts w:ascii="Garamond" w:hAnsi="Garamond" w:cs="Times New Roman"/>
          <w:lang w:val="en-GB"/>
        </w:rPr>
        <w:t xml:space="preserve"> review we defined large-scale</w:t>
      </w:r>
      <w:r w:rsidR="007B1FD4" w:rsidRPr="00FF34F0">
        <w:rPr>
          <w:rFonts w:ascii="Garamond" w:hAnsi="Garamond" w:cs="Times New Roman"/>
          <w:lang w:val="en-GB"/>
        </w:rPr>
        <w:t xml:space="preserve"> change as: </w:t>
      </w:r>
    </w:p>
    <w:p w14:paraId="1927776E" w14:textId="77777777" w:rsidR="007B1FD4" w:rsidRPr="00FF34F0" w:rsidRDefault="007B1FD4" w:rsidP="006C51C5">
      <w:pPr>
        <w:outlineLvl w:val="0"/>
        <w:rPr>
          <w:rFonts w:ascii="Garamond" w:hAnsi="Garamond" w:cs="Times New Roman"/>
          <w:lang w:val="en-GB"/>
        </w:rPr>
      </w:pPr>
    </w:p>
    <w:p w14:paraId="1A1D7DD9" w14:textId="77777777" w:rsidR="007B1FD4" w:rsidRPr="00FF34F0" w:rsidRDefault="007B1FD4" w:rsidP="006C51C5">
      <w:pPr>
        <w:ind w:left="284" w:right="284"/>
        <w:outlineLvl w:val="0"/>
        <w:rPr>
          <w:rFonts w:ascii="Garamond" w:hAnsi="Garamond" w:cs="Times New Roman"/>
          <w:lang w:val="en-GB"/>
        </w:rPr>
      </w:pPr>
      <w:r w:rsidRPr="00FF34F0">
        <w:rPr>
          <w:rFonts w:ascii="Garamond" w:hAnsi="Garamond" w:cs="Times New Roman"/>
          <w:lang w:val="en-GB"/>
        </w:rPr>
        <w:t xml:space="preserve">Policies, strategies or interventions that aim to transform the way multiple care services are coordinated at the inter- and intra-organisational level to address </w:t>
      </w:r>
      <w:proofErr w:type="gramStart"/>
      <w:r w:rsidRPr="00FF34F0">
        <w:rPr>
          <w:rFonts w:ascii="Garamond" w:hAnsi="Garamond" w:cs="Times New Roman"/>
          <w:lang w:val="en-GB"/>
        </w:rPr>
        <w:t>a single service areas</w:t>
      </w:r>
      <w:proofErr w:type="gramEnd"/>
      <w:r w:rsidRPr="00FF34F0">
        <w:rPr>
          <w:rFonts w:ascii="Garamond" w:hAnsi="Garamond" w:cs="Times New Roman"/>
          <w:lang w:val="en-GB"/>
        </w:rPr>
        <w:t xml:space="preserve"> (e.g. stroke) or integrated service domain (e.g. primary care).</w:t>
      </w:r>
    </w:p>
    <w:p w14:paraId="78719ADC" w14:textId="77777777" w:rsidR="007B1FD4" w:rsidRPr="00FF34F0" w:rsidRDefault="007B1FD4" w:rsidP="006C51C5">
      <w:pPr>
        <w:ind w:right="284"/>
        <w:rPr>
          <w:rFonts w:ascii="Garamond" w:hAnsi="Garamond" w:cs="Times New Roman"/>
          <w:b/>
          <w:lang w:val="en-GB"/>
        </w:rPr>
      </w:pPr>
    </w:p>
    <w:p w14:paraId="394EF07E" w14:textId="27C57A80" w:rsidR="007B1FD4" w:rsidRPr="00FF34F0" w:rsidRDefault="00DA53AB" w:rsidP="006C51C5">
      <w:pPr>
        <w:rPr>
          <w:rFonts w:ascii="Garamond" w:eastAsia="Times New Roman" w:hAnsi="Garamond" w:cs="Times New Roman"/>
          <w:lang w:val="en-GB"/>
        </w:rPr>
      </w:pPr>
      <w:r w:rsidRPr="00FF34F0">
        <w:rPr>
          <w:rFonts w:ascii="Garamond" w:hAnsi="Garamond" w:cs="Times New Roman"/>
          <w:lang w:val="en-GB"/>
        </w:rPr>
        <w:t>We</w:t>
      </w:r>
      <w:r w:rsidR="007B1FD4" w:rsidRPr="00FF34F0">
        <w:rPr>
          <w:rFonts w:ascii="Garamond" w:hAnsi="Garamond" w:cs="Times New Roman"/>
          <w:lang w:val="en-GB"/>
        </w:rPr>
        <w:t xml:space="preserve"> searched relevant databases (</w:t>
      </w:r>
      <w:proofErr w:type="spellStart"/>
      <w:r w:rsidR="007B1FD4" w:rsidRPr="00FF34F0">
        <w:rPr>
          <w:rFonts w:ascii="Garamond" w:hAnsi="Garamond" w:cs="Times New Roman"/>
          <w:lang w:val="en-GB"/>
        </w:rPr>
        <w:t>Pubmed</w:t>
      </w:r>
      <w:proofErr w:type="spellEnd"/>
      <w:r w:rsidR="007B1FD4" w:rsidRPr="00FF34F0">
        <w:rPr>
          <w:rFonts w:ascii="Garamond" w:hAnsi="Garamond" w:cs="Times New Roman"/>
          <w:lang w:val="en-GB"/>
        </w:rPr>
        <w:t xml:space="preserve">, ProQuest, Scopus, Google Scholar) </w:t>
      </w:r>
      <w:r w:rsidR="00E13F25" w:rsidRPr="00FF34F0">
        <w:rPr>
          <w:rFonts w:ascii="Garamond" w:hAnsi="Garamond" w:cs="Times New Roman"/>
          <w:lang w:val="en-GB"/>
        </w:rPr>
        <w:t xml:space="preserve">for research published </w:t>
      </w:r>
      <w:r w:rsidR="00807AEE" w:rsidRPr="00FF34F0">
        <w:rPr>
          <w:rFonts w:ascii="Garamond" w:hAnsi="Garamond" w:cs="Times New Roman"/>
          <w:lang w:val="en-GB"/>
        </w:rPr>
        <w:t>in the last 10 years (</w:t>
      </w:r>
      <w:r w:rsidR="00E13F25" w:rsidRPr="00FF34F0">
        <w:rPr>
          <w:rFonts w:ascii="Garamond" w:hAnsi="Garamond" w:cs="Times New Roman"/>
          <w:lang w:val="en-GB"/>
        </w:rPr>
        <w:t>since 2006</w:t>
      </w:r>
      <w:r w:rsidR="00807AEE" w:rsidRPr="00FF34F0">
        <w:rPr>
          <w:rFonts w:ascii="Garamond" w:hAnsi="Garamond" w:cs="Times New Roman"/>
          <w:lang w:val="en-GB"/>
        </w:rPr>
        <w:t>)</w:t>
      </w:r>
      <w:r w:rsidR="00E13F25" w:rsidRPr="00FF34F0">
        <w:rPr>
          <w:rFonts w:ascii="Garamond" w:hAnsi="Garamond" w:cs="Times New Roman"/>
          <w:lang w:val="en-GB"/>
        </w:rPr>
        <w:t xml:space="preserve"> </w:t>
      </w:r>
      <w:r w:rsidR="007B1FD4" w:rsidRPr="00FF34F0">
        <w:rPr>
          <w:rFonts w:ascii="Garamond" w:hAnsi="Garamond" w:cs="Times New Roman"/>
          <w:lang w:val="en-GB"/>
        </w:rPr>
        <w:t>using a range of terms including ‘healthcare’ (health care)</w:t>
      </w:r>
      <w:r w:rsidR="00EA3CC8" w:rsidRPr="00FF34F0">
        <w:rPr>
          <w:rFonts w:ascii="Garamond" w:hAnsi="Garamond" w:cs="Times New Roman"/>
          <w:lang w:val="en-GB"/>
        </w:rPr>
        <w:t>, ‘major system’</w:t>
      </w:r>
      <w:r w:rsidR="007B1FD4" w:rsidRPr="00FF34F0">
        <w:rPr>
          <w:rFonts w:ascii="Garamond" w:hAnsi="Garamond" w:cs="Times New Roman"/>
          <w:lang w:val="en-GB"/>
        </w:rPr>
        <w:t xml:space="preserve">; </w:t>
      </w:r>
      <w:r w:rsidR="007B1FD4" w:rsidRPr="00FF34F0">
        <w:rPr>
          <w:rFonts w:ascii="Garamond" w:eastAsia="Times New Roman" w:hAnsi="Garamond" w:cs="Times New Roman"/>
          <w:lang w:val="en-GB"/>
        </w:rPr>
        <w:t>‘whole system’; ‘service’; ‘reconfiguration’, ‘change’, ‘reform’, ‘centralisation’, ‘regionalisation’, ‘implementation’, ‘policy process’, ‘leadership’ and ‘workforce’. We excluded clinical studies, studies of single organisations, studies from low and middle income countries, and</w:t>
      </w:r>
      <w:r w:rsidR="00314462" w:rsidRPr="00FF34F0">
        <w:rPr>
          <w:rFonts w:ascii="Garamond" w:eastAsia="Times New Roman" w:hAnsi="Garamond" w:cs="Times New Roman"/>
          <w:lang w:val="en-GB"/>
        </w:rPr>
        <w:t xml:space="preserve"> macro-level studies of health system-wide</w:t>
      </w:r>
      <w:r w:rsidR="007B1FD4" w:rsidRPr="00FF34F0">
        <w:rPr>
          <w:rFonts w:ascii="Garamond" w:eastAsia="Times New Roman" w:hAnsi="Garamond" w:cs="Times New Roman"/>
          <w:lang w:val="en-GB"/>
        </w:rPr>
        <w:t xml:space="preserve"> restructuring. Limited resources meant we were restricted to English-language studies. This strategy produced 322 papers. We then read the abstracts of these papers, excluding those that did not meet our definition of </w:t>
      </w:r>
      <w:r w:rsidR="00197B74" w:rsidRPr="00FF34F0">
        <w:rPr>
          <w:rFonts w:ascii="Garamond" w:eastAsia="Times New Roman" w:hAnsi="Garamond" w:cs="Times New Roman"/>
          <w:lang w:val="en-GB"/>
        </w:rPr>
        <w:t>large-scale</w:t>
      </w:r>
      <w:r w:rsidR="00013BC2" w:rsidRPr="00FF34F0">
        <w:rPr>
          <w:rFonts w:ascii="Garamond" w:eastAsia="Times New Roman" w:hAnsi="Garamond" w:cs="Times New Roman"/>
          <w:lang w:val="en-GB"/>
        </w:rPr>
        <w:t xml:space="preserve"> change. This left 24</w:t>
      </w:r>
      <w:r w:rsidR="007B1FD4" w:rsidRPr="00FF34F0">
        <w:rPr>
          <w:rFonts w:ascii="Garamond" w:eastAsia="Times New Roman" w:hAnsi="Garamond" w:cs="Times New Roman"/>
          <w:lang w:val="en-GB"/>
        </w:rPr>
        <w:t xml:space="preserve"> papers for our review. To these we added two reviews identified from the ‘grey’ literature (</w:t>
      </w:r>
      <w:proofErr w:type="spellStart"/>
      <w:r w:rsidR="007B1FD4" w:rsidRPr="00FF34F0">
        <w:rPr>
          <w:rFonts w:ascii="Garamond" w:eastAsia="Times New Roman" w:hAnsi="Garamond" w:cs="Times New Roman"/>
          <w:lang w:val="en-GB"/>
        </w:rPr>
        <w:t>Im</w:t>
      </w:r>
      <w:r w:rsidR="00F61276" w:rsidRPr="00FF34F0">
        <w:rPr>
          <w:rFonts w:ascii="Garamond" w:eastAsia="Times New Roman" w:hAnsi="Garamond" w:cs="Times New Roman"/>
          <w:lang w:val="en-GB"/>
        </w:rPr>
        <w:t>m</w:t>
      </w:r>
      <w:r w:rsidR="007B1FD4" w:rsidRPr="00FF34F0">
        <w:rPr>
          <w:rFonts w:ascii="Garamond" w:eastAsia="Times New Roman" w:hAnsi="Garamond" w:cs="Times New Roman"/>
          <w:lang w:val="en-GB"/>
        </w:rPr>
        <w:t>ison</w:t>
      </w:r>
      <w:proofErr w:type="spellEnd"/>
      <w:r w:rsidR="007B1FD4" w:rsidRPr="00FF34F0">
        <w:rPr>
          <w:rFonts w:ascii="Garamond" w:eastAsia="Times New Roman" w:hAnsi="Garamond" w:cs="Times New Roman"/>
          <w:lang w:val="en-GB"/>
        </w:rPr>
        <w:t xml:space="preserve"> et al 2014</w:t>
      </w:r>
      <w:r w:rsidR="00F61276" w:rsidRPr="00FF34F0">
        <w:rPr>
          <w:rFonts w:ascii="Garamond" w:eastAsia="Times New Roman" w:hAnsi="Garamond" w:cs="Times New Roman"/>
          <w:lang w:val="en-GB"/>
        </w:rPr>
        <w:t>, Spurgeon et al 2010</w:t>
      </w:r>
      <w:r w:rsidR="007B1FD4" w:rsidRPr="00FF34F0">
        <w:rPr>
          <w:rFonts w:ascii="Garamond" w:eastAsia="Times New Roman" w:hAnsi="Garamond" w:cs="Times New Roman"/>
          <w:lang w:val="en-GB"/>
        </w:rPr>
        <w:t xml:space="preserve">). </w:t>
      </w:r>
      <w:r w:rsidR="00013BC2" w:rsidRPr="00FF34F0">
        <w:rPr>
          <w:rFonts w:ascii="Garamond" w:hAnsi="Garamond" w:cs="Times New Roman"/>
          <w:lang w:val="en-GB"/>
        </w:rPr>
        <w:t>Of these 26</w:t>
      </w:r>
      <w:r w:rsidR="000A2599" w:rsidRPr="00FF34F0">
        <w:rPr>
          <w:rFonts w:ascii="Garamond" w:hAnsi="Garamond" w:cs="Times New Roman"/>
          <w:lang w:val="en-GB"/>
        </w:rPr>
        <w:t xml:space="preserve"> studies, 6</w:t>
      </w:r>
      <w:r w:rsidR="007B1FD4" w:rsidRPr="00FF34F0">
        <w:rPr>
          <w:rFonts w:ascii="Garamond" w:hAnsi="Garamond" w:cs="Times New Roman"/>
          <w:lang w:val="en-GB"/>
        </w:rPr>
        <w:t xml:space="preserve"> were reviews of the international literature</w:t>
      </w:r>
      <w:r w:rsidR="00F61276" w:rsidRPr="00FF34F0">
        <w:rPr>
          <w:rFonts w:ascii="Garamond" w:hAnsi="Garamond" w:cs="Times New Roman"/>
          <w:lang w:val="en-GB"/>
        </w:rPr>
        <w:t xml:space="preserve"> (</w:t>
      </w:r>
      <w:proofErr w:type="spellStart"/>
      <w:r w:rsidR="00F61276" w:rsidRPr="00FF34F0">
        <w:rPr>
          <w:rFonts w:ascii="Garamond" w:hAnsi="Garamond" w:cs="Times New Roman"/>
          <w:lang w:val="en-GB"/>
        </w:rPr>
        <w:t>Balasubramian</w:t>
      </w:r>
      <w:proofErr w:type="spellEnd"/>
      <w:r w:rsidR="00F61276" w:rsidRPr="00FF34F0">
        <w:rPr>
          <w:rFonts w:ascii="Garamond" w:hAnsi="Garamond" w:cs="Times New Roman"/>
          <w:lang w:val="en-GB"/>
        </w:rPr>
        <w:t xml:space="preserve"> et al 2016, Dalton et al 2015, </w:t>
      </w:r>
      <w:proofErr w:type="spellStart"/>
      <w:r w:rsidR="00F61276" w:rsidRPr="00FF34F0">
        <w:rPr>
          <w:rFonts w:ascii="Garamond" w:hAnsi="Garamond" w:cs="Times New Roman"/>
          <w:lang w:val="en-GB"/>
        </w:rPr>
        <w:t>Immison</w:t>
      </w:r>
      <w:proofErr w:type="spellEnd"/>
      <w:r w:rsidR="00F61276" w:rsidRPr="00FF34F0">
        <w:rPr>
          <w:rFonts w:ascii="Garamond" w:hAnsi="Garamond" w:cs="Times New Roman"/>
          <w:lang w:val="en-GB"/>
        </w:rPr>
        <w:t xml:space="preserve"> et al 2014, Perla et al 2013, Best et al 2012</w:t>
      </w:r>
      <w:r w:rsidR="00F05172" w:rsidRPr="00FF34F0">
        <w:rPr>
          <w:rFonts w:ascii="Garamond" w:hAnsi="Garamond" w:cs="Times New Roman"/>
          <w:lang w:val="en-GB"/>
        </w:rPr>
        <w:t>, Spurgeon et al 2010</w:t>
      </w:r>
      <w:r w:rsidR="00F61276" w:rsidRPr="00FF34F0">
        <w:rPr>
          <w:rFonts w:ascii="Garamond" w:hAnsi="Garamond" w:cs="Times New Roman"/>
          <w:lang w:val="en-GB"/>
        </w:rPr>
        <w:t>)</w:t>
      </w:r>
      <w:r w:rsidR="00013BC2" w:rsidRPr="00FF34F0">
        <w:rPr>
          <w:rFonts w:ascii="Garamond" w:hAnsi="Garamond" w:cs="Times New Roman"/>
          <w:lang w:val="en-GB"/>
        </w:rPr>
        <w:t>.</w:t>
      </w:r>
      <w:r w:rsidR="007B1FD4" w:rsidRPr="00FF34F0">
        <w:rPr>
          <w:rFonts w:ascii="Garamond" w:hAnsi="Garamond" w:cs="Times New Roman"/>
          <w:lang w:val="en-GB"/>
        </w:rPr>
        <w:t xml:space="preserve"> The remaini</w:t>
      </w:r>
      <w:r w:rsidR="000A2599" w:rsidRPr="00FF34F0">
        <w:rPr>
          <w:rFonts w:ascii="Garamond" w:hAnsi="Garamond" w:cs="Times New Roman"/>
          <w:lang w:val="en-GB"/>
        </w:rPr>
        <w:t>ng studies were from England (</w:t>
      </w:r>
      <w:r w:rsidR="00F61276" w:rsidRPr="00FF34F0">
        <w:rPr>
          <w:rFonts w:ascii="Garamond" w:hAnsi="Garamond" w:cs="Times New Roman"/>
          <w:lang w:val="en-GB"/>
        </w:rPr>
        <w:t>Turner et al 2016,</w:t>
      </w:r>
      <w:r w:rsidR="00013BC2" w:rsidRPr="00FF34F0">
        <w:rPr>
          <w:rFonts w:ascii="Garamond" w:hAnsi="Garamond" w:cs="Times New Roman"/>
          <w:lang w:val="en-GB"/>
        </w:rPr>
        <w:t xml:space="preserve"> M</w:t>
      </w:r>
      <w:r w:rsidR="00D36DE1" w:rsidRPr="00FF34F0">
        <w:rPr>
          <w:rFonts w:ascii="Garamond" w:hAnsi="Garamond" w:cs="Times New Roman"/>
          <w:lang w:val="en-GB"/>
        </w:rPr>
        <w:t>a</w:t>
      </w:r>
      <w:r w:rsidR="00013BC2" w:rsidRPr="00FF34F0">
        <w:rPr>
          <w:rFonts w:ascii="Garamond" w:hAnsi="Garamond" w:cs="Times New Roman"/>
          <w:lang w:val="en-GB"/>
        </w:rPr>
        <w:t xml:space="preserve">cFarlane et al 2013, </w:t>
      </w:r>
      <w:proofErr w:type="spellStart"/>
      <w:r w:rsidR="00013BC2" w:rsidRPr="00FF34F0">
        <w:rPr>
          <w:rFonts w:ascii="Garamond" w:hAnsi="Garamond" w:cs="Times New Roman"/>
          <w:lang w:val="en-GB"/>
        </w:rPr>
        <w:t>Greenhalgh</w:t>
      </w:r>
      <w:proofErr w:type="spellEnd"/>
      <w:r w:rsidR="00013BC2" w:rsidRPr="00FF34F0">
        <w:rPr>
          <w:rFonts w:ascii="Garamond" w:hAnsi="Garamond" w:cs="Times New Roman"/>
          <w:lang w:val="en-GB"/>
        </w:rPr>
        <w:t xml:space="preserve"> et al 2012, MacFarlane et al 2011, Hunter et al 2014, </w:t>
      </w:r>
      <w:proofErr w:type="spellStart"/>
      <w:r w:rsidR="00013BC2" w:rsidRPr="00FF34F0">
        <w:rPr>
          <w:rFonts w:ascii="Garamond" w:hAnsi="Garamond" w:cs="Times New Roman"/>
          <w:lang w:val="en-GB"/>
        </w:rPr>
        <w:t>Greenhal</w:t>
      </w:r>
      <w:r w:rsidR="003D3EB3">
        <w:rPr>
          <w:rFonts w:ascii="Garamond" w:hAnsi="Garamond" w:cs="Times New Roman"/>
          <w:lang w:val="en-GB"/>
        </w:rPr>
        <w:t>gh</w:t>
      </w:r>
      <w:proofErr w:type="spellEnd"/>
      <w:r w:rsidR="003D3EB3">
        <w:rPr>
          <w:rFonts w:ascii="Garamond" w:hAnsi="Garamond" w:cs="Times New Roman"/>
          <w:lang w:val="en-GB"/>
        </w:rPr>
        <w:t xml:space="preserve"> et al 2009, Barratt et al 201</w:t>
      </w:r>
      <w:r w:rsidR="00013BC2" w:rsidRPr="00FF34F0">
        <w:rPr>
          <w:rFonts w:ascii="Garamond" w:hAnsi="Garamond" w:cs="Times New Roman"/>
          <w:lang w:val="en-GB"/>
        </w:rPr>
        <w:t xml:space="preserve">5, Morris et al 2014, </w:t>
      </w:r>
      <w:proofErr w:type="spellStart"/>
      <w:r w:rsidR="00013BC2" w:rsidRPr="00FF34F0">
        <w:rPr>
          <w:rFonts w:ascii="Garamond" w:hAnsi="Garamond" w:cs="Times New Roman"/>
          <w:lang w:val="en-GB"/>
        </w:rPr>
        <w:t>Fulop</w:t>
      </w:r>
      <w:proofErr w:type="spellEnd"/>
      <w:r w:rsidR="00013BC2" w:rsidRPr="00FF34F0">
        <w:rPr>
          <w:rFonts w:ascii="Garamond" w:hAnsi="Garamond" w:cs="Times New Roman"/>
          <w:lang w:val="en-GB"/>
        </w:rPr>
        <w:t xml:space="preserve"> et al 2012), </w:t>
      </w:r>
      <w:r w:rsidR="008F4CE9" w:rsidRPr="00FF34F0">
        <w:rPr>
          <w:rFonts w:ascii="Garamond" w:hAnsi="Garamond" w:cs="Times New Roman"/>
          <w:lang w:val="en-GB"/>
        </w:rPr>
        <w:t xml:space="preserve">Scotland (Jansen et al 2016, Farmer and </w:t>
      </w:r>
      <w:proofErr w:type="spellStart"/>
      <w:r w:rsidR="001118F4" w:rsidRPr="00FF34F0">
        <w:rPr>
          <w:rFonts w:ascii="Garamond" w:hAnsi="Garamond" w:cs="Times New Roman"/>
          <w:lang w:val="en-GB"/>
        </w:rPr>
        <w:t>Nimegeer</w:t>
      </w:r>
      <w:proofErr w:type="spellEnd"/>
      <w:r w:rsidR="001118F4" w:rsidRPr="00FF34F0">
        <w:rPr>
          <w:rFonts w:ascii="Garamond" w:hAnsi="Garamond" w:cs="Times New Roman"/>
          <w:lang w:val="en-GB"/>
        </w:rPr>
        <w:t xml:space="preserve"> </w:t>
      </w:r>
      <w:r w:rsidR="008F4CE9" w:rsidRPr="00FF34F0">
        <w:rPr>
          <w:rFonts w:ascii="Garamond" w:hAnsi="Garamond" w:cs="Times New Roman"/>
          <w:lang w:val="en-GB"/>
        </w:rPr>
        <w:t xml:space="preserve">2014, </w:t>
      </w:r>
      <w:proofErr w:type="spellStart"/>
      <w:r w:rsidR="008F4CE9" w:rsidRPr="00FF34F0">
        <w:rPr>
          <w:rFonts w:ascii="Garamond" w:hAnsi="Garamond" w:cs="Times New Roman"/>
          <w:lang w:val="en-GB"/>
        </w:rPr>
        <w:t>Dattée</w:t>
      </w:r>
      <w:proofErr w:type="spellEnd"/>
      <w:r w:rsidR="008F4CE9" w:rsidRPr="00FF34F0">
        <w:rPr>
          <w:rFonts w:ascii="Garamond" w:hAnsi="Garamond" w:cs="Times New Roman"/>
          <w:lang w:val="en-GB"/>
        </w:rPr>
        <w:t xml:space="preserve"> and Barlow 2010), </w:t>
      </w:r>
      <w:r w:rsidR="00013BC2" w:rsidRPr="00FF34F0">
        <w:rPr>
          <w:rFonts w:ascii="Garamond" w:hAnsi="Garamond" w:cs="Times New Roman"/>
          <w:lang w:val="en-GB"/>
        </w:rPr>
        <w:t>Canada (Evans et al 2015, Edwards et al 2011, Gilbert et al 2015</w:t>
      </w:r>
      <w:r w:rsidR="000A2599" w:rsidRPr="00FF34F0">
        <w:rPr>
          <w:rFonts w:ascii="Garamond" w:hAnsi="Garamond" w:cs="Times New Roman"/>
          <w:lang w:val="en-GB"/>
        </w:rPr>
        <w:t>), the United States (</w:t>
      </w:r>
      <w:proofErr w:type="spellStart"/>
      <w:r w:rsidR="008F4CE9" w:rsidRPr="00FF34F0">
        <w:rPr>
          <w:rFonts w:ascii="Garamond" w:hAnsi="Garamond" w:cs="Times New Roman"/>
          <w:lang w:val="en-GB"/>
        </w:rPr>
        <w:t>LaVela</w:t>
      </w:r>
      <w:proofErr w:type="spellEnd"/>
      <w:r w:rsidR="008F4CE9" w:rsidRPr="00FF34F0">
        <w:rPr>
          <w:rFonts w:ascii="Garamond" w:hAnsi="Garamond" w:cs="Times New Roman"/>
          <w:lang w:val="en-GB"/>
        </w:rPr>
        <w:t xml:space="preserve"> and Hill </w:t>
      </w:r>
      <w:r w:rsidR="008F4CE9" w:rsidRPr="00FF34F0">
        <w:rPr>
          <w:rFonts w:ascii="Garamond" w:hAnsi="Garamond" w:cs="Times New Roman"/>
          <w:lang w:val="en-GB"/>
        </w:rPr>
        <w:lastRenderedPageBreak/>
        <w:t xml:space="preserve">2014, </w:t>
      </w:r>
      <w:proofErr w:type="spellStart"/>
      <w:r w:rsidR="00013BC2" w:rsidRPr="00FF34F0">
        <w:rPr>
          <w:rFonts w:ascii="Garamond" w:hAnsi="Garamond" w:cs="Times New Roman"/>
          <w:lang w:val="en-GB"/>
        </w:rPr>
        <w:t>Tatman</w:t>
      </w:r>
      <w:proofErr w:type="spellEnd"/>
      <w:r w:rsidR="00013BC2" w:rsidRPr="00FF34F0">
        <w:rPr>
          <w:rFonts w:ascii="Garamond" w:hAnsi="Garamond" w:cs="Times New Roman"/>
          <w:lang w:val="en-GB"/>
        </w:rPr>
        <w:t xml:space="preserve"> and </w:t>
      </w:r>
      <w:proofErr w:type="spellStart"/>
      <w:r w:rsidR="00013BC2" w:rsidRPr="00FF34F0">
        <w:rPr>
          <w:rFonts w:ascii="Garamond" w:hAnsi="Garamond" w:cs="Times New Roman"/>
          <w:lang w:val="en-GB"/>
        </w:rPr>
        <w:t>Zauner</w:t>
      </w:r>
      <w:proofErr w:type="spellEnd"/>
      <w:r w:rsidR="00013BC2" w:rsidRPr="00FF34F0">
        <w:rPr>
          <w:rFonts w:ascii="Garamond" w:hAnsi="Garamond" w:cs="Times New Roman"/>
          <w:lang w:val="en-GB"/>
        </w:rPr>
        <w:t xml:space="preserve"> 2014</w:t>
      </w:r>
      <w:r w:rsidR="00214B99" w:rsidRPr="00FF34F0">
        <w:rPr>
          <w:rFonts w:ascii="Garamond" w:hAnsi="Garamond" w:cs="Times New Roman"/>
          <w:lang w:val="en-GB"/>
        </w:rPr>
        <w:t xml:space="preserve">, </w:t>
      </w:r>
      <w:r w:rsidR="00013BC2" w:rsidRPr="00FF34F0">
        <w:rPr>
          <w:rFonts w:ascii="Garamond" w:hAnsi="Garamond" w:cs="Times New Roman"/>
          <w:lang w:val="en-GB"/>
        </w:rPr>
        <w:t xml:space="preserve">Scott and </w:t>
      </w:r>
      <w:proofErr w:type="spellStart"/>
      <w:r w:rsidR="00013BC2" w:rsidRPr="00FF34F0">
        <w:rPr>
          <w:rFonts w:ascii="Garamond" w:hAnsi="Garamond" w:cs="Times New Roman"/>
          <w:lang w:val="en-GB"/>
        </w:rPr>
        <w:t>Steinbinder</w:t>
      </w:r>
      <w:proofErr w:type="spellEnd"/>
      <w:r w:rsidR="00013BC2" w:rsidRPr="00FF34F0">
        <w:rPr>
          <w:rFonts w:ascii="Garamond" w:hAnsi="Garamond" w:cs="Times New Roman"/>
          <w:lang w:val="en-GB"/>
        </w:rPr>
        <w:t xml:space="preserve"> 2009), Sweden (</w:t>
      </w:r>
      <w:proofErr w:type="spellStart"/>
      <w:r w:rsidR="00314EFA">
        <w:rPr>
          <w:rFonts w:ascii="Garamond" w:hAnsi="Garamond" w:cs="Times New Roman"/>
          <w:lang w:val="en-GB"/>
        </w:rPr>
        <w:t>Nyströ</w:t>
      </w:r>
      <w:r w:rsidR="00214B99" w:rsidRPr="00FF34F0">
        <w:rPr>
          <w:rFonts w:ascii="Garamond" w:hAnsi="Garamond" w:cs="Times New Roman"/>
          <w:lang w:val="en-GB"/>
        </w:rPr>
        <w:t>m</w:t>
      </w:r>
      <w:proofErr w:type="spellEnd"/>
      <w:r w:rsidR="00214B99" w:rsidRPr="00FF34F0">
        <w:rPr>
          <w:rFonts w:ascii="Garamond" w:hAnsi="Garamond" w:cs="Times New Roman"/>
          <w:lang w:val="en-GB"/>
        </w:rPr>
        <w:t xml:space="preserve"> et al 2014</w:t>
      </w:r>
      <w:r w:rsidR="007B1FD4" w:rsidRPr="00FF34F0">
        <w:rPr>
          <w:rFonts w:ascii="Garamond" w:hAnsi="Garamond" w:cs="Times New Roman"/>
          <w:lang w:val="en-GB"/>
        </w:rPr>
        <w:t>),</w:t>
      </w:r>
      <w:r w:rsidR="000A2599" w:rsidRPr="00FF34F0">
        <w:rPr>
          <w:rFonts w:ascii="Garamond" w:hAnsi="Garamond" w:cs="Times New Roman"/>
          <w:lang w:val="en-GB"/>
        </w:rPr>
        <w:t xml:space="preserve"> and</w:t>
      </w:r>
      <w:r w:rsidR="007B1FD4" w:rsidRPr="00FF34F0">
        <w:rPr>
          <w:rFonts w:ascii="Garamond" w:hAnsi="Garamond" w:cs="Times New Roman"/>
          <w:lang w:val="en-GB"/>
        </w:rPr>
        <w:t xml:space="preserve"> So</w:t>
      </w:r>
      <w:r w:rsidR="00214B99" w:rsidRPr="00FF34F0">
        <w:rPr>
          <w:rFonts w:ascii="Garamond" w:hAnsi="Garamond" w:cs="Times New Roman"/>
          <w:lang w:val="en-GB"/>
        </w:rPr>
        <w:t xml:space="preserve">uth Africa (Schneider et al 2014). </w:t>
      </w:r>
    </w:p>
    <w:p w14:paraId="2A526CD6" w14:textId="77777777" w:rsidR="00D44C0F" w:rsidRPr="00FF34F0" w:rsidRDefault="00D44C0F" w:rsidP="006C51C5">
      <w:pPr>
        <w:rPr>
          <w:rFonts w:ascii="Garamond" w:hAnsi="Garamond" w:cs="Times New Roman"/>
          <w:lang w:val="en-GB"/>
        </w:rPr>
      </w:pPr>
    </w:p>
    <w:p w14:paraId="5F5BAEBF" w14:textId="2DE3E80A" w:rsidR="00BB4B28" w:rsidRPr="00FF34F0" w:rsidRDefault="00D709FA" w:rsidP="006C51C5">
      <w:pPr>
        <w:rPr>
          <w:rFonts w:ascii="Garamond" w:hAnsi="Garamond" w:cs="Times New Roman"/>
          <w:lang w:val="en-GB"/>
        </w:rPr>
      </w:pPr>
      <w:r w:rsidRPr="00FF34F0">
        <w:rPr>
          <w:rFonts w:ascii="Garamond" w:hAnsi="Garamond" w:cs="Times New Roman"/>
          <w:lang w:val="en-GB"/>
        </w:rPr>
        <w:t xml:space="preserve">The </w:t>
      </w:r>
      <w:r w:rsidR="005C68DE" w:rsidRPr="00FF34F0">
        <w:rPr>
          <w:rFonts w:ascii="Garamond" w:hAnsi="Garamond" w:cs="Times New Roman"/>
          <w:lang w:val="en-GB"/>
        </w:rPr>
        <w:t xml:space="preserve">majority </w:t>
      </w:r>
      <w:r w:rsidR="00CF5853" w:rsidRPr="00FF34F0">
        <w:rPr>
          <w:rFonts w:ascii="Garamond" w:hAnsi="Garamond" w:cs="Times New Roman"/>
          <w:lang w:val="en-GB"/>
        </w:rPr>
        <w:t xml:space="preserve">of studies identified from our </w:t>
      </w:r>
      <w:r w:rsidR="00876E3B" w:rsidRPr="00FF34F0">
        <w:rPr>
          <w:rFonts w:ascii="Garamond" w:hAnsi="Garamond" w:cs="Times New Roman"/>
          <w:lang w:val="en-GB"/>
        </w:rPr>
        <w:t xml:space="preserve">search strategy </w:t>
      </w:r>
      <w:r w:rsidR="002E6FE0" w:rsidRPr="00FF34F0">
        <w:rPr>
          <w:rFonts w:ascii="Garamond" w:hAnsi="Garamond" w:cs="Times New Roman"/>
          <w:lang w:val="en-GB"/>
        </w:rPr>
        <w:t>were</w:t>
      </w:r>
      <w:r w:rsidR="00320545" w:rsidRPr="00FF34F0">
        <w:rPr>
          <w:rFonts w:ascii="Garamond" w:hAnsi="Garamond" w:cs="Times New Roman"/>
          <w:lang w:val="en-GB"/>
        </w:rPr>
        <w:t xml:space="preserve"> </w:t>
      </w:r>
      <w:r w:rsidR="00913373" w:rsidRPr="00FF34F0">
        <w:rPr>
          <w:rFonts w:ascii="Garamond" w:hAnsi="Garamond" w:cs="Times New Roman"/>
          <w:lang w:val="en-GB"/>
        </w:rPr>
        <w:t xml:space="preserve">implementation </w:t>
      </w:r>
      <w:r w:rsidRPr="00FF34F0">
        <w:rPr>
          <w:rFonts w:ascii="Garamond" w:hAnsi="Garamond" w:cs="Times New Roman"/>
          <w:lang w:val="en-GB"/>
        </w:rPr>
        <w:t xml:space="preserve">or </w:t>
      </w:r>
      <w:r w:rsidR="00A46986" w:rsidRPr="00FF34F0">
        <w:rPr>
          <w:rFonts w:ascii="Garamond" w:hAnsi="Garamond" w:cs="Times New Roman"/>
          <w:lang w:val="en-GB"/>
        </w:rPr>
        <w:t>evaluation studies</w:t>
      </w:r>
      <w:r w:rsidR="00314462" w:rsidRPr="00FF34F0">
        <w:rPr>
          <w:rFonts w:ascii="Garamond" w:hAnsi="Garamond" w:cs="Times New Roman"/>
          <w:lang w:val="en-GB"/>
        </w:rPr>
        <w:t xml:space="preserve"> c</w:t>
      </w:r>
      <w:r w:rsidR="00876E3B" w:rsidRPr="00FF34F0">
        <w:rPr>
          <w:rFonts w:ascii="Garamond" w:hAnsi="Garamond" w:cs="Times New Roman"/>
          <w:lang w:val="en-GB"/>
        </w:rPr>
        <w:t>oncerned with i</w:t>
      </w:r>
      <w:r w:rsidR="00372A56" w:rsidRPr="00FF34F0">
        <w:rPr>
          <w:rFonts w:ascii="Garamond" w:hAnsi="Garamond" w:cs="Times New Roman"/>
          <w:lang w:val="en-GB"/>
        </w:rPr>
        <w:t>dentifying ‘barriers’ and ‘facilitators’ to</w:t>
      </w:r>
      <w:r w:rsidR="00D44C0F" w:rsidRPr="00FF34F0">
        <w:rPr>
          <w:rFonts w:ascii="Garamond" w:hAnsi="Garamond" w:cs="Times New Roman"/>
          <w:lang w:val="en-GB"/>
        </w:rPr>
        <w:t xml:space="preserve"> implementation and change</w:t>
      </w:r>
      <w:r w:rsidR="00314462" w:rsidRPr="00FF34F0">
        <w:rPr>
          <w:rFonts w:ascii="Garamond" w:hAnsi="Garamond" w:cs="Times New Roman"/>
          <w:lang w:val="en-GB"/>
        </w:rPr>
        <w:t>. This literature is highly normative in that it assumes that change is nece</w:t>
      </w:r>
      <w:r w:rsidR="00C1672D" w:rsidRPr="00FF34F0">
        <w:rPr>
          <w:rFonts w:ascii="Garamond" w:hAnsi="Garamond" w:cs="Times New Roman"/>
          <w:lang w:val="en-GB"/>
        </w:rPr>
        <w:t>ssary</w:t>
      </w:r>
      <w:r w:rsidR="00BB4B28" w:rsidRPr="00FF34F0">
        <w:rPr>
          <w:rFonts w:ascii="Garamond" w:hAnsi="Garamond" w:cs="Times New Roman"/>
          <w:lang w:val="en-GB"/>
        </w:rPr>
        <w:t>. For example, in the introductory framing of their paper</w:t>
      </w:r>
      <w:r w:rsidR="00DB5310" w:rsidRPr="00FF34F0">
        <w:rPr>
          <w:rFonts w:ascii="Garamond" w:hAnsi="Garamond" w:cs="Times New Roman"/>
          <w:lang w:val="en-GB"/>
        </w:rPr>
        <w:t xml:space="preserve">, </w:t>
      </w:r>
      <w:r w:rsidR="00BB4B28" w:rsidRPr="00FF34F0">
        <w:rPr>
          <w:rFonts w:ascii="Garamond" w:hAnsi="Garamond" w:cs="Times New Roman"/>
          <w:lang w:val="en-GB"/>
        </w:rPr>
        <w:t xml:space="preserve">Scott and </w:t>
      </w:r>
      <w:proofErr w:type="spellStart"/>
      <w:r w:rsidR="00BB4B28" w:rsidRPr="00FF34F0">
        <w:rPr>
          <w:rFonts w:ascii="Garamond" w:hAnsi="Garamond" w:cs="Times New Roman"/>
          <w:lang w:val="en-GB"/>
        </w:rPr>
        <w:t>Steinbinder</w:t>
      </w:r>
      <w:proofErr w:type="spellEnd"/>
      <w:r w:rsidR="00BB4B28" w:rsidRPr="00FF34F0">
        <w:rPr>
          <w:rFonts w:ascii="Garamond" w:hAnsi="Garamond" w:cs="Times New Roman"/>
          <w:lang w:val="en-GB"/>
        </w:rPr>
        <w:t xml:space="preserve"> (2009) argue that: </w:t>
      </w:r>
    </w:p>
    <w:p w14:paraId="5D251E98" w14:textId="77777777" w:rsidR="00314462" w:rsidRPr="00FF34F0" w:rsidRDefault="00314462" w:rsidP="006C51C5">
      <w:pPr>
        <w:ind w:right="284"/>
        <w:rPr>
          <w:rFonts w:ascii="Garamond" w:hAnsi="Garamond" w:cs="Times New Roman"/>
          <w:lang w:val="en-GB"/>
        </w:rPr>
      </w:pPr>
    </w:p>
    <w:p w14:paraId="741397FD" w14:textId="77777777" w:rsidR="00314462" w:rsidRPr="00FF34F0" w:rsidRDefault="00314462" w:rsidP="006C51C5">
      <w:pPr>
        <w:ind w:left="284" w:right="284"/>
        <w:rPr>
          <w:rFonts w:ascii="Garamond" w:hAnsi="Garamond" w:cs="Times New Roman"/>
          <w:lang w:val="en-GB"/>
        </w:rPr>
      </w:pPr>
      <w:r w:rsidRPr="00FF34F0">
        <w:rPr>
          <w:rFonts w:ascii="Garamond" w:hAnsi="Garamond" w:cs="Times New Roman"/>
          <w:lang w:val="en-GB"/>
        </w:rPr>
        <w:t xml:space="preserve">It is increasingly understood within the healthcare industry and the public domain that transformation of our healthcare delivery system is needed to achieve and sustain effective healthcare in the future. This transformation, or radical change, requires 2 large-scale efforts: (1) fundamental changes in the underlying beliefs and assumptions that perpetuate the current system and (2) a fundamental redesign of the multiplicity of diverse and complex subsystems that result in unpredictable aggregate behaviour and outcomes. (Scott and </w:t>
      </w:r>
      <w:proofErr w:type="spellStart"/>
      <w:r w:rsidRPr="00FF34F0">
        <w:rPr>
          <w:rFonts w:ascii="Garamond" w:hAnsi="Garamond" w:cs="Times New Roman"/>
          <w:lang w:val="en-GB"/>
        </w:rPr>
        <w:t>Steinbinder</w:t>
      </w:r>
      <w:proofErr w:type="spellEnd"/>
      <w:r w:rsidRPr="00FF34F0">
        <w:rPr>
          <w:rFonts w:ascii="Garamond" w:hAnsi="Garamond" w:cs="Times New Roman"/>
          <w:lang w:val="en-GB"/>
        </w:rPr>
        <w:t xml:space="preserve"> 2009, p335)</w:t>
      </w:r>
    </w:p>
    <w:p w14:paraId="25074BF8" w14:textId="77777777" w:rsidR="00BB4B28" w:rsidRPr="00FF34F0" w:rsidRDefault="00BB4B28" w:rsidP="006C51C5">
      <w:pPr>
        <w:ind w:right="284"/>
        <w:rPr>
          <w:rFonts w:ascii="Garamond" w:hAnsi="Garamond" w:cs="Times New Roman"/>
          <w:lang w:val="en-GB"/>
        </w:rPr>
      </w:pPr>
    </w:p>
    <w:p w14:paraId="56569A38" w14:textId="4504FC2A" w:rsidR="00BB4B28" w:rsidRPr="00FF34F0" w:rsidRDefault="00BB4B28" w:rsidP="006C51C5">
      <w:pPr>
        <w:rPr>
          <w:rFonts w:ascii="Garamond" w:hAnsi="Garamond" w:cs="Times New Roman"/>
          <w:lang w:val="en-GB"/>
        </w:rPr>
      </w:pPr>
      <w:r w:rsidRPr="00FF34F0">
        <w:rPr>
          <w:rFonts w:ascii="Garamond" w:hAnsi="Garamond" w:cs="Times New Roman"/>
          <w:lang w:val="en-GB"/>
        </w:rPr>
        <w:t xml:space="preserve">Here the suggestion is that ‘the problem’ is ‘everything’, and system effectiveness can only be realised by changing ‘everything’. </w:t>
      </w:r>
    </w:p>
    <w:p w14:paraId="571CFE87" w14:textId="77777777" w:rsidR="00BB4B28" w:rsidRPr="00FF34F0" w:rsidRDefault="00BB4B28" w:rsidP="006C51C5">
      <w:pPr>
        <w:ind w:right="284"/>
        <w:rPr>
          <w:rFonts w:ascii="Garamond" w:hAnsi="Garamond" w:cs="Times New Roman"/>
          <w:lang w:val="en-GB"/>
        </w:rPr>
      </w:pPr>
    </w:p>
    <w:p w14:paraId="2398AE90" w14:textId="0ED9E7E6" w:rsidR="00695479" w:rsidRPr="00FF34F0" w:rsidRDefault="007A3436" w:rsidP="006C51C5">
      <w:pPr>
        <w:rPr>
          <w:rFonts w:ascii="Garamond" w:hAnsi="Garamond" w:cs="Times New Roman"/>
          <w:lang w:val="en-GB"/>
        </w:rPr>
      </w:pPr>
      <w:r w:rsidRPr="00FF34F0">
        <w:rPr>
          <w:rFonts w:ascii="Garamond" w:hAnsi="Garamond" w:cs="Times New Roman"/>
          <w:lang w:val="en-GB"/>
        </w:rPr>
        <w:t>S</w:t>
      </w:r>
      <w:r w:rsidR="00650121" w:rsidRPr="00FF34F0">
        <w:rPr>
          <w:rFonts w:ascii="Garamond" w:hAnsi="Garamond" w:cs="Times New Roman"/>
          <w:lang w:val="en-GB"/>
        </w:rPr>
        <w:t>tudies often adopt</w:t>
      </w:r>
      <w:r w:rsidR="00314462" w:rsidRPr="00FF34F0">
        <w:rPr>
          <w:rFonts w:ascii="Garamond" w:hAnsi="Garamond" w:cs="Times New Roman"/>
          <w:lang w:val="en-GB"/>
        </w:rPr>
        <w:t xml:space="preserve"> prevailing policy framings that represent large-scale change as the means to stated policy objectives. </w:t>
      </w:r>
      <w:r w:rsidR="001D43D2" w:rsidRPr="00FF34F0">
        <w:rPr>
          <w:rFonts w:ascii="Garamond" w:hAnsi="Garamond" w:cs="Times New Roman"/>
          <w:lang w:val="en-GB"/>
        </w:rPr>
        <w:t xml:space="preserve">For example, in a </w:t>
      </w:r>
      <w:r w:rsidR="00956BDB" w:rsidRPr="00FF34F0">
        <w:rPr>
          <w:rFonts w:ascii="Garamond" w:hAnsi="Garamond" w:cs="Times New Roman"/>
          <w:lang w:val="en-GB"/>
        </w:rPr>
        <w:t>review of 84 studies from the international literature on</w:t>
      </w:r>
      <w:r w:rsidR="00314462" w:rsidRPr="00FF34F0">
        <w:rPr>
          <w:rFonts w:ascii="Garamond" w:hAnsi="Garamond" w:cs="Times New Roman"/>
          <w:lang w:val="en-GB"/>
        </w:rPr>
        <w:t xml:space="preserve"> ‘large-sy</w:t>
      </w:r>
      <w:r w:rsidR="003D3EB3">
        <w:rPr>
          <w:rFonts w:ascii="Garamond" w:hAnsi="Garamond" w:cs="Times New Roman"/>
          <w:lang w:val="en-GB"/>
        </w:rPr>
        <w:t xml:space="preserve">stem transformation’ </w:t>
      </w:r>
      <w:r w:rsidR="00314462" w:rsidRPr="00FF34F0">
        <w:rPr>
          <w:rFonts w:ascii="Garamond" w:hAnsi="Garamond" w:cs="Times New Roman"/>
          <w:lang w:val="en-GB"/>
        </w:rPr>
        <w:t>(2012)</w:t>
      </w:r>
      <w:r w:rsidR="001D43D2" w:rsidRPr="00FF34F0">
        <w:rPr>
          <w:rFonts w:ascii="Garamond" w:hAnsi="Garamond" w:cs="Times New Roman"/>
          <w:lang w:val="en-GB"/>
        </w:rPr>
        <w:t xml:space="preserve">, this framing is incorporated as part of the </w:t>
      </w:r>
      <w:r w:rsidR="00684F74" w:rsidRPr="00FF34F0">
        <w:rPr>
          <w:rFonts w:ascii="Garamond" w:hAnsi="Garamond" w:cs="Times New Roman"/>
          <w:lang w:val="en-GB"/>
        </w:rPr>
        <w:t xml:space="preserve">definition used </w:t>
      </w:r>
      <w:r w:rsidR="00C1166D" w:rsidRPr="00FF34F0">
        <w:rPr>
          <w:rFonts w:ascii="Garamond" w:hAnsi="Garamond" w:cs="Times New Roman"/>
          <w:lang w:val="en-GB"/>
        </w:rPr>
        <w:t xml:space="preserve">for the review: </w:t>
      </w:r>
    </w:p>
    <w:p w14:paraId="792CB7B8" w14:textId="6FC8B323" w:rsidR="00695479" w:rsidRPr="00FF34F0" w:rsidRDefault="00C1166D" w:rsidP="006C51C5">
      <w:pPr>
        <w:pStyle w:val="NormalWeb"/>
        <w:ind w:left="284" w:right="284"/>
        <w:rPr>
          <w:rFonts w:ascii="Garamond" w:hAnsi="Garamond"/>
        </w:rPr>
      </w:pPr>
      <w:r w:rsidRPr="00FF34F0">
        <w:rPr>
          <w:rFonts w:ascii="Garamond" w:hAnsi="Garamond"/>
        </w:rPr>
        <w:t>Large-system transformations in health care are inte</w:t>
      </w:r>
      <w:r w:rsidR="00C005C9" w:rsidRPr="00FF34F0">
        <w:rPr>
          <w:rFonts w:ascii="Garamond" w:hAnsi="Garamond"/>
        </w:rPr>
        <w:t xml:space="preserve">rventions aimed at coordinated, </w:t>
      </w:r>
      <w:r w:rsidRPr="00FF34F0">
        <w:rPr>
          <w:rFonts w:ascii="Garamond" w:hAnsi="Garamond"/>
        </w:rPr>
        <w:t>system</w:t>
      </w:r>
      <w:r w:rsidR="005C68DE" w:rsidRPr="00FF34F0">
        <w:rPr>
          <w:rFonts w:ascii="Garamond" w:hAnsi="Garamond"/>
        </w:rPr>
        <w:t>-</w:t>
      </w:r>
      <w:r w:rsidRPr="00FF34F0">
        <w:rPr>
          <w:rFonts w:ascii="Garamond" w:hAnsi="Garamond"/>
        </w:rPr>
        <w:t xml:space="preserve">wide change affecting multiple organizations and care providers, </w:t>
      </w:r>
      <w:r w:rsidRPr="00FF34F0">
        <w:rPr>
          <w:rFonts w:ascii="Garamond" w:hAnsi="Garamond"/>
          <w:i/>
        </w:rPr>
        <w:t>with the goal of significant improvements in the efficiency of health care delivery, the quality of patient care, and population-level patient outcomes.</w:t>
      </w:r>
      <w:r w:rsidRPr="00FF34F0">
        <w:rPr>
          <w:rFonts w:ascii="Garamond" w:hAnsi="Garamond"/>
        </w:rPr>
        <w:t xml:space="preserve"> (Best et al 2012, p</w:t>
      </w:r>
      <w:r w:rsidR="00244238" w:rsidRPr="00FF34F0">
        <w:rPr>
          <w:rFonts w:ascii="Garamond" w:hAnsi="Garamond"/>
        </w:rPr>
        <w:t>422</w:t>
      </w:r>
      <w:r w:rsidR="00AD5224" w:rsidRPr="00FF34F0">
        <w:rPr>
          <w:rFonts w:ascii="Garamond" w:hAnsi="Garamond"/>
        </w:rPr>
        <w:t>,</w:t>
      </w:r>
      <w:r w:rsidR="00244238" w:rsidRPr="00FF34F0">
        <w:rPr>
          <w:rFonts w:ascii="Garamond" w:hAnsi="Garamond"/>
        </w:rPr>
        <w:t xml:space="preserve"> emphasis added). </w:t>
      </w:r>
    </w:p>
    <w:p w14:paraId="12EFE0E8" w14:textId="3235E597" w:rsidR="00F97898" w:rsidRPr="00FF34F0" w:rsidRDefault="00696678" w:rsidP="006C51C5">
      <w:pPr>
        <w:rPr>
          <w:rFonts w:ascii="Garamond" w:hAnsi="Garamond" w:cs="Times New Roman"/>
          <w:lang w:val="en-GB"/>
        </w:rPr>
      </w:pPr>
      <w:r w:rsidRPr="00FF34F0">
        <w:rPr>
          <w:rFonts w:ascii="Garamond" w:hAnsi="Garamond" w:cs="Times New Roman"/>
          <w:lang w:val="en-GB"/>
        </w:rPr>
        <w:t xml:space="preserve">Some </w:t>
      </w:r>
      <w:r w:rsidR="00D2562E" w:rsidRPr="00FF34F0">
        <w:rPr>
          <w:rFonts w:ascii="Garamond" w:hAnsi="Garamond" w:cs="Times New Roman"/>
          <w:lang w:val="en-GB"/>
        </w:rPr>
        <w:t xml:space="preserve">studies </w:t>
      </w:r>
      <w:r w:rsidR="00F97898" w:rsidRPr="00FF34F0">
        <w:rPr>
          <w:rFonts w:ascii="Garamond" w:hAnsi="Garamond" w:cs="Times New Roman"/>
          <w:lang w:val="en-GB"/>
        </w:rPr>
        <w:t>employ</w:t>
      </w:r>
      <w:r w:rsidR="005904A8" w:rsidRPr="00FF34F0">
        <w:rPr>
          <w:rFonts w:ascii="Garamond" w:hAnsi="Garamond" w:cs="Times New Roman"/>
          <w:lang w:val="en-GB"/>
        </w:rPr>
        <w:t xml:space="preserve"> </w:t>
      </w:r>
      <w:r w:rsidR="00F97898" w:rsidRPr="00FF34F0">
        <w:rPr>
          <w:rFonts w:ascii="Garamond" w:hAnsi="Garamond" w:cs="Times New Roman"/>
          <w:lang w:val="en-GB"/>
        </w:rPr>
        <w:t>theory</w:t>
      </w:r>
      <w:r w:rsidR="00C01E08" w:rsidRPr="00FF34F0">
        <w:rPr>
          <w:rFonts w:ascii="Garamond" w:hAnsi="Garamond" w:cs="Times New Roman"/>
          <w:lang w:val="en-GB"/>
        </w:rPr>
        <w:t xml:space="preserve"> to guide their analysis</w:t>
      </w:r>
      <w:r w:rsidR="00F97898" w:rsidRPr="00FF34F0">
        <w:rPr>
          <w:rFonts w:ascii="Garamond" w:hAnsi="Garamond" w:cs="Times New Roman"/>
          <w:lang w:val="en-GB"/>
        </w:rPr>
        <w:t xml:space="preserve">, </w:t>
      </w:r>
      <w:r w:rsidR="00E0785F" w:rsidRPr="00FF34F0">
        <w:rPr>
          <w:rFonts w:ascii="Garamond" w:hAnsi="Garamond" w:cs="Times New Roman"/>
          <w:lang w:val="en-GB"/>
        </w:rPr>
        <w:t xml:space="preserve">particularly </w:t>
      </w:r>
      <w:r w:rsidR="00D2562E" w:rsidRPr="00FF34F0">
        <w:rPr>
          <w:rFonts w:ascii="Garamond" w:hAnsi="Garamond" w:cs="Times New Roman"/>
          <w:lang w:val="en-GB"/>
        </w:rPr>
        <w:t>c</w:t>
      </w:r>
      <w:r w:rsidR="00A46986" w:rsidRPr="00FF34F0">
        <w:rPr>
          <w:rFonts w:ascii="Garamond" w:hAnsi="Garamond" w:cs="Times New Roman"/>
          <w:lang w:val="en-GB"/>
        </w:rPr>
        <w:t>omplexity theory</w:t>
      </w:r>
      <w:r w:rsidR="001D43D2" w:rsidRPr="00FF34F0">
        <w:rPr>
          <w:rFonts w:ascii="Garamond" w:hAnsi="Garamond" w:cs="Times New Roman"/>
          <w:lang w:val="en-GB"/>
        </w:rPr>
        <w:t xml:space="preserve"> (</w:t>
      </w:r>
      <w:r w:rsidR="00E0785F" w:rsidRPr="00FF34F0">
        <w:rPr>
          <w:rFonts w:ascii="Garamond" w:hAnsi="Garamond" w:cs="Times New Roman"/>
          <w:lang w:val="en-GB"/>
        </w:rPr>
        <w:t xml:space="preserve">e.g. </w:t>
      </w:r>
      <w:r w:rsidR="002274CC" w:rsidRPr="00FF34F0">
        <w:rPr>
          <w:rFonts w:ascii="Garamond" w:hAnsi="Garamond" w:cs="Times New Roman"/>
          <w:lang w:val="en-GB"/>
        </w:rPr>
        <w:t>Nystrom et al 2014</w:t>
      </w:r>
      <w:r w:rsidR="00B557BD" w:rsidRPr="00FF34F0">
        <w:rPr>
          <w:rFonts w:ascii="Garamond" w:hAnsi="Garamond" w:cs="Times New Roman"/>
          <w:lang w:val="en-GB"/>
        </w:rPr>
        <w:t xml:space="preserve">, Schneider et al 2014, </w:t>
      </w:r>
      <w:proofErr w:type="spellStart"/>
      <w:r w:rsidR="00B557BD" w:rsidRPr="00FF34F0">
        <w:rPr>
          <w:rFonts w:ascii="Garamond" w:hAnsi="Garamond" w:cs="Times New Roman"/>
          <w:lang w:val="en-GB"/>
        </w:rPr>
        <w:t>Dattée</w:t>
      </w:r>
      <w:proofErr w:type="spellEnd"/>
      <w:r w:rsidR="00B557BD" w:rsidRPr="00FF34F0">
        <w:rPr>
          <w:rFonts w:ascii="Garamond" w:hAnsi="Garamond" w:cs="Times New Roman"/>
          <w:lang w:val="en-GB"/>
        </w:rPr>
        <w:t xml:space="preserve"> and Barlow 2010</w:t>
      </w:r>
      <w:r w:rsidRPr="00FF34F0">
        <w:rPr>
          <w:rFonts w:ascii="Garamond" w:hAnsi="Garamond" w:cs="Times New Roman"/>
          <w:lang w:val="en-GB"/>
        </w:rPr>
        <w:t>)</w:t>
      </w:r>
      <w:r w:rsidR="00E0785F" w:rsidRPr="00FF34F0">
        <w:rPr>
          <w:rFonts w:ascii="Garamond" w:hAnsi="Garamond" w:cs="Times New Roman"/>
          <w:lang w:val="en-GB"/>
        </w:rPr>
        <w:t>,</w:t>
      </w:r>
      <w:r w:rsidR="00F61276" w:rsidRPr="00FF34F0">
        <w:rPr>
          <w:rFonts w:ascii="Garamond" w:hAnsi="Garamond" w:cs="Times New Roman"/>
          <w:lang w:val="en-GB"/>
        </w:rPr>
        <w:t xml:space="preserve"> </w:t>
      </w:r>
      <w:r w:rsidR="00A46986" w:rsidRPr="00FF34F0">
        <w:rPr>
          <w:rFonts w:ascii="Garamond" w:hAnsi="Garamond" w:cs="Times New Roman"/>
          <w:lang w:val="en-GB"/>
        </w:rPr>
        <w:t>diffusion of innovation</w:t>
      </w:r>
      <w:r w:rsidR="00C1672D" w:rsidRPr="00FF34F0">
        <w:rPr>
          <w:rFonts w:ascii="Garamond" w:hAnsi="Garamond" w:cs="Times New Roman"/>
          <w:lang w:val="en-GB"/>
        </w:rPr>
        <w:t xml:space="preserve"> theory </w:t>
      </w:r>
      <w:r w:rsidR="001D43D2" w:rsidRPr="00FF34F0">
        <w:rPr>
          <w:rFonts w:ascii="Garamond" w:hAnsi="Garamond" w:cs="Times New Roman"/>
          <w:lang w:val="en-GB"/>
        </w:rPr>
        <w:t>(</w:t>
      </w:r>
      <w:r w:rsidR="00E0785F" w:rsidRPr="00FF34F0">
        <w:rPr>
          <w:rFonts w:ascii="Garamond" w:hAnsi="Garamond" w:cs="Times New Roman"/>
          <w:lang w:val="en-GB"/>
        </w:rPr>
        <w:t xml:space="preserve">e.g. </w:t>
      </w:r>
      <w:r w:rsidR="004C5A9D" w:rsidRPr="00FF34F0">
        <w:rPr>
          <w:rFonts w:ascii="Garamond" w:hAnsi="Garamond" w:cs="Times New Roman"/>
          <w:lang w:val="en-GB"/>
        </w:rPr>
        <w:t>Mac</w:t>
      </w:r>
      <w:r w:rsidRPr="00FF34F0">
        <w:rPr>
          <w:rFonts w:ascii="Garamond" w:hAnsi="Garamond" w:cs="Times New Roman"/>
          <w:lang w:val="en-GB"/>
        </w:rPr>
        <w:t>Farlane et al 2011)</w:t>
      </w:r>
      <w:r w:rsidR="00E0785F" w:rsidRPr="00FF34F0">
        <w:rPr>
          <w:rFonts w:ascii="Garamond" w:hAnsi="Garamond" w:cs="Times New Roman"/>
          <w:lang w:val="en-GB"/>
        </w:rPr>
        <w:t xml:space="preserve">, and realist evaluation (e.g. </w:t>
      </w:r>
      <w:proofErr w:type="spellStart"/>
      <w:r w:rsidR="00E0785F" w:rsidRPr="00FF34F0">
        <w:rPr>
          <w:rFonts w:ascii="Garamond" w:hAnsi="Garamond" w:cs="Times New Roman"/>
          <w:lang w:val="en-GB"/>
        </w:rPr>
        <w:t>Greenhalgh</w:t>
      </w:r>
      <w:proofErr w:type="spellEnd"/>
      <w:r w:rsidR="00E0785F" w:rsidRPr="00FF34F0">
        <w:rPr>
          <w:rFonts w:ascii="Garamond" w:hAnsi="Garamond" w:cs="Times New Roman"/>
          <w:lang w:val="en-GB"/>
        </w:rPr>
        <w:t xml:space="preserve"> et al 2009)</w:t>
      </w:r>
      <w:r w:rsidR="00D2562E" w:rsidRPr="00FF34F0">
        <w:rPr>
          <w:rFonts w:ascii="Garamond" w:hAnsi="Garamond" w:cs="Times New Roman"/>
          <w:lang w:val="en-GB"/>
        </w:rPr>
        <w:t xml:space="preserve">. </w:t>
      </w:r>
      <w:r w:rsidR="000B5B88" w:rsidRPr="00FF34F0">
        <w:rPr>
          <w:rFonts w:ascii="Garamond" w:hAnsi="Garamond" w:cs="Times New Roman"/>
          <w:lang w:val="en-GB"/>
        </w:rPr>
        <w:t>S</w:t>
      </w:r>
      <w:r w:rsidR="00A46986" w:rsidRPr="00FF34F0">
        <w:rPr>
          <w:rFonts w:ascii="Garamond" w:hAnsi="Garamond" w:cs="Times New Roman"/>
          <w:lang w:val="en-GB"/>
        </w:rPr>
        <w:t>oci</w:t>
      </w:r>
      <w:r w:rsidR="00C661FF" w:rsidRPr="00FF34F0">
        <w:rPr>
          <w:rFonts w:ascii="Garamond" w:hAnsi="Garamond" w:cs="Times New Roman"/>
          <w:lang w:val="en-GB"/>
        </w:rPr>
        <w:t>ological themes</w:t>
      </w:r>
      <w:r w:rsidR="000B5B88" w:rsidRPr="00FF34F0">
        <w:rPr>
          <w:rFonts w:ascii="Garamond" w:hAnsi="Garamond" w:cs="Times New Roman"/>
          <w:lang w:val="en-GB"/>
        </w:rPr>
        <w:t>, such as political influences, professional pow</w:t>
      </w:r>
      <w:r w:rsidR="000634C7" w:rsidRPr="00FF34F0">
        <w:rPr>
          <w:rFonts w:ascii="Garamond" w:hAnsi="Garamond" w:cs="Times New Roman"/>
          <w:lang w:val="en-GB"/>
        </w:rPr>
        <w:t>e</w:t>
      </w:r>
      <w:r w:rsidR="00650121" w:rsidRPr="00FF34F0">
        <w:rPr>
          <w:rFonts w:ascii="Garamond" w:hAnsi="Garamond" w:cs="Times New Roman"/>
          <w:lang w:val="en-GB"/>
        </w:rPr>
        <w:t>r and cultural differences, are</w:t>
      </w:r>
      <w:r w:rsidR="00ED61CD" w:rsidRPr="00FF34F0">
        <w:rPr>
          <w:rFonts w:ascii="Garamond" w:hAnsi="Garamond" w:cs="Times New Roman"/>
          <w:lang w:val="en-GB"/>
        </w:rPr>
        <w:t xml:space="preserve"> </w:t>
      </w:r>
      <w:r w:rsidR="000B5B88" w:rsidRPr="00FF34F0">
        <w:rPr>
          <w:rFonts w:ascii="Garamond" w:hAnsi="Garamond" w:cs="Times New Roman"/>
          <w:lang w:val="en-GB"/>
        </w:rPr>
        <w:t>widel</w:t>
      </w:r>
      <w:r w:rsidR="000634C7" w:rsidRPr="00FF34F0">
        <w:rPr>
          <w:rFonts w:ascii="Garamond" w:hAnsi="Garamond" w:cs="Times New Roman"/>
          <w:lang w:val="en-GB"/>
        </w:rPr>
        <w:t>y</w:t>
      </w:r>
      <w:r w:rsidR="00650121" w:rsidRPr="00FF34F0">
        <w:rPr>
          <w:rFonts w:ascii="Garamond" w:hAnsi="Garamond" w:cs="Times New Roman"/>
          <w:lang w:val="en-GB"/>
        </w:rPr>
        <w:t xml:space="preserve"> acknowledged, but the focus is</w:t>
      </w:r>
      <w:r w:rsidR="000B5B88" w:rsidRPr="00FF34F0">
        <w:rPr>
          <w:rFonts w:ascii="Garamond" w:hAnsi="Garamond" w:cs="Times New Roman"/>
          <w:lang w:val="en-GB"/>
        </w:rPr>
        <w:t xml:space="preserve"> largely instrumental (how can we make it work?) with little attention to t</w:t>
      </w:r>
      <w:r w:rsidR="00CE5A2C" w:rsidRPr="00FF34F0">
        <w:rPr>
          <w:rFonts w:ascii="Garamond" w:hAnsi="Garamond" w:cs="Times New Roman"/>
          <w:lang w:val="en-GB"/>
        </w:rPr>
        <w:t xml:space="preserve">he dynamics of social power. </w:t>
      </w:r>
      <w:r w:rsidR="00956BDB" w:rsidRPr="00FF34F0">
        <w:rPr>
          <w:rFonts w:ascii="Garamond" w:hAnsi="Garamond" w:cs="Times New Roman"/>
          <w:lang w:val="en-GB"/>
        </w:rPr>
        <w:t xml:space="preserve">For example, the focus </w:t>
      </w:r>
      <w:r w:rsidR="00650121" w:rsidRPr="00FF34F0">
        <w:rPr>
          <w:rFonts w:ascii="Garamond" w:hAnsi="Garamond" w:cs="Times New Roman"/>
          <w:lang w:val="en-GB"/>
        </w:rPr>
        <w:t>of the Best et al review is</w:t>
      </w:r>
      <w:r w:rsidR="00956BDB" w:rsidRPr="00FF34F0">
        <w:rPr>
          <w:rFonts w:ascii="Garamond" w:hAnsi="Garamond" w:cs="Times New Roman"/>
          <w:lang w:val="en-GB"/>
        </w:rPr>
        <w:t xml:space="preserve"> on formulating rec</w:t>
      </w:r>
      <w:r w:rsidR="00C1672D" w:rsidRPr="00FF34F0">
        <w:rPr>
          <w:rFonts w:ascii="Garamond" w:hAnsi="Garamond" w:cs="Times New Roman"/>
          <w:lang w:val="en-GB"/>
        </w:rPr>
        <w:t xml:space="preserve">ommendations </w:t>
      </w:r>
      <w:r w:rsidR="00BB4B28" w:rsidRPr="00FF34F0">
        <w:rPr>
          <w:rFonts w:ascii="Garamond" w:hAnsi="Garamond" w:cs="Times New Roman"/>
          <w:lang w:val="en-GB"/>
        </w:rPr>
        <w:t xml:space="preserve">for </w:t>
      </w:r>
      <w:r w:rsidR="00956BDB" w:rsidRPr="00FF34F0">
        <w:rPr>
          <w:rFonts w:ascii="Garamond" w:hAnsi="Garamond" w:cs="Times New Roman"/>
          <w:lang w:val="en-GB"/>
        </w:rPr>
        <w:t>successful implementation</w:t>
      </w:r>
      <w:r w:rsidR="00C1672D" w:rsidRPr="00FF34F0">
        <w:rPr>
          <w:rFonts w:ascii="Garamond" w:hAnsi="Garamond" w:cs="Times New Roman"/>
          <w:lang w:val="en-GB"/>
        </w:rPr>
        <w:t xml:space="preserve">: </w:t>
      </w:r>
      <w:r w:rsidR="00956BDB" w:rsidRPr="00FF34F0">
        <w:rPr>
          <w:rFonts w:ascii="Garamond" w:hAnsi="Garamond" w:cs="Times New Roman"/>
          <w:lang w:val="en-GB"/>
        </w:rPr>
        <w:t xml:space="preserve"> </w:t>
      </w:r>
    </w:p>
    <w:p w14:paraId="58D55FD8" w14:textId="77777777" w:rsidR="00695479" w:rsidRPr="00FF34F0" w:rsidRDefault="00695479" w:rsidP="006C51C5">
      <w:pPr>
        <w:ind w:left="284" w:right="284"/>
        <w:rPr>
          <w:rFonts w:ascii="Garamond" w:hAnsi="Garamond" w:cs="Times New Roman"/>
          <w:lang w:val="en-GB"/>
        </w:rPr>
      </w:pPr>
    </w:p>
    <w:p w14:paraId="2D391C27" w14:textId="36A4B564" w:rsidR="00F97898" w:rsidRPr="00FF34F0" w:rsidRDefault="00CC0AE5" w:rsidP="006C51C5">
      <w:pPr>
        <w:ind w:left="284" w:right="284"/>
        <w:rPr>
          <w:rFonts w:ascii="Garamond" w:hAnsi="Garamond" w:cs="Times New Roman"/>
        </w:rPr>
      </w:pPr>
      <w:r w:rsidRPr="00FF34F0">
        <w:rPr>
          <w:rFonts w:ascii="Garamond" w:hAnsi="Garamond" w:cs="Times New Roman"/>
          <w:lang w:val="en-GB"/>
        </w:rPr>
        <w:t>O</w:t>
      </w:r>
      <w:r w:rsidR="00634FD7" w:rsidRPr="00FF34F0">
        <w:rPr>
          <w:rFonts w:ascii="Garamond" w:hAnsi="Garamond" w:cs="Times New Roman"/>
          <w:lang w:val="en-GB"/>
        </w:rPr>
        <w:t xml:space="preserve">ur </w:t>
      </w:r>
      <w:r w:rsidRPr="00FF34F0">
        <w:rPr>
          <w:rFonts w:ascii="Garamond" w:hAnsi="Garamond" w:cs="Times New Roman"/>
          <w:lang w:val="en-GB"/>
        </w:rPr>
        <w:t xml:space="preserve">rapid realist </w:t>
      </w:r>
      <w:r w:rsidR="00634FD7" w:rsidRPr="00FF34F0">
        <w:rPr>
          <w:rFonts w:ascii="Garamond" w:hAnsi="Garamond" w:cs="Times New Roman"/>
          <w:lang w:val="en-GB"/>
        </w:rPr>
        <w:t xml:space="preserve">review </w:t>
      </w:r>
      <w:r w:rsidR="007E486B" w:rsidRPr="00FF34F0">
        <w:rPr>
          <w:rFonts w:ascii="Garamond" w:hAnsi="Garamond" w:cs="Times New Roman"/>
        </w:rPr>
        <w:t xml:space="preserve">identified five “simple rules” of </w:t>
      </w:r>
      <w:r w:rsidRPr="00FF34F0">
        <w:rPr>
          <w:rFonts w:ascii="Garamond" w:hAnsi="Garamond" w:cs="Times New Roman"/>
        </w:rPr>
        <w:t>L</w:t>
      </w:r>
      <w:r w:rsidR="007E486B" w:rsidRPr="00FF34F0">
        <w:rPr>
          <w:rFonts w:ascii="Garamond" w:hAnsi="Garamond" w:cs="Times New Roman"/>
        </w:rPr>
        <w:t>ST that were likely to enhance the success of the target initiatives: (1) blend designated leadership with distributed leadership; (2) establish feedback loops; (3) attend to history; (4) engage physicians; and (5) include patients and families</w:t>
      </w:r>
      <w:r w:rsidR="00654DD5" w:rsidRPr="00FF34F0">
        <w:rPr>
          <w:rFonts w:ascii="Garamond" w:hAnsi="Garamond" w:cs="Times New Roman"/>
        </w:rPr>
        <w:t>. (2012, p 421</w:t>
      </w:r>
      <w:r w:rsidR="006842C2" w:rsidRPr="00FF34F0">
        <w:rPr>
          <w:rFonts w:ascii="Garamond" w:hAnsi="Garamond" w:cs="Times New Roman"/>
        </w:rPr>
        <w:t>)</w:t>
      </w:r>
      <w:r w:rsidR="007E486B" w:rsidRPr="00FF34F0">
        <w:rPr>
          <w:rFonts w:ascii="Garamond" w:hAnsi="Garamond" w:cs="Times New Roman"/>
        </w:rPr>
        <w:t> </w:t>
      </w:r>
    </w:p>
    <w:p w14:paraId="13A26143" w14:textId="456F1215" w:rsidR="002365AB" w:rsidRPr="00FF34F0" w:rsidRDefault="002365AB" w:rsidP="006C51C5">
      <w:pPr>
        <w:ind w:right="284"/>
        <w:rPr>
          <w:rFonts w:ascii="Garamond" w:hAnsi="Garamond" w:cs="Times New Roman"/>
          <w:lang w:val="en-GB"/>
        </w:rPr>
      </w:pPr>
    </w:p>
    <w:p w14:paraId="40B29052" w14:textId="770E9AC1" w:rsidR="00F148FF" w:rsidRPr="00FF34F0" w:rsidRDefault="002365AB" w:rsidP="006C51C5">
      <w:pPr>
        <w:ind w:right="284"/>
        <w:jc w:val="both"/>
        <w:rPr>
          <w:rFonts w:ascii="Garamond" w:hAnsi="Garamond" w:cs="Times New Roman"/>
          <w:lang w:val="en-GB"/>
        </w:rPr>
      </w:pPr>
      <w:r w:rsidRPr="00FF34F0">
        <w:rPr>
          <w:rFonts w:ascii="Garamond" w:hAnsi="Garamond" w:cs="Times New Roman"/>
          <w:lang w:val="en-GB"/>
        </w:rPr>
        <w:t>One deviant case</w:t>
      </w:r>
      <w:r w:rsidR="00C1672D" w:rsidRPr="00FF34F0">
        <w:rPr>
          <w:rFonts w:ascii="Garamond" w:hAnsi="Garamond" w:cs="Times New Roman"/>
          <w:lang w:val="en-GB"/>
        </w:rPr>
        <w:t xml:space="preserve"> </w:t>
      </w:r>
      <w:r w:rsidRPr="00FF34F0">
        <w:rPr>
          <w:rFonts w:ascii="Garamond" w:hAnsi="Garamond" w:cs="Times New Roman"/>
          <w:lang w:val="en-GB"/>
        </w:rPr>
        <w:t>is a stud</w:t>
      </w:r>
      <w:r w:rsidR="00793721" w:rsidRPr="00FF34F0">
        <w:rPr>
          <w:rFonts w:ascii="Garamond" w:hAnsi="Garamond" w:cs="Times New Roman"/>
          <w:lang w:val="en-GB"/>
        </w:rPr>
        <w:t xml:space="preserve">y of </w:t>
      </w:r>
      <w:r w:rsidRPr="00FF34F0">
        <w:rPr>
          <w:rFonts w:ascii="Garamond" w:hAnsi="Garamond" w:cs="Times New Roman"/>
          <w:lang w:val="en-GB"/>
        </w:rPr>
        <w:t>community participation in healthcare planning in rur</w:t>
      </w:r>
      <w:r w:rsidR="00F05172" w:rsidRPr="00FF34F0">
        <w:rPr>
          <w:rFonts w:ascii="Garamond" w:hAnsi="Garamond" w:cs="Times New Roman"/>
          <w:lang w:val="en-GB"/>
        </w:rPr>
        <w:t>al and remote areas in Scotland</w:t>
      </w:r>
      <w:r w:rsidR="00793721" w:rsidRPr="00FF34F0">
        <w:rPr>
          <w:rFonts w:ascii="Garamond" w:hAnsi="Garamond" w:cs="Times New Roman"/>
          <w:lang w:val="en-GB"/>
        </w:rPr>
        <w:t xml:space="preserve"> (Farmer and </w:t>
      </w:r>
      <w:proofErr w:type="spellStart"/>
      <w:r w:rsidR="00793721" w:rsidRPr="00FF34F0">
        <w:rPr>
          <w:rFonts w:ascii="Garamond" w:hAnsi="Garamond" w:cs="Times New Roman"/>
          <w:lang w:val="en-GB"/>
        </w:rPr>
        <w:t>Nimegeer</w:t>
      </w:r>
      <w:proofErr w:type="spellEnd"/>
      <w:r w:rsidR="00793721" w:rsidRPr="00FF34F0">
        <w:rPr>
          <w:rFonts w:ascii="Garamond" w:hAnsi="Garamond" w:cs="Times New Roman"/>
          <w:lang w:val="en-GB"/>
        </w:rPr>
        <w:t xml:space="preserve"> 2014)</w:t>
      </w:r>
      <w:r w:rsidRPr="00FF34F0">
        <w:rPr>
          <w:rFonts w:ascii="Garamond" w:hAnsi="Garamond" w:cs="Times New Roman"/>
          <w:lang w:val="en-GB"/>
        </w:rPr>
        <w:t xml:space="preserve">. </w:t>
      </w:r>
      <w:r w:rsidR="00650121" w:rsidRPr="00FF34F0">
        <w:rPr>
          <w:rFonts w:ascii="Garamond" w:hAnsi="Garamond" w:cs="Times New Roman"/>
          <w:lang w:val="en-GB"/>
        </w:rPr>
        <w:t xml:space="preserve">Farmer and </w:t>
      </w:r>
      <w:proofErr w:type="spellStart"/>
      <w:r w:rsidR="00650121" w:rsidRPr="00FF34F0">
        <w:rPr>
          <w:rFonts w:ascii="Garamond" w:hAnsi="Garamond" w:cs="Times New Roman"/>
          <w:lang w:val="en-GB"/>
        </w:rPr>
        <w:t>Nimegeer</w:t>
      </w:r>
      <w:proofErr w:type="spellEnd"/>
      <w:r w:rsidR="00650121" w:rsidRPr="00FF34F0">
        <w:rPr>
          <w:rFonts w:ascii="Garamond" w:hAnsi="Garamond" w:cs="Times New Roman"/>
          <w:lang w:val="en-GB"/>
        </w:rPr>
        <w:t xml:space="preserve"> </w:t>
      </w:r>
      <w:r w:rsidRPr="00FF34F0">
        <w:rPr>
          <w:rFonts w:ascii="Garamond" w:hAnsi="Garamond" w:cs="Times New Roman"/>
          <w:lang w:val="en-GB"/>
        </w:rPr>
        <w:t>distinguish between ‘top down’ approac</w:t>
      </w:r>
      <w:r w:rsidR="00AE010D" w:rsidRPr="00FF34F0">
        <w:rPr>
          <w:rFonts w:ascii="Garamond" w:hAnsi="Garamond" w:cs="Times New Roman"/>
          <w:lang w:val="en-GB"/>
        </w:rPr>
        <w:t>hes to healthcare planning</w:t>
      </w:r>
      <w:r w:rsidR="00BB4B28" w:rsidRPr="00FF34F0">
        <w:rPr>
          <w:rFonts w:ascii="Garamond" w:hAnsi="Garamond" w:cs="Times New Roman"/>
          <w:lang w:val="en-GB"/>
        </w:rPr>
        <w:t>,</w:t>
      </w:r>
      <w:r w:rsidR="00AE010D" w:rsidRPr="00FF34F0">
        <w:rPr>
          <w:rFonts w:ascii="Garamond" w:hAnsi="Garamond" w:cs="Times New Roman"/>
          <w:lang w:val="en-GB"/>
        </w:rPr>
        <w:t xml:space="preserve"> that use</w:t>
      </w:r>
      <w:r w:rsidRPr="00FF34F0">
        <w:rPr>
          <w:rFonts w:ascii="Garamond" w:hAnsi="Garamond" w:cs="Times New Roman"/>
          <w:lang w:val="en-GB"/>
        </w:rPr>
        <w:t xml:space="preserve"> rational, algorithmic models</w:t>
      </w:r>
      <w:r w:rsidR="00346533" w:rsidRPr="00FF34F0">
        <w:rPr>
          <w:rFonts w:ascii="Garamond" w:hAnsi="Garamond" w:cs="Times New Roman"/>
          <w:lang w:val="en-GB"/>
        </w:rPr>
        <w:t xml:space="preserve"> and </w:t>
      </w:r>
      <w:r w:rsidR="00AE010D" w:rsidRPr="00FF34F0">
        <w:rPr>
          <w:rFonts w:ascii="Garamond" w:hAnsi="Garamond" w:cs="Times New Roman"/>
          <w:lang w:val="en-GB"/>
        </w:rPr>
        <w:t xml:space="preserve">prescribe </w:t>
      </w:r>
      <w:r w:rsidR="00BB4B28" w:rsidRPr="00FF34F0">
        <w:rPr>
          <w:rFonts w:ascii="Garamond" w:hAnsi="Garamond" w:cs="Times New Roman"/>
          <w:lang w:val="en-GB"/>
        </w:rPr>
        <w:t>standardised service designs;</w:t>
      </w:r>
      <w:r w:rsidR="00346533" w:rsidRPr="00FF34F0">
        <w:rPr>
          <w:rFonts w:ascii="Garamond" w:hAnsi="Garamond" w:cs="Times New Roman"/>
          <w:lang w:val="en-GB"/>
        </w:rPr>
        <w:t xml:space="preserve"> and </w:t>
      </w:r>
      <w:r w:rsidR="008620FD" w:rsidRPr="00FF34F0">
        <w:rPr>
          <w:rFonts w:ascii="Garamond" w:hAnsi="Garamond" w:cs="Times New Roman"/>
          <w:lang w:val="en-GB"/>
        </w:rPr>
        <w:t xml:space="preserve">‘bottom up’ </w:t>
      </w:r>
      <w:r w:rsidR="009F2D69" w:rsidRPr="00FF34F0">
        <w:rPr>
          <w:rFonts w:ascii="Garamond" w:hAnsi="Garamond" w:cs="Times New Roman"/>
          <w:lang w:val="en-GB"/>
        </w:rPr>
        <w:t>approaches</w:t>
      </w:r>
      <w:r w:rsidR="00BB4B28" w:rsidRPr="00FF34F0">
        <w:rPr>
          <w:rFonts w:ascii="Garamond" w:hAnsi="Garamond" w:cs="Times New Roman"/>
          <w:lang w:val="en-GB"/>
        </w:rPr>
        <w:t>,</w:t>
      </w:r>
      <w:r w:rsidR="009F2D69" w:rsidRPr="00FF34F0">
        <w:rPr>
          <w:rFonts w:ascii="Garamond" w:hAnsi="Garamond" w:cs="Times New Roman"/>
          <w:lang w:val="en-GB"/>
        </w:rPr>
        <w:t xml:space="preserve"> that incorporate </w:t>
      </w:r>
      <w:r w:rsidRPr="00FF34F0">
        <w:rPr>
          <w:rFonts w:ascii="Garamond" w:hAnsi="Garamond" w:cs="Times New Roman"/>
          <w:lang w:val="en-GB"/>
        </w:rPr>
        <w:t xml:space="preserve">community participation </w:t>
      </w:r>
      <w:r w:rsidR="00346533" w:rsidRPr="00FF34F0">
        <w:rPr>
          <w:rFonts w:ascii="Garamond" w:hAnsi="Garamond" w:cs="Times New Roman"/>
          <w:lang w:val="en-GB"/>
        </w:rPr>
        <w:t>in discussing local priorities</w:t>
      </w:r>
      <w:r w:rsidR="00BB4B28" w:rsidRPr="00FF34F0">
        <w:rPr>
          <w:rFonts w:ascii="Garamond" w:hAnsi="Garamond" w:cs="Times New Roman"/>
          <w:lang w:val="en-GB"/>
        </w:rPr>
        <w:t>,</w:t>
      </w:r>
      <w:r w:rsidR="00346533" w:rsidRPr="00FF34F0">
        <w:rPr>
          <w:rFonts w:ascii="Garamond" w:hAnsi="Garamond" w:cs="Times New Roman"/>
          <w:lang w:val="en-GB"/>
        </w:rPr>
        <w:t xml:space="preserve"> and </w:t>
      </w:r>
      <w:r w:rsidR="009F2D69" w:rsidRPr="00FF34F0">
        <w:rPr>
          <w:rFonts w:ascii="Garamond" w:hAnsi="Garamond" w:cs="Times New Roman"/>
          <w:lang w:val="en-GB"/>
        </w:rPr>
        <w:t>customise services</w:t>
      </w:r>
      <w:r w:rsidR="00346533" w:rsidRPr="00FF34F0">
        <w:rPr>
          <w:rFonts w:ascii="Garamond" w:hAnsi="Garamond" w:cs="Times New Roman"/>
          <w:lang w:val="en-GB"/>
        </w:rPr>
        <w:t xml:space="preserve"> to local context. </w:t>
      </w:r>
      <w:r w:rsidR="00F148FF" w:rsidRPr="00FF34F0">
        <w:rPr>
          <w:rFonts w:ascii="Garamond" w:hAnsi="Garamond" w:cs="Times New Roman"/>
          <w:lang w:val="en-GB"/>
        </w:rPr>
        <w:t>Drawing on broader social-sc</w:t>
      </w:r>
      <w:r w:rsidR="00C81C8F" w:rsidRPr="00FF34F0">
        <w:rPr>
          <w:rFonts w:ascii="Garamond" w:hAnsi="Garamond" w:cs="Times New Roman"/>
          <w:lang w:val="en-GB"/>
        </w:rPr>
        <w:t>ience theories, and a</w:t>
      </w:r>
      <w:r w:rsidR="00AE010D" w:rsidRPr="00FF34F0">
        <w:rPr>
          <w:rFonts w:ascii="Garamond" w:hAnsi="Garamond" w:cs="Times New Roman"/>
          <w:lang w:val="en-GB"/>
        </w:rPr>
        <w:t>pplying community-based participatory action research, t</w:t>
      </w:r>
      <w:r w:rsidRPr="00FF34F0">
        <w:rPr>
          <w:rFonts w:ascii="Garamond" w:hAnsi="Garamond" w:cs="Times New Roman"/>
          <w:lang w:val="en-GB"/>
        </w:rPr>
        <w:t xml:space="preserve">he paper describes </w:t>
      </w:r>
      <w:r w:rsidR="00BC6BA8" w:rsidRPr="00FF34F0">
        <w:rPr>
          <w:rFonts w:ascii="Garamond" w:hAnsi="Garamond" w:cs="Times New Roman"/>
          <w:lang w:val="en-GB"/>
        </w:rPr>
        <w:t xml:space="preserve">four case studies of community participation in healthcare planning, describing the </w:t>
      </w:r>
      <w:r w:rsidRPr="00FF34F0">
        <w:rPr>
          <w:rFonts w:ascii="Garamond" w:hAnsi="Garamond" w:cs="Times New Roman"/>
          <w:lang w:val="en-GB"/>
        </w:rPr>
        <w:t>different methodologies</w:t>
      </w:r>
      <w:r w:rsidR="009F2D69" w:rsidRPr="00FF34F0">
        <w:rPr>
          <w:rFonts w:ascii="Garamond" w:hAnsi="Garamond" w:cs="Times New Roman"/>
          <w:lang w:val="en-GB"/>
        </w:rPr>
        <w:t xml:space="preserve">, </w:t>
      </w:r>
      <w:r w:rsidR="00BC6BA8" w:rsidRPr="00FF34F0">
        <w:rPr>
          <w:rFonts w:ascii="Garamond" w:hAnsi="Garamond" w:cs="Times New Roman"/>
          <w:lang w:val="en-GB"/>
        </w:rPr>
        <w:t xml:space="preserve">and </w:t>
      </w:r>
      <w:r w:rsidR="00AF25E6" w:rsidRPr="00FF34F0">
        <w:rPr>
          <w:rFonts w:ascii="Garamond" w:hAnsi="Garamond" w:cs="Times New Roman"/>
          <w:lang w:val="en-GB"/>
        </w:rPr>
        <w:t>the range of</w:t>
      </w:r>
      <w:r w:rsidR="00BB4B28" w:rsidRPr="00FF34F0">
        <w:rPr>
          <w:rFonts w:ascii="Garamond" w:hAnsi="Garamond" w:cs="Times New Roman"/>
          <w:lang w:val="en-GB"/>
        </w:rPr>
        <w:t xml:space="preserve"> </w:t>
      </w:r>
      <w:r w:rsidRPr="00FF34F0">
        <w:rPr>
          <w:rFonts w:ascii="Garamond" w:hAnsi="Garamond" w:cs="Times New Roman"/>
          <w:lang w:val="en-GB"/>
        </w:rPr>
        <w:t xml:space="preserve">service models </w:t>
      </w:r>
      <w:r w:rsidR="00BB4B28" w:rsidRPr="00FF34F0">
        <w:rPr>
          <w:rFonts w:ascii="Garamond" w:hAnsi="Garamond" w:cs="Times New Roman"/>
          <w:lang w:val="en-GB"/>
        </w:rPr>
        <w:t>that were produced.</w:t>
      </w:r>
    </w:p>
    <w:p w14:paraId="51DBBF33" w14:textId="77777777" w:rsidR="00F148FF" w:rsidRPr="00FF34F0" w:rsidRDefault="00F148FF" w:rsidP="006C51C5">
      <w:pPr>
        <w:ind w:right="284"/>
        <w:jc w:val="both"/>
        <w:rPr>
          <w:rFonts w:ascii="Garamond" w:hAnsi="Garamond" w:cs="Times New Roman"/>
          <w:lang w:val="en-GB"/>
        </w:rPr>
      </w:pPr>
    </w:p>
    <w:p w14:paraId="4DA91D7D" w14:textId="6882B67F" w:rsidR="00346533" w:rsidRPr="00FF34F0" w:rsidRDefault="009F2D69" w:rsidP="006C51C5">
      <w:pPr>
        <w:ind w:right="284"/>
        <w:jc w:val="both"/>
        <w:rPr>
          <w:rFonts w:ascii="Garamond" w:hAnsi="Garamond" w:cs="Times New Roman"/>
          <w:b/>
        </w:rPr>
      </w:pPr>
      <w:r w:rsidRPr="00FF34F0">
        <w:rPr>
          <w:rFonts w:ascii="Garamond" w:hAnsi="Garamond" w:cs="Times New Roman"/>
          <w:lang w:val="en-GB"/>
        </w:rPr>
        <w:t>Overall, however</w:t>
      </w:r>
      <w:r w:rsidR="00346533" w:rsidRPr="00FF34F0">
        <w:rPr>
          <w:rFonts w:ascii="Garamond" w:hAnsi="Garamond" w:cs="Times New Roman"/>
          <w:lang w:val="en-GB"/>
        </w:rPr>
        <w:t xml:space="preserve">, </w:t>
      </w:r>
      <w:r w:rsidR="00BC6BA8" w:rsidRPr="00FF34F0">
        <w:rPr>
          <w:rFonts w:ascii="Garamond" w:hAnsi="Garamond" w:cs="Times New Roman"/>
          <w:lang w:val="en-GB"/>
        </w:rPr>
        <w:t>the literature</w:t>
      </w:r>
      <w:r w:rsidR="00346533" w:rsidRPr="00FF34F0">
        <w:rPr>
          <w:rFonts w:ascii="Garamond" w:hAnsi="Garamond" w:cs="Times New Roman"/>
          <w:lang w:val="en-GB"/>
        </w:rPr>
        <w:t xml:space="preserve"> </w:t>
      </w:r>
      <w:r w:rsidR="000634C7" w:rsidRPr="00FF34F0">
        <w:rPr>
          <w:rFonts w:ascii="Garamond" w:hAnsi="Garamond" w:cs="Times New Roman"/>
          <w:lang w:val="en-GB"/>
        </w:rPr>
        <w:t>reinforces</w:t>
      </w:r>
      <w:r w:rsidR="00FB3AA1" w:rsidRPr="00FF34F0">
        <w:rPr>
          <w:rFonts w:ascii="Garamond" w:hAnsi="Garamond" w:cs="Times New Roman"/>
          <w:lang w:val="en-GB"/>
        </w:rPr>
        <w:t xml:space="preserve"> dominant policy arguments</w:t>
      </w:r>
      <w:r w:rsidR="00807AEE" w:rsidRPr="00FF34F0">
        <w:rPr>
          <w:rFonts w:ascii="Garamond" w:hAnsi="Garamond" w:cs="Times New Roman"/>
          <w:lang w:val="en-GB"/>
        </w:rPr>
        <w:t>, for example,</w:t>
      </w:r>
      <w:r w:rsidR="00FB3AA1" w:rsidRPr="00FF34F0">
        <w:rPr>
          <w:rFonts w:ascii="Garamond" w:hAnsi="Garamond" w:cs="Times New Roman"/>
          <w:lang w:val="en-GB"/>
        </w:rPr>
        <w:t xml:space="preserve"> that </w:t>
      </w:r>
      <w:r w:rsidR="00614887" w:rsidRPr="00FF34F0">
        <w:rPr>
          <w:rFonts w:ascii="Garamond" w:hAnsi="Garamond" w:cs="Times New Roman"/>
          <w:lang w:val="en-GB"/>
        </w:rPr>
        <w:t>c</w:t>
      </w:r>
      <w:r w:rsidR="001D43D2" w:rsidRPr="00FF34F0">
        <w:rPr>
          <w:rFonts w:ascii="Garamond" w:hAnsi="Garamond" w:cs="Times New Roman"/>
          <w:lang w:val="en-GB"/>
        </w:rPr>
        <w:t>entralising</w:t>
      </w:r>
      <w:r w:rsidR="00DF75A5" w:rsidRPr="00FF34F0">
        <w:rPr>
          <w:rFonts w:ascii="Garamond" w:hAnsi="Garamond" w:cs="Times New Roman"/>
          <w:lang w:val="en-GB"/>
        </w:rPr>
        <w:t xml:space="preserve"> </w:t>
      </w:r>
      <w:r w:rsidR="00614887" w:rsidRPr="00FF34F0">
        <w:rPr>
          <w:rFonts w:ascii="Garamond" w:hAnsi="Garamond" w:cs="Times New Roman"/>
          <w:lang w:val="en-GB"/>
        </w:rPr>
        <w:t xml:space="preserve">hospital care (providing services in fewer, larger units) </w:t>
      </w:r>
      <w:r w:rsidR="00FB3AA1" w:rsidRPr="00FF34F0">
        <w:rPr>
          <w:rFonts w:ascii="Garamond" w:hAnsi="Garamond" w:cs="Times New Roman"/>
          <w:lang w:val="en-GB"/>
        </w:rPr>
        <w:t xml:space="preserve">is good for patients, standards and resources. </w:t>
      </w:r>
      <w:r w:rsidR="000634C7" w:rsidRPr="00FF34F0">
        <w:rPr>
          <w:rFonts w:ascii="Garamond" w:hAnsi="Garamond" w:cs="Times New Roman"/>
        </w:rPr>
        <w:t>Few studies question this orthodoxy, or offer</w:t>
      </w:r>
      <w:r w:rsidR="00FB3AA1" w:rsidRPr="00FF34F0">
        <w:rPr>
          <w:rFonts w:ascii="Garamond" w:hAnsi="Garamond" w:cs="Times New Roman"/>
        </w:rPr>
        <w:t xml:space="preserve"> a more critical interpretation of the governing rationalities of reform and </w:t>
      </w:r>
      <w:r w:rsidR="000634C7" w:rsidRPr="00FF34F0">
        <w:rPr>
          <w:rFonts w:ascii="Garamond" w:hAnsi="Garamond" w:cs="Times New Roman"/>
        </w:rPr>
        <w:t xml:space="preserve">the </w:t>
      </w:r>
      <w:r w:rsidR="00FB3AA1" w:rsidRPr="00FF34F0">
        <w:rPr>
          <w:rFonts w:ascii="Garamond" w:hAnsi="Garamond" w:cs="Times New Roman"/>
        </w:rPr>
        <w:t xml:space="preserve">implicit imperatives for resource constraint and control. </w:t>
      </w:r>
      <w:r w:rsidR="000634C7" w:rsidRPr="00FF34F0">
        <w:rPr>
          <w:rFonts w:ascii="Garamond" w:hAnsi="Garamond" w:cs="Times New Roman"/>
        </w:rPr>
        <w:t xml:space="preserve">It </w:t>
      </w:r>
      <w:r w:rsidR="00AD5224" w:rsidRPr="00FF34F0">
        <w:rPr>
          <w:rFonts w:ascii="Garamond" w:hAnsi="Garamond" w:cs="Times New Roman"/>
        </w:rPr>
        <w:t xml:space="preserve">is </w:t>
      </w:r>
      <w:r w:rsidR="00FB3AA1" w:rsidRPr="00FF34F0">
        <w:rPr>
          <w:rFonts w:ascii="Garamond" w:hAnsi="Garamond" w:cs="Times New Roman"/>
        </w:rPr>
        <w:t xml:space="preserve">premised on a rational and technocratic model of planning and change, leaving unspoken questions about how </w:t>
      </w:r>
      <w:proofErr w:type="spellStart"/>
      <w:r w:rsidR="00FB3AA1" w:rsidRPr="00FF34F0">
        <w:rPr>
          <w:rFonts w:ascii="Garamond" w:hAnsi="Garamond" w:cs="Times New Roman"/>
        </w:rPr>
        <w:t>centralisation</w:t>
      </w:r>
      <w:proofErr w:type="spellEnd"/>
      <w:r w:rsidR="00FB3AA1" w:rsidRPr="00FF34F0">
        <w:rPr>
          <w:rFonts w:ascii="Garamond" w:hAnsi="Garamond" w:cs="Times New Roman"/>
        </w:rPr>
        <w:t xml:space="preserve"> reinforces the status and power of established tertiary </w:t>
      </w:r>
      <w:proofErr w:type="spellStart"/>
      <w:r w:rsidR="00FB3AA1" w:rsidRPr="00FF34F0">
        <w:rPr>
          <w:rFonts w:ascii="Garamond" w:hAnsi="Garamond" w:cs="Times New Roman"/>
        </w:rPr>
        <w:t>centres</w:t>
      </w:r>
      <w:proofErr w:type="spellEnd"/>
      <w:r w:rsidR="000634C7" w:rsidRPr="00FF34F0">
        <w:rPr>
          <w:rFonts w:ascii="Garamond" w:hAnsi="Garamond" w:cs="Times New Roman"/>
        </w:rPr>
        <w:t>,</w:t>
      </w:r>
      <w:r w:rsidR="006C6378" w:rsidRPr="00FF34F0">
        <w:rPr>
          <w:rFonts w:ascii="Garamond" w:hAnsi="Garamond" w:cs="Times New Roman"/>
        </w:rPr>
        <w:t xml:space="preserve"> the </w:t>
      </w:r>
      <w:r w:rsidR="00ED71C2" w:rsidRPr="00FF34F0">
        <w:rPr>
          <w:rFonts w:ascii="Garamond" w:hAnsi="Garamond" w:cs="Times New Roman"/>
        </w:rPr>
        <w:t xml:space="preserve">nature and </w:t>
      </w:r>
      <w:r w:rsidR="006C6378" w:rsidRPr="00FF34F0">
        <w:rPr>
          <w:rFonts w:ascii="Garamond" w:hAnsi="Garamond" w:cs="Times New Roman"/>
        </w:rPr>
        <w:t>implications of</w:t>
      </w:r>
      <w:r w:rsidR="00FB3AA1" w:rsidRPr="00FF34F0">
        <w:rPr>
          <w:rFonts w:ascii="Garamond" w:hAnsi="Garamond" w:cs="Times New Roman"/>
        </w:rPr>
        <w:t xml:space="preserve"> super-</w:t>
      </w:r>
      <w:proofErr w:type="spellStart"/>
      <w:r w:rsidR="00FB3AA1" w:rsidRPr="00FF34F0">
        <w:rPr>
          <w:rFonts w:ascii="Garamond" w:hAnsi="Garamond" w:cs="Times New Roman"/>
        </w:rPr>
        <w:t>specialisation</w:t>
      </w:r>
      <w:proofErr w:type="spellEnd"/>
      <w:r w:rsidR="000634C7" w:rsidRPr="00FF34F0">
        <w:rPr>
          <w:rFonts w:ascii="Garamond" w:hAnsi="Garamond" w:cs="Times New Roman"/>
        </w:rPr>
        <w:t>,</w:t>
      </w:r>
      <w:r w:rsidR="00FB3AA1" w:rsidRPr="00FF34F0">
        <w:rPr>
          <w:rFonts w:ascii="Garamond" w:hAnsi="Garamond" w:cs="Times New Roman"/>
        </w:rPr>
        <w:t xml:space="preserve"> and new forms of professional hierarchies</w:t>
      </w:r>
      <w:r w:rsidR="00FB3AA1" w:rsidRPr="00FF34F0">
        <w:rPr>
          <w:rFonts w:ascii="Garamond" w:hAnsi="Garamond" w:cs="Times New Roman"/>
          <w:b/>
        </w:rPr>
        <w:t xml:space="preserve">. </w:t>
      </w:r>
    </w:p>
    <w:p w14:paraId="6E7417C9" w14:textId="77777777" w:rsidR="00346533" w:rsidRPr="00FF34F0" w:rsidRDefault="00346533" w:rsidP="006C51C5">
      <w:pPr>
        <w:ind w:right="284"/>
        <w:jc w:val="both"/>
        <w:rPr>
          <w:rFonts w:ascii="Garamond" w:hAnsi="Garamond" w:cs="Times New Roman"/>
          <w:b/>
        </w:rPr>
      </w:pPr>
    </w:p>
    <w:p w14:paraId="417DF339" w14:textId="1B498BBF" w:rsidR="002E6FE0" w:rsidRPr="00FF34F0" w:rsidRDefault="00A86F76" w:rsidP="006C51C5">
      <w:pPr>
        <w:ind w:right="284"/>
        <w:jc w:val="both"/>
        <w:rPr>
          <w:rFonts w:ascii="Garamond" w:hAnsi="Garamond" w:cs="Times New Roman"/>
          <w:lang w:val="en-GB"/>
        </w:rPr>
      </w:pPr>
      <w:r w:rsidRPr="00FF34F0">
        <w:rPr>
          <w:rFonts w:ascii="Garamond" w:hAnsi="Garamond" w:cs="Times New Roman"/>
          <w:lang w:val="en-GB"/>
        </w:rPr>
        <w:t xml:space="preserve">A </w:t>
      </w:r>
      <w:r w:rsidR="00684F74" w:rsidRPr="00FF34F0">
        <w:rPr>
          <w:rFonts w:ascii="Garamond" w:hAnsi="Garamond" w:cs="Times New Roman"/>
          <w:lang w:val="en-GB"/>
        </w:rPr>
        <w:t xml:space="preserve">more </w:t>
      </w:r>
      <w:r w:rsidRPr="00FF34F0">
        <w:rPr>
          <w:rFonts w:ascii="Garamond" w:hAnsi="Garamond" w:cs="Times New Roman"/>
          <w:lang w:val="en-GB"/>
        </w:rPr>
        <w:t>sociological perspective sug</w:t>
      </w:r>
      <w:r w:rsidR="00BF1B9C" w:rsidRPr="00FF34F0">
        <w:rPr>
          <w:rFonts w:ascii="Garamond" w:hAnsi="Garamond" w:cs="Times New Roman"/>
          <w:lang w:val="en-GB"/>
        </w:rPr>
        <w:t>gests</w:t>
      </w:r>
      <w:r w:rsidRPr="00FF34F0">
        <w:rPr>
          <w:rFonts w:ascii="Garamond" w:hAnsi="Garamond" w:cs="Times New Roman"/>
          <w:lang w:val="en-GB"/>
        </w:rPr>
        <w:t xml:space="preserve"> a number of questions that can be asked of the extant literature. </w:t>
      </w:r>
      <w:r w:rsidR="00ED61CD" w:rsidRPr="00FF34F0">
        <w:rPr>
          <w:rFonts w:ascii="Garamond" w:hAnsi="Garamond" w:cs="Times New Roman"/>
          <w:lang w:val="en-GB"/>
        </w:rPr>
        <w:t xml:space="preserve">Taking the Best et al </w:t>
      </w:r>
      <w:r w:rsidR="00402B48" w:rsidRPr="00FF34F0">
        <w:rPr>
          <w:rFonts w:ascii="Garamond" w:hAnsi="Garamond" w:cs="Times New Roman"/>
          <w:lang w:val="en-GB"/>
        </w:rPr>
        <w:t xml:space="preserve">(2012) </w:t>
      </w:r>
      <w:r w:rsidR="00ED61CD" w:rsidRPr="00FF34F0">
        <w:rPr>
          <w:rFonts w:ascii="Garamond" w:hAnsi="Garamond" w:cs="Times New Roman"/>
          <w:lang w:val="en-GB"/>
        </w:rPr>
        <w:t>review as an exemplar</w:t>
      </w:r>
      <w:r w:rsidR="00645FBB" w:rsidRPr="00FF34F0">
        <w:rPr>
          <w:rFonts w:ascii="Garamond" w:hAnsi="Garamond" w:cs="Times New Roman"/>
          <w:lang w:val="en-GB"/>
        </w:rPr>
        <w:t xml:space="preserve"> (Learmonth 2003)</w:t>
      </w:r>
      <w:r w:rsidR="00160D16" w:rsidRPr="00FF34F0">
        <w:rPr>
          <w:rFonts w:ascii="Garamond" w:hAnsi="Garamond" w:cs="Times New Roman"/>
          <w:lang w:val="en-GB"/>
        </w:rPr>
        <w:t xml:space="preserve">, </w:t>
      </w:r>
      <w:r w:rsidRPr="00FF34F0">
        <w:rPr>
          <w:rFonts w:ascii="Garamond" w:hAnsi="Garamond" w:cs="Times New Roman"/>
          <w:lang w:val="en-GB"/>
        </w:rPr>
        <w:t>we ask</w:t>
      </w:r>
      <w:r w:rsidR="000634C7" w:rsidRPr="00FF34F0">
        <w:rPr>
          <w:rFonts w:ascii="Garamond" w:hAnsi="Garamond" w:cs="Times New Roman"/>
          <w:lang w:val="en-GB"/>
        </w:rPr>
        <w:t>,</w:t>
      </w:r>
      <w:r w:rsidRPr="00FF34F0">
        <w:rPr>
          <w:rFonts w:ascii="Garamond" w:hAnsi="Garamond" w:cs="Times New Roman"/>
          <w:lang w:val="en-GB"/>
        </w:rPr>
        <w:t xml:space="preserve"> how does </w:t>
      </w:r>
      <w:r w:rsidR="0037646F" w:rsidRPr="00FF34F0">
        <w:rPr>
          <w:rFonts w:ascii="Garamond" w:hAnsi="Garamond" w:cs="Times New Roman"/>
          <w:lang w:val="en-GB"/>
        </w:rPr>
        <w:t xml:space="preserve">the use of </w:t>
      </w:r>
      <w:r w:rsidR="00ED61CD" w:rsidRPr="00FF34F0">
        <w:rPr>
          <w:rFonts w:ascii="Garamond" w:hAnsi="Garamond" w:cs="Times New Roman"/>
          <w:lang w:val="en-GB"/>
        </w:rPr>
        <w:t xml:space="preserve">‘simple rules’ frame phenomena or influence the reader? Why is </w:t>
      </w:r>
      <w:r w:rsidR="002E6FE0" w:rsidRPr="00FF34F0">
        <w:rPr>
          <w:rFonts w:ascii="Garamond" w:hAnsi="Garamond" w:cs="Times New Roman"/>
          <w:lang w:val="en-GB"/>
        </w:rPr>
        <w:t xml:space="preserve">large-scale </w:t>
      </w:r>
      <w:r w:rsidR="008B010C" w:rsidRPr="00FF34F0">
        <w:rPr>
          <w:rFonts w:ascii="Garamond" w:hAnsi="Garamond" w:cs="Times New Roman"/>
          <w:lang w:val="en-GB"/>
        </w:rPr>
        <w:t>change</w:t>
      </w:r>
      <w:r w:rsidR="00ED61CD" w:rsidRPr="00FF34F0">
        <w:rPr>
          <w:rFonts w:ascii="Garamond" w:hAnsi="Garamond" w:cs="Times New Roman"/>
          <w:lang w:val="en-GB"/>
        </w:rPr>
        <w:t xml:space="preserve"> assumed to be a good thing? Why are professions and publics seen as oppositional or problemati</w:t>
      </w:r>
      <w:r w:rsidR="00BF1B9C" w:rsidRPr="00FF34F0">
        <w:rPr>
          <w:rFonts w:ascii="Garamond" w:hAnsi="Garamond" w:cs="Times New Roman"/>
          <w:lang w:val="en-GB"/>
        </w:rPr>
        <w:t xml:space="preserve">c? Why </w:t>
      </w:r>
      <w:r w:rsidR="00ED61CD" w:rsidRPr="00FF34F0">
        <w:rPr>
          <w:rFonts w:ascii="Garamond" w:hAnsi="Garamond" w:cs="Times New Roman"/>
          <w:lang w:val="en-GB"/>
        </w:rPr>
        <w:t xml:space="preserve">are issues of politics and power </w:t>
      </w:r>
      <w:r w:rsidR="00320545" w:rsidRPr="00FF34F0">
        <w:rPr>
          <w:rFonts w:ascii="Garamond" w:hAnsi="Garamond" w:cs="Times New Roman"/>
          <w:lang w:val="en-GB"/>
        </w:rPr>
        <w:t xml:space="preserve">excluded from analysis or </w:t>
      </w:r>
      <w:r w:rsidR="00ED61CD" w:rsidRPr="00FF34F0">
        <w:rPr>
          <w:rFonts w:ascii="Garamond" w:hAnsi="Garamond" w:cs="Times New Roman"/>
          <w:lang w:val="en-GB"/>
        </w:rPr>
        <w:t xml:space="preserve">reduced to formal institutions? </w:t>
      </w:r>
      <w:r w:rsidR="00BF1B9C" w:rsidRPr="00FF34F0">
        <w:rPr>
          <w:rFonts w:ascii="Garamond" w:hAnsi="Garamond" w:cs="Times New Roman"/>
          <w:lang w:val="en-GB"/>
        </w:rPr>
        <w:t>In asking these questions sociology can uncover the governing rat</w:t>
      </w:r>
      <w:r w:rsidR="00B36D4D" w:rsidRPr="00FF34F0">
        <w:rPr>
          <w:rFonts w:ascii="Garamond" w:hAnsi="Garamond" w:cs="Times New Roman"/>
          <w:lang w:val="en-GB"/>
        </w:rPr>
        <w:t>ionalities that underlie</w:t>
      </w:r>
      <w:r w:rsidR="004E6C75" w:rsidRPr="00FF34F0">
        <w:rPr>
          <w:rFonts w:ascii="Garamond" w:hAnsi="Garamond" w:cs="Times New Roman"/>
          <w:lang w:val="en-GB"/>
        </w:rPr>
        <w:t xml:space="preserve"> </w:t>
      </w:r>
      <w:r w:rsidR="00BF1B9C" w:rsidRPr="00FF34F0">
        <w:rPr>
          <w:rFonts w:ascii="Garamond" w:hAnsi="Garamond" w:cs="Times New Roman"/>
          <w:lang w:val="en-GB"/>
        </w:rPr>
        <w:t xml:space="preserve">research </w:t>
      </w:r>
      <w:r w:rsidR="00C661FF" w:rsidRPr="00FF34F0">
        <w:rPr>
          <w:rFonts w:ascii="Garamond" w:hAnsi="Garamond" w:cs="Times New Roman"/>
          <w:lang w:val="en-GB"/>
        </w:rPr>
        <w:t xml:space="preserve">and policy </w:t>
      </w:r>
      <w:r w:rsidR="00BF1B9C" w:rsidRPr="00FF34F0">
        <w:rPr>
          <w:rFonts w:ascii="Garamond" w:hAnsi="Garamond" w:cs="Times New Roman"/>
          <w:lang w:val="en-GB"/>
        </w:rPr>
        <w:t xml:space="preserve">in this area. </w:t>
      </w:r>
      <w:r w:rsidR="004B6EDA" w:rsidRPr="00FF34F0">
        <w:rPr>
          <w:rFonts w:ascii="Garamond" w:hAnsi="Garamond" w:cs="Times New Roman"/>
          <w:lang w:val="en-GB"/>
        </w:rPr>
        <w:t xml:space="preserve">Sociology </w:t>
      </w:r>
      <w:r w:rsidR="004E6C75" w:rsidRPr="00FF34F0">
        <w:rPr>
          <w:rFonts w:ascii="Garamond" w:hAnsi="Garamond" w:cs="Times New Roman"/>
          <w:lang w:val="en-GB"/>
        </w:rPr>
        <w:t xml:space="preserve">can also </w:t>
      </w:r>
      <w:r w:rsidR="00B77638" w:rsidRPr="00FF34F0">
        <w:rPr>
          <w:rFonts w:ascii="Garamond" w:hAnsi="Garamond" w:cs="Times New Roman"/>
          <w:lang w:val="en-GB"/>
        </w:rPr>
        <w:t xml:space="preserve">contribute to an understanding of </w:t>
      </w:r>
      <w:r w:rsidR="00197B74" w:rsidRPr="00FF34F0">
        <w:rPr>
          <w:rFonts w:ascii="Garamond" w:hAnsi="Garamond" w:cs="Times New Roman"/>
          <w:lang w:val="en-GB"/>
        </w:rPr>
        <w:t>large-scale</w:t>
      </w:r>
      <w:r w:rsidR="008B010C" w:rsidRPr="00FF34F0">
        <w:rPr>
          <w:rFonts w:ascii="Garamond" w:hAnsi="Garamond" w:cs="Times New Roman"/>
          <w:lang w:val="en-GB"/>
        </w:rPr>
        <w:t xml:space="preserve"> change</w:t>
      </w:r>
      <w:r w:rsidR="00B77638" w:rsidRPr="00FF34F0">
        <w:rPr>
          <w:rFonts w:ascii="Garamond" w:hAnsi="Garamond" w:cs="Times New Roman"/>
          <w:lang w:val="en-GB"/>
        </w:rPr>
        <w:t xml:space="preserve"> by bringing in alternative issues, perspectives, paradigms</w:t>
      </w:r>
      <w:r w:rsidR="008C11AA" w:rsidRPr="00FF34F0">
        <w:rPr>
          <w:rFonts w:ascii="Garamond" w:hAnsi="Garamond" w:cs="Times New Roman"/>
          <w:lang w:val="en-GB"/>
        </w:rPr>
        <w:t>,</w:t>
      </w:r>
      <w:r w:rsidR="00B77638" w:rsidRPr="00FF34F0">
        <w:rPr>
          <w:rFonts w:ascii="Garamond" w:hAnsi="Garamond" w:cs="Times New Roman"/>
          <w:lang w:val="en-GB"/>
        </w:rPr>
        <w:t xml:space="preserve"> and values. This will not only provide new insights</w:t>
      </w:r>
      <w:r w:rsidR="00AF4B59" w:rsidRPr="00FF34F0">
        <w:rPr>
          <w:rFonts w:ascii="Garamond" w:hAnsi="Garamond" w:cs="Times New Roman"/>
          <w:lang w:val="en-GB"/>
        </w:rPr>
        <w:t xml:space="preserve"> but will make</w:t>
      </w:r>
      <w:r w:rsidR="00B77638" w:rsidRPr="00FF34F0">
        <w:rPr>
          <w:rFonts w:ascii="Garamond" w:hAnsi="Garamond" w:cs="Times New Roman"/>
          <w:lang w:val="en-GB"/>
        </w:rPr>
        <w:t xml:space="preserve"> research</w:t>
      </w:r>
      <w:r w:rsidR="00AF4B59" w:rsidRPr="00FF34F0">
        <w:rPr>
          <w:rFonts w:ascii="Garamond" w:hAnsi="Garamond" w:cs="Times New Roman"/>
          <w:lang w:val="en-GB"/>
        </w:rPr>
        <w:t xml:space="preserve"> ‘better’ - </w:t>
      </w:r>
      <w:r w:rsidR="00B77638" w:rsidRPr="00FF34F0">
        <w:rPr>
          <w:rFonts w:ascii="Garamond" w:hAnsi="Garamond" w:cs="Times New Roman"/>
          <w:lang w:val="en-GB"/>
        </w:rPr>
        <w:t>‘ethically, politically, empirically and theoretical</w:t>
      </w:r>
      <w:r w:rsidR="000634C7" w:rsidRPr="00FF34F0">
        <w:rPr>
          <w:rFonts w:ascii="Garamond" w:hAnsi="Garamond" w:cs="Times New Roman"/>
          <w:lang w:val="en-GB"/>
        </w:rPr>
        <w:t>ly’ (</w:t>
      </w:r>
      <w:proofErr w:type="spellStart"/>
      <w:r w:rsidR="000634C7" w:rsidRPr="00FF34F0">
        <w:rPr>
          <w:rFonts w:ascii="Garamond" w:hAnsi="Garamond" w:cs="Times New Roman"/>
          <w:lang w:val="en-GB"/>
        </w:rPr>
        <w:t>Janssens</w:t>
      </w:r>
      <w:proofErr w:type="spellEnd"/>
      <w:r w:rsidR="000634C7" w:rsidRPr="00FF34F0">
        <w:rPr>
          <w:rFonts w:ascii="Garamond" w:hAnsi="Garamond" w:cs="Times New Roman"/>
          <w:lang w:val="en-GB"/>
        </w:rPr>
        <w:t xml:space="preserve"> and </w:t>
      </w:r>
      <w:proofErr w:type="spellStart"/>
      <w:r w:rsidR="000634C7" w:rsidRPr="00FF34F0">
        <w:rPr>
          <w:rFonts w:ascii="Garamond" w:hAnsi="Garamond" w:cs="Times New Roman"/>
          <w:lang w:val="en-GB"/>
        </w:rPr>
        <w:t>Steyaert</w:t>
      </w:r>
      <w:proofErr w:type="spellEnd"/>
      <w:r w:rsidR="000634C7" w:rsidRPr="00FF34F0">
        <w:rPr>
          <w:rFonts w:ascii="Garamond" w:hAnsi="Garamond" w:cs="Times New Roman"/>
          <w:lang w:val="en-GB"/>
        </w:rPr>
        <w:t xml:space="preserve"> 2009,</w:t>
      </w:r>
      <w:r w:rsidR="00160D16" w:rsidRPr="00FF34F0">
        <w:rPr>
          <w:rFonts w:ascii="Garamond" w:hAnsi="Garamond" w:cs="Times New Roman"/>
          <w:lang w:val="en-GB"/>
        </w:rPr>
        <w:t xml:space="preserve"> p</w:t>
      </w:r>
      <w:r w:rsidR="00B77638" w:rsidRPr="00FF34F0">
        <w:rPr>
          <w:rFonts w:ascii="Garamond" w:hAnsi="Garamond" w:cs="Times New Roman"/>
          <w:lang w:val="en-GB"/>
        </w:rPr>
        <w:t>144).</w:t>
      </w:r>
      <w:r w:rsidR="004B6EDA" w:rsidRPr="00FF34F0">
        <w:rPr>
          <w:rFonts w:ascii="Garamond" w:hAnsi="Garamond" w:cs="Times New Roman"/>
          <w:lang w:val="en-GB"/>
        </w:rPr>
        <w:t xml:space="preserve"> </w:t>
      </w:r>
      <w:r w:rsidR="00F148FF" w:rsidRPr="00FF34F0">
        <w:rPr>
          <w:rFonts w:ascii="Garamond" w:hAnsi="Garamond" w:cs="Times New Roman"/>
          <w:lang w:val="en-GB"/>
        </w:rPr>
        <w:t xml:space="preserve"> </w:t>
      </w:r>
    </w:p>
    <w:p w14:paraId="17A401D8" w14:textId="77777777" w:rsidR="002E6FE0" w:rsidRPr="00FF34F0" w:rsidRDefault="002E6FE0" w:rsidP="006C51C5">
      <w:pPr>
        <w:ind w:right="284"/>
        <w:jc w:val="both"/>
        <w:rPr>
          <w:rFonts w:ascii="Garamond" w:hAnsi="Garamond" w:cs="Times New Roman"/>
          <w:lang w:val="en-GB"/>
        </w:rPr>
      </w:pPr>
    </w:p>
    <w:p w14:paraId="334C88E2" w14:textId="023ACDDB" w:rsidR="00DA53AB" w:rsidRPr="00FF34F0" w:rsidRDefault="00DA53AB" w:rsidP="006C51C5">
      <w:pPr>
        <w:ind w:right="284"/>
        <w:jc w:val="both"/>
        <w:rPr>
          <w:rFonts w:ascii="Garamond" w:hAnsi="Garamond" w:cs="Times New Roman"/>
          <w:lang w:val="en-GB"/>
        </w:rPr>
      </w:pPr>
      <w:r w:rsidRPr="00FF34F0">
        <w:rPr>
          <w:rFonts w:ascii="Garamond" w:hAnsi="Garamond" w:cs="Times New Roman"/>
          <w:lang w:val="en-GB"/>
        </w:rPr>
        <w:t>In the remainder of the paper we suggest way</w:t>
      </w:r>
      <w:r w:rsidR="009D28CA" w:rsidRPr="00FF34F0">
        <w:rPr>
          <w:rFonts w:ascii="Garamond" w:hAnsi="Garamond" w:cs="Times New Roman"/>
          <w:lang w:val="en-GB"/>
        </w:rPr>
        <w:t>s</w:t>
      </w:r>
      <w:r w:rsidRPr="00FF34F0">
        <w:rPr>
          <w:rFonts w:ascii="Garamond" w:hAnsi="Garamond" w:cs="Times New Roman"/>
          <w:lang w:val="en-GB"/>
        </w:rPr>
        <w:t xml:space="preserve"> in which sociology can contribute </w:t>
      </w:r>
      <w:r w:rsidR="00CF5853" w:rsidRPr="00FF34F0">
        <w:rPr>
          <w:rFonts w:ascii="Garamond" w:hAnsi="Garamond" w:cs="Times New Roman"/>
          <w:lang w:val="en-GB"/>
        </w:rPr>
        <w:t xml:space="preserve">insights </w:t>
      </w:r>
      <w:r w:rsidRPr="00FF34F0">
        <w:rPr>
          <w:rFonts w:ascii="Garamond" w:hAnsi="Garamond" w:cs="Times New Roman"/>
          <w:lang w:val="en-GB"/>
        </w:rPr>
        <w:t>to our understanding of large-scale changes to he</w:t>
      </w:r>
      <w:r w:rsidR="009D28CA" w:rsidRPr="00FF34F0">
        <w:rPr>
          <w:rFonts w:ascii="Garamond" w:hAnsi="Garamond" w:cs="Times New Roman"/>
          <w:lang w:val="en-GB"/>
        </w:rPr>
        <w:t xml:space="preserve">althcare, </w:t>
      </w:r>
      <w:r w:rsidR="007263A2" w:rsidRPr="00FF34F0">
        <w:rPr>
          <w:rFonts w:ascii="Garamond" w:hAnsi="Garamond" w:cs="Times New Roman"/>
          <w:lang w:val="en-GB"/>
        </w:rPr>
        <w:t xml:space="preserve">using examples from empirical and theoretical research in a range of areas to illustrate. We suggest that sociology can contribute important insights under the following themes: </w:t>
      </w:r>
      <w:r w:rsidR="009D28CA" w:rsidRPr="00FF34F0">
        <w:rPr>
          <w:rFonts w:ascii="Garamond" w:hAnsi="Garamond" w:cs="Times New Roman"/>
          <w:lang w:val="en-GB"/>
        </w:rPr>
        <w:t>l</w:t>
      </w:r>
      <w:r w:rsidRPr="00FF34F0">
        <w:rPr>
          <w:rFonts w:ascii="Garamond" w:hAnsi="Garamond" w:cs="Times New Roman"/>
          <w:lang w:val="en-GB"/>
        </w:rPr>
        <w:t>ocal meanings, cultures and identities; lea</w:t>
      </w:r>
      <w:r w:rsidR="007263A2" w:rsidRPr="00FF34F0">
        <w:rPr>
          <w:rFonts w:ascii="Garamond" w:hAnsi="Garamond" w:cs="Times New Roman"/>
          <w:lang w:val="en-GB"/>
        </w:rPr>
        <w:t>dership co-optation and control;</w:t>
      </w:r>
      <w:r w:rsidRPr="00FF34F0">
        <w:rPr>
          <w:rFonts w:ascii="Garamond" w:hAnsi="Garamond" w:cs="Times New Roman"/>
          <w:lang w:val="en-GB"/>
        </w:rPr>
        <w:t xml:space="preserve"> </w:t>
      </w:r>
      <w:r w:rsidR="00CF5853" w:rsidRPr="00FF34F0">
        <w:rPr>
          <w:rFonts w:ascii="Garamond" w:hAnsi="Garamond" w:cs="Times New Roman"/>
          <w:lang w:val="en-GB"/>
        </w:rPr>
        <w:t>and framing, evidencing and strategies. This ordering framework was der</w:t>
      </w:r>
      <w:r w:rsidR="001655C0" w:rsidRPr="00FF34F0">
        <w:rPr>
          <w:rFonts w:ascii="Garamond" w:hAnsi="Garamond" w:cs="Times New Roman"/>
          <w:lang w:val="en-GB"/>
        </w:rPr>
        <w:t>iv</w:t>
      </w:r>
      <w:r w:rsidR="00CF5853" w:rsidRPr="00FF34F0">
        <w:rPr>
          <w:rFonts w:ascii="Garamond" w:hAnsi="Garamond" w:cs="Times New Roman"/>
          <w:lang w:val="en-GB"/>
        </w:rPr>
        <w:t xml:space="preserve">ed in an interpretive manner, inevitably reflecting our </w:t>
      </w:r>
      <w:r w:rsidR="001301E4" w:rsidRPr="00FF34F0">
        <w:rPr>
          <w:rFonts w:ascii="Garamond" w:hAnsi="Garamond" w:cs="Times New Roman"/>
          <w:lang w:val="en-GB"/>
        </w:rPr>
        <w:t>experience</w:t>
      </w:r>
      <w:r w:rsidR="00F00546" w:rsidRPr="00FF34F0">
        <w:rPr>
          <w:rFonts w:ascii="Garamond" w:hAnsi="Garamond" w:cs="Times New Roman"/>
          <w:lang w:val="en-GB"/>
        </w:rPr>
        <w:t xml:space="preserve"> of fieldwork</w:t>
      </w:r>
      <w:r w:rsidR="001301E4" w:rsidRPr="00FF34F0">
        <w:rPr>
          <w:rFonts w:ascii="Garamond" w:hAnsi="Garamond" w:cs="Times New Roman"/>
          <w:lang w:val="en-GB"/>
        </w:rPr>
        <w:t xml:space="preserve">, areas of interest, and theoretical </w:t>
      </w:r>
      <w:r w:rsidR="005E1082">
        <w:rPr>
          <w:rFonts w:ascii="Garamond" w:hAnsi="Garamond" w:cs="Times New Roman"/>
          <w:lang w:val="en-GB"/>
        </w:rPr>
        <w:t>proclivities (</w:t>
      </w:r>
      <w:proofErr w:type="spellStart"/>
      <w:r w:rsidR="005E1082">
        <w:rPr>
          <w:rFonts w:ascii="Garamond" w:hAnsi="Garamond" w:cs="Times New Roman"/>
          <w:lang w:val="en-GB"/>
        </w:rPr>
        <w:t>Yan</w:t>
      </w:r>
      <w:r w:rsidR="00F57971" w:rsidRPr="00FF34F0">
        <w:rPr>
          <w:rFonts w:ascii="Garamond" w:hAnsi="Garamond" w:cs="Times New Roman"/>
          <w:lang w:val="en-GB"/>
        </w:rPr>
        <w:t>ow</w:t>
      </w:r>
      <w:proofErr w:type="spellEnd"/>
      <w:r w:rsidR="00F57971" w:rsidRPr="00FF34F0">
        <w:rPr>
          <w:rFonts w:ascii="Garamond" w:hAnsi="Garamond" w:cs="Times New Roman"/>
          <w:lang w:val="en-GB"/>
        </w:rPr>
        <w:t xml:space="preserve"> et al 2012</w:t>
      </w:r>
      <w:r w:rsidR="00CF5853" w:rsidRPr="00FF34F0">
        <w:rPr>
          <w:rFonts w:ascii="Garamond" w:hAnsi="Garamond" w:cs="Times New Roman"/>
          <w:lang w:val="en-GB"/>
        </w:rPr>
        <w:t>)</w:t>
      </w:r>
      <w:r w:rsidR="004B6EDA" w:rsidRPr="00FF34F0">
        <w:rPr>
          <w:rFonts w:ascii="Garamond" w:hAnsi="Garamond" w:cs="Times New Roman"/>
          <w:lang w:val="en-GB"/>
        </w:rPr>
        <w:t>.</w:t>
      </w:r>
      <w:r w:rsidR="007A3436" w:rsidRPr="00FF34F0">
        <w:rPr>
          <w:rFonts w:ascii="Garamond" w:hAnsi="Garamond" w:cs="Times New Roman"/>
          <w:lang w:val="en-GB"/>
        </w:rPr>
        <w:t xml:space="preserve"> </w:t>
      </w:r>
      <w:r w:rsidR="004C65D8" w:rsidRPr="00FF34F0">
        <w:rPr>
          <w:rFonts w:ascii="Garamond" w:hAnsi="Garamond" w:cs="Times New Roman"/>
          <w:lang w:val="en-GB"/>
        </w:rPr>
        <w:t xml:space="preserve">The examples have been chosen to illustrate the sociological contribution to large-scale change in terms of additional and alternative questions and perspectives, and potentially fruitful theoretical resources. </w:t>
      </w:r>
    </w:p>
    <w:p w14:paraId="2A8E25FC" w14:textId="0483C0F7" w:rsidR="007A3436" w:rsidRPr="00FF34F0" w:rsidRDefault="007A3436" w:rsidP="006C51C5">
      <w:pPr>
        <w:rPr>
          <w:rFonts w:ascii="Garamond" w:hAnsi="Garamond" w:cs="Times New Roman"/>
          <w:lang w:val="en-GB"/>
        </w:rPr>
      </w:pPr>
    </w:p>
    <w:p w14:paraId="4D8E6E84" w14:textId="77777777" w:rsidR="007A3436" w:rsidRPr="00FF34F0" w:rsidRDefault="007A3436" w:rsidP="006C51C5">
      <w:pPr>
        <w:rPr>
          <w:rFonts w:ascii="Garamond" w:hAnsi="Garamond" w:cs="Times New Roman"/>
          <w:lang w:val="en-GB"/>
        </w:rPr>
      </w:pPr>
    </w:p>
    <w:p w14:paraId="11034536" w14:textId="479C1827" w:rsidR="007B6DAF" w:rsidRPr="00FF34F0" w:rsidRDefault="007B6DAF" w:rsidP="006C5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b/>
          <w:lang w:val="en-GB"/>
        </w:rPr>
      </w:pPr>
      <w:r w:rsidRPr="00FF34F0">
        <w:rPr>
          <w:rFonts w:ascii="Garamond" w:hAnsi="Garamond" w:cs="Times New Roman"/>
          <w:b/>
          <w:lang w:val="en-GB"/>
        </w:rPr>
        <w:t>Local meanings, cultures and identities</w:t>
      </w:r>
    </w:p>
    <w:p w14:paraId="5CAA4B7A" w14:textId="3DAB57F9" w:rsidR="00AC65C3" w:rsidRPr="00FF34F0" w:rsidRDefault="00AC65C3" w:rsidP="006C5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b/>
          <w:lang w:val="en-GB"/>
        </w:rPr>
      </w:pPr>
    </w:p>
    <w:p w14:paraId="51D1488B" w14:textId="4FA3ECE3" w:rsidR="005614B8" w:rsidRPr="00FF34F0" w:rsidRDefault="002A6B91" w:rsidP="006C5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lang w:val="en-GB"/>
        </w:rPr>
      </w:pPr>
      <w:r w:rsidRPr="00FF34F0">
        <w:rPr>
          <w:rFonts w:ascii="Garamond" w:hAnsi="Garamond" w:cs="Times New Roman"/>
          <w:lang w:val="en-GB"/>
        </w:rPr>
        <w:t xml:space="preserve">Sociology can contribute to an understanding of </w:t>
      </w:r>
      <w:r w:rsidR="00197B74" w:rsidRPr="00FF34F0">
        <w:rPr>
          <w:rFonts w:ascii="Garamond" w:hAnsi="Garamond" w:cs="Times New Roman"/>
          <w:lang w:val="en-GB"/>
        </w:rPr>
        <w:t xml:space="preserve">large-scale </w:t>
      </w:r>
      <w:r w:rsidRPr="00FF34F0">
        <w:rPr>
          <w:rFonts w:ascii="Garamond" w:hAnsi="Garamond" w:cs="Times New Roman"/>
          <w:lang w:val="en-GB"/>
        </w:rPr>
        <w:t>change by exploring the experiences and pe</w:t>
      </w:r>
      <w:r w:rsidR="0013061B" w:rsidRPr="00FF34F0">
        <w:rPr>
          <w:rFonts w:ascii="Garamond" w:hAnsi="Garamond" w:cs="Times New Roman"/>
          <w:lang w:val="en-GB"/>
        </w:rPr>
        <w:t>rspectives of patients</w:t>
      </w:r>
      <w:r w:rsidR="00AB1151" w:rsidRPr="00FF34F0">
        <w:rPr>
          <w:rFonts w:ascii="Garamond" w:hAnsi="Garamond" w:cs="Times New Roman"/>
          <w:lang w:val="en-GB"/>
        </w:rPr>
        <w:t xml:space="preserve"> and </w:t>
      </w:r>
      <w:r w:rsidR="00240839" w:rsidRPr="00FF34F0">
        <w:rPr>
          <w:rFonts w:ascii="Garamond" w:hAnsi="Garamond" w:cs="Times New Roman"/>
          <w:lang w:val="en-GB"/>
        </w:rPr>
        <w:t>recipients</w:t>
      </w:r>
      <w:r w:rsidR="004141FF" w:rsidRPr="00FF34F0">
        <w:rPr>
          <w:rFonts w:ascii="Garamond" w:hAnsi="Garamond" w:cs="Times New Roman"/>
          <w:lang w:val="en-GB"/>
        </w:rPr>
        <w:t xml:space="preserve"> of care</w:t>
      </w:r>
      <w:r w:rsidR="0088266F" w:rsidRPr="00FF34F0">
        <w:rPr>
          <w:rFonts w:ascii="Garamond" w:hAnsi="Garamond" w:cs="Times New Roman"/>
          <w:lang w:val="en-GB"/>
        </w:rPr>
        <w:t xml:space="preserve">, which are largely missing from the extant literature (Dalton et al 2015). </w:t>
      </w:r>
      <w:r w:rsidR="00D2434B" w:rsidRPr="00FF34F0">
        <w:rPr>
          <w:rFonts w:ascii="Garamond" w:hAnsi="Garamond" w:cs="Times New Roman"/>
          <w:lang w:val="en-GB"/>
        </w:rPr>
        <w:t>T</w:t>
      </w:r>
      <w:r w:rsidR="001D12DB" w:rsidRPr="00FF34F0">
        <w:rPr>
          <w:rFonts w:ascii="Garamond" w:hAnsi="Garamond" w:cs="Times New Roman"/>
          <w:lang w:val="en-GB"/>
        </w:rPr>
        <w:t xml:space="preserve">he sociological analysis of </w:t>
      </w:r>
      <w:r w:rsidR="006E2D15" w:rsidRPr="00FF34F0">
        <w:rPr>
          <w:rFonts w:ascii="Garamond" w:hAnsi="Garamond" w:cs="Times New Roman"/>
          <w:lang w:val="en-GB"/>
        </w:rPr>
        <w:t xml:space="preserve">Lawton </w:t>
      </w:r>
      <w:r w:rsidR="0047431C" w:rsidRPr="00FF34F0">
        <w:rPr>
          <w:rFonts w:ascii="Garamond" w:hAnsi="Garamond" w:cs="Times New Roman"/>
          <w:lang w:val="en-GB"/>
        </w:rPr>
        <w:t xml:space="preserve">et al </w:t>
      </w:r>
      <w:r w:rsidR="006E2D15" w:rsidRPr="00FF34F0">
        <w:rPr>
          <w:rFonts w:ascii="Garamond" w:hAnsi="Garamond" w:cs="Times New Roman"/>
          <w:lang w:val="en-GB"/>
        </w:rPr>
        <w:t>(2005)</w:t>
      </w:r>
      <w:r w:rsidR="00D2434B" w:rsidRPr="00FF34F0">
        <w:rPr>
          <w:rFonts w:ascii="Garamond" w:hAnsi="Garamond" w:cs="Times New Roman"/>
          <w:lang w:val="en-GB"/>
        </w:rPr>
        <w:t xml:space="preserve"> </w:t>
      </w:r>
      <w:r w:rsidR="00160459" w:rsidRPr="00FF34F0">
        <w:rPr>
          <w:rFonts w:ascii="Garamond" w:hAnsi="Garamond" w:cs="Times New Roman"/>
          <w:lang w:val="en-GB"/>
        </w:rPr>
        <w:t>focus</w:t>
      </w:r>
      <w:r w:rsidR="001D12DB" w:rsidRPr="00FF34F0">
        <w:rPr>
          <w:rFonts w:ascii="Garamond" w:hAnsi="Garamond" w:cs="Times New Roman"/>
          <w:lang w:val="en-GB"/>
        </w:rPr>
        <w:t>es</w:t>
      </w:r>
      <w:r w:rsidR="00160459" w:rsidRPr="00FF34F0">
        <w:rPr>
          <w:rFonts w:ascii="Garamond" w:hAnsi="Garamond" w:cs="Times New Roman"/>
          <w:lang w:val="en-GB"/>
        </w:rPr>
        <w:t xml:space="preserve"> on the meanings and understandings patients attach to the kinds of services they receive and to the types of healthcare professionals they encounter as part of their care.</w:t>
      </w:r>
      <w:r w:rsidR="00650121" w:rsidRPr="00FF34F0">
        <w:rPr>
          <w:rFonts w:ascii="Garamond" w:hAnsi="Garamond" w:cs="Times New Roman"/>
          <w:lang w:val="en-GB"/>
        </w:rPr>
        <w:t xml:space="preserve"> </w:t>
      </w:r>
      <w:r w:rsidR="00D2434B" w:rsidRPr="00FF34F0">
        <w:rPr>
          <w:rFonts w:ascii="Garamond" w:hAnsi="Garamond" w:cs="Times New Roman"/>
          <w:lang w:val="en-GB"/>
        </w:rPr>
        <w:t>Lawton et al explored</w:t>
      </w:r>
      <w:r w:rsidR="0047431C" w:rsidRPr="00FF34F0">
        <w:rPr>
          <w:rFonts w:ascii="Garamond" w:hAnsi="Garamond" w:cs="Times New Roman"/>
          <w:lang w:val="en-GB"/>
        </w:rPr>
        <w:t xml:space="preserve"> </w:t>
      </w:r>
      <w:r w:rsidR="00160459" w:rsidRPr="00FF34F0">
        <w:rPr>
          <w:rFonts w:ascii="Garamond" w:hAnsi="Garamond" w:cs="Times New Roman"/>
          <w:lang w:val="en-GB"/>
        </w:rPr>
        <w:t xml:space="preserve">how patients with diabetes perceived and experienced changes aimed at </w:t>
      </w:r>
      <w:r w:rsidR="00E11E4D" w:rsidRPr="00FF34F0">
        <w:rPr>
          <w:rFonts w:ascii="Garamond" w:hAnsi="Garamond" w:cs="Times New Roman"/>
          <w:lang w:val="en-GB"/>
        </w:rPr>
        <w:t>shifting care from</w:t>
      </w:r>
      <w:r w:rsidR="00160459" w:rsidRPr="00FF34F0">
        <w:rPr>
          <w:rFonts w:ascii="Garamond" w:hAnsi="Garamond" w:cs="Times New Roman"/>
          <w:lang w:val="en-GB"/>
        </w:rPr>
        <w:t xml:space="preserve"> hospital to community settings. </w:t>
      </w:r>
      <w:r w:rsidR="007C7A0F" w:rsidRPr="00FF34F0">
        <w:rPr>
          <w:rFonts w:ascii="Garamond" w:hAnsi="Garamond" w:cs="Times New Roman"/>
          <w:lang w:val="en-GB"/>
        </w:rPr>
        <w:t>They</w:t>
      </w:r>
      <w:r w:rsidR="0047431C" w:rsidRPr="00FF34F0">
        <w:rPr>
          <w:rFonts w:ascii="Garamond" w:hAnsi="Garamond" w:cs="Times New Roman"/>
          <w:lang w:val="en-GB"/>
        </w:rPr>
        <w:t xml:space="preserve"> </w:t>
      </w:r>
      <w:r w:rsidRPr="00FF34F0">
        <w:rPr>
          <w:rFonts w:ascii="Garamond" w:hAnsi="Garamond" w:cs="Times New Roman"/>
          <w:lang w:val="en-GB"/>
        </w:rPr>
        <w:t xml:space="preserve">found </w:t>
      </w:r>
      <w:r w:rsidR="00AC65C3" w:rsidRPr="00FF34F0">
        <w:rPr>
          <w:rFonts w:ascii="Garamond" w:hAnsi="Garamond" w:cs="Times New Roman"/>
          <w:lang w:val="en-GB"/>
        </w:rPr>
        <w:t>that patients did not always value a transfer of care. Some patients associated the care provided by specialists located in hospitals with quality, while others assumed that a transfer of care meant that their condition was not serious, or that they were better.</w:t>
      </w:r>
      <w:r w:rsidR="007C7A0F" w:rsidRPr="00FF34F0">
        <w:rPr>
          <w:rFonts w:ascii="Garamond" w:hAnsi="Garamond" w:cs="Times New Roman"/>
          <w:lang w:val="en-GB"/>
        </w:rPr>
        <w:t xml:space="preserve"> </w:t>
      </w:r>
      <w:r w:rsidR="00D2434B" w:rsidRPr="00FF34F0">
        <w:rPr>
          <w:rFonts w:ascii="Garamond" w:hAnsi="Garamond" w:cs="Times New Roman"/>
          <w:lang w:val="en-GB"/>
        </w:rPr>
        <w:t xml:space="preserve">Their analysis </w:t>
      </w:r>
      <w:r w:rsidR="004814AF" w:rsidRPr="00FF34F0">
        <w:rPr>
          <w:rFonts w:ascii="Garamond" w:hAnsi="Garamond" w:cs="Times New Roman"/>
          <w:lang w:val="en-GB"/>
        </w:rPr>
        <w:t xml:space="preserve">recognises the dynamic interplay between patients and the healthcare system. </w:t>
      </w:r>
      <w:r w:rsidR="0047431C" w:rsidRPr="00FF34F0">
        <w:rPr>
          <w:rFonts w:ascii="Garamond" w:hAnsi="Garamond" w:cs="Times New Roman"/>
          <w:lang w:val="en-GB"/>
        </w:rPr>
        <w:t>The context of health service delivery shapes patient perceptions, and these, in turn, influence patient expectations and p</w:t>
      </w:r>
      <w:r w:rsidR="00FC757C" w:rsidRPr="00FF34F0">
        <w:rPr>
          <w:rFonts w:ascii="Garamond" w:hAnsi="Garamond" w:cs="Times New Roman"/>
          <w:lang w:val="en-GB"/>
        </w:rPr>
        <w:t>references for health services.</w:t>
      </w:r>
      <w:r w:rsidR="008C11AA" w:rsidRPr="00FF34F0">
        <w:rPr>
          <w:rFonts w:ascii="Garamond" w:hAnsi="Garamond" w:cs="Times New Roman"/>
          <w:lang w:val="en-GB"/>
        </w:rPr>
        <w:t xml:space="preserve"> For medical sociologists, </w:t>
      </w:r>
      <w:r w:rsidR="0047431C" w:rsidRPr="00FF34F0">
        <w:rPr>
          <w:rFonts w:ascii="Garamond" w:hAnsi="Garamond" w:cs="Times New Roman"/>
          <w:lang w:val="en-GB"/>
        </w:rPr>
        <w:t xml:space="preserve">Lawton et </w:t>
      </w:r>
      <w:proofErr w:type="spellStart"/>
      <w:r w:rsidR="0047431C" w:rsidRPr="00FF34F0">
        <w:rPr>
          <w:rFonts w:ascii="Garamond" w:hAnsi="Garamond" w:cs="Times New Roman"/>
          <w:lang w:val="en-GB"/>
        </w:rPr>
        <w:t>al’s</w:t>
      </w:r>
      <w:proofErr w:type="spellEnd"/>
      <w:r w:rsidR="0047431C" w:rsidRPr="00FF34F0">
        <w:rPr>
          <w:rFonts w:ascii="Garamond" w:hAnsi="Garamond" w:cs="Times New Roman"/>
          <w:lang w:val="en-GB"/>
        </w:rPr>
        <w:t xml:space="preserve"> analysis highlight</w:t>
      </w:r>
      <w:r w:rsidR="008C11AA" w:rsidRPr="00FF34F0">
        <w:rPr>
          <w:rFonts w:ascii="Garamond" w:hAnsi="Garamond" w:cs="Times New Roman"/>
          <w:lang w:val="en-GB"/>
        </w:rPr>
        <w:t>s</w:t>
      </w:r>
      <w:r w:rsidR="0047431C" w:rsidRPr="00FF34F0">
        <w:rPr>
          <w:rFonts w:ascii="Garamond" w:hAnsi="Garamond" w:cs="Times New Roman"/>
          <w:lang w:val="en-GB"/>
        </w:rPr>
        <w:t xml:space="preserve"> the importance of the context of health service delivery</w:t>
      </w:r>
      <w:r w:rsidR="001561BE" w:rsidRPr="00FF34F0">
        <w:rPr>
          <w:rFonts w:ascii="Garamond" w:hAnsi="Garamond" w:cs="Times New Roman"/>
          <w:lang w:val="en-GB"/>
        </w:rPr>
        <w:t>,</w:t>
      </w:r>
      <w:r w:rsidR="0047431C" w:rsidRPr="00FF34F0">
        <w:rPr>
          <w:rFonts w:ascii="Garamond" w:hAnsi="Garamond" w:cs="Times New Roman"/>
          <w:lang w:val="en-GB"/>
        </w:rPr>
        <w:t xml:space="preserve"> and the broader political </w:t>
      </w:r>
      <w:r w:rsidR="001561BE" w:rsidRPr="00FF34F0">
        <w:rPr>
          <w:rFonts w:ascii="Garamond" w:hAnsi="Garamond" w:cs="Times New Roman"/>
          <w:lang w:val="en-GB"/>
        </w:rPr>
        <w:t xml:space="preserve">economy of healthcare, in explaining the perceptions and behaviours of patients. </w:t>
      </w:r>
      <w:r w:rsidR="0047431C" w:rsidRPr="00FF34F0">
        <w:rPr>
          <w:rFonts w:ascii="Garamond" w:hAnsi="Garamond" w:cs="Times New Roman"/>
          <w:lang w:val="en-GB"/>
        </w:rPr>
        <w:t xml:space="preserve"> </w:t>
      </w:r>
    </w:p>
    <w:p w14:paraId="7827EE87" w14:textId="77777777" w:rsidR="00804220" w:rsidRPr="00FF34F0" w:rsidRDefault="00804220" w:rsidP="006C5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lang w:val="en-GB"/>
        </w:rPr>
      </w:pPr>
    </w:p>
    <w:p w14:paraId="10BB2FCC" w14:textId="77B6BE8D" w:rsidR="00804220" w:rsidRPr="00FF34F0" w:rsidRDefault="00E11E4D" w:rsidP="006C5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lang w:val="en-GB"/>
        </w:rPr>
      </w:pPr>
      <w:r w:rsidRPr="00FF34F0">
        <w:rPr>
          <w:rFonts w:ascii="Garamond" w:hAnsi="Garamond" w:cs="Times New Roman"/>
          <w:lang w:val="en-GB"/>
        </w:rPr>
        <w:lastRenderedPageBreak/>
        <w:t>S</w:t>
      </w:r>
      <w:r w:rsidR="0013061B" w:rsidRPr="00FF34F0">
        <w:rPr>
          <w:rFonts w:ascii="Garamond" w:hAnsi="Garamond" w:cs="Times New Roman"/>
          <w:lang w:val="en-GB"/>
        </w:rPr>
        <w:t xml:space="preserve">ociology can </w:t>
      </w:r>
      <w:r w:rsidRPr="00FF34F0">
        <w:rPr>
          <w:rFonts w:ascii="Garamond" w:hAnsi="Garamond" w:cs="Times New Roman"/>
          <w:lang w:val="en-GB"/>
        </w:rPr>
        <w:t xml:space="preserve">also </w:t>
      </w:r>
      <w:r w:rsidR="0013061B" w:rsidRPr="00FF34F0">
        <w:rPr>
          <w:rFonts w:ascii="Garamond" w:hAnsi="Garamond" w:cs="Times New Roman"/>
          <w:lang w:val="en-GB"/>
        </w:rPr>
        <w:t xml:space="preserve">provide a nuanced analysis of the </w:t>
      </w:r>
      <w:r w:rsidR="00804220" w:rsidRPr="00FF34F0">
        <w:rPr>
          <w:rFonts w:ascii="Garamond" w:hAnsi="Garamond" w:cs="Times New Roman"/>
          <w:lang w:val="en-GB"/>
        </w:rPr>
        <w:t xml:space="preserve">role and </w:t>
      </w:r>
      <w:r w:rsidR="0013061B" w:rsidRPr="00FF34F0">
        <w:rPr>
          <w:rFonts w:ascii="Garamond" w:hAnsi="Garamond" w:cs="Times New Roman"/>
          <w:lang w:val="en-GB"/>
        </w:rPr>
        <w:t xml:space="preserve">influence of professional identities and boundaries. </w:t>
      </w:r>
      <w:proofErr w:type="spellStart"/>
      <w:r w:rsidR="00AC65C3" w:rsidRPr="00FF34F0">
        <w:rPr>
          <w:rFonts w:ascii="Garamond" w:hAnsi="Garamond" w:cs="Times New Roman"/>
          <w:lang w:val="en-GB"/>
        </w:rPr>
        <w:t>Huby</w:t>
      </w:r>
      <w:proofErr w:type="spellEnd"/>
      <w:r w:rsidR="00AC65C3" w:rsidRPr="00FF34F0">
        <w:rPr>
          <w:rFonts w:ascii="Garamond" w:hAnsi="Garamond" w:cs="Times New Roman"/>
          <w:lang w:val="en-GB"/>
        </w:rPr>
        <w:t xml:space="preserve"> et al (2014)</w:t>
      </w:r>
      <w:r w:rsidR="0013061B" w:rsidRPr="00FF34F0">
        <w:rPr>
          <w:rFonts w:ascii="Garamond" w:hAnsi="Garamond" w:cs="Times New Roman"/>
          <w:lang w:val="en-GB"/>
        </w:rPr>
        <w:t>, for example,</w:t>
      </w:r>
      <w:r w:rsidR="00AC65C3" w:rsidRPr="00FF34F0">
        <w:rPr>
          <w:rFonts w:ascii="Garamond" w:hAnsi="Garamond" w:cs="Times New Roman"/>
          <w:lang w:val="en-GB"/>
        </w:rPr>
        <w:t xml:space="preserve"> show how </w:t>
      </w:r>
      <w:r w:rsidR="00197B74" w:rsidRPr="00FF34F0">
        <w:rPr>
          <w:rFonts w:ascii="Garamond" w:hAnsi="Garamond" w:cs="Times New Roman"/>
          <w:lang w:val="en-GB"/>
        </w:rPr>
        <w:t>large-scale</w:t>
      </w:r>
      <w:r w:rsidR="008C11AA" w:rsidRPr="00FF34F0">
        <w:rPr>
          <w:rFonts w:ascii="Garamond" w:hAnsi="Garamond" w:cs="Times New Roman"/>
          <w:lang w:val="en-GB"/>
        </w:rPr>
        <w:t xml:space="preserve"> change shapes, and is shaped by, </w:t>
      </w:r>
      <w:r w:rsidR="00AC65C3" w:rsidRPr="00FF34F0">
        <w:rPr>
          <w:rFonts w:ascii="Garamond" w:hAnsi="Garamond" w:cs="Times New Roman"/>
          <w:lang w:val="en-GB"/>
        </w:rPr>
        <w:t>negotiations about professional boundaries.</w:t>
      </w:r>
      <w:r w:rsidR="00B7261B" w:rsidRPr="00FF34F0">
        <w:rPr>
          <w:rFonts w:ascii="Garamond" w:hAnsi="Garamond" w:cs="Times New Roman"/>
          <w:lang w:val="en-GB"/>
        </w:rPr>
        <w:t xml:space="preserve"> </w:t>
      </w:r>
      <w:r w:rsidRPr="00FF34F0">
        <w:rPr>
          <w:rFonts w:ascii="Garamond" w:hAnsi="Garamond" w:cs="Times New Roman"/>
          <w:lang w:val="en-GB"/>
        </w:rPr>
        <w:t xml:space="preserve">They found that </w:t>
      </w:r>
      <w:r w:rsidR="0013061B" w:rsidRPr="00FF34F0">
        <w:rPr>
          <w:rFonts w:ascii="Garamond" w:hAnsi="Garamond" w:cs="Times New Roman"/>
          <w:lang w:val="en-GB"/>
        </w:rPr>
        <w:t xml:space="preserve">fierce resistance to change from </w:t>
      </w:r>
      <w:r w:rsidR="00804220" w:rsidRPr="00FF34F0">
        <w:rPr>
          <w:rFonts w:ascii="Garamond" w:hAnsi="Garamond" w:cs="Times New Roman"/>
          <w:lang w:val="en-GB"/>
        </w:rPr>
        <w:t xml:space="preserve">senior hospital doctors </w:t>
      </w:r>
      <w:r w:rsidR="0013061B" w:rsidRPr="00FF34F0">
        <w:rPr>
          <w:rFonts w:ascii="Garamond" w:hAnsi="Garamond" w:cs="Times New Roman"/>
          <w:lang w:val="en-GB"/>
        </w:rPr>
        <w:t xml:space="preserve">was not a </w:t>
      </w:r>
      <w:r w:rsidR="008C11AA" w:rsidRPr="00FF34F0">
        <w:rPr>
          <w:rFonts w:ascii="Garamond" w:hAnsi="Garamond" w:cs="Times New Roman"/>
          <w:lang w:val="en-GB"/>
        </w:rPr>
        <w:t>‘</w:t>
      </w:r>
      <w:r w:rsidR="0013061B" w:rsidRPr="00FF34F0">
        <w:rPr>
          <w:rFonts w:ascii="Garamond" w:hAnsi="Garamond" w:cs="Times New Roman"/>
          <w:lang w:val="en-GB"/>
        </w:rPr>
        <w:t>barrier</w:t>
      </w:r>
      <w:r w:rsidR="008C11AA" w:rsidRPr="00FF34F0">
        <w:rPr>
          <w:rFonts w:ascii="Garamond" w:hAnsi="Garamond" w:cs="Times New Roman"/>
          <w:lang w:val="en-GB"/>
        </w:rPr>
        <w:t>’</w:t>
      </w:r>
      <w:r w:rsidR="0013061B" w:rsidRPr="00FF34F0">
        <w:rPr>
          <w:rFonts w:ascii="Garamond" w:hAnsi="Garamond" w:cs="Times New Roman"/>
          <w:lang w:val="en-GB"/>
        </w:rPr>
        <w:t xml:space="preserve"> to change but did alter the character of the change. In this case</w:t>
      </w:r>
      <w:r w:rsidR="00D2434B" w:rsidRPr="00FF34F0">
        <w:rPr>
          <w:rFonts w:ascii="Garamond" w:hAnsi="Garamond" w:cs="Times New Roman"/>
          <w:lang w:val="en-GB"/>
        </w:rPr>
        <w:t>,</w:t>
      </w:r>
      <w:r w:rsidR="0013061B" w:rsidRPr="00FF34F0">
        <w:rPr>
          <w:rFonts w:ascii="Garamond" w:hAnsi="Garamond" w:cs="Times New Roman"/>
          <w:lang w:val="en-GB"/>
        </w:rPr>
        <w:t xml:space="preserve"> </w:t>
      </w:r>
      <w:r w:rsidR="00E12842" w:rsidRPr="00FF34F0">
        <w:rPr>
          <w:rFonts w:ascii="Garamond" w:hAnsi="Garamond" w:cs="Times New Roman"/>
          <w:lang w:val="en-GB"/>
        </w:rPr>
        <w:t>from a collaborative venture between clinicians</w:t>
      </w:r>
      <w:r w:rsidR="000F0D91" w:rsidRPr="00FF34F0">
        <w:rPr>
          <w:rFonts w:ascii="Garamond" w:hAnsi="Garamond" w:cs="Times New Roman"/>
          <w:lang w:val="en-GB"/>
        </w:rPr>
        <w:t>,</w:t>
      </w:r>
      <w:r w:rsidR="00E12842" w:rsidRPr="00FF34F0">
        <w:rPr>
          <w:rFonts w:ascii="Garamond" w:hAnsi="Garamond" w:cs="Times New Roman"/>
          <w:lang w:val="en-GB"/>
        </w:rPr>
        <w:t xml:space="preserve"> to a ma</w:t>
      </w:r>
      <w:r w:rsidR="00240839" w:rsidRPr="00FF34F0">
        <w:rPr>
          <w:rFonts w:ascii="Garamond" w:hAnsi="Garamond" w:cs="Times New Roman"/>
          <w:lang w:val="en-GB"/>
        </w:rPr>
        <w:t xml:space="preserve">nagement driven initiative </w:t>
      </w:r>
      <w:r w:rsidR="00E12842" w:rsidRPr="00FF34F0">
        <w:rPr>
          <w:rFonts w:ascii="Garamond" w:hAnsi="Garamond" w:cs="Times New Roman"/>
          <w:lang w:val="en-GB"/>
        </w:rPr>
        <w:t>whi</w:t>
      </w:r>
      <w:r w:rsidR="00240839" w:rsidRPr="00FF34F0">
        <w:rPr>
          <w:rFonts w:ascii="Garamond" w:hAnsi="Garamond" w:cs="Times New Roman"/>
          <w:lang w:val="en-GB"/>
        </w:rPr>
        <w:t xml:space="preserve">ch addressed primarily the </w:t>
      </w:r>
      <w:r w:rsidR="00E12842" w:rsidRPr="00FF34F0">
        <w:rPr>
          <w:rFonts w:ascii="Garamond" w:hAnsi="Garamond" w:cs="Times New Roman"/>
          <w:lang w:val="en-GB"/>
        </w:rPr>
        <w:t>commissioner’s concern for limiting costs and control of hos</w:t>
      </w:r>
      <w:r w:rsidR="00D46680" w:rsidRPr="00FF34F0">
        <w:rPr>
          <w:rFonts w:ascii="Garamond" w:hAnsi="Garamond" w:cs="Times New Roman"/>
          <w:lang w:val="en-GB"/>
        </w:rPr>
        <w:t xml:space="preserve">pital resources. </w:t>
      </w:r>
      <w:proofErr w:type="spellStart"/>
      <w:r w:rsidR="00650121" w:rsidRPr="00FF34F0">
        <w:rPr>
          <w:rFonts w:ascii="Garamond" w:hAnsi="Garamond" w:cs="Times New Roman"/>
          <w:lang w:val="en-GB"/>
        </w:rPr>
        <w:t>Huby</w:t>
      </w:r>
      <w:proofErr w:type="spellEnd"/>
      <w:r w:rsidR="00650121" w:rsidRPr="00FF34F0">
        <w:rPr>
          <w:rFonts w:ascii="Garamond" w:hAnsi="Garamond" w:cs="Times New Roman"/>
          <w:lang w:val="en-GB"/>
        </w:rPr>
        <w:t xml:space="preserve"> et al argue that the </w:t>
      </w:r>
      <w:r w:rsidR="00D2434B" w:rsidRPr="00FF34F0">
        <w:rPr>
          <w:rFonts w:ascii="Garamond" w:hAnsi="Garamond" w:cs="Times New Roman"/>
          <w:lang w:val="en-GB"/>
        </w:rPr>
        <w:t xml:space="preserve">senior </w:t>
      </w:r>
      <w:r w:rsidR="00650121" w:rsidRPr="00FF34F0">
        <w:rPr>
          <w:rFonts w:ascii="Garamond" w:hAnsi="Garamond" w:cs="Times New Roman"/>
          <w:lang w:val="en-GB"/>
        </w:rPr>
        <w:t>doctors’</w:t>
      </w:r>
      <w:r w:rsidR="00E12842" w:rsidRPr="00FF34F0">
        <w:rPr>
          <w:rFonts w:ascii="Garamond" w:hAnsi="Garamond" w:cs="Times New Roman"/>
          <w:lang w:val="en-GB"/>
        </w:rPr>
        <w:t xml:space="preserve"> strategy of entrenchment was detrimental to their position because it led to their isolation and prevented their involvement in service developments </w:t>
      </w:r>
      <w:r w:rsidRPr="00FF34F0">
        <w:rPr>
          <w:rFonts w:ascii="Garamond" w:hAnsi="Garamond" w:cs="Times New Roman"/>
          <w:lang w:val="en-GB"/>
        </w:rPr>
        <w:t>that could benefit them. In their</w:t>
      </w:r>
      <w:r w:rsidR="00E12842" w:rsidRPr="00FF34F0">
        <w:rPr>
          <w:rFonts w:ascii="Garamond" w:hAnsi="Garamond" w:cs="Times New Roman"/>
          <w:lang w:val="en-GB"/>
        </w:rPr>
        <w:t xml:space="preserve"> </w:t>
      </w:r>
      <w:r w:rsidR="00650121" w:rsidRPr="00FF34F0">
        <w:rPr>
          <w:rFonts w:ascii="Garamond" w:hAnsi="Garamond" w:cs="Times New Roman"/>
          <w:lang w:val="en-GB"/>
        </w:rPr>
        <w:t xml:space="preserve">case </w:t>
      </w:r>
      <w:r w:rsidR="00E12842" w:rsidRPr="00FF34F0">
        <w:rPr>
          <w:rFonts w:ascii="Garamond" w:hAnsi="Garamond" w:cs="Times New Roman"/>
          <w:lang w:val="en-GB"/>
        </w:rPr>
        <w:t>study</w:t>
      </w:r>
      <w:r w:rsidR="00D2434B" w:rsidRPr="00FF34F0">
        <w:rPr>
          <w:rFonts w:ascii="Garamond" w:hAnsi="Garamond" w:cs="Times New Roman"/>
          <w:lang w:val="en-GB"/>
        </w:rPr>
        <w:t>,</w:t>
      </w:r>
      <w:r w:rsidR="00E12842" w:rsidRPr="00FF34F0">
        <w:rPr>
          <w:rFonts w:ascii="Garamond" w:hAnsi="Garamond" w:cs="Times New Roman"/>
          <w:lang w:val="en-GB"/>
        </w:rPr>
        <w:t xml:space="preserve"> medical staff who participated as change agents were also the most successful in protecting and expanding their professional boundaries. </w:t>
      </w:r>
    </w:p>
    <w:p w14:paraId="5613CAC4" w14:textId="77777777" w:rsidR="00804220" w:rsidRPr="00FF34F0" w:rsidRDefault="00804220" w:rsidP="006C5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lang w:val="en-GB"/>
        </w:rPr>
      </w:pPr>
    </w:p>
    <w:p w14:paraId="0D79525D" w14:textId="363BF4C9" w:rsidR="009E689E" w:rsidRPr="00FF34F0" w:rsidRDefault="009E689E" w:rsidP="006C5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lang w:val="en-GB"/>
        </w:rPr>
      </w:pPr>
      <w:r w:rsidRPr="00FF34F0">
        <w:rPr>
          <w:rFonts w:ascii="Garamond" w:hAnsi="Garamond" w:cs="Times New Roman"/>
          <w:lang w:val="en-GB"/>
        </w:rPr>
        <w:t xml:space="preserve">A key contribution of </w:t>
      </w:r>
      <w:proofErr w:type="spellStart"/>
      <w:r w:rsidRPr="00FF34F0">
        <w:rPr>
          <w:rFonts w:ascii="Garamond" w:hAnsi="Garamond" w:cs="Times New Roman"/>
          <w:lang w:val="en-GB"/>
        </w:rPr>
        <w:t>Huby</w:t>
      </w:r>
      <w:proofErr w:type="spellEnd"/>
      <w:r w:rsidRPr="00FF34F0">
        <w:rPr>
          <w:rFonts w:ascii="Garamond" w:hAnsi="Garamond" w:cs="Times New Roman"/>
          <w:lang w:val="en-GB"/>
        </w:rPr>
        <w:t xml:space="preserve"> et </w:t>
      </w:r>
      <w:proofErr w:type="spellStart"/>
      <w:r w:rsidRPr="00FF34F0">
        <w:rPr>
          <w:rFonts w:ascii="Garamond" w:hAnsi="Garamond" w:cs="Times New Roman"/>
          <w:lang w:val="en-GB"/>
        </w:rPr>
        <w:t>al’s</w:t>
      </w:r>
      <w:proofErr w:type="spellEnd"/>
      <w:r w:rsidRPr="00FF34F0">
        <w:rPr>
          <w:rFonts w:ascii="Garamond" w:hAnsi="Garamond" w:cs="Times New Roman"/>
          <w:lang w:val="en-GB"/>
        </w:rPr>
        <w:t xml:space="preserve"> sociological analysis is </w:t>
      </w:r>
      <w:r w:rsidR="00E11E4D" w:rsidRPr="00FF34F0">
        <w:rPr>
          <w:rFonts w:ascii="Garamond" w:hAnsi="Garamond" w:cs="Times New Roman"/>
          <w:lang w:val="en-GB"/>
        </w:rPr>
        <w:t xml:space="preserve">in underlining </w:t>
      </w:r>
      <w:r w:rsidR="00240839" w:rsidRPr="00FF34F0">
        <w:rPr>
          <w:rFonts w:ascii="Garamond" w:hAnsi="Garamond" w:cs="Times New Roman"/>
          <w:lang w:val="en-GB"/>
        </w:rPr>
        <w:t xml:space="preserve">the </w:t>
      </w:r>
      <w:r w:rsidRPr="00FF34F0">
        <w:rPr>
          <w:rFonts w:ascii="Garamond" w:hAnsi="Garamond" w:cs="Times New Roman"/>
          <w:lang w:val="en-GB"/>
        </w:rPr>
        <w:t>importance of professional and organisational hierarchies</w:t>
      </w:r>
      <w:r w:rsidR="005163A0" w:rsidRPr="00FF34F0">
        <w:rPr>
          <w:rFonts w:ascii="Garamond" w:hAnsi="Garamond" w:cs="Times New Roman"/>
          <w:lang w:val="en-GB"/>
        </w:rPr>
        <w:t xml:space="preserve">. They develop an analysis of professional hierarchies through the lens of social capital. </w:t>
      </w:r>
      <w:r w:rsidR="00240839" w:rsidRPr="00FF34F0">
        <w:rPr>
          <w:rFonts w:ascii="Garamond" w:hAnsi="Garamond" w:cs="Times New Roman"/>
          <w:lang w:val="en-GB"/>
        </w:rPr>
        <w:t xml:space="preserve">They found that </w:t>
      </w:r>
      <w:r w:rsidR="00E3733D" w:rsidRPr="00FF34F0">
        <w:rPr>
          <w:rFonts w:ascii="Garamond" w:hAnsi="Garamond" w:cs="Times New Roman"/>
          <w:lang w:val="en-GB"/>
        </w:rPr>
        <w:t xml:space="preserve">nurses </w:t>
      </w:r>
      <w:r w:rsidR="005163A0" w:rsidRPr="00FF34F0">
        <w:rPr>
          <w:rFonts w:ascii="Garamond" w:hAnsi="Garamond" w:cs="Times New Roman"/>
          <w:lang w:val="en-GB"/>
        </w:rPr>
        <w:t xml:space="preserve">lacked the cross-boundary ‘linking’ relationships that helped GPs and consultants exert influence and effect change. </w:t>
      </w:r>
      <w:r w:rsidR="00AB055A" w:rsidRPr="00FF34F0">
        <w:rPr>
          <w:rFonts w:ascii="Garamond" w:hAnsi="Garamond" w:cs="Times New Roman"/>
          <w:lang w:val="en-GB"/>
        </w:rPr>
        <w:t xml:space="preserve">These </w:t>
      </w:r>
      <w:r w:rsidR="005163A0" w:rsidRPr="00FF34F0">
        <w:rPr>
          <w:rFonts w:ascii="Garamond" w:hAnsi="Garamond" w:cs="Times New Roman"/>
          <w:lang w:val="en-GB"/>
        </w:rPr>
        <w:t xml:space="preserve">relationships can have a ‘dark side’ </w:t>
      </w:r>
      <w:r w:rsidR="00C93EC4" w:rsidRPr="00FF34F0">
        <w:rPr>
          <w:rFonts w:ascii="Garamond" w:hAnsi="Garamond" w:cs="Times New Roman"/>
          <w:lang w:val="en-GB"/>
        </w:rPr>
        <w:t>(Currie, Finn and Martin 2008)</w:t>
      </w:r>
      <w:r w:rsidR="00AB055A" w:rsidRPr="00FF34F0">
        <w:rPr>
          <w:rFonts w:ascii="Garamond" w:hAnsi="Garamond" w:cs="Times New Roman"/>
          <w:lang w:val="en-GB"/>
        </w:rPr>
        <w:t>,</w:t>
      </w:r>
      <w:r w:rsidR="00C93EC4" w:rsidRPr="00FF34F0">
        <w:rPr>
          <w:rFonts w:ascii="Garamond" w:hAnsi="Garamond" w:cs="Times New Roman"/>
          <w:lang w:val="en-GB"/>
        </w:rPr>
        <w:t xml:space="preserve"> </w:t>
      </w:r>
      <w:r w:rsidR="005163A0" w:rsidRPr="00FF34F0">
        <w:rPr>
          <w:rFonts w:ascii="Garamond" w:hAnsi="Garamond" w:cs="Times New Roman"/>
          <w:lang w:val="en-GB"/>
        </w:rPr>
        <w:t>benefiting those in higher positions i</w:t>
      </w:r>
      <w:r w:rsidR="00E11E4D" w:rsidRPr="00FF34F0">
        <w:rPr>
          <w:rFonts w:ascii="Garamond" w:hAnsi="Garamond" w:cs="Times New Roman"/>
          <w:lang w:val="en-GB"/>
        </w:rPr>
        <w:t>n org</w:t>
      </w:r>
      <w:r w:rsidR="005163A0" w:rsidRPr="00FF34F0">
        <w:rPr>
          <w:rFonts w:ascii="Garamond" w:hAnsi="Garamond" w:cs="Times New Roman"/>
          <w:lang w:val="en-GB"/>
        </w:rPr>
        <w:t>anisational hierarchies</w:t>
      </w:r>
      <w:r w:rsidR="00C93EC4" w:rsidRPr="00FF34F0">
        <w:rPr>
          <w:rFonts w:ascii="Garamond" w:hAnsi="Garamond" w:cs="Times New Roman"/>
          <w:lang w:val="en-GB"/>
        </w:rPr>
        <w:t xml:space="preserve"> and excluding other actors from participation. </w:t>
      </w:r>
    </w:p>
    <w:p w14:paraId="52C1931C" w14:textId="77777777" w:rsidR="009E689E" w:rsidRPr="00FF34F0" w:rsidRDefault="009E689E" w:rsidP="006C5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b/>
          <w:lang w:val="en-GB"/>
        </w:rPr>
      </w:pPr>
    </w:p>
    <w:p w14:paraId="3E555B82" w14:textId="165FC82F" w:rsidR="00D47E99" w:rsidRPr="00FF34F0" w:rsidRDefault="00C93EC4" w:rsidP="006C5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lang w:val="en-GB"/>
        </w:rPr>
      </w:pPr>
      <w:r w:rsidRPr="00FF34F0">
        <w:rPr>
          <w:rFonts w:ascii="Garamond" w:hAnsi="Garamond" w:cs="Times New Roman"/>
          <w:lang w:val="en-GB"/>
        </w:rPr>
        <w:t>Importantly</w:t>
      </w:r>
      <w:r w:rsidR="00804220" w:rsidRPr="00FF34F0">
        <w:rPr>
          <w:rFonts w:ascii="Garamond" w:hAnsi="Garamond" w:cs="Times New Roman"/>
          <w:lang w:val="en-GB"/>
        </w:rPr>
        <w:t>,</w:t>
      </w:r>
      <w:r w:rsidRPr="00FF34F0">
        <w:rPr>
          <w:rFonts w:ascii="Garamond" w:hAnsi="Garamond" w:cs="Times New Roman"/>
          <w:lang w:val="en-GB"/>
        </w:rPr>
        <w:t xml:space="preserve"> s</w:t>
      </w:r>
      <w:r w:rsidR="00553377" w:rsidRPr="00FF34F0">
        <w:rPr>
          <w:rFonts w:ascii="Garamond" w:hAnsi="Garamond" w:cs="Times New Roman"/>
          <w:lang w:val="en-GB"/>
        </w:rPr>
        <w:t>ociological scholarship can</w:t>
      </w:r>
      <w:r w:rsidRPr="00FF34F0">
        <w:rPr>
          <w:rFonts w:ascii="Garamond" w:hAnsi="Garamond" w:cs="Times New Roman"/>
          <w:lang w:val="en-GB"/>
        </w:rPr>
        <w:t xml:space="preserve"> enhance an understanding of </w:t>
      </w:r>
      <w:r w:rsidR="00197B74" w:rsidRPr="00FF34F0">
        <w:rPr>
          <w:rFonts w:ascii="Garamond" w:hAnsi="Garamond" w:cs="Times New Roman"/>
          <w:lang w:val="en-GB"/>
        </w:rPr>
        <w:t>large-scale</w:t>
      </w:r>
      <w:r w:rsidRPr="00FF34F0">
        <w:rPr>
          <w:rFonts w:ascii="Garamond" w:hAnsi="Garamond" w:cs="Times New Roman"/>
          <w:lang w:val="en-GB"/>
        </w:rPr>
        <w:t xml:space="preserve"> change by </w:t>
      </w:r>
      <w:r w:rsidR="00C52E5D" w:rsidRPr="00FF34F0">
        <w:rPr>
          <w:rFonts w:ascii="Garamond" w:hAnsi="Garamond" w:cs="Times New Roman"/>
          <w:lang w:val="en-GB"/>
        </w:rPr>
        <w:t>illuminating the multi</w:t>
      </w:r>
      <w:r w:rsidR="0076508B" w:rsidRPr="00FF34F0">
        <w:rPr>
          <w:rFonts w:ascii="Garamond" w:hAnsi="Garamond" w:cs="Times New Roman"/>
          <w:lang w:val="en-GB"/>
        </w:rPr>
        <w:t>ple meanings attached to health</w:t>
      </w:r>
      <w:r w:rsidR="00C52E5D" w:rsidRPr="00FF34F0">
        <w:rPr>
          <w:rFonts w:ascii="Garamond" w:hAnsi="Garamond" w:cs="Times New Roman"/>
          <w:lang w:val="en-GB"/>
        </w:rPr>
        <w:t>care facilities</w:t>
      </w:r>
      <w:r w:rsidR="00240839" w:rsidRPr="00FF34F0">
        <w:rPr>
          <w:rFonts w:ascii="Garamond" w:hAnsi="Garamond" w:cs="Times New Roman"/>
          <w:lang w:val="en-GB"/>
        </w:rPr>
        <w:t xml:space="preserve">. Healthcare facilities are often important to local communities, embodying a </w:t>
      </w:r>
      <w:r w:rsidR="00C52E5D" w:rsidRPr="00FF34F0">
        <w:rPr>
          <w:rFonts w:ascii="Garamond" w:hAnsi="Garamond" w:cs="Times New Roman"/>
          <w:lang w:val="en-GB"/>
        </w:rPr>
        <w:t>‘sense of place’ (</w:t>
      </w:r>
      <w:proofErr w:type="spellStart"/>
      <w:r w:rsidR="00C52E5D" w:rsidRPr="00FF34F0">
        <w:rPr>
          <w:rFonts w:ascii="Garamond" w:hAnsi="Garamond" w:cs="Times New Roman"/>
          <w:lang w:val="en-GB"/>
        </w:rPr>
        <w:t>Eyles</w:t>
      </w:r>
      <w:proofErr w:type="spellEnd"/>
      <w:r w:rsidR="00C52E5D" w:rsidRPr="00FF34F0">
        <w:rPr>
          <w:rFonts w:ascii="Garamond" w:hAnsi="Garamond" w:cs="Times New Roman"/>
          <w:lang w:val="en-GB"/>
        </w:rPr>
        <w:t xml:space="preserve"> 1985). Hospitals, in particular, </w:t>
      </w:r>
      <w:r w:rsidR="000F70C8" w:rsidRPr="00FF34F0">
        <w:rPr>
          <w:rFonts w:ascii="Garamond" w:hAnsi="Garamond" w:cs="Times New Roman"/>
          <w:lang w:val="en-GB"/>
        </w:rPr>
        <w:t>often hold</w:t>
      </w:r>
      <w:r w:rsidR="00B4619B" w:rsidRPr="00FF34F0">
        <w:rPr>
          <w:rFonts w:ascii="Garamond" w:hAnsi="Garamond" w:cs="Times New Roman"/>
          <w:lang w:val="en-GB"/>
        </w:rPr>
        <w:t xml:space="preserve"> important symbolic properties </w:t>
      </w:r>
      <w:r w:rsidR="000F70C8" w:rsidRPr="00FF34F0">
        <w:rPr>
          <w:rFonts w:ascii="Garamond" w:hAnsi="Garamond" w:cs="Times New Roman"/>
          <w:lang w:val="en-GB"/>
        </w:rPr>
        <w:t>(Kearns and J</w:t>
      </w:r>
      <w:r w:rsidR="00407D20" w:rsidRPr="00FF34F0">
        <w:rPr>
          <w:rFonts w:ascii="Garamond" w:hAnsi="Garamond" w:cs="Times New Roman"/>
          <w:lang w:val="en-GB"/>
        </w:rPr>
        <w:t>oseph 1997, 1993</w:t>
      </w:r>
      <w:r w:rsidR="00C52E5D" w:rsidRPr="00FF34F0">
        <w:rPr>
          <w:rFonts w:ascii="Garamond" w:hAnsi="Garamond" w:cs="Times New Roman"/>
          <w:lang w:val="en-GB"/>
        </w:rPr>
        <w:t xml:space="preserve">). </w:t>
      </w:r>
      <w:r w:rsidR="00543004" w:rsidRPr="00FF34F0">
        <w:rPr>
          <w:rFonts w:ascii="Garamond" w:hAnsi="Garamond" w:cs="Times New Roman"/>
          <w:lang w:val="en-GB"/>
        </w:rPr>
        <w:t xml:space="preserve">In addition to providing support for local needs, </w:t>
      </w:r>
      <w:r w:rsidR="0076508B" w:rsidRPr="00FF34F0">
        <w:rPr>
          <w:rFonts w:ascii="Garamond" w:hAnsi="Garamond" w:cs="Times New Roman"/>
          <w:lang w:val="en-GB"/>
        </w:rPr>
        <w:t>health</w:t>
      </w:r>
      <w:r w:rsidR="000F70C8" w:rsidRPr="00FF34F0">
        <w:rPr>
          <w:rFonts w:ascii="Garamond" w:hAnsi="Garamond" w:cs="Times New Roman"/>
          <w:lang w:val="en-GB"/>
        </w:rPr>
        <w:t xml:space="preserve">care facilities </w:t>
      </w:r>
      <w:r w:rsidR="00543004" w:rsidRPr="00FF34F0">
        <w:rPr>
          <w:rFonts w:ascii="Garamond" w:hAnsi="Garamond" w:cs="Times New Roman"/>
          <w:lang w:val="en-GB"/>
        </w:rPr>
        <w:t>may represent a significant source of local employment, and embody the political identity of an area</w:t>
      </w:r>
      <w:r w:rsidR="00DA3F25" w:rsidRPr="00FF34F0">
        <w:rPr>
          <w:rFonts w:ascii="Garamond" w:hAnsi="Garamond" w:cs="Times New Roman"/>
          <w:lang w:val="en-GB"/>
        </w:rPr>
        <w:t>, fostering a sense of community ownership</w:t>
      </w:r>
      <w:r w:rsidR="00543004" w:rsidRPr="00FF34F0">
        <w:rPr>
          <w:rFonts w:ascii="Garamond" w:hAnsi="Garamond" w:cs="Times New Roman"/>
          <w:lang w:val="en-GB"/>
        </w:rPr>
        <w:t xml:space="preserve">. </w:t>
      </w:r>
      <w:r w:rsidR="00DA3F25" w:rsidRPr="00FF34F0">
        <w:rPr>
          <w:rFonts w:ascii="Garamond" w:hAnsi="Garamond" w:cs="Times New Roman"/>
          <w:lang w:val="en-GB"/>
        </w:rPr>
        <w:t>Brown (2003)</w:t>
      </w:r>
      <w:r w:rsidR="00553377" w:rsidRPr="00FF34F0">
        <w:rPr>
          <w:rFonts w:ascii="Garamond" w:hAnsi="Garamond" w:cs="Times New Roman"/>
          <w:lang w:val="en-GB"/>
        </w:rPr>
        <w:t>, for example,</w:t>
      </w:r>
      <w:r w:rsidR="00DA3F25" w:rsidRPr="00FF34F0">
        <w:rPr>
          <w:rFonts w:ascii="Garamond" w:hAnsi="Garamond" w:cs="Times New Roman"/>
          <w:lang w:val="en-GB"/>
        </w:rPr>
        <w:t xml:space="preserve"> </w:t>
      </w:r>
      <w:r w:rsidR="008B7228" w:rsidRPr="00FF34F0">
        <w:rPr>
          <w:rFonts w:ascii="Garamond" w:hAnsi="Garamond" w:cs="Times New Roman"/>
        </w:rPr>
        <w:t xml:space="preserve">suggests that in the </w:t>
      </w:r>
      <w:r w:rsidR="005832CE" w:rsidRPr="00FF34F0">
        <w:rPr>
          <w:rFonts w:ascii="Garamond" w:hAnsi="Garamond" w:cs="Times New Roman"/>
        </w:rPr>
        <w:t xml:space="preserve">UK the district general hospital is often </w:t>
      </w:r>
      <w:r w:rsidR="00B77638" w:rsidRPr="00FF34F0">
        <w:rPr>
          <w:rFonts w:ascii="Garamond" w:hAnsi="Garamond" w:cs="Times New Roman"/>
        </w:rPr>
        <w:t>symbolic</w:t>
      </w:r>
      <w:r w:rsidR="008407A6" w:rsidRPr="00FF34F0">
        <w:rPr>
          <w:rFonts w:ascii="Garamond" w:hAnsi="Garamond" w:cs="Times New Roman"/>
        </w:rPr>
        <w:t xml:space="preserve"> </w:t>
      </w:r>
      <w:r w:rsidR="00E84D58" w:rsidRPr="00FF34F0">
        <w:rPr>
          <w:rFonts w:ascii="Garamond" w:hAnsi="Garamond" w:cs="Times New Roman"/>
        </w:rPr>
        <w:t xml:space="preserve">of </w:t>
      </w:r>
      <w:r w:rsidR="001433CA" w:rsidRPr="00FF34F0">
        <w:rPr>
          <w:rFonts w:ascii="Garamond" w:hAnsi="Garamond" w:cs="Times New Roman"/>
        </w:rPr>
        <w:t xml:space="preserve">the foundation </w:t>
      </w:r>
      <w:r w:rsidR="00580CFE" w:rsidRPr="00FF34F0">
        <w:rPr>
          <w:rFonts w:ascii="Garamond" w:hAnsi="Garamond" w:cs="Times New Roman"/>
        </w:rPr>
        <w:t>o</w:t>
      </w:r>
      <w:r w:rsidR="001433CA" w:rsidRPr="00FF34F0">
        <w:rPr>
          <w:rFonts w:ascii="Garamond" w:hAnsi="Garamond" w:cs="Times New Roman"/>
        </w:rPr>
        <w:t>f a post-war ‘</w:t>
      </w:r>
      <w:r w:rsidR="00E84D58" w:rsidRPr="00FF34F0">
        <w:rPr>
          <w:rFonts w:ascii="Garamond" w:hAnsi="Garamond" w:cs="Times New Roman"/>
        </w:rPr>
        <w:t xml:space="preserve">welfare state', </w:t>
      </w:r>
      <w:r w:rsidR="00580CFE" w:rsidRPr="00FF34F0">
        <w:rPr>
          <w:rFonts w:ascii="Garamond" w:hAnsi="Garamond" w:cs="Times New Roman"/>
        </w:rPr>
        <w:t>through which the idea of communality or common citizenship has been defined</w:t>
      </w:r>
      <w:r w:rsidR="008407A6" w:rsidRPr="00FF34F0">
        <w:rPr>
          <w:rFonts w:ascii="Garamond" w:hAnsi="Garamond" w:cs="Times New Roman"/>
        </w:rPr>
        <w:t>,</w:t>
      </w:r>
      <w:r w:rsidR="00E84D58" w:rsidRPr="00FF34F0">
        <w:rPr>
          <w:rFonts w:ascii="Garamond" w:hAnsi="Garamond" w:cs="Times New Roman"/>
        </w:rPr>
        <w:t xml:space="preserve"> and of an </w:t>
      </w:r>
      <w:r w:rsidR="00580CFE" w:rsidRPr="00FF34F0">
        <w:rPr>
          <w:rFonts w:ascii="Garamond" w:hAnsi="Garamond" w:cs="Times New Roman"/>
        </w:rPr>
        <w:t>ideological commitment to the provis</w:t>
      </w:r>
      <w:r w:rsidR="00E84D58" w:rsidRPr="00FF34F0">
        <w:rPr>
          <w:rFonts w:ascii="Garamond" w:hAnsi="Garamond" w:cs="Times New Roman"/>
        </w:rPr>
        <w:t>i</w:t>
      </w:r>
      <w:r w:rsidR="00580CFE" w:rsidRPr="00FF34F0">
        <w:rPr>
          <w:rFonts w:ascii="Garamond" w:hAnsi="Garamond" w:cs="Times New Roman"/>
        </w:rPr>
        <w:t>on of a comprehensive nationa</w:t>
      </w:r>
      <w:r w:rsidR="00E84D58" w:rsidRPr="00FF34F0">
        <w:rPr>
          <w:rFonts w:ascii="Garamond" w:hAnsi="Garamond" w:cs="Times New Roman"/>
        </w:rPr>
        <w:t>l health service</w:t>
      </w:r>
      <w:r w:rsidR="005832CE" w:rsidRPr="00FF34F0">
        <w:rPr>
          <w:rFonts w:ascii="Garamond" w:hAnsi="Garamond" w:cs="Times New Roman"/>
        </w:rPr>
        <w:t>.</w:t>
      </w:r>
      <w:r w:rsidR="008B7228" w:rsidRPr="00FF34F0">
        <w:rPr>
          <w:rFonts w:ascii="Garamond" w:hAnsi="Garamond" w:cs="Times New Roman"/>
        </w:rPr>
        <w:t xml:space="preserve"> </w:t>
      </w:r>
      <w:r w:rsidR="005614B8" w:rsidRPr="00FF34F0">
        <w:rPr>
          <w:rFonts w:ascii="Garamond" w:hAnsi="Garamond" w:cs="Times New Roman"/>
        </w:rPr>
        <w:t>Meanings and attachments may, however, vary between facilities, explaining, in part, variation in the extent of</w:t>
      </w:r>
      <w:r w:rsidR="00335082" w:rsidRPr="00FF34F0">
        <w:rPr>
          <w:rFonts w:ascii="Garamond" w:hAnsi="Garamond" w:cs="Times New Roman"/>
        </w:rPr>
        <w:t xml:space="preserve"> community resistance to closure</w:t>
      </w:r>
      <w:r w:rsidR="005614B8" w:rsidRPr="00FF34F0">
        <w:rPr>
          <w:rFonts w:ascii="Garamond" w:hAnsi="Garamond" w:cs="Times New Roman"/>
        </w:rPr>
        <w:t xml:space="preserve"> (Brown 2003).</w:t>
      </w:r>
    </w:p>
    <w:p w14:paraId="1DAB05D3" w14:textId="48AEF76B" w:rsidR="00D47E99" w:rsidRPr="00FF34F0" w:rsidRDefault="00D47E99" w:rsidP="006C5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rPr>
      </w:pPr>
    </w:p>
    <w:p w14:paraId="04AFCCD6" w14:textId="2E0D8DE4" w:rsidR="00580CFE" w:rsidRPr="00FF34F0" w:rsidRDefault="00D66338" w:rsidP="006C5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rPr>
      </w:pPr>
      <w:r w:rsidRPr="00FF34F0">
        <w:rPr>
          <w:rFonts w:ascii="Garamond" w:hAnsi="Garamond" w:cs="Times New Roman"/>
        </w:rPr>
        <w:t xml:space="preserve">Competing conceptions of </w:t>
      </w:r>
      <w:r w:rsidR="00AB1151" w:rsidRPr="00FF34F0">
        <w:rPr>
          <w:rFonts w:ascii="Garamond" w:hAnsi="Garamond" w:cs="Times New Roman"/>
        </w:rPr>
        <w:t>space</w:t>
      </w:r>
      <w:r w:rsidR="00553377" w:rsidRPr="00FF34F0">
        <w:rPr>
          <w:rFonts w:ascii="Garamond" w:hAnsi="Garamond" w:cs="Times New Roman"/>
        </w:rPr>
        <w:t xml:space="preserve"> </w:t>
      </w:r>
      <w:r w:rsidR="00C20AB4" w:rsidRPr="00FF34F0">
        <w:rPr>
          <w:rFonts w:ascii="Garamond" w:hAnsi="Garamond" w:cs="Times New Roman"/>
        </w:rPr>
        <w:t xml:space="preserve">are central to many intractable policy controversies, </w:t>
      </w:r>
      <w:r w:rsidR="00AB1151" w:rsidRPr="00FF34F0">
        <w:rPr>
          <w:rFonts w:ascii="Garamond" w:hAnsi="Garamond" w:cs="Times New Roman"/>
        </w:rPr>
        <w:t>not just in</w:t>
      </w:r>
      <w:r w:rsidR="00553377" w:rsidRPr="00FF34F0">
        <w:rPr>
          <w:rFonts w:ascii="Garamond" w:hAnsi="Garamond" w:cs="Times New Roman"/>
        </w:rPr>
        <w:t xml:space="preserve"> health</w:t>
      </w:r>
      <w:r w:rsidR="008C11AA" w:rsidRPr="00FF34F0">
        <w:rPr>
          <w:rFonts w:ascii="Garamond" w:hAnsi="Garamond" w:cs="Times New Roman"/>
        </w:rPr>
        <w:t>care,</w:t>
      </w:r>
      <w:r w:rsidR="00AB1151" w:rsidRPr="00FF34F0">
        <w:rPr>
          <w:rFonts w:ascii="Garamond" w:hAnsi="Garamond" w:cs="Times New Roman"/>
        </w:rPr>
        <w:t xml:space="preserve"> but other sectors, </w:t>
      </w:r>
      <w:r w:rsidR="00553377" w:rsidRPr="00FF34F0">
        <w:rPr>
          <w:rFonts w:ascii="Garamond" w:hAnsi="Garamond" w:cs="Times New Roman"/>
        </w:rPr>
        <w:t>such as edu</w:t>
      </w:r>
      <w:r w:rsidRPr="00FF34F0">
        <w:rPr>
          <w:rFonts w:ascii="Garamond" w:hAnsi="Garamond" w:cs="Times New Roman"/>
        </w:rPr>
        <w:t xml:space="preserve">cation and the environment. These can be found </w:t>
      </w:r>
      <w:r w:rsidR="00553377" w:rsidRPr="00FF34F0">
        <w:rPr>
          <w:rFonts w:ascii="Garamond" w:hAnsi="Garamond" w:cs="Times New Roman"/>
        </w:rPr>
        <w:t>in the discourses of political actors</w:t>
      </w:r>
      <w:r w:rsidR="00B9222C" w:rsidRPr="00FF34F0">
        <w:rPr>
          <w:rFonts w:ascii="Garamond" w:hAnsi="Garamond" w:cs="Times New Roman"/>
        </w:rPr>
        <w:t xml:space="preserve">, </w:t>
      </w:r>
      <w:r w:rsidR="00D47E99" w:rsidRPr="00FF34F0">
        <w:rPr>
          <w:rFonts w:ascii="Garamond" w:hAnsi="Garamond" w:cs="Times New Roman"/>
        </w:rPr>
        <w:t>both those used to ‘sell’ heal</w:t>
      </w:r>
      <w:r w:rsidR="007E0230" w:rsidRPr="00FF34F0">
        <w:rPr>
          <w:rFonts w:ascii="Garamond" w:hAnsi="Garamond" w:cs="Times New Roman"/>
        </w:rPr>
        <w:t>th</w:t>
      </w:r>
      <w:r w:rsidR="009929B5" w:rsidRPr="00FF34F0">
        <w:rPr>
          <w:rFonts w:ascii="Garamond" w:hAnsi="Garamond" w:cs="Times New Roman"/>
        </w:rPr>
        <w:t xml:space="preserve">care policies to the public </w:t>
      </w:r>
      <w:r w:rsidR="00D47E99" w:rsidRPr="00FF34F0">
        <w:rPr>
          <w:rFonts w:ascii="Garamond" w:hAnsi="Garamond" w:cs="Times New Roman"/>
        </w:rPr>
        <w:t xml:space="preserve">and those of resistance. </w:t>
      </w:r>
      <w:r w:rsidR="00B9222C" w:rsidRPr="00FF34F0">
        <w:rPr>
          <w:rFonts w:ascii="Garamond" w:hAnsi="Garamond" w:cs="Times New Roman"/>
        </w:rPr>
        <w:t xml:space="preserve">In </w:t>
      </w:r>
      <w:r w:rsidR="00C20AB4" w:rsidRPr="00FF34F0">
        <w:rPr>
          <w:rFonts w:ascii="Garamond" w:hAnsi="Garamond" w:cs="Times New Roman"/>
        </w:rPr>
        <w:t xml:space="preserve">political contests over hospital closures spatialized </w:t>
      </w:r>
      <w:r w:rsidR="00B9222C" w:rsidRPr="00FF34F0">
        <w:rPr>
          <w:rFonts w:ascii="Garamond" w:hAnsi="Garamond" w:cs="Times New Roman"/>
        </w:rPr>
        <w:t xml:space="preserve">language is an important tactic, especially invocations of ‘the local’ (Moon and Brown 2001). </w:t>
      </w:r>
      <w:r w:rsidR="00AD36F2" w:rsidRPr="00FF34F0">
        <w:rPr>
          <w:rFonts w:ascii="Garamond" w:hAnsi="Garamond" w:cs="Times New Roman"/>
        </w:rPr>
        <w:t>In</w:t>
      </w:r>
      <w:r w:rsidR="00D47E99" w:rsidRPr="00FF34F0">
        <w:rPr>
          <w:rFonts w:ascii="Garamond" w:hAnsi="Garamond" w:cs="Times New Roman"/>
        </w:rPr>
        <w:t xml:space="preserve"> a study of government plans to close</w:t>
      </w:r>
      <w:r w:rsidR="0038791F" w:rsidRPr="00FF34F0">
        <w:rPr>
          <w:rFonts w:ascii="Garamond" w:hAnsi="Garamond" w:cs="Times New Roman"/>
        </w:rPr>
        <w:t xml:space="preserve"> </w:t>
      </w:r>
      <w:r w:rsidR="0098669F" w:rsidRPr="00FF34F0">
        <w:rPr>
          <w:rFonts w:ascii="Garamond" w:hAnsi="Garamond" w:cs="Times New Roman"/>
        </w:rPr>
        <w:t>‘</w:t>
      </w:r>
      <w:proofErr w:type="spellStart"/>
      <w:r w:rsidR="0098669F" w:rsidRPr="00FF34F0">
        <w:rPr>
          <w:rFonts w:ascii="Garamond" w:hAnsi="Garamond" w:cs="Times New Roman"/>
        </w:rPr>
        <w:t>Barts</w:t>
      </w:r>
      <w:proofErr w:type="spellEnd"/>
      <w:r w:rsidR="0098669F" w:rsidRPr="00FF34F0">
        <w:rPr>
          <w:rFonts w:ascii="Garamond" w:hAnsi="Garamond" w:cs="Times New Roman"/>
        </w:rPr>
        <w:t>’, a prominent</w:t>
      </w:r>
      <w:r w:rsidR="00320545" w:rsidRPr="00FF34F0">
        <w:rPr>
          <w:rFonts w:ascii="Garamond" w:hAnsi="Garamond" w:cs="Times New Roman"/>
        </w:rPr>
        <w:t xml:space="preserve"> and historic</w:t>
      </w:r>
      <w:r w:rsidR="0098669F" w:rsidRPr="00FF34F0">
        <w:rPr>
          <w:rFonts w:ascii="Garamond" w:hAnsi="Garamond" w:cs="Times New Roman"/>
        </w:rPr>
        <w:t xml:space="preserve"> London hospital, </w:t>
      </w:r>
      <w:r w:rsidR="000B402D" w:rsidRPr="00FF34F0">
        <w:rPr>
          <w:rFonts w:ascii="Garamond" w:hAnsi="Garamond" w:cs="Times New Roman"/>
        </w:rPr>
        <w:t xml:space="preserve">Moon and Brown (2001) </w:t>
      </w:r>
      <w:r w:rsidR="00D47E99" w:rsidRPr="00FF34F0">
        <w:rPr>
          <w:rFonts w:ascii="Garamond" w:hAnsi="Garamond" w:cs="Times New Roman"/>
        </w:rPr>
        <w:t xml:space="preserve">show how the political contest involved </w:t>
      </w:r>
      <w:r w:rsidR="00AD36F2" w:rsidRPr="00FF34F0">
        <w:rPr>
          <w:rFonts w:ascii="Garamond" w:hAnsi="Garamond" w:cs="Times New Roman"/>
        </w:rPr>
        <w:t xml:space="preserve">the mobilization of </w:t>
      </w:r>
      <w:r w:rsidR="00D47E99" w:rsidRPr="00FF34F0">
        <w:rPr>
          <w:rFonts w:ascii="Garamond" w:hAnsi="Garamond" w:cs="Times New Roman"/>
        </w:rPr>
        <w:t xml:space="preserve">competing representations of the same space. </w:t>
      </w:r>
      <w:r w:rsidR="00C20AB4" w:rsidRPr="00FF34F0">
        <w:rPr>
          <w:rFonts w:ascii="Garamond" w:hAnsi="Garamond" w:cs="Times New Roman"/>
        </w:rPr>
        <w:t>T</w:t>
      </w:r>
      <w:r w:rsidR="00784CB5" w:rsidRPr="00FF34F0">
        <w:rPr>
          <w:rFonts w:ascii="Garamond" w:hAnsi="Garamond" w:cs="Times New Roman"/>
        </w:rPr>
        <w:t xml:space="preserve">he geometric analysis of travel times and catchment populations presented by government agents was countered by </w:t>
      </w:r>
      <w:r w:rsidR="00C20AB4" w:rsidRPr="00FF34F0">
        <w:rPr>
          <w:rFonts w:ascii="Garamond" w:hAnsi="Garamond" w:cs="Times New Roman"/>
        </w:rPr>
        <w:t xml:space="preserve">three </w:t>
      </w:r>
      <w:r w:rsidR="00784CB5" w:rsidRPr="00FF34F0">
        <w:rPr>
          <w:rFonts w:ascii="Garamond" w:hAnsi="Garamond" w:cs="Times New Roman"/>
        </w:rPr>
        <w:t>alternative representations</w:t>
      </w:r>
      <w:r w:rsidR="00C20AB4" w:rsidRPr="00FF34F0">
        <w:rPr>
          <w:rFonts w:ascii="Garamond" w:hAnsi="Garamond" w:cs="Times New Roman"/>
        </w:rPr>
        <w:t xml:space="preserve">, broadly associated with different stakeholders: </w:t>
      </w:r>
      <w:r w:rsidR="00784CB5" w:rsidRPr="00FF34F0">
        <w:rPr>
          <w:rFonts w:ascii="Garamond" w:hAnsi="Garamond" w:cs="Times New Roman"/>
        </w:rPr>
        <w:t>a local hospital</w:t>
      </w:r>
      <w:r w:rsidR="005F4167" w:rsidRPr="00FF34F0">
        <w:rPr>
          <w:rFonts w:ascii="Garamond" w:hAnsi="Garamond" w:cs="Times New Roman"/>
        </w:rPr>
        <w:t xml:space="preserve"> serving a</w:t>
      </w:r>
      <w:r w:rsidR="00A94827" w:rsidRPr="00FF34F0">
        <w:rPr>
          <w:rFonts w:ascii="Garamond" w:hAnsi="Garamond" w:cs="Times New Roman"/>
        </w:rPr>
        <w:t xml:space="preserve"> deprived population (managers);</w:t>
      </w:r>
      <w:r w:rsidR="005F4167" w:rsidRPr="00FF34F0">
        <w:rPr>
          <w:rFonts w:ascii="Garamond" w:hAnsi="Garamond" w:cs="Times New Roman"/>
        </w:rPr>
        <w:t xml:space="preserve"> an international </w:t>
      </w:r>
      <w:proofErr w:type="spellStart"/>
      <w:r w:rsidR="005F4167" w:rsidRPr="00FF34F0">
        <w:rPr>
          <w:rFonts w:ascii="Garamond" w:hAnsi="Garamond" w:cs="Times New Roman"/>
        </w:rPr>
        <w:t>centre</w:t>
      </w:r>
      <w:proofErr w:type="spellEnd"/>
      <w:r w:rsidR="005F4167" w:rsidRPr="00FF34F0">
        <w:rPr>
          <w:rFonts w:ascii="Garamond" w:hAnsi="Garamond" w:cs="Times New Roman"/>
        </w:rPr>
        <w:t xml:space="preserve"> of medical expertise (clin</w:t>
      </w:r>
      <w:r w:rsidR="00A94827" w:rsidRPr="00FF34F0">
        <w:rPr>
          <w:rFonts w:ascii="Garamond" w:hAnsi="Garamond" w:cs="Times New Roman"/>
        </w:rPr>
        <w:t>i</w:t>
      </w:r>
      <w:r w:rsidR="005F4167" w:rsidRPr="00FF34F0">
        <w:rPr>
          <w:rFonts w:ascii="Garamond" w:hAnsi="Garamond" w:cs="Times New Roman"/>
        </w:rPr>
        <w:t>cians)</w:t>
      </w:r>
      <w:r w:rsidR="00A94827" w:rsidRPr="00FF34F0">
        <w:rPr>
          <w:rFonts w:ascii="Garamond" w:hAnsi="Garamond" w:cs="Times New Roman"/>
        </w:rPr>
        <w:t>;</w:t>
      </w:r>
      <w:r w:rsidR="005F4167" w:rsidRPr="00FF34F0">
        <w:rPr>
          <w:rFonts w:ascii="Garamond" w:hAnsi="Garamond" w:cs="Times New Roman"/>
        </w:rPr>
        <w:t xml:space="preserve"> and </w:t>
      </w:r>
      <w:r w:rsidR="009A6CAE" w:rsidRPr="00FF34F0">
        <w:rPr>
          <w:rFonts w:ascii="Garamond" w:hAnsi="Garamond" w:cs="Times New Roman"/>
        </w:rPr>
        <w:t>a tangible expression of London’s cultural heritage</w:t>
      </w:r>
      <w:r w:rsidR="007E1F13" w:rsidRPr="00FF34F0">
        <w:rPr>
          <w:rFonts w:ascii="Garamond" w:hAnsi="Garamond" w:cs="Times New Roman"/>
        </w:rPr>
        <w:t xml:space="preserve"> </w:t>
      </w:r>
      <w:r w:rsidR="009A6CAE" w:rsidRPr="00FF34F0">
        <w:rPr>
          <w:rFonts w:ascii="Garamond" w:hAnsi="Garamond" w:cs="Times New Roman"/>
        </w:rPr>
        <w:t xml:space="preserve">(public groups, politicians, and the London and national media). Central to this notion of </w:t>
      </w:r>
      <w:r w:rsidR="00240839" w:rsidRPr="00FF34F0">
        <w:rPr>
          <w:rFonts w:ascii="Garamond" w:hAnsi="Garamond" w:cs="Times New Roman"/>
        </w:rPr>
        <w:t xml:space="preserve">the hospital as a </w:t>
      </w:r>
      <w:r w:rsidR="009A6CAE" w:rsidRPr="00FF34F0">
        <w:rPr>
          <w:rFonts w:ascii="Garamond" w:hAnsi="Garamond" w:cs="Times New Roman"/>
        </w:rPr>
        <w:t>monument</w:t>
      </w:r>
      <w:r w:rsidR="00240839" w:rsidRPr="00FF34F0">
        <w:rPr>
          <w:rFonts w:ascii="Garamond" w:hAnsi="Garamond" w:cs="Times New Roman"/>
        </w:rPr>
        <w:t xml:space="preserve"> </w:t>
      </w:r>
      <w:r w:rsidR="009A6CAE" w:rsidRPr="00FF34F0">
        <w:rPr>
          <w:rFonts w:ascii="Garamond" w:hAnsi="Garamond" w:cs="Times New Roman"/>
        </w:rPr>
        <w:t>wa</w:t>
      </w:r>
      <w:r w:rsidR="00A41312" w:rsidRPr="00FF34F0">
        <w:rPr>
          <w:rFonts w:ascii="Garamond" w:hAnsi="Garamond" w:cs="Times New Roman"/>
        </w:rPr>
        <w:t>s the historical legacy of the h</w:t>
      </w:r>
      <w:r w:rsidR="009A6CAE" w:rsidRPr="00FF34F0">
        <w:rPr>
          <w:rFonts w:ascii="Garamond" w:hAnsi="Garamond" w:cs="Times New Roman"/>
        </w:rPr>
        <w:t xml:space="preserve">ospital and its association with significant events, such as the Great Plague, the Fire of London, and the Blitz. </w:t>
      </w:r>
      <w:r w:rsidR="008407A6" w:rsidRPr="00FF34F0">
        <w:rPr>
          <w:rFonts w:ascii="Garamond" w:hAnsi="Garamond" w:cs="Times New Roman"/>
        </w:rPr>
        <w:t xml:space="preserve">Moon and Brown </w:t>
      </w:r>
      <w:r w:rsidR="00D65C69" w:rsidRPr="00FF34F0">
        <w:rPr>
          <w:rFonts w:ascii="Garamond" w:hAnsi="Garamond" w:cs="Times New Roman"/>
        </w:rPr>
        <w:t xml:space="preserve">argue that the government’s </w:t>
      </w:r>
      <w:r w:rsidR="0098669F" w:rsidRPr="00FF34F0">
        <w:rPr>
          <w:rFonts w:ascii="Garamond" w:hAnsi="Garamond" w:cs="Times New Roman"/>
        </w:rPr>
        <w:t xml:space="preserve">rational planning analysis </w:t>
      </w:r>
      <w:r w:rsidR="00D65C69" w:rsidRPr="00FF34F0">
        <w:rPr>
          <w:rFonts w:ascii="Garamond" w:hAnsi="Garamond" w:cs="Times New Roman"/>
        </w:rPr>
        <w:t xml:space="preserve">neglected </w:t>
      </w:r>
      <w:r w:rsidR="008407A6" w:rsidRPr="00FF34F0">
        <w:rPr>
          <w:rFonts w:ascii="Garamond" w:hAnsi="Garamond" w:cs="Times New Roman"/>
        </w:rPr>
        <w:t xml:space="preserve">the </w:t>
      </w:r>
      <w:r w:rsidR="00D65C69" w:rsidRPr="00FF34F0">
        <w:rPr>
          <w:rFonts w:ascii="Garamond" w:hAnsi="Garamond" w:cs="Times New Roman"/>
        </w:rPr>
        <w:t>‘</w:t>
      </w:r>
      <w:r w:rsidR="0098669F" w:rsidRPr="00FF34F0">
        <w:rPr>
          <w:rFonts w:ascii="Garamond" w:hAnsi="Garamond" w:cs="Times New Roman"/>
        </w:rPr>
        <w:t xml:space="preserve">dual significance of the hospital as a site of therapeutic care able to support the citizens of London in times of particular need and a site which </w:t>
      </w:r>
      <w:proofErr w:type="spellStart"/>
      <w:r w:rsidR="0098669F" w:rsidRPr="00FF34F0">
        <w:rPr>
          <w:rFonts w:ascii="Garamond" w:hAnsi="Garamond" w:cs="Times New Roman"/>
        </w:rPr>
        <w:t>symbolises</w:t>
      </w:r>
      <w:proofErr w:type="spellEnd"/>
      <w:r w:rsidR="0098669F" w:rsidRPr="00FF34F0">
        <w:rPr>
          <w:rFonts w:ascii="Garamond" w:hAnsi="Garamond" w:cs="Times New Roman"/>
        </w:rPr>
        <w:t xml:space="preserve"> the capital city's many heroic struggles</w:t>
      </w:r>
      <w:r w:rsidR="00D65C69" w:rsidRPr="00FF34F0">
        <w:rPr>
          <w:rFonts w:ascii="Garamond" w:hAnsi="Garamond" w:cs="Times New Roman"/>
        </w:rPr>
        <w:t>’</w:t>
      </w:r>
      <w:r w:rsidR="00CD7E9E" w:rsidRPr="00FF34F0">
        <w:rPr>
          <w:rFonts w:ascii="Garamond" w:hAnsi="Garamond" w:cs="Times New Roman"/>
        </w:rPr>
        <w:t xml:space="preserve"> (2001, p54</w:t>
      </w:r>
      <w:r w:rsidR="00320545" w:rsidRPr="00FF34F0">
        <w:rPr>
          <w:rFonts w:ascii="Garamond" w:hAnsi="Garamond" w:cs="Times New Roman"/>
        </w:rPr>
        <w:t>)</w:t>
      </w:r>
      <w:r w:rsidR="0098669F" w:rsidRPr="00FF34F0">
        <w:rPr>
          <w:rFonts w:ascii="Garamond" w:hAnsi="Garamond" w:cs="Times New Roman"/>
        </w:rPr>
        <w:t xml:space="preserve">. </w:t>
      </w:r>
      <w:r w:rsidR="00D65C69" w:rsidRPr="00FF34F0">
        <w:rPr>
          <w:rFonts w:ascii="Garamond" w:hAnsi="Garamond" w:cs="Times New Roman"/>
        </w:rPr>
        <w:t xml:space="preserve">The </w:t>
      </w:r>
      <w:proofErr w:type="spellStart"/>
      <w:r w:rsidR="00D65C69" w:rsidRPr="00FF34F0">
        <w:rPr>
          <w:rFonts w:ascii="Garamond" w:hAnsi="Garamond" w:cs="Times New Roman"/>
        </w:rPr>
        <w:t>isochronic</w:t>
      </w:r>
      <w:proofErr w:type="spellEnd"/>
      <w:r w:rsidR="00D65C69" w:rsidRPr="00FF34F0">
        <w:rPr>
          <w:rFonts w:ascii="Garamond" w:hAnsi="Garamond" w:cs="Times New Roman"/>
        </w:rPr>
        <w:t xml:space="preserve"> maps produced by government agents </w:t>
      </w:r>
      <w:r w:rsidR="00320545" w:rsidRPr="00FF34F0">
        <w:rPr>
          <w:rFonts w:ascii="Garamond" w:hAnsi="Garamond" w:cs="Times New Roman"/>
        </w:rPr>
        <w:t>presented</w:t>
      </w:r>
      <w:r w:rsidR="0098669F" w:rsidRPr="00FF34F0">
        <w:rPr>
          <w:rFonts w:ascii="Garamond" w:hAnsi="Garamond" w:cs="Times New Roman"/>
        </w:rPr>
        <w:t xml:space="preserve"> the spatial as transparent and unproblematic</w:t>
      </w:r>
      <w:r w:rsidR="008407A6" w:rsidRPr="00FF34F0">
        <w:rPr>
          <w:rFonts w:ascii="Garamond" w:hAnsi="Garamond" w:cs="Times New Roman"/>
        </w:rPr>
        <w:t xml:space="preserve">, a view that </w:t>
      </w:r>
      <w:r w:rsidR="00D65C69" w:rsidRPr="00FF34F0">
        <w:rPr>
          <w:rFonts w:ascii="Garamond" w:hAnsi="Garamond" w:cs="Times New Roman"/>
        </w:rPr>
        <w:t>‘</w:t>
      </w:r>
      <w:r w:rsidR="0098669F" w:rsidRPr="00FF34F0">
        <w:rPr>
          <w:rFonts w:ascii="Garamond" w:hAnsi="Garamond" w:cs="Times New Roman"/>
        </w:rPr>
        <w:t>excluded the pos</w:t>
      </w:r>
      <w:r w:rsidR="00D65C69" w:rsidRPr="00FF34F0">
        <w:rPr>
          <w:rFonts w:ascii="Garamond" w:hAnsi="Garamond" w:cs="Times New Roman"/>
        </w:rPr>
        <w:t>sibility that the spatial exist</w:t>
      </w:r>
      <w:r w:rsidR="0098669F" w:rsidRPr="00FF34F0">
        <w:rPr>
          <w:rFonts w:ascii="Garamond" w:hAnsi="Garamond" w:cs="Times New Roman"/>
        </w:rPr>
        <w:t xml:space="preserve">s at the level of social </w:t>
      </w:r>
      <w:r w:rsidR="0098669F" w:rsidRPr="00FF34F0">
        <w:rPr>
          <w:rFonts w:ascii="Garamond" w:hAnsi="Garamond" w:cs="Times New Roman"/>
        </w:rPr>
        <w:lastRenderedPageBreak/>
        <w:t>imagination and impacts upon the everyday lives of individual people</w:t>
      </w:r>
      <w:r w:rsidR="00D65C69" w:rsidRPr="00FF34F0">
        <w:rPr>
          <w:rFonts w:ascii="Garamond" w:hAnsi="Garamond" w:cs="Times New Roman"/>
        </w:rPr>
        <w:t>’</w:t>
      </w:r>
      <w:r w:rsidR="00CD7E9E" w:rsidRPr="00FF34F0">
        <w:rPr>
          <w:rFonts w:ascii="Garamond" w:hAnsi="Garamond" w:cs="Times New Roman"/>
        </w:rPr>
        <w:t xml:space="preserve"> (2001, p54</w:t>
      </w:r>
      <w:r w:rsidR="00320545" w:rsidRPr="00FF34F0">
        <w:rPr>
          <w:rFonts w:ascii="Garamond" w:hAnsi="Garamond" w:cs="Times New Roman"/>
        </w:rPr>
        <w:t>)</w:t>
      </w:r>
      <w:r w:rsidR="00292E4B" w:rsidRPr="00FF34F0">
        <w:rPr>
          <w:rFonts w:ascii="Garamond" w:hAnsi="Garamond" w:cs="Times New Roman"/>
        </w:rPr>
        <w:t>.</w:t>
      </w:r>
      <w:r w:rsidR="0098669F" w:rsidRPr="00FF34F0">
        <w:rPr>
          <w:rFonts w:ascii="Garamond" w:hAnsi="Garamond" w:cs="Times New Roman"/>
        </w:rPr>
        <w:t xml:space="preserve"> </w:t>
      </w:r>
      <w:r w:rsidR="00A41312" w:rsidRPr="00FF34F0">
        <w:rPr>
          <w:rFonts w:ascii="Garamond" w:hAnsi="Garamond" w:cs="Times New Roman"/>
        </w:rPr>
        <w:t xml:space="preserve">Moon and Brown show how in </w:t>
      </w:r>
      <w:r w:rsidR="008407A6" w:rsidRPr="00FF34F0">
        <w:rPr>
          <w:rFonts w:ascii="Garamond" w:hAnsi="Garamond" w:cs="Times New Roman"/>
        </w:rPr>
        <w:t>political contest</w:t>
      </w:r>
      <w:r w:rsidR="00A41312" w:rsidRPr="00FF34F0">
        <w:rPr>
          <w:rFonts w:ascii="Garamond" w:hAnsi="Garamond" w:cs="Times New Roman"/>
        </w:rPr>
        <w:t>s</w:t>
      </w:r>
      <w:r w:rsidR="008407A6" w:rsidRPr="00FF34F0">
        <w:rPr>
          <w:rFonts w:ascii="Garamond" w:hAnsi="Garamond" w:cs="Times New Roman"/>
        </w:rPr>
        <w:t xml:space="preserve"> over</w:t>
      </w:r>
      <w:r w:rsidR="00A41312" w:rsidRPr="00FF34F0">
        <w:rPr>
          <w:rFonts w:ascii="Garamond" w:hAnsi="Garamond" w:cs="Times New Roman"/>
        </w:rPr>
        <w:t xml:space="preserve"> service closures hospitals </w:t>
      </w:r>
      <w:r w:rsidR="001433CA" w:rsidRPr="00FF34F0">
        <w:rPr>
          <w:rFonts w:ascii="Garamond" w:hAnsi="Garamond" w:cs="Times New Roman"/>
        </w:rPr>
        <w:t>emerge as</w:t>
      </w:r>
      <w:r w:rsidR="000D7075" w:rsidRPr="00FF34F0">
        <w:rPr>
          <w:rFonts w:ascii="Garamond" w:hAnsi="Garamond" w:cs="Times New Roman"/>
        </w:rPr>
        <w:t xml:space="preserve"> ‘</w:t>
      </w:r>
      <w:r w:rsidR="001433CA" w:rsidRPr="00FF34F0">
        <w:rPr>
          <w:rFonts w:ascii="Garamond" w:hAnsi="Garamond" w:cs="Times New Roman"/>
        </w:rPr>
        <w:t>more than mere sit</w:t>
      </w:r>
      <w:r w:rsidR="008407A6" w:rsidRPr="00FF34F0">
        <w:rPr>
          <w:rFonts w:ascii="Garamond" w:hAnsi="Garamond" w:cs="Times New Roman"/>
        </w:rPr>
        <w:t>es of medical expertise, they are material objects that hold particular symbolic significance and act to unite individuals in an otherwise fragmented urban</w:t>
      </w:r>
      <w:r w:rsidR="000D7075" w:rsidRPr="00FF34F0">
        <w:rPr>
          <w:rFonts w:ascii="Garamond" w:hAnsi="Garamond" w:cs="Times New Roman"/>
        </w:rPr>
        <w:t xml:space="preserve"> landscape’</w:t>
      </w:r>
      <w:r w:rsidR="008407A6" w:rsidRPr="00FF34F0">
        <w:rPr>
          <w:rFonts w:ascii="Garamond" w:hAnsi="Garamond" w:cs="Times New Roman"/>
        </w:rPr>
        <w:t xml:space="preserve"> (</w:t>
      </w:r>
      <w:r w:rsidR="001433CA" w:rsidRPr="00FF34F0">
        <w:rPr>
          <w:rFonts w:ascii="Garamond" w:hAnsi="Garamond" w:cs="Times New Roman"/>
        </w:rPr>
        <w:t xml:space="preserve">2001, </w:t>
      </w:r>
      <w:r w:rsidR="008407A6" w:rsidRPr="00FF34F0">
        <w:rPr>
          <w:rFonts w:ascii="Garamond" w:hAnsi="Garamond" w:cs="Times New Roman"/>
        </w:rPr>
        <w:t xml:space="preserve">p 56). </w:t>
      </w:r>
    </w:p>
    <w:p w14:paraId="0AC6CDF0" w14:textId="4F81899F" w:rsidR="00580CFE" w:rsidRPr="00FF34F0" w:rsidRDefault="00580CFE" w:rsidP="006C5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rPr>
      </w:pPr>
    </w:p>
    <w:p w14:paraId="0205EA18" w14:textId="70E37C16" w:rsidR="00AC65C3" w:rsidRPr="00FF34F0" w:rsidRDefault="00B9222C" w:rsidP="006C5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rPr>
      </w:pPr>
      <w:r w:rsidRPr="00FF34F0">
        <w:rPr>
          <w:rFonts w:ascii="Garamond" w:hAnsi="Garamond" w:cs="Times New Roman"/>
        </w:rPr>
        <w:t>More recently</w:t>
      </w:r>
      <w:r w:rsidR="00455161" w:rsidRPr="00FF34F0">
        <w:rPr>
          <w:rFonts w:ascii="Garamond" w:hAnsi="Garamond" w:cs="Times New Roman"/>
        </w:rPr>
        <w:t>,</w:t>
      </w:r>
      <w:r w:rsidRPr="00FF34F0">
        <w:rPr>
          <w:rFonts w:ascii="Garamond" w:hAnsi="Garamond" w:cs="Times New Roman"/>
        </w:rPr>
        <w:t xml:space="preserve"> </w:t>
      </w:r>
      <w:proofErr w:type="spellStart"/>
      <w:r w:rsidR="00AC65C3" w:rsidRPr="00FF34F0">
        <w:rPr>
          <w:rFonts w:ascii="Garamond" w:hAnsi="Garamond" w:cs="Times New Roman"/>
        </w:rPr>
        <w:t>Ivanova</w:t>
      </w:r>
      <w:proofErr w:type="spellEnd"/>
      <w:r w:rsidR="00AC65C3" w:rsidRPr="00FF34F0">
        <w:rPr>
          <w:rFonts w:ascii="Garamond" w:hAnsi="Garamond" w:cs="Times New Roman"/>
        </w:rPr>
        <w:t xml:space="preserve"> et al (2016) explore</w:t>
      </w:r>
      <w:r w:rsidRPr="00FF34F0">
        <w:rPr>
          <w:rFonts w:ascii="Garamond" w:hAnsi="Garamond" w:cs="Times New Roman"/>
        </w:rPr>
        <w:t>d</w:t>
      </w:r>
      <w:r w:rsidR="00AC65C3" w:rsidRPr="00FF34F0">
        <w:rPr>
          <w:rFonts w:ascii="Garamond" w:hAnsi="Garamond" w:cs="Times New Roman"/>
        </w:rPr>
        <w:t xml:space="preserve"> the multiple ontologies of ‘</w:t>
      </w:r>
      <w:proofErr w:type="spellStart"/>
      <w:r w:rsidR="00AC65C3" w:rsidRPr="00FF34F0">
        <w:rPr>
          <w:rFonts w:ascii="Garamond" w:hAnsi="Garamond" w:cs="Times New Roman"/>
        </w:rPr>
        <w:t>carescapes</w:t>
      </w:r>
      <w:proofErr w:type="spellEnd"/>
      <w:r w:rsidR="00AC65C3" w:rsidRPr="00FF34F0">
        <w:rPr>
          <w:rFonts w:ascii="Garamond" w:hAnsi="Garamond" w:cs="Times New Roman"/>
        </w:rPr>
        <w:t xml:space="preserve">’ in an ethnographic study of a nursing home </w:t>
      </w:r>
      <w:r w:rsidR="00D46680" w:rsidRPr="00FF34F0">
        <w:rPr>
          <w:rFonts w:ascii="Garamond" w:hAnsi="Garamond" w:cs="Times New Roman"/>
        </w:rPr>
        <w:t>facing closure on a Dutch island</w:t>
      </w:r>
      <w:r w:rsidR="00AC65C3" w:rsidRPr="00FF34F0">
        <w:rPr>
          <w:rFonts w:ascii="Garamond" w:hAnsi="Garamond" w:cs="Times New Roman"/>
        </w:rPr>
        <w:t xml:space="preserve">. In this case, the ontology of care embodied in national healthcare governance (as defined by quality standards and protocols) combined with local understandings of the nursing home. This building </w:t>
      </w:r>
      <w:r w:rsidR="00240839" w:rsidRPr="00FF34F0">
        <w:rPr>
          <w:rFonts w:ascii="Garamond" w:hAnsi="Garamond" w:cs="Times New Roman"/>
        </w:rPr>
        <w:t xml:space="preserve">was </w:t>
      </w:r>
      <w:r w:rsidR="00AC65C3" w:rsidRPr="00FF34F0">
        <w:rPr>
          <w:rFonts w:ascii="Garamond" w:hAnsi="Garamond" w:cs="Times New Roman"/>
        </w:rPr>
        <w:t>‘home’ to the residents</w:t>
      </w:r>
      <w:r w:rsidR="00240839" w:rsidRPr="00FF34F0">
        <w:rPr>
          <w:rFonts w:ascii="Garamond" w:hAnsi="Garamond" w:cs="Times New Roman"/>
        </w:rPr>
        <w:t xml:space="preserve">. As </w:t>
      </w:r>
      <w:r w:rsidRPr="00FF34F0">
        <w:rPr>
          <w:rFonts w:ascii="Garamond" w:hAnsi="Garamond" w:cs="Times New Roman"/>
        </w:rPr>
        <w:t xml:space="preserve">the only </w:t>
      </w:r>
      <w:proofErr w:type="spellStart"/>
      <w:r w:rsidRPr="00FF34F0">
        <w:rPr>
          <w:rFonts w:ascii="Garamond" w:hAnsi="Garamond" w:cs="Times New Roman"/>
        </w:rPr>
        <w:t>recognisable</w:t>
      </w:r>
      <w:proofErr w:type="spellEnd"/>
      <w:r w:rsidRPr="00FF34F0">
        <w:rPr>
          <w:rFonts w:ascii="Garamond" w:hAnsi="Garamond" w:cs="Times New Roman"/>
        </w:rPr>
        <w:t xml:space="preserve"> health facility </w:t>
      </w:r>
      <w:r w:rsidR="00240839" w:rsidRPr="00FF34F0">
        <w:rPr>
          <w:rFonts w:ascii="Garamond" w:hAnsi="Garamond" w:cs="Times New Roman"/>
        </w:rPr>
        <w:t xml:space="preserve">on the Island it was, at the same time, </w:t>
      </w:r>
      <w:r w:rsidRPr="00FF34F0">
        <w:rPr>
          <w:rFonts w:ascii="Garamond" w:hAnsi="Garamond" w:cs="Times New Roman"/>
        </w:rPr>
        <w:t>‘</w:t>
      </w:r>
      <w:r w:rsidR="00AC65C3" w:rsidRPr="00FF34F0">
        <w:rPr>
          <w:rFonts w:ascii="Garamond" w:hAnsi="Garamond" w:cs="Times New Roman"/>
        </w:rPr>
        <w:t>hospital</w:t>
      </w:r>
      <w:r w:rsidRPr="00FF34F0">
        <w:rPr>
          <w:rFonts w:ascii="Garamond" w:hAnsi="Garamond" w:cs="Times New Roman"/>
        </w:rPr>
        <w:t>’</w:t>
      </w:r>
      <w:r w:rsidR="00AC65C3" w:rsidRPr="00FF34F0">
        <w:rPr>
          <w:rFonts w:ascii="Garamond" w:hAnsi="Garamond" w:cs="Times New Roman"/>
        </w:rPr>
        <w:t xml:space="preserve"> and </w:t>
      </w:r>
      <w:r w:rsidRPr="00FF34F0">
        <w:rPr>
          <w:rFonts w:ascii="Garamond" w:hAnsi="Garamond" w:cs="Times New Roman"/>
        </w:rPr>
        <w:t>‘</w:t>
      </w:r>
      <w:r w:rsidR="00AC65C3" w:rsidRPr="00FF34F0">
        <w:rPr>
          <w:rFonts w:ascii="Garamond" w:hAnsi="Garamond" w:cs="Times New Roman"/>
        </w:rPr>
        <w:t>mortuary</w:t>
      </w:r>
      <w:r w:rsidRPr="00FF34F0">
        <w:rPr>
          <w:rFonts w:ascii="Garamond" w:hAnsi="Garamond" w:cs="Times New Roman"/>
        </w:rPr>
        <w:t>’</w:t>
      </w:r>
      <w:r w:rsidR="00AC65C3" w:rsidRPr="00FF34F0">
        <w:rPr>
          <w:rFonts w:ascii="Garamond" w:hAnsi="Garamond" w:cs="Times New Roman"/>
        </w:rPr>
        <w:t xml:space="preserve"> to the small community</w:t>
      </w:r>
      <w:r w:rsidRPr="00FF34F0">
        <w:rPr>
          <w:rFonts w:ascii="Garamond" w:hAnsi="Garamond" w:cs="Times New Roman"/>
        </w:rPr>
        <w:t xml:space="preserve">. It was also </w:t>
      </w:r>
      <w:r w:rsidR="00AC65C3" w:rsidRPr="00FF34F0">
        <w:rPr>
          <w:rFonts w:ascii="Garamond" w:hAnsi="Garamond" w:cs="Times New Roman"/>
        </w:rPr>
        <w:t xml:space="preserve">central to the Island’s economic future and continuing existence as a ‘real place’. These multiple ontologies interacted to shape the practice of care in this setting. </w:t>
      </w:r>
      <w:proofErr w:type="spellStart"/>
      <w:r w:rsidR="00240839" w:rsidRPr="00FF34F0">
        <w:rPr>
          <w:rFonts w:ascii="Garamond" w:hAnsi="Garamond" w:cs="Times New Roman"/>
        </w:rPr>
        <w:t>Ivanova</w:t>
      </w:r>
      <w:proofErr w:type="spellEnd"/>
      <w:r w:rsidR="00240839" w:rsidRPr="00FF34F0">
        <w:rPr>
          <w:rFonts w:ascii="Garamond" w:hAnsi="Garamond" w:cs="Times New Roman"/>
        </w:rPr>
        <w:t xml:space="preserve"> et al remind</w:t>
      </w:r>
      <w:r w:rsidR="00AC65C3" w:rsidRPr="00FF34F0">
        <w:rPr>
          <w:rFonts w:ascii="Garamond" w:hAnsi="Garamond" w:cs="Times New Roman"/>
        </w:rPr>
        <w:t xml:space="preserve"> medical sociologists that ‘care and place cannot be practically or analytically separated’ and that ‘places have identities, purpose, and real effects’ (2016, p1346).</w:t>
      </w:r>
    </w:p>
    <w:p w14:paraId="721BD310" w14:textId="48EE5946" w:rsidR="00AB055A" w:rsidRPr="00FF34F0" w:rsidRDefault="00AB055A" w:rsidP="006C51C5">
      <w:pPr>
        <w:rPr>
          <w:rFonts w:ascii="Garamond" w:hAnsi="Garamond" w:cs="Times New Roman"/>
          <w:b/>
          <w:lang w:val="en-GB"/>
        </w:rPr>
      </w:pPr>
    </w:p>
    <w:p w14:paraId="7AE3B435" w14:textId="77777777" w:rsidR="00CD6CFE" w:rsidRPr="00FF34F0" w:rsidRDefault="00CD6CFE" w:rsidP="006C51C5">
      <w:pPr>
        <w:rPr>
          <w:rFonts w:ascii="Garamond" w:hAnsi="Garamond" w:cs="Times New Roman"/>
          <w:b/>
          <w:lang w:val="en-GB"/>
        </w:rPr>
      </w:pPr>
    </w:p>
    <w:p w14:paraId="3FFEBEC2" w14:textId="48474B2D" w:rsidR="00C3427B" w:rsidRPr="00FF34F0" w:rsidRDefault="00C3427B" w:rsidP="006C51C5">
      <w:pPr>
        <w:rPr>
          <w:rFonts w:ascii="Garamond" w:hAnsi="Garamond" w:cs="Times New Roman"/>
          <w:b/>
          <w:lang w:val="en-GB"/>
        </w:rPr>
      </w:pPr>
      <w:r w:rsidRPr="00FF34F0">
        <w:rPr>
          <w:rFonts w:ascii="Garamond" w:hAnsi="Garamond" w:cs="Times New Roman"/>
          <w:b/>
          <w:lang w:val="en-GB"/>
        </w:rPr>
        <w:t>Leadership, co-optation and control</w:t>
      </w:r>
    </w:p>
    <w:p w14:paraId="7C944867" w14:textId="77777777" w:rsidR="00C3427B" w:rsidRPr="00FF34F0" w:rsidRDefault="00C3427B" w:rsidP="006C51C5">
      <w:pPr>
        <w:rPr>
          <w:rFonts w:ascii="Garamond" w:hAnsi="Garamond" w:cs="Times New Roman"/>
          <w:lang w:val="en-GB"/>
        </w:rPr>
      </w:pPr>
    </w:p>
    <w:p w14:paraId="0D2394B9" w14:textId="6A013BD8" w:rsidR="00AB055A" w:rsidRPr="00FF34F0" w:rsidRDefault="00D46680" w:rsidP="006C51C5">
      <w:pPr>
        <w:rPr>
          <w:rFonts w:ascii="Garamond" w:hAnsi="Garamond" w:cs="Times New Roman"/>
          <w:lang w:val="en-GB"/>
        </w:rPr>
      </w:pPr>
      <w:r w:rsidRPr="00FF34F0">
        <w:rPr>
          <w:rFonts w:ascii="Garamond" w:hAnsi="Garamond" w:cs="Times New Roman"/>
          <w:lang w:val="en-GB"/>
        </w:rPr>
        <w:t xml:space="preserve">Evaluation and implementation studies of large-scale </w:t>
      </w:r>
      <w:r w:rsidR="00CF5853" w:rsidRPr="00FF34F0">
        <w:rPr>
          <w:rFonts w:ascii="Garamond" w:hAnsi="Garamond" w:cs="Times New Roman"/>
          <w:lang w:val="en-GB"/>
        </w:rPr>
        <w:t>change stress</w:t>
      </w:r>
      <w:r w:rsidR="00873167" w:rsidRPr="00FF34F0">
        <w:rPr>
          <w:rFonts w:ascii="Garamond" w:hAnsi="Garamond" w:cs="Times New Roman"/>
          <w:lang w:val="en-GB"/>
        </w:rPr>
        <w:t xml:space="preserve"> the importance of ‘leadership’ in realising healthcare change, both in terms of top-level strategic leadership for shaping strategy and culture, and ‘distributed leadership’ through engaging clinicians in change</w:t>
      </w:r>
      <w:r w:rsidR="00645FBB" w:rsidRPr="00FF34F0">
        <w:rPr>
          <w:rFonts w:ascii="Garamond" w:hAnsi="Garamond" w:cs="Times New Roman"/>
          <w:lang w:val="en-GB"/>
        </w:rPr>
        <w:t xml:space="preserve"> (e.g. Turner et al 2016, B</w:t>
      </w:r>
      <w:r w:rsidRPr="00FF34F0">
        <w:rPr>
          <w:rFonts w:ascii="Garamond" w:hAnsi="Garamond" w:cs="Times New Roman"/>
          <w:lang w:val="en-GB"/>
        </w:rPr>
        <w:t>est et al 2012</w:t>
      </w:r>
      <w:r w:rsidR="00645FBB" w:rsidRPr="00FF34F0">
        <w:rPr>
          <w:rFonts w:ascii="Garamond" w:hAnsi="Garamond" w:cs="Times New Roman"/>
          <w:lang w:val="en-GB"/>
        </w:rPr>
        <w:t>)</w:t>
      </w:r>
      <w:r w:rsidR="00873167" w:rsidRPr="00FF34F0">
        <w:rPr>
          <w:rFonts w:ascii="Garamond" w:hAnsi="Garamond" w:cs="Times New Roman"/>
          <w:lang w:val="en-GB"/>
        </w:rPr>
        <w:t>.</w:t>
      </w:r>
      <w:r w:rsidR="00757E86" w:rsidRPr="00FF34F0">
        <w:rPr>
          <w:rFonts w:ascii="Garamond" w:hAnsi="Garamond" w:cs="Times New Roman"/>
          <w:lang w:val="en-GB"/>
        </w:rPr>
        <w:t xml:space="preserve"> </w:t>
      </w:r>
      <w:r w:rsidR="00F952C3" w:rsidRPr="00FF34F0">
        <w:rPr>
          <w:rFonts w:ascii="Garamond" w:hAnsi="Garamond" w:cs="Times New Roman"/>
          <w:lang w:val="en-GB"/>
        </w:rPr>
        <w:t xml:space="preserve">These </w:t>
      </w:r>
      <w:r w:rsidR="00035949" w:rsidRPr="00FF34F0">
        <w:rPr>
          <w:rFonts w:ascii="Garamond" w:hAnsi="Garamond" w:cs="Times New Roman"/>
          <w:lang w:val="en-GB"/>
        </w:rPr>
        <w:t>studies adopt</w:t>
      </w:r>
      <w:r w:rsidR="00423677" w:rsidRPr="00FF34F0">
        <w:rPr>
          <w:rFonts w:ascii="Garamond" w:hAnsi="Garamond" w:cs="Times New Roman"/>
          <w:lang w:val="en-GB"/>
        </w:rPr>
        <w:t xml:space="preserve"> the categories and</w:t>
      </w:r>
      <w:r w:rsidR="00240839" w:rsidRPr="00FF34F0">
        <w:rPr>
          <w:rFonts w:ascii="Garamond" w:hAnsi="Garamond" w:cs="Times New Roman"/>
          <w:lang w:val="en-GB"/>
        </w:rPr>
        <w:t xml:space="preserve"> vocabulary of senior managers </w:t>
      </w:r>
      <w:r w:rsidR="00423677" w:rsidRPr="00FF34F0">
        <w:rPr>
          <w:rFonts w:ascii="Garamond" w:hAnsi="Garamond" w:cs="Times New Roman"/>
          <w:lang w:val="en-GB"/>
        </w:rPr>
        <w:t>and</w:t>
      </w:r>
      <w:r w:rsidR="00240839" w:rsidRPr="00FF34F0">
        <w:rPr>
          <w:rFonts w:ascii="Garamond" w:hAnsi="Garamond" w:cs="Times New Roman"/>
          <w:lang w:val="en-GB"/>
        </w:rPr>
        <w:t>,</w:t>
      </w:r>
      <w:r w:rsidR="00035949" w:rsidRPr="00FF34F0">
        <w:rPr>
          <w:rFonts w:ascii="Garamond" w:hAnsi="Garamond" w:cs="Times New Roman"/>
          <w:lang w:val="en-GB"/>
        </w:rPr>
        <w:t xml:space="preserve"> for the most part, </w:t>
      </w:r>
      <w:r w:rsidR="00F952C3" w:rsidRPr="00FF34F0">
        <w:rPr>
          <w:rFonts w:ascii="Garamond" w:hAnsi="Garamond" w:cs="Times New Roman"/>
          <w:lang w:val="en-GB"/>
        </w:rPr>
        <w:t xml:space="preserve">are </w:t>
      </w:r>
      <w:r w:rsidR="00423677" w:rsidRPr="00FF34F0">
        <w:rPr>
          <w:rFonts w:ascii="Garamond" w:hAnsi="Garamond" w:cs="Times New Roman"/>
          <w:lang w:val="en-GB"/>
        </w:rPr>
        <w:t xml:space="preserve">orientated to their needs. </w:t>
      </w:r>
      <w:r w:rsidR="009C168C" w:rsidRPr="00FF34F0">
        <w:rPr>
          <w:rFonts w:ascii="Garamond" w:hAnsi="Garamond" w:cs="Times New Roman"/>
          <w:lang w:val="en-GB"/>
        </w:rPr>
        <w:t>Sociology can offer more critical perspectives</w:t>
      </w:r>
      <w:r w:rsidR="00240839" w:rsidRPr="00FF34F0">
        <w:rPr>
          <w:rFonts w:ascii="Garamond" w:hAnsi="Garamond" w:cs="Times New Roman"/>
          <w:lang w:val="en-GB"/>
        </w:rPr>
        <w:t xml:space="preserve"> </w:t>
      </w:r>
      <w:r w:rsidR="00035949" w:rsidRPr="00FF34F0">
        <w:rPr>
          <w:rFonts w:ascii="Garamond" w:hAnsi="Garamond" w:cs="Times New Roman"/>
          <w:lang w:val="en-GB"/>
        </w:rPr>
        <w:t>on the increasing</w:t>
      </w:r>
      <w:r w:rsidR="009C168C" w:rsidRPr="00FF34F0">
        <w:rPr>
          <w:rFonts w:ascii="Garamond" w:hAnsi="Garamond" w:cs="Times New Roman"/>
          <w:lang w:val="en-GB"/>
        </w:rPr>
        <w:t xml:space="preserve"> emphasis on leaders and leadership in research and policy. </w:t>
      </w:r>
      <w:r w:rsidR="00423677" w:rsidRPr="00FF34F0">
        <w:rPr>
          <w:rFonts w:ascii="Garamond" w:hAnsi="Garamond" w:cs="Times New Roman"/>
          <w:lang w:val="en-GB"/>
        </w:rPr>
        <w:t>So</w:t>
      </w:r>
      <w:r w:rsidR="00AB1151" w:rsidRPr="00FF34F0">
        <w:rPr>
          <w:rFonts w:ascii="Garamond" w:hAnsi="Garamond" w:cs="Times New Roman"/>
          <w:lang w:val="en-GB"/>
        </w:rPr>
        <w:t xml:space="preserve">ciological analyses </w:t>
      </w:r>
      <w:r w:rsidR="00DF2ABA" w:rsidRPr="00FF34F0">
        <w:rPr>
          <w:rFonts w:ascii="Garamond" w:hAnsi="Garamond" w:cs="Times New Roman"/>
          <w:lang w:val="en-GB"/>
        </w:rPr>
        <w:t>have sought to look beyond the</w:t>
      </w:r>
      <w:r w:rsidR="00AB1151" w:rsidRPr="00FF34F0">
        <w:rPr>
          <w:rFonts w:ascii="Garamond" w:hAnsi="Garamond" w:cs="Times New Roman"/>
          <w:lang w:val="en-GB"/>
        </w:rPr>
        <w:t xml:space="preserve"> seductive ‘common sense’ appeal of this discourse, treating it instead as an object of analysis, rather than as an explanatory framework (Knights and Morgan 1992). </w:t>
      </w:r>
      <w:r w:rsidR="00FE5133" w:rsidRPr="00FF34F0">
        <w:rPr>
          <w:rFonts w:ascii="Garamond" w:hAnsi="Garamond" w:cs="Times New Roman"/>
          <w:lang w:val="en-GB"/>
        </w:rPr>
        <w:t>From this per</w:t>
      </w:r>
      <w:r w:rsidR="00240839" w:rsidRPr="00FF34F0">
        <w:rPr>
          <w:rFonts w:ascii="Garamond" w:hAnsi="Garamond" w:cs="Times New Roman"/>
          <w:lang w:val="en-GB"/>
        </w:rPr>
        <w:t>s</w:t>
      </w:r>
      <w:r w:rsidR="00FE5133" w:rsidRPr="00FF34F0">
        <w:rPr>
          <w:rFonts w:ascii="Garamond" w:hAnsi="Garamond" w:cs="Times New Roman"/>
          <w:lang w:val="en-GB"/>
        </w:rPr>
        <w:t>pective</w:t>
      </w:r>
      <w:r w:rsidR="00FE04AB" w:rsidRPr="00FF34F0">
        <w:rPr>
          <w:rFonts w:ascii="Garamond" w:hAnsi="Garamond" w:cs="Times New Roman"/>
          <w:lang w:val="en-GB"/>
        </w:rPr>
        <w:t xml:space="preserve"> the discourse of leadership is both an effect and a vehicle of power (Foucault 1980). </w:t>
      </w:r>
      <w:r w:rsidR="00AB1151" w:rsidRPr="00FF34F0">
        <w:rPr>
          <w:rFonts w:ascii="Garamond" w:hAnsi="Garamond" w:cs="Times New Roman"/>
          <w:lang w:val="en-GB"/>
        </w:rPr>
        <w:t>In this vein O’Reilly and Reed (2010</w:t>
      </w:r>
      <w:r w:rsidR="008C0256" w:rsidRPr="00FF34F0">
        <w:rPr>
          <w:rFonts w:ascii="Garamond" w:hAnsi="Garamond" w:cs="Times New Roman"/>
          <w:lang w:val="en-GB"/>
        </w:rPr>
        <w:t>, 2011</w:t>
      </w:r>
      <w:r w:rsidR="00AB1151" w:rsidRPr="00FF34F0">
        <w:rPr>
          <w:rFonts w:ascii="Garamond" w:hAnsi="Garamond" w:cs="Times New Roman"/>
          <w:lang w:val="en-GB"/>
        </w:rPr>
        <w:t xml:space="preserve">) see the </w:t>
      </w:r>
      <w:r w:rsidR="009C168C" w:rsidRPr="00FF34F0">
        <w:rPr>
          <w:rFonts w:ascii="Garamond" w:hAnsi="Garamond" w:cs="Times New Roman"/>
          <w:lang w:val="en-GB"/>
        </w:rPr>
        <w:t xml:space="preserve">discourse of ‘leadership’ as </w:t>
      </w:r>
      <w:r w:rsidR="00757E86" w:rsidRPr="00FF34F0">
        <w:rPr>
          <w:rFonts w:ascii="Garamond" w:hAnsi="Garamond" w:cs="Times New Roman"/>
          <w:lang w:val="en-GB"/>
        </w:rPr>
        <w:t>an extension of managerialism</w:t>
      </w:r>
      <w:r w:rsidR="00D35F8C" w:rsidRPr="00FF34F0">
        <w:rPr>
          <w:rFonts w:ascii="Garamond" w:hAnsi="Garamond" w:cs="Times New Roman"/>
          <w:lang w:val="en-GB"/>
        </w:rPr>
        <w:t xml:space="preserve">. </w:t>
      </w:r>
      <w:r w:rsidR="009C168C" w:rsidRPr="00FF34F0">
        <w:rPr>
          <w:rFonts w:ascii="Garamond" w:hAnsi="Garamond" w:cs="Times New Roman"/>
          <w:lang w:val="en-GB"/>
        </w:rPr>
        <w:t>They argue that ‘</w:t>
      </w:r>
      <w:proofErr w:type="spellStart"/>
      <w:r w:rsidR="00EE0A85" w:rsidRPr="00FF34F0">
        <w:rPr>
          <w:rFonts w:ascii="Garamond" w:hAnsi="Garamond" w:cs="Times New Roman"/>
          <w:lang w:val="en-GB"/>
        </w:rPr>
        <w:t>l</w:t>
      </w:r>
      <w:r w:rsidR="00AD16DB" w:rsidRPr="00FF34F0">
        <w:rPr>
          <w:rFonts w:ascii="Garamond" w:hAnsi="Garamond" w:cs="Times New Roman"/>
          <w:lang w:val="en-GB"/>
        </w:rPr>
        <w:t>eaderism</w:t>
      </w:r>
      <w:proofErr w:type="spellEnd"/>
      <w:r w:rsidR="009C168C" w:rsidRPr="00FF34F0">
        <w:rPr>
          <w:rFonts w:ascii="Garamond" w:hAnsi="Garamond" w:cs="Times New Roman"/>
          <w:lang w:val="en-GB"/>
        </w:rPr>
        <w:t>’</w:t>
      </w:r>
      <w:r w:rsidR="00EE0A85" w:rsidRPr="00FF34F0">
        <w:rPr>
          <w:rFonts w:ascii="Garamond" w:hAnsi="Garamond" w:cs="Times New Roman"/>
          <w:lang w:val="en-GB"/>
        </w:rPr>
        <w:t xml:space="preserve"> ha</w:t>
      </w:r>
      <w:r w:rsidR="00AD16DB" w:rsidRPr="00FF34F0">
        <w:rPr>
          <w:rFonts w:ascii="Garamond" w:hAnsi="Garamond" w:cs="Times New Roman"/>
          <w:lang w:val="en-GB"/>
        </w:rPr>
        <w:t>s</w:t>
      </w:r>
      <w:r w:rsidR="00EE0A85" w:rsidRPr="00FF34F0">
        <w:rPr>
          <w:rFonts w:ascii="Garamond" w:hAnsi="Garamond" w:cs="Times New Roman"/>
          <w:lang w:val="en-GB"/>
        </w:rPr>
        <w:t xml:space="preserve"> developed as</w:t>
      </w:r>
      <w:r w:rsidR="00AD16DB" w:rsidRPr="00FF34F0">
        <w:rPr>
          <w:rFonts w:ascii="Garamond" w:hAnsi="Garamond" w:cs="Times New Roman"/>
          <w:lang w:val="en-GB"/>
        </w:rPr>
        <w:t xml:space="preserve"> a set of discourses and practices (such as leadership development courses) that </w:t>
      </w:r>
      <w:r w:rsidR="00E451A7" w:rsidRPr="00FF34F0">
        <w:rPr>
          <w:rFonts w:ascii="Garamond" w:hAnsi="Garamond" w:cs="Times New Roman"/>
          <w:lang w:val="en-GB"/>
        </w:rPr>
        <w:t>enhance</w:t>
      </w:r>
      <w:r w:rsidR="00D35F8C" w:rsidRPr="00FF34F0">
        <w:rPr>
          <w:rFonts w:ascii="Garamond" w:hAnsi="Garamond" w:cs="Times New Roman"/>
          <w:lang w:val="en-GB"/>
        </w:rPr>
        <w:t xml:space="preserve"> managerial control by </w:t>
      </w:r>
      <w:r w:rsidR="00AD16DB" w:rsidRPr="00FF34F0">
        <w:rPr>
          <w:rFonts w:ascii="Garamond" w:hAnsi="Garamond" w:cs="Times New Roman"/>
          <w:lang w:val="en-GB"/>
        </w:rPr>
        <w:t>harness</w:t>
      </w:r>
      <w:r w:rsidR="009C2DAE" w:rsidRPr="00FF34F0">
        <w:rPr>
          <w:rFonts w:ascii="Garamond" w:hAnsi="Garamond" w:cs="Times New Roman"/>
          <w:lang w:val="en-GB"/>
        </w:rPr>
        <w:t>ing</w:t>
      </w:r>
      <w:r w:rsidR="00AD16DB" w:rsidRPr="00FF34F0">
        <w:rPr>
          <w:rFonts w:ascii="Garamond" w:hAnsi="Garamond" w:cs="Times New Roman"/>
          <w:lang w:val="en-GB"/>
        </w:rPr>
        <w:t xml:space="preserve"> the agency of professional ac</w:t>
      </w:r>
      <w:r w:rsidR="00D35F8C" w:rsidRPr="00FF34F0">
        <w:rPr>
          <w:rFonts w:ascii="Garamond" w:hAnsi="Garamond" w:cs="Times New Roman"/>
          <w:lang w:val="en-GB"/>
        </w:rPr>
        <w:t xml:space="preserve">tors previously resistant to </w:t>
      </w:r>
      <w:proofErr w:type="spellStart"/>
      <w:r w:rsidR="00D35F8C" w:rsidRPr="00FF34F0">
        <w:rPr>
          <w:rFonts w:ascii="Garamond" w:hAnsi="Garamond" w:cs="Times New Roman"/>
          <w:lang w:val="en-GB"/>
        </w:rPr>
        <w:t>managerialist</w:t>
      </w:r>
      <w:proofErr w:type="spellEnd"/>
      <w:r w:rsidR="00AD16DB" w:rsidRPr="00FF34F0">
        <w:rPr>
          <w:rFonts w:ascii="Garamond" w:hAnsi="Garamond" w:cs="Times New Roman"/>
          <w:lang w:val="en-GB"/>
        </w:rPr>
        <w:t xml:space="preserve"> norms and practices</w:t>
      </w:r>
      <w:r w:rsidR="00D35F8C" w:rsidRPr="00FF34F0">
        <w:rPr>
          <w:rFonts w:ascii="Garamond" w:hAnsi="Garamond" w:cs="Times New Roman"/>
          <w:lang w:val="en-GB"/>
        </w:rPr>
        <w:t xml:space="preserve">. </w:t>
      </w:r>
      <w:r w:rsidR="00C54EAE" w:rsidRPr="00FF34F0">
        <w:rPr>
          <w:rFonts w:ascii="Garamond" w:hAnsi="Garamond" w:cs="Times New Roman"/>
          <w:lang w:val="en-GB"/>
        </w:rPr>
        <w:t xml:space="preserve">In the context of </w:t>
      </w:r>
      <w:r w:rsidR="00197B74" w:rsidRPr="00FF34F0">
        <w:rPr>
          <w:rFonts w:ascii="Garamond" w:hAnsi="Garamond" w:cs="Times New Roman"/>
          <w:lang w:val="en-GB"/>
        </w:rPr>
        <w:t>large-scale</w:t>
      </w:r>
      <w:r w:rsidR="00C54EAE" w:rsidRPr="00FF34F0">
        <w:rPr>
          <w:rFonts w:ascii="Garamond" w:hAnsi="Garamond" w:cs="Times New Roman"/>
          <w:lang w:val="en-GB"/>
        </w:rPr>
        <w:t xml:space="preserve"> ch</w:t>
      </w:r>
      <w:r w:rsidR="00E451A7" w:rsidRPr="00FF34F0">
        <w:rPr>
          <w:rFonts w:ascii="Garamond" w:hAnsi="Garamond" w:cs="Times New Roman"/>
          <w:lang w:val="en-GB"/>
        </w:rPr>
        <w:t>ange</w:t>
      </w:r>
      <w:r w:rsidR="005344A2" w:rsidRPr="00FF34F0">
        <w:rPr>
          <w:rFonts w:ascii="Garamond" w:hAnsi="Garamond" w:cs="Times New Roman"/>
          <w:lang w:val="en-GB"/>
        </w:rPr>
        <w:t>,</w:t>
      </w:r>
      <w:r w:rsidR="00E451A7" w:rsidRPr="00FF34F0">
        <w:rPr>
          <w:rFonts w:ascii="Garamond" w:hAnsi="Garamond" w:cs="Times New Roman"/>
          <w:lang w:val="en-GB"/>
        </w:rPr>
        <w:t xml:space="preserve"> </w:t>
      </w:r>
      <w:r w:rsidR="00FE5133" w:rsidRPr="00FF34F0">
        <w:rPr>
          <w:rFonts w:ascii="Garamond" w:hAnsi="Garamond" w:cs="Times New Roman"/>
          <w:lang w:val="en-GB"/>
        </w:rPr>
        <w:t>this discourse</w:t>
      </w:r>
      <w:r w:rsidR="00C54EAE" w:rsidRPr="00FF34F0">
        <w:rPr>
          <w:rFonts w:ascii="Garamond" w:hAnsi="Garamond" w:cs="Times New Roman"/>
          <w:lang w:val="en-GB"/>
        </w:rPr>
        <w:t xml:space="preserve"> assumes a </w:t>
      </w:r>
      <w:proofErr w:type="spellStart"/>
      <w:r w:rsidR="00C54EAE" w:rsidRPr="00FF34F0">
        <w:rPr>
          <w:rFonts w:ascii="Garamond" w:hAnsi="Garamond" w:cs="Times New Roman"/>
          <w:lang w:val="en-GB"/>
        </w:rPr>
        <w:t>unitarianism</w:t>
      </w:r>
      <w:proofErr w:type="spellEnd"/>
      <w:r w:rsidR="00C54EAE" w:rsidRPr="00FF34F0">
        <w:rPr>
          <w:rFonts w:ascii="Garamond" w:hAnsi="Garamond" w:cs="Times New Roman"/>
          <w:lang w:val="en-GB"/>
        </w:rPr>
        <w:t xml:space="preserve">, erasing the inherent tensions between different stakeholders. </w:t>
      </w:r>
      <w:r w:rsidR="00E451A7" w:rsidRPr="00FF34F0">
        <w:rPr>
          <w:rFonts w:ascii="Garamond" w:hAnsi="Garamond" w:cs="Times New Roman"/>
          <w:lang w:val="en-GB"/>
        </w:rPr>
        <w:t xml:space="preserve">At </w:t>
      </w:r>
      <w:r w:rsidR="005344A2" w:rsidRPr="00FF34F0">
        <w:rPr>
          <w:rFonts w:ascii="Garamond" w:hAnsi="Garamond" w:cs="Times New Roman"/>
          <w:lang w:val="en-GB"/>
        </w:rPr>
        <w:t xml:space="preserve">the same </w:t>
      </w:r>
      <w:proofErr w:type="gramStart"/>
      <w:r w:rsidR="005344A2" w:rsidRPr="00FF34F0">
        <w:rPr>
          <w:rFonts w:ascii="Garamond" w:hAnsi="Garamond" w:cs="Times New Roman"/>
          <w:lang w:val="en-GB"/>
        </w:rPr>
        <w:t>time</w:t>
      </w:r>
      <w:proofErr w:type="gramEnd"/>
      <w:r w:rsidR="00E451A7" w:rsidRPr="00FF34F0">
        <w:rPr>
          <w:rFonts w:ascii="Garamond" w:hAnsi="Garamond" w:cs="Times New Roman"/>
          <w:lang w:val="en-GB"/>
        </w:rPr>
        <w:t xml:space="preserve"> it locates accountability with leaders, rather than with politicians. </w:t>
      </w:r>
      <w:r w:rsidR="00C54EAE" w:rsidRPr="00FF34F0">
        <w:rPr>
          <w:rFonts w:ascii="Garamond" w:hAnsi="Garamond" w:cs="Times New Roman"/>
          <w:lang w:val="en-GB"/>
        </w:rPr>
        <w:t>It also supports and lionises a particular form of ‘strong’ leadership that enforces radical change, as opposed to negotiated compromise or incremental change.</w:t>
      </w:r>
    </w:p>
    <w:p w14:paraId="40FB55A9" w14:textId="77777777" w:rsidR="00727AAE" w:rsidRPr="00FF34F0" w:rsidRDefault="00727AAE" w:rsidP="006C51C5">
      <w:pPr>
        <w:rPr>
          <w:rFonts w:ascii="Garamond" w:hAnsi="Garamond" w:cs="Times New Roman"/>
          <w:lang w:val="en-GB"/>
        </w:rPr>
      </w:pPr>
    </w:p>
    <w:p w14:paraId="2B9A9998" w14:textId="0AD7A517" w:rsidR="00727AAE" w:rsidRPr="00FF34F0" w:rsidRDefault="00A4481B" w:rsidP="006C51C5">
      <w:pPr>
        <w:rPr>
          <w:rFonts w:ascii="Garamond" w:hAnsi="Garamond" w:cs="Times New Roman"/>
          <w:lang w:val="en-GB"/>
        </w:rPr>
      </w:pPr>
      <w:r w:rsidRPr="00FF34F0">
        <w:rPr>
          <w:rFonts w:ascii="Garamond" w:hAnsi="Garamond" w:cs="Times New Roman"/>
          <w:lang w:val="en-GB"/>
        </w:rPr>
        <w:t xml:space="preserve">O’Reilly and Reed’s (2010) </w:t>
      </w:r>
      <w:r w:rsidR="00727AAE" w:rsidRPr="00FF34F0">
        <w:rPr>
          <w:rFonts w:ascii="Garamond" w:hAnsi="Garamond" w:cs="Times New Roman"/>
          <w:lang w:val="en-GB"/>
        </w:rPr>
        <w:t xml:space="preserve">analysis draws </w:t>
      </w:r>
      <w:r w:rsidRPr="00FF34F0">
        <w:rPr>
          <w:rFonts w:ascii="Garamond" w:hAnsi="Garamond" w:cs="Times New Roman"/>
          <w:lang w:val="en-GB"/>
        </w:rPr>
        <w:t xml:space="preserve">our attention to the way that </w:t>
      </w:r>
      <w:r w:rsidR="00CF5853" w:rsidRPr="00FF34F0">
        <w:rPr>
          <w:rFonts w:ascii="Garamond" w:hAnsi="Garamond" w:cs="Times New Roman"/>
          <w:lang w:val="en-GB"/>
        </w:rPr>
        <w:t xml:space="preserve">health services research </w:t>
      </w:r>
      <w:r w:rsidR="00727AAE" w:rsidRPr="00FF34F0">
        <w:rPr>
          <w:rFonts w:ascii="Garamond" w:hAnsi="Garamond" w:cs="Times New Roman"/>
          <w:lang w:val="en-GB"/>
        </w:rPr>
        <w:t>adopts p</w:t>
      </w:r>
      <w:r w:rsidR="00124144" w:rsidRPr="00FF34F0">
        <w:rPr>
          <w:rFonts w:ascii="Garamond" w:hAnsi="Garamond" w:cs="Times New Roman"/>
          <w:lang w:val="en-GB"/>
        </w:rPr>
        <w:t>revailing political framings</w:t>
      </w:r>
      <w:r w:rsidRPr="00FF34F0">
        <w:rPr>
          <w:rFonts w:ascii="Garamond" w:hAnsi="Garamond" w:cs="Times New Roman"/>
          <w:lang w:val="en-GB"/>
        </w:rPr>
        <w:t xml:space="preserve">, in particular the </w:t>
      </w:r>
      <w:r w:rsidR="00124144" w:rsidRPr="00FF34F0">
        <w:rPr>
          <w:rFonts w:ascii="Garamond" w:hAnsi="Garamond" w:cs="Times New Roman"/>
          <w:lang w:val="en-GB"/>
        </w:rPr>
        <w:t>‘cascade of change’</w:t>
      </w:r>
      <w:r w:rsidRPr="00FF34F0">
        <w:rPr>
          <w:rFonts w:ascii="Garamond" w:hAnsi="Garamond" w:cs="Times New Roman"/>
          <w:lang w:val="en-GB"/>
        </w:rPr>
        <w:t xml:space="preserve">. </w:t>
      </w:r>
      <w:r w:rsidR="00727AAE" w:rsidRPr="00FF34F0">
        <w:rPr>
          <w:rFonts w:ascii="Garamond" w:hAnsi="Garamond" w:cs="Times New Roman"/>
          <w:lang w:val="en-GB"/>
        </w:rPr>
        <w:t xml:space="preserve">This narrative </w:t>
      </w:r>
      <w:r w:rsidR="00197B74" w:rsidRPr="00FF34F0">
        <w:rPr>
          <w:rFonts w:ascii="Garamond" w:hAnsi="Garamond" w:cs="Times New Roman"/>
          <w:lang w:val="en-GB"/>
        </w:rPr>
        <w:t>positions large-scale</w:t>
      </w:r>
      <w:r w:rsidR="00727AAE" w:rsidRPr="00FF34F0">
        <w:rPr>
          <w:rFonts w:ascii="Garamond" w:hAnsi="Garamond" w:cs="Times New Roman"/>
          <w:lang w:val="en-GB"/>
        </w:rPr>
        <w:t xml:space="preserve"> change as </w:t>
      </w:r>
      <w:r w:rsidRPr="00FF34F0">
        <w:rPr>
          <w:rFonts w:ascii="Garamond" w:hAnsi="Garamond" w:cs="Times New Roman"/>
          <w:lang w:val="en-GB"/>
        </w:rPr>
        <w:t xml:space="preserve">a rational, and inevitable, response </w:t>
      </w:r>
      <w:r w:rsidR="00093DD9" w:rsidRPr="00FF34F0">
        <w:rPr>
          <w:rFonts w:ascii="Garamond" w:hAnsi="Garamond" w:cs="Times New Roman"/>
          <w:lang w:val="en-GB"/>
        </w:rPr>
        <w:t>to exogenous drivers</w:t>
      </w:r>
      <w:r w:rsidRPr="00FF34F0">
        <w:rPr>
          <w:rFonts w:ascii="Garamond" w:hAnsi="Garamond" w:cs="Times New Roman"/>
          <w:lang w:val="en-GB"/>
        </w:rPr>
        <w:t>:</w:t>
      </w:r>
    </w:p>
    <w:p w14:paraId="21B50016" w14:textId="77777777" w:rsidR="00980893" w:rsidRPr="00FF34F0" w:rsidRDefault="00980893" w:rsidP="006C51C5">
      <w:pPr>
        <w:ind w:left="720"/>
        <w:rPr>
          <w:rFonts w:ascii="Garamond" w:hAnsi="Garamond" w:cs="Times New Roman"/>
          <w:lang w:val="en-GB"/>
        </w:rPr>
      </w:pPr>
    </w:p>
    <w:p w14:paraId="04813AE9" w14:textId="2E5E51FA" w:rsidR="00A4481B" w:rsidRPr="00FF34F0" w:rsidRDefault="00A4481B" w:rsidP="006C51C5">
      <w:pPr>
        <w:ind w:left="720"/>
        <w:rPr>
          <w:rFonts w:ascii="Garamond" w:hAnsi="Garamond" w:cs="Times New Roman"/>
          <w:lang w:val="en-GB"/>
        </w:rPr>
      </w:pPr>
      <w:r w:rsidRPr="00FF34F0">
        <w:rPr>
          <w:rFonts w:ascii="Garamond" w:hAnsi="Garamond" w:cs="Times New Roman"/>
          <w:lang w:val="en-GB"/>
        </w:rPr>
        <w:t>The ‘cascade of change’ narrative is used to legitimate the need for public service reform, and in this particular instance it is also used to create an onus on leaders and leadership as the form of agency by which these pressures and changes are addressed and new services are developed</w:t>
      </w:r>
      <w:r w:rsidR="00F968A7" w:rsidRPr="00FF34F0">
        <w:rPr>
          <w:rFonts w:ascii="Garamond" w:hAnsi="Garamond" w:cs="Times New Roman"/>
          <w:lang w:val="en-GB"/>
        </w:rPr>
        <w:t>.</w:t>
      </w:r>
      <w:r w:rsidRPr="00FF34F0">
        <w:rPr>
          <w:rFonts w:ascii="Garamond" w:hAnsi="Garamond" w:cs="Times New Roman"/>
          <w:lang w:val="en-GB"/>
        </w:rPr>
        <w:t xml:space="preserve"> (2010, p967)</w:t>
      </w:r>
    </w:p>
    <w:p w14:paraId="3A89795F" w14:textId="77777777" w:rsidR="00AB055A" w:rsidRPr="00FF34F0" w:rsidRDefault="00AB055A" w:rsidP="006C51C5">
      <w:pPr>
        <w:rPr>
          <w:rFonts w:ascii="Garamond" w:hAnsi="Garamond" w:cs="Times New Roman"/>
          <w:lang w:val="en-GB"/>
        </w:rPr>
      </w:pPr>
    </w:p>
    <w:p w14:paraId="0CB8CBC6" w14:textId="2236DCA4" w:rsidR="00407A86" w:rsidRPr="00FF34F0" w:rsidRDefault="00A93BB3" w:rsidP="006C51C5">
      <w:pPr>
        <w:rPr>
          <w:rFonts w:ascii="Garamond" w:hAnsi="Garamond" w:cs="Times New Roman"/>
          <w:lang w:val="en-GB"/>
        </w:rPr>
      </w:pPr>
      <w:r w:rsidRPr="00FF34F0">
        <w:rPr>
          <w:rFonts w:ascii="Garamond" w:hAnsi="Garamond" w:cs="Times New Roman"/>
          <w:lang w:val="en-GB"/>
        </w:rPr>
        <w:t xml:space="preserve">Sociological analyses </w:t>
      </w:r>
      <w:r w:rsidR="00AB296C" w:rsidRPr="00FF34F0">
        <w:rPr>
          <w:rFonts w:ascii="Garamond" w:hAnsi="Garamond" w:cs="Times New Roman"/>
          <w:lang w:val="en-GB"/>
        </w:rPr>
        <w:t xml:space="preserve">have interpreted efforts to engage clinicians as leaders as co-optation </w:t>
      </w:r>
      <w:r w:rsidR="00487710" w:rsidRPr="00FF34F0">
        <w:rPr>
          <w:rFonts w:ascii="Garamond" w:hAnsi="Garamond" w:cs="Times New Roman"/>
          <w:lang w:val="en-GB"/>
        </w:rPr>
        <w:t xml:space="preserve">in </w:t>
      </w:r>
      <w:r w:rsidR="00873167" w:rsidRPr="00FF34F0">
        <w:rPr>
          <w:rFonts w:ascii="Garamond" w:hAnsi="Garamond" w:cs="Times New Roman"/>
          <w:lang w:val="en-GB"/>
        </w:rPr>
        <w:t>the interests of policy</w:t>
      </w:r>
      <w:r w:rsidR="00AB296C" w:rsidRPr="00FF34F0">
        <w:rPr>
          <w:rFonts w:ascii="Garamond" w:hAnsi="Garamond" w:cs="Times New Roman"/>
          <w:lang w:val="en-GB"/>
        </w:rPr>
        <w:t>-makers</w:t>
      </w:r>
      <w:r w:rsidR="00A62EF1" w:rsidRPr="00FF34F0">
        <w:rPr>
          <w:rFonts w:ascii="Garamond" w:hAnsi="Garamond" w:cs="Times New Roman"/>
          <w:lang w:val="en-GB"/>
        </w:rPr>
        <w:t>,</w:t>
      </w:r>
      <w:r w:rsidR="00873167" w:rsidRPr="00FF34F0">
        <w:rPr>
          <w:rFonts w:ascii="Garamond" w:hAnsi="Garamond" w:cs="Times New Roman"/>
          <w:lang w:val="en-GB"/>
        </w:rPr>
        <w:t xml:space="preserve"> and </w:t>
      </w:r>
      <w:r w:rsidR="00AB296C" w:rsidRPr="00FF34F0">
        <w:rPr>
          <w:rFonts w:ascii="Garamond" w:hAnsi="Garamond" w:cs="Times New Roman"/>
          <w:lang w:val="en-GB"/>
        </w:rPr>
        <w:t>a means of realising service change in the face of</w:t>
      </w:r>
      <w:r w:rsidR="00873167" w:rsidRPr="00FF34F0">
        <w:rPr>
          <w:rFonts w:ascii="Garamond" w:hAnsi="Garamond" w:cs="Times New Roman"/>
          <w:lang w:val="en-GB"/>
        </w:rPr>
        <w:t xml:space="preserve"> professional res</w:t>
      </w:r>
      <w:r w:rsidR="00FE04AB" w:rsidRPr="00FF34F0">
        <w:rPr>
          <w:rFonts w:ascii="Garamond" w:hAnsi="Garamond" w:cs="Times New Roman"/>
          <w:lang w:val="en-GB"/>
        </w:rPr>
        <w:t>istance</w:t>
      </w:r>
      <w:r w:rsidR="003C6155" w:rsidRPr="00FF34F0">
        <w:rPr>
          <w:rFonts w:ascii="Garamond" w:hAnsi="Garamond" w:cs="Times New Roman"/>
          <w:lang w:val="en-GB"/>
        </w:rPr>
        <w:t xml:space="preserve"> (</w:t>
      </w:r>
      <w:r w:rsidR="00E60CFF" w:rsidRPr="00FF34F0">
        <w:rPr>
          <w:rFonts w:ascii="Garamond" w:hAnsi="Garamond" w:cs="Times New Roman"/>
          <w:lang w:val="en-GB"/>
        </w:rPr>
        <w:t xml:space="preserve">McDonald 2004, </w:t>
      </w:r>
      <w:r w:rsidR="003C6155" w:rsidRPr="00FF34F0">
        <w:rPr>
          <w:rFonts w:ascii="Garamond" w:hAnsi="Garamond" w:cs="Times New Roman"/>
          <w:lang w:val="en-GB"/>
        </w:rPr>
        <w:t>Martin and Learmonth 2012, Waring 2014)</w:t>
      </w:r>
      <w:r w:rsidR="00873167" w:rsidRPr="00FF34F0">
        <w:rPr>
          <w:rFonts w:ascii="Garamond" w:hAnsi="Garamond" w:cs="Times New Roman"/>
          <w:lang w:val="en-GB"/>
        </w:rPr>
        <w:t xml:space="preserve">. </w:t>
      </w:r>
      <w:r w:rsidR="00AB296C" w:rsidRPr="00FF34F0">
        <w:rPr>
          <w:rFonts w:ascii="Garamond" w:hAnsi="Garamond" w:cs="Times New Roman"/>
          <w:lang w:val="en-GB"/>
        </w:rPr>
        <w:t>Martin and Learmonth</w:t>
      </w:r>
      <w:r w:rsidR="007A66ED" w:rsidRPr="00FF34F0">
        <w:rPr>
          <w:rFonts w:ascii="Garamond" w:hAnsi="Garamond" w:cs="Times New Roman"/>
          <w:lang w:val="en-GB"/>
        </w:rPr>
        <w:t xml:space="preserve"> (2012)</w:t>
      </w:r>
      <w:r w:rsidR="00AB296C" w:rsidRPr="00FF34F0">
        <w:rPr>
          <w:rFonts w:ascii="Garamond" w:hAnsi="Garamond" w:cs="Times New Roman"/>
          <w:lang w:val="en-GB"/>
        </w:rPr>
        <w:t xml:space="preserve">, </w:t>
      </w:r>
      <w:r w:rsidR="00E60CFF" w:rsidRPr="00FF34F0">
        <w:rPr>
          <w:rFonts w:ascii="Garamond" w:hAnsi="Garamond" w:cs="Times New Roman"/>
          <w:lang w:val="en-GB"/>
        </w:rPr>
        <w:t xml:space="preserve">for example, </w:t>
      </w:r>
      <w:r w:rsidR="00AB296C" w:rsidRPr="00FF34F0">
        <w:rPr>
          <w:rFonts w:ascii="Garamond" w:hAnsi="Garamond" w:cs="Times New Roman"/>
          <w:lang w:val="en-GB"/>
        </w:rPr>
        <w:t xml:space="preserve">argue that </w:t>
      </w:r>
      <w:r w:rsidR="003C6155" w:rsidRPr="00FF34F0">
        <w:rPr>
          <w:rFonts w:ascii="Garamond" w:hAnsi="Garamond" w:cs="Times New Roman"/>
          <w:lang w:val="en-GB"/>
        </w:rPr>
        <w:t xml:space="preserve">efforts to engage clinicians as leaders in the delivery of reform are </w:t>
      </w:r>
      <w:r w:rsidR="003C6155" w:rsidRPr="00FF34F0">
        <w:rPr>
          <w:rFonts w:ascii="Garamond" w:hAnsi="Garamond" w:cs="Times New Roman"/>
          <w:lang w:val="en-GB"/>
        </w:rPr>
        <w:lastRenderedPageBreak/>
        <w:t>best understood as a way of reconstituting these actors</w:t>
      </w:r>
      <w:r w:rsidR="002D230E" w:rsidRPr="00FF34F0">
        <w:rPr>
          <w:rFonts w:ascii="Garamond" w:hAnsi="Garamond" w:cs="Times New Roman"/>
          <w:lang w:val="en-GB"/>
        </w:rPr>
        <w:t>’</w:t>
      </w:r>
      <w:r w:rsidR="003C6155" w:rsidRPr="00FF34F0">
        <w:rPr>
          <w:rFonts w:ascii="Garamond" w:hAnsi="Garamond" w:cs="Times New Roman"/>
          <w:lang w:val="en-GB"/>
        </w:rPr>
        <w:t xml:space="preserve"> subjectivities as a means of </w:t>
      </w:r>
      <w:r w:rsidR="00AB296C" w:rsidRPr="00FF34F0">
        <w:rPr>
          <w:rFonts w:ascii="Garamond" w:hAnsi="Garamond" w:cs="Times New Roman"/>
          <w:lang w:val="en-GB"/>
        </w:rPr>
        <w:t>'</w:t>
      </w:r>
      <w:r w:rsidR="00D02639" w:rsidRPr="00FF34F0">
        <w:rPr>
          <w:rFonts w:ascii="Garamond" w:hAnsi="Garamond" w:cs="Times New Roman"/>
          <w:lang w:val="en-GB"/>
        </w:rPr>
        <w:t xml:space="preserve">governing at </w:t>
      </w:r>
      <w:r w:rsidR="00AB296C" w:rsidRPr="00FF34F0">
        <w:rPr>
          <w:rFonts w:ascii="Garamond" w:hAnsi="Garamond" w:cs="Times New Roman"/>
          <w:lang w:val="en-GB"/>
        </w:rPr>
        <w:t>a distance'.</w:t>
      </w:r>
      <w:r w:rsidR="00E60CFF" w:rsidRPr="00FF34F0">
        <w:rPr>
          <w:rFonts w:ascii="Garamond" w:hAnsi="Garamond" w:cs="Times New Roman"/>
          <w:lang w:val="en-GB"/>
        </w:rPr>
        <w:t xml:space="preserve"> </w:t>
      </w:r>
      <w:r w:rsidR="005344A2" w:rsidRPr="00FF34F0">
        <w:rPr>
          <w:rFonts w:ascii="Garamond" w:hAnsi="Garamond" w:cs="Times New Roman"/>
          <w:lang w:val="en-GB"/>
        </w:rPr>
        <w:t xml:space="preserve">In their ethnographic study of hospital planning, </w:t>
      </w:r>
      <w:r w:rsidR="004B055E" w:rsidRPr="00FF34F0">
        <w:rPr>
          <w:rFonts w:ascii="Garamond" w:hAnsi="Garamond" w:cs="Times New Roman"/>
          <w:lang w:val="en-GB"/>
        </w:rPr>
        <w:t xml:space="preserve">Jones and </w:t>
      </w:r>
      <w:proofErr w:type="spellStart"/>
      <w:r w:rsidR="004B055E" w:rsidRPr="00FF34F0">
        <w:rPr>
          <w:rFonts w:ascii="Garamond" w:hAnsi="Garamond" w:cs="Times New Roman"/>
          <w:lang w:val="en-GB"/>
        </w:rPr>
        <w:t>Exworthy</w:t>
      </w:r>
      <w:proofErr w:type="spellEnd"/>
      <w:r w:rsidR="004B055E" w:rsidRPr="00FF34F0">
        <w:rPr>
          <w:rFonts w:ascii="Garamond" w:hAnsi="Garamond" w:cs="Times New Roman"/>
          <w:lang w:val="en-GB"/>
        </w:rPr>
        <w:t xml:space="preserve"> (2015</w:t>
      </w:r>
      <w:r w:rsidR="00D35F8C" w:rsidRPr="00FF34F0">
        <w:rPr>
          <w:rFonts w:ascii="Garamond" w:hAnsi="Garamond" w:cs="Times New Roman"/>
          <w:lang w:val="en-GB"/>
        </w:rPr>
        <w:t xml:space="preserve">) </w:t>
      </w:r>
      <w:r w:rsidR="006A5087" w:rsidRPr="00FF34F0">
        <w:rPr>
          <w:rFonts w:ascii="Garamond" w:hAnsi="Garamond" w:cs="Times New Roman"/>
          <w:lang w:val="en-GB"/>
        </w:rPr>
        <w:t xml:space="preserve">draw </w:t>
      </w:r>
      <w:r w:rsidR="00407A86" w:rsidRPr="00FF34F0">
        <w:rPr>
          <w:rFonts w:ascii="Garamond" w:hAnsi="Garamond" w:cs="Times New Roman"/>
          <w:lang w:val="en-GB"/>
        </w:rPr>
        <w:t xml:space="preserve">on Waring’s </w:t>
      </w:r>
      <w:r w:rsidR="009C2DAE" w:rsidRPr="00FF34F0">
        <w:rPr>
          <w:rFonts w:ascii="Garamond" w:hAnsi="Garamond" w:cs="Times New Roman"/>
          <w:lang w:val="en-GB"/>
        </w:rPr>
        <w:t xml:space="preserve">(2014) </w:t>
      </w:r>
      <w:r w:rsidR="006A5087" w:rsidRPr="00FF34F0">
        <w:rPr>
          <w:rFonts w:ascii="Garamond" w:hAnsi="Garamond" w:cs="Times New Roman"/>
          <w:lang w:val="en-GB"/>
        </w:rPr>
        <w:t xml:space="preserve">theoretical development </w:t>
      </w:r>
      <w:r w:rsidR="00FE5133" w:rsidRPr="00FF34F0">
        <w:rPr>
          <w:rFonts w:ascii="Garamond" w:hAnsi="Garamond" w:cs="Times New Roman"/>
          <w:lang w:val="en-GB"/>
        </w:rPr>
        <w:t xml:space="preserve">of </w:t>
      </w:r>
      <w:r w:rsidR="009C2DAE" w:rsidRPr="00FF34F0">
        <w:rPr>
          <w:rFonts w:ascii="Garamond" w:hAnsi="Garamond" w:cs="Times New Roman"/>
          <w:lang w:val="en-GB"/>
        </w:rPr>
        <w:t xml:space="preserve">professional </w:t>
      </w:r>
      <w:proofErr w:type="spellStart"/>
      <w:r w:rsidR="009C2DAE" w:rsidRPr="00FF34F0">
        <w:rPr>
          <w:rFonts w:ascii="Garamond" w:hAnsi="Garamond" w:cs="Times New Roman"/>
          <w:lang w:val="en-GB"/>
        </w:rPr>
        <w:t>restratification</w:t>
      </w:r>
      <w:proofErr w:type="spellEnd"/>
      <w:r w:rsidR="0006733E" w:rsidRPr="00FF34F0">
        <w:rPr>
          <w:rFonts w:ascii="Garamond" w:hAnsi="Garamond" w:cs="Times New Roman"/>
          <w:lang w:val="en-GB"/>
        </w:rPr>
        <w:t xml:space="preserve"> </w:t>
      </w:r>
      <w:r w:rsidR="006A5087" w:rsidRPr="00FF34F0">
        <w:rPr>
          <w:rFonts w:ascii="Garamond" w:hAnsi="Garamond" w:cs="Times New Roman"/>
          <w:lang w:val="en-GB"/>
        </w:rPr>
        <w:t xml:space="preserve">to </w:t>
      </w:r>
      <w:r w:rsidR="00AB055A" w:rsidRPr="00FF34F0">
        <w:rPr>
          <w:rFonts w:ascii="Garamond" w:hAnsi="Garamond" w:cs="Times New Roman"/>
          <w:lang w:val="en-GB"/>
        </w:rPr>
        <w:t>show</w:t>
      </w:r>
      <w:r w:rsidR="00D35F8C" w:rsidRPr="00FF34F0">
        <w:rPr>
          <w:rFonts w:ascii="Garamond" w:hAnsi="Garamond" w:cs="Times New Roman"/>
          <w:lang w:val="en-GB"/>
        </w:rPr>
        <w:t xml:space="preserve"> how</w:t>
      </w:r>
      <w:r w:rsidR="00E451A7" w:rsidRPr="00FF34F0">
        <w:rPr>
          <w:rFonts w:ascii="Garamond" w:hAnsi="Garamond" w:cs="Times New Roman"/>
          <w:lang w:val="en-GB"/>
        </w:rPr>
        <w:t xml:space="preserve"> </w:t>
      </w:r>
      <w:r w:rsidR="00AB055A" w:rsidRPr="00FF34F0">
        <w:rPr>
          <w:rFonts w:ascii="Garamond" w:hAnsi="Garamond" w:cs="Times New Roman"/>
          <w:lang w:val="en-GB"/>
        </w:rPr>
        <w:t>clinical leaders</w:t>
      </w:r>
      <w:r w:rsidR="009C168C" w:rsidRPr="00FF34F0">
        <w:rPr>
          <w:rFonts w:ascii="Garamond" w:hAnsi="Garamond" w:cs="Times New Roman"/>
          <w:lang w:val="en-GB"/>
        </w:rPr>
        <w:t>, at both national and local levels,</w:t>
      </w:r>
      <w:r w:rsidR="00AB055A" w:rsidRPr="00FF34F0">
        <w:rPr>
          <w:rFonts w:ascii="Garamond" w:hAnsi="Garamond" w:cs="Times New Roman"/>
          <w:lang w:val="en-GB"/>
        </w:rPr>
        <w:t xml:space="preserve"> </w:t>
      </w:r>
      <w:r w:rsidR="00D35F8C" w:rsidRPr="00FF34F0">
        <w:rPr>
          <w:rFonts w:ascii="Garamond" w:hAnsi="Garamond" w:cs="Times New Roman"/>
          <w:lang w:val="en-GB"/>
        </w:rPr>
        <w:t xml:space="preserve">were enrolled </w:t>
      </w:r>
      <w:r w:rsidR="00407A86" w:rsidRPr="00FF34F0">
        <w:rPr>
          <w:rFonts w:ascii="Garamond" w:hAnsi="Garamond" w:cs="Times New Roman"/>
          <w:lang w:val="en-GB"/>
        </w:rPr>
        <w:t xml:space="preserve">to ‘sell’ controversial plans </w:t>
      </w:r>
      <w:r w:rsidR="00D35F8C" w:rsidRPr="00FF34F0">
        <w:rPr>
          <w:rFonts w:ascii="Garamond" w:hAnsi="Garamond" w:cs="Times New Roman"/>
          <w:lang w:val="en-GB"/>
        </w:rPr>
        <w:t xml:space="preserve">to </w:t>
      </w:r>
      <w:r w:rsidR="00407A86" w:rsidRPr="00FF34F0">
        <w:rPr>
          <w:rFonts w:ascii="Garamond" w:hAnsi="Garamond" w:cs="Times New Roman"/>
          <w:lang w:val="en-GB"/>
        </w:rPr>
        <w:t>the public and secure the ag</w:t>
      </w:r>
      <w:r w:rsidR="00AB296C" w:rsidRPr="00FF34F0">
        <w:rPr>
          <w:rFonts w:ascii="Garamond" w:hAnsi="Garamond" w:cs="Times New Roman"/>
          <w:lang w:val="en-GB"/>
        </w:rPr>
        <w:t xml:space="preserve">reement of local clinical staff. </w:t>
      </w:r>
      <w:r w:rsidR="007E0230" w:rsidRPr="00FF34F0">
        <w:rPr>
          <w:rFonts w:ascii="Garamond" w:hAnsi="Garamond" w:cs="Times New Roman"/>
          <w:lang w:val="en-GB"/>
        </w:rPr>
        <w:t>I</w:t>
      </w:r>
      <w:r w:rsidR="00D36B72" w:rsidRPr="00FF34F0">
        <w:rPr>
          <w:rFonts w:ascii="Garamond" w:hAnsi="Garamond" w:cs="Times New Roman"/>
          <w:lang w:val="en-GB"/>
        </w:rPr>
        <w:t xml:space="preserve">n their empirical settings </w:t>
      </w:r>
      <w:r w:rsidR="002D230E" w:rsidRPr="00FF34F0">
        <w:rPr>
          <w:rFonts w:ascii="Garamond" w:hAnsi="Garamond" w:cs="Times New Roman"/>
          <w:lang w:val="en-GB"/>
        </w:rPr>
        <w:t xml:space="preserve">these efforts were recognised by other stakeholders as strategic and perceived to be manipulative. </w:t>
      </w:r>
    </w:p>
    <w:p w14:paraId="1D8CC649" w14:textId="77777777" w:rsidR="00F66961" w:rsidRPr="00FF34F0" w:rsidRDefault="00F66961" w:rsidP="006C51C5">
      <w:pPr>
        <w:rPr>
          <w:rFonts w:ascii="Garamond" w:hAnsi="Garamond" w:cs="Times New Roman"/>
          <w:lang w:val="en-GB"/>
        </w:rPr>
      </w:pPr>
    </w:p>
    <w:p w14:paraId="57AB2384" w14:textId="5365958D" w:rsidR="00503228" w:rsidRPr="00FF34F0" w:rsidRDefault="00F66961" w:rsidP="006C51C5">
      <w:pPr>
        <w:rPr>
          <w:rFonts w:ascii="Garamond" w:hAnsi="Garamond" w:cs="Times New Roman"/>
          <w:lang w:val="en-GB"/>
        </w:rPr>
      </w:pPr>
      <w:r w:rsidRPr="00FF34F0">
        <w:rPr>
          <w:rFonts w:ascii="Garamond" w:hAnsi="Garamond" w:cs="Times New Roman"/>
          <w:lang w:val="en-GB"/>
        </w:rPr>
        <w:t xml:space="preserve">While </w:t>
      </w:r>
      <w:r w:rsidR="00E60CFF" w:rsidRPr="00FF34F0">
        <w:rPr>
          <w:rFonts w:ascii="Garamond" w:hAnsi="Garamond" w:cs="Times New Roman"/>
          <w:lang w:val="en-GB"/>
        </w:rPr>
        <w:t xml:space="preserve">the above authors </w:t>
      </w:r>
      <w:r w:rsidR="00B07F1F" w:rsidRPr="00FF34F0">
        <w:rPr>
          <w:rFonts w:ascii="Garamond" w:hAnsi="Garamond" w:cs="Times New Roman"/>
          <w:lang w:val="en-GB"/>
        </w:rPr>
        <w:t xml:space="preserve">explore the discourse of clinical leadership as a mode of governing, </w:t>
      </w:r>
      <w:r w:rsidR="00E52174" w:rsidRPr="00FF34F0">
        <w:rPr>
          <w:rFonts w:ascii="Garamond" w:hAnsi="Garamond" w:cs="Times New Roman"/>
          <w:lang w:val="en-GB"/>
        </w:rPr>
        <w:t xml:space="preserve">Latimer and </w:t>
      </w:r>
      <w:proofErr w:type="spellStart"/>
      <w:r w:rsidR="00E52174" w:rsidRPr="00FF34F0">
        <w:rPr>
          <w:rFonts w:ascii="Garamond" w:hAnsi="Garamond" w:cs="Times New Roman"/>
          <w:lang w:val="en-GB"/>
        </w:rPr>
        <w:t>Monro</w:t>
      </w:r>
      <w:proofErr w:type="spellEnd"/>
      <w:r w:rsidR="00E52174" w:rsidRPr="00FF34F0">
        <w:rPr>
          <w:rFonts w:ascii="Garamond" w:hAnsi="Garamond" w:cs="Times New Roman"/>
          <w:lang w:val="en-GB"/>
        </w:rPr>
        <w:t xml:space="preserve"> </w:t>
      </w:r>
      <w:r w:rsidR="00B07F1F" w:rsidRPr="00FF34F0">
        <w:rPr>
          <w:rFonts w:ascii="Garamond" w:hAnsi="Garamond" w:cs="Times New Roman"/>
          <w:lang w:val="en-GB"/>
        </w:rPr>
        <w:t>ask</w:t>
      </w:r>
      <w:r w:rsidRPr="00FF34F0">
        <w:rPr>
          <w:rFonts w:ascii="Garamond" w:hAnsi="Garamond" w:cs="Times New Roman"/>
          <w:lang w:val="en-GB"/>
        </w:rPr>
        <w:t xml:space="preserve"> ‘who benefits</w:t>
      </w:r>
      <w:r w:rsidR="00E52174" w:rsidRPr="00FF34F0">
        <w:rPr>
          <w:rFonts w:ascii="Garamond" w:hAnsi="Garamond" w:cs="Times New Roman"/>
          <w:lang w:val="en-GB"/>
        </w:rPr>
        <w:t xml:space="preserve"> from endless reform</w:t>
      </w:r>
      <w:r w:rsidRPr="00FF34F0">
        <w:rPr>
          <w:rFonts w:ascii="Garamond" w:hAnsi="Garamond" w:cs="Times New Roman"/>
          <w:lang w:val="en-GB"/>
        </w:rPr>
        <w:t>?</w:t>
      </w:r>
      <w:r w:rsidR="00F952C3" w:rsidRPr="00FF34F0">
        <w:rPr>
          <w:rFonts w:ascii="Garamond" w:hAnsi="Garamond" w:cs="Times New Roman"/>
          <w:lang w:val="en-GB"/>
        </w:rPr>
        <w:t>’</w:t>
      </w:r>
      <w:r w:rsidR="00E52174" w:rsidRPr="00FF34F0">
        <w:rPr>
          <w:rFonts w:ascii="Garamond" w:hAnsi="Garamond" w:cs="Times New Roman"/>
          <w:lang w:val="en-GB"/>
        </w:rPr>
        <w:t xml:space="preserve"> (2015, p428)</w:t>
      </w:r>
      <w:r w:rsidRPr="00FF34F0">
        <w:rPr>
          <w:rFonts w:ascii="Garamond" w:hAnsi="Garamond" w:cs="Times New Roman"/>
          <w:lang w:val="en-GB"/>
        </w:rPr>
        <w:t xml:space="preserve">. They draw attention to class relations and the way that </w:t>
      </w:r>
      <w:r w:rsidR="00DF3CF1" w:rsidRPr="00FF34F0">
        <w:rPr>
          <w:rFonts w:ascii="Garamond" w:hAnsi="Garamond" w:cs="Times New Roman"/>
          <w:lang w:val="en-GB"/>
        </w:rPr>
        <w:t xml:space="preserve">the discourse </w:t>
      </w:r>
      <w:r w:rsidRPr="00FF34F0">
        <w:rPr>
          <w:rFonts w:ascii="Garamond" w:hAnsi="Garamond" w:cs="Times New Roman"/>
          <w:lang w:val="en-GB"/>
        </w:rPr>
        <w:t>of distributed leadership appropriate</w:t>
      </w:r>
      <w:r w:rsidR="00DF3CF1" w:rsidRPr="00FF34F0">
        <w:rPr>
          <w:rFonts w:ascii="Garamond" w:hAnsi="Garamond" w:cs="Times New Roman"/>
          <w:lang w:val="en-GB"/>
        </w:rPr>
        <w:t>s</w:t>
      </w:r>
      <w:r w:rsidRPr="00FF34F0">
        <w:rPr>
          <w:rFonts w:ascii="Garamond" w:hAnsi="Garamond" w:cs="Times New Roman"/>
          <w:lang w:val="en-GB"/>
        </w:rPr>
        <w:t xml:space="preserve"> labour in the interests of elites. </w:t>
      </w:r>
      <w:r w:rsidR="00DF3CF1" w:rsidRPr="00FF34F0">
        <w:rPr>
          <w:rFonts w:ascii="Garamond" w:hAnsi="Garamond" w:cs="Times New Roman"/>
          <w:lang w:val="en-GB"/>
        </w:rPr>
        <w:t xml:space="preserve">While </w:t>
      </w:r>
      <w:proofErr w:type="spellStart"/>
      <w:r w:rsidR="00DF3CF1" w:rsidRPr="00FF34F0">
        <w:rPr>
          <w:rFonts w:ascii="Garamond" w:hAnsi="Garamond" w:cs="Times New Roman"/>
          <w:lang w:val="en-GB"/>
        </w:rPr>
        <w:t>Huby</w:t>
      </w:r>
      <w:proofErr w:type="spellEnd"/>
      <w:r w:rsidRPr="00FF34F0">
        <w:rPr>
          <w:rFonts w:ascii="Garamond" w:hAnsi="Garamond" w:cs="Times New Roman"/>
          <w:lang w:val="en-GB"/>
        </w:rPr>
        <w:t xml:space="preserve"> et al </w:t>
      </w:r>
      <w:r w:rsidR="00DF3CF1" w:rsidRPr="00FF34F0">
        <w:rPr>
          <w:rFonts w:ascii="Garamond" w:hAnsi="Garamond" w:cs="Times New Roman"/>
          <w:lang w:val="en-GB"/>
        </w:rPr>
        <w:t xml:space="preserve">(2014) </w:t>
      </w:r>
      <w:r w:rsidRPr="00FF34F0">
        <w:rPr>
          <w:rFonts w:ascii="Garamond" w:hAnsi="Garamond" w:cs="Times New Roman"/>
          <w:lang w:val="en-GB"/>
        </w:rPr>
        <w:t>find that engaging with service change benefits some groups, such as profess</w:t>
      </w:r>
      <w:r w:rsidR="0090144F" w:rsidRPr="00FF34F0">
        <w:rPr>
          <w:rFonts w:ascii="Garamond" w:hAnsi="Garamond" w:cs="Times New Roman"/>
          <w:lang w:val="en-GB"/>
        </w:rPr>
        <w:t xml:space="preserve">ional elites, Latimer and </w:t>
      </w:r>
      <w:proofErr w:type="spellStart"/>
      <w:r w:rsidR="0090144F" w:rsidRPr="00FF34F0">
        <w:rPr>
          <w:rFonts w:ascii="Garamond" w:hAnsi="Garamond" w:cs="Times New Roman"/>
          <w:lang w:val="en-GB"/>
        </w:rPr>
        <w:t>Monro</w:t>
      </w:r>
      <w:proofErr w:type="spellEnd"/>
      <w:r w:rsidR="00F952C3" w:rsidRPr="00FF34F0">
        <w:rPr>
          <w:rFonts w:ascii="Garamond" w:hAnsi="Garamond" w:cs="Times New Roman"/>
          <w:lang w:val="en-GB"/>
        </w:rPr>
        <w:t xml:space="preserve"> argue that:</w:t>
      </w:r>
    </w:p>
    <w:p w14:paraId="0BA4E884" w14:textId="77777777" w:rsidR="0090144F" w:rsidRPr="00FF34F0" w:rsidRDefault="0090144F" w:rsidP="006C51C5">
      <w:pPr>
        <w:rPr>
          <w:rFonts w:ascii="Garamond" w:hAnsi="Garamond" w:cs="Times New Roman"/>
          <w:lang w:val="en-GB"/>
        </w:rPr>
      </w:pPr>
    </w:p>
    <w:p w14:paraId="44F6A8F6" w14:textId="0CC79EB9" w:rsidR="00503228" w:rsidRPr="00FF34F0" w:rsidRDefault="0090144F" w:rsidP="006C51C5">
      <w:pPr>
        <w:ind w:left="284" w:right="284"/>
        <w:rPr>
          <w:rFonts w:ascii="Garamond" w:hAnsi="Garamond" w:cs="Times New Roman"/>
          <w:lang w:val="en-GB"/>
        </w:rPr>
      </w:pPr>
      <w:r w:rsidRPr="00FF34F0">
        <w:rPr>
          <w:rFonts w:ascii="Garamond" w:hAnsi="Garamond" w:cs="Times New Roman"/>
          <w:lang w:val="en-GB"/>
        </w:rPr>
        <w:t>the sheer numbers of persons making themselves ‘available’ and ‘response-able’ today leads not to them benefitting from what they deliver, but rather to further losses in solidarity for the many and the greater advancement of the few</w:t>
      </w:r>
      <w:r w:rsidR="007E0230" w:rsidRPr="00FF34F0">
        <w:rPr>
          <w:rFonts w:ascii="Garamond" w:hAnsi="Garamond" w:cs="Times New Roman"/>
          <w:lang w:val="en-GB"/>
        </w:rPr>
        <w:t>.</w:t>
      </w:r>
      <w:r w:rsidRPr="00FF34F0">
        <w:rPr>
          <w:rFonts w:ascii="Garamond" w:hAnsi="Garamond" w:cs="Times New Roman"/>
          <w:lang w:val="en-GB"/>
        </w:rPr>
        <w:t xml:space="preserve"> (2015, p427)</w:t>
      </w:r>
    </w:p>
    <w:p w14:paraId="6AC5FD1F" w14:textId="77777777" w:rsidR="00503228" w:rsidRPr="00FF34F0" w:rsidRDefault="00503228" w:rsidP="006C51C5">
      <w:pPr>
        <w:ind w:left="284" w:right="284"/>
        <w:rPr>
          <w:rFonts w:ascii="Garamond" w:hAnsi="Garamond" w:cs="Times New Roman"/>
          <w:lang w:val="en-GB"/>
        </w:rPr>
      </w:pPr>
    </w:p>
    <w:p w14:paraId="0FB108C3" w14:textId="4A52E7CF" w:rsidR="00F66961" w:rsidRPr="00FF34F0" w:rsidRDefault="0090144F" w:rsidP="006C51C5">
      <w:pPr>
        <w:rPr>
          <w:rFonts w:ascii="Garamond" w:hAnsi="Garamond" w:cs="Times New Roman"/>
          <w:lang w:val="en-GB"/>
        </w:rPr>
      </w:pPr>
      <w:r w:rsidRPr="00FF34F0">
        <w:rPr>
          <w:rFonts w:ascii="Garamond" w:hAnsi="Garamond" w:cs="Times New Roman"/>
          <w:lang w:val="en-GB"/>
        </w:rPr>
        <w:t xml:space="preserve">Latimer and </w:t>
      </w:r>
      <w:proofErr w:type="spellStart"/>
      <w:r w:rsidRPr="00FF34F0">
        <w:rPr>
          <w:rFonts w:ascii="Garamond" w:hAnsi="Garamond" w:cs="Times New Roman"/>
          <w:lang w:val="en-GB"/>
        </w:rPr>
        <w:t>Monro’s</w:t>
      </w:r>
      <w:proofErr w:type="spellEnd"/>
      <w:r w:rsidRPr="00FF34F0">
        <w:rPr>
          <w:rFonts w:ascii="Garamond" w:hAnsi="Garamond" w:cs="Times New Roman"/>
          <w:lang w:val="en-GB"/>
        </w:rPr>
        <w:t xml:space="preserve"> analysis</w:t>
      </w:r>
      <w:r w:rsidR="005344A2" w:rsidRPr="00FF34F0">
        <w:rPr>
          <w:rFonts w:ascii="Garamond" w:hAnsi="Garamond" w:cs="Times New Roman"/>
          <w:lang w:val="en-GB"/>
        </w:rPr>
        <w:t xml:space="preserve"> suggests that </w:t>
      </w:r>
      <w:r w:rsidR="00503228" w:rsidRPr="00FF34F0">
        <w:rPr>
          <w:rFonts w:ascii="Garamond" w:hAnsi="Garamond" w:cs="Times New Roman"/>
          <w:lang w:val="en-GB"/>
        </w:rPr>
        <w:t>reconstituting clinical staff as ‘leaders’</w:t>
      </w:r>
      <w:r w:rsidR="00F66961" w:rsidRPr="00FF34F0">
        <w:rPr>
          <w:rFonts w:ascii="Garamond" w:hAnsi="Garamond" w:cs="Times New Roman"/>
          <w:lang w:val="en-GB"/>
        </w:rPr>
        <w:t xml:space="preserve"> </w:t>
      </w:r>
      <w:r w:rsidR="00E52174" w:rsidRPr="00FF34F0">
        <w:rPr>
          <w:rFonts w:ascii="Garamond" w:hAnsi="Garamond" w:cs="Times New Roman"/>
          <w:lang w:val="en-GB"/>
        </w:rPr>
        <w:t>may also ‘drive out discretion from the front-line’ (2015, p248). F</w:t>
      </w:r>
      <w:r w:rsidR="00F66961" w:rsidRPr="00FF34F0">
        <w:rPr>
          <w:rFonts w:ascii="Garamond" w:hAnsi="Garamond" w:cs="Times New Roman"/>
          <w:lang w:val="en-GB"/>
        </w:rPr>
        <w:t>ront line staff</w:t>
      </w:r>
      <w:r w:rsidR="00F4695A" w:rsidRPr="00FF34F0">
        <w:rPr>
          <w:rFonts w:ascii="Garamond" w:hAnsi="Garamond" w:cs="Times New Roman"/>
          <w:lang w:val="en-GB"/>
        </w:rPr>
        <w:t xml:space="preserve"> are expected to </w:t>
      </w:r>
      <w:r w:rsidR="00F27444" w:rsidRPr="00FF34F0">
        <w:rPr>
          <w:rFonts w:ascii="Garamond" w:hAnsi="Garamond" w:cs="Times New Roman"/>
          <w:lang w:val="en-GB"/>
        </w:rPr>
        <w:t xml:space="preserve">be orientated to the objectives and interests of the organisation, which may not be same as those of patients.  </w:t>
      </w:r>
    </w:p>
    <w:p w14:paraId="725CC44D" w14:textId="3E965BBB" w:rsidR="005915BE" w:rsidRPr="00FF34F0" w:rsidRDefault="005915BE" w:rsidP="006C51C5">
      <w:pPr>
        <w:rPr>
          <w:rFonts w:ascii="Garamond" w:hAnsi="Garamond" w:cs="Times New Roman"/>
          <w:lang w:val="en-GB"/>
        </w:rPr>
      </w:pPr>
    </w:p>
    <w:p w14:paraId="0303C41D" w14:textId="445F15D8" w:rsidR="005B1DD1" w:rsidRPr="00FF34F0" w:rsidRDefault="00D35F8C" w:rsidP="006C51C5">
      <w:pPr>
        <w:rPr>
          <w:rFonts w:ascii="Garamond" w:hAnsi="Garamond" w:cs="Times New Roman"/>
          <w:lang w:val="en-GB"/>
        </w:rPr>
      </w:pPr>
      <w:r w:rsidRPr="00FF34F0">
        <w:rPr>
          <w:rFonts w:ascii="Garamond" w:hAnsi="Garamond" w:cs="Times New Roman"/>
          <w:lang w:val="en-GB"/>
        </w:rPr>
        <w:t xml:space="preserve">One line of </w:t>
      </w:r>
      <w:r w:rsidR="009C168C" w:rsidRPr="00FF34F0">
        <w:rPr>
          <w:rFonts w:ascii="Garamond" w:hAnsi="Garamond" w:cs="Times New Roman"/>
          <w:lang w:val="en-GB"/>
        </w:rPr>
        <w:t xml:space="preserve">sociological </w:t>
      </w:r>
      <w:r w:rsidRPr="00FF34F0">
        <w:rPr>
          <w:rFonts w:ascii="Garamond" w:hAnsi="Garamond" w:cs="Times New Roman"/>
          <w:lang w:val="en-GB"/>
        </w:rPr>
        <w:t xml:space="preserve">analysis questions the </w:t>
      </w:r>
      <w:r w:rsidR="0011387B" w:rsidRPr="00FF34F0">
        <w:rPr>
          <w:rFonts w:ascii="Garamond" w:hAnsi="Garamond" w:cs="Times New Roman"/>
          <w:lang w:val="en-GB"/>
        </w:rPr>
        <w:t xml:space="preserve">dominant research conventions employed in the </w:t>
      </w:r>
      <w:r w:rsidR="009C168C" w:rsidRPr="00FF34F0">
        <w:rPr>
          <w:rFonts w:ascii="Garamond" w:hAnsi="Garamond" w:cs="Times New Roman"/>
          <w:lang w:val="en-GB"/>
        </w:rPr>
        <w:t xml:space="preserve">mainstream </w:t>
      </w:r>
      <w:r w:rsidRPr="00FF34F0">
        <w:rPr>
          <w:rFonts w:ascii="Garamond" w:hAnsi="Garamond" w:cs="Times New Roman"/>
          <w:lang w:val="en-GB"/>
        </w:rPr>
        <w:t>literature</w:t>
      </w:r>
      <w:r w:rsidR="009C168C" w:rsidRPr="00FF34F0">
        <w:rPr>
          <w:rFonts w:ascii="Garamond" w:hAnsi="Garamond" w:cs="Times New Roman"/>
          <w:lang w:val="en-GB"/>
        </w:rPr>
        <w:t xml:space="preserve"> on management practices</w:t>
      </w:r>
      <w:r w:rsidRPr="00FF34F0">
        <w:rPr>
          <w:rFonts w:ascii="Garamond" w:hAnsi="Garamond" w:cs="Times New Roman"/>
          <w:lang w:val="en-GB"/>
        </w:rPr>
        <w:t xml:space="preserve">, </w:t>
      </w:r>
      <w:r w:rsidR="00165333" w:rsidRPr="00FF34F0">
        <w:rPr>
          <w:rFonts w:ascii="Garamond" w:hAnsi="Garamond" w:cs="Times New Roman"/>
          <w:lang w:val="en-GB"/>
        </w:rPr>
        <w:t>such</w:t>
      </w:r>
      <w:r w:rsidR="005B46FC" w:rsidRPr="00FF34F0">
        <w:rPr>
          <w:rFonts w:ascii="Garamond" w:hAnsi="Garamond" w:cs="Times New Roman"/>
          <w:lang w:val="en-GB"/>
        </w:rPr>
        <w:t xml:space="preserve"> </w:t>
      </w:r>
      <w:r w:rsidR="00F6021C" w:rsidRPr="00FF34F0">
        <w:rPr>
          <w:rFonts w:ascii="Garamond" w:hAnsi="Garamond" w:cs="Times New Roman"/>
          <w:lang w:val="en-GB"/>
        </w:rPr>
        <w:t xml:space="preserve">as </w:t>
      </w:r>
      <w:r w:rsidR="005B46FC" w:rsidRPr="00FF34F0">
        <w:rPr>
          <w:rFonts w:ascii="Garamond" w:hAnsi="Garamond" w:cs="Times New Roman"/>
          <w:lang w:val="en-GB"/>
        </w:rPr>
        <w:t xml:space="preserve">value </w:t>
      </w:r>
      <w:r w:rsidR="0011387B" w:rsidRPr="00FF34F0">
        <w:rPr>
          <w:rFonts w:ascii="Garamond" w:hAnsi="Garamond" w:cs="Times New Roman"/>
          <w:lang w:val="en-GB"/>
        </w:rPr>
        <w:t>neutrality</w:t>
      </w:r>
      <w:r w:rsidR="005B46FC" w:rsidRPr="00FF34F0">
        <w:rPr>
          <w:rFonts w:ascii="Garamond" w:hAnsi="Garamond" w:cs="Times New Roman"/>
          <w:lang w:val="en-GB"/>
        </w:rPr>
        <w:t xml:space="preserve"> and objectivity</w:t>
      </w:r>
      <w:r w:rsidR="0011387B" w:rsidRPr="00FF34F0">
        <w:rPr>
          <w:rFonts w:ascii="Garamond" w:hAnsi="Garamond" w:cs="Times New Roman"/>
          <w:lang w:val="en-GB"/>
        </w:rPr>
        <w:t xml:space="preserve">, surfacing the </w:t>
      </w:r>
      <w:r w:rsidR="005B46FC" w:rsidRPr="00FF34F0">
        <w:rPr>
          <w:rFonts w:ascii="Garamond" w:hAnsi="Garamond" w:cs="Times New Roman"/>
          <w:lang w:val="en-GB"/>
        </w:rPr>
        <w:t xml:space="preserve">underlying assumptions and </w:t>
      </w:r>
      <w:r w:rsidR="0011387B" w:rsidRPr="00FF34F0">
        <w:rPr>
          <w:rFonts w:ascii="Garamond" w:hAnsi="Garamond" w:cs="Times New Roman"/>
          <w:lang w:val="en-GB"/>
        </w:rPr>
        <w:t>rationalities of these conventions</w:t>
      </w:r>
      <w:r w:rsidR="005B46FC" w:rsidRPr="00FF34F0">
        <w:rPr>
          <w:rFonts w:ascii="Garamond" w:hAnsi="Garamond" w:cs="Times New Roman"/>
          <w:lang w:val="en-GB"/>
        </w:rPr>
        <w:t xml:space="preserve"> and exploring their consequences</w:t>
      </w:r>
      <w:r w:rsidR="009C168C" w:rsidRPr="00FF34F0">
        <w:rPr>
          <w:rFonts w:ascii="Garamond" w:hAnsi="Garamond" w:cs="Times New Roman"/>
          <w:lang w:val="en-GB"/>
        </w:rPr>
        <w:t xml:space="preserve"> (Learmonth 2003)</w:t>
      </w:r>
      <w:r w:rsidRPr="00FF34F0">
        <w:rPr>
          <w:rFonts w:ascii="Garamond" w:hAnsi="Garamond" w:cs="Times New Roman"/>
          <w:lang w:val="en-GB"/>
        </w:rPr>
        <w:t>.</w:t>
      </w:r>
      <w:r w:rsidR="00F8492B" w:rsidRPr="00FF34F0">
        <w:rPr>
          <w:rFonts w:ascii="Garamond" w:hAnsi="Garamond" w:cs="Times New Roman"/>
          <w:lang w:val="en-GB"/>
        </w:rPr>
        <w:t xml:space="preserve"> </w:t>
      </w:r>
      <w:r w:rsidR="008A2AE6" w:rsidRPr="00FF34F0">
        <w:rPr>
          <w:rFonts w:ascii="Garamond" w:hAnsi="Garamond" w:cs="Times New Roman"/>
          <w:lang w:val="en-GB"/>
        </w:rPr>
        <w:t xml:space="preserve">Learmonth stresses that this </w:t>
      </w:r>
      <w:r w:rsidR="007E0230" w:rsidRPr="00FF34F0">
        <w:rPr>
          <w:rFonts w:ascii="Garamond" w:hAnsi="Garamond" w:cs="Times New Roman"/>
          <w:lang w:val="en-GB"/>
        </w:rPr>
        <w:t xml:space="preserve">is not to suggest that the </w:t>
      </w:r>
      <w:r w:rsidR="008A2AE6" w:rsidRPr="00FF34F0">
        <w:rPr>
          <w:rFonts w:ascii="Garamond" w:hAnsi="Garamond" w:cs="Times New Roman"/>
          <w:lang w:val="en-GB"/>
        </w:rPr>
        <w:t>research is ill-intentioned or without rig</w:t>
      </w:r>
      <w:r w:rsidR="00D83EFA" w:rsidRPr="00FF34F0">
        <w:rPr>
          <w:rFonts w:ascii="Garamond" w:hAnsi="Garamond" w:cs="Times New Roman"/>
          <w:lang w:val="en-GB"/>
        </w:rPr>
        <w:t>our, only</w:t>
      </w:r>
      <w:r w:rsidR="008A2AE6" w:rsidRPr="00FF34F0">
        <w:rPr>
          <w:rFonts w:ascii="Garamond" w:hAnsi="Garamond" w:cs="Times New Roman"/>
          <w:lang w:val="en-GB"/>
        </w:rPr>
        <w:t xml:space="preserve"> that it is </w:t>
      </w:r>
      <w:r w:rsidR="00C661FF" w:rsidRPr="00FF34F0">
        <w:rPr>
          <w:rFonts w:ascii="Garamond" w:hAnsi="Garamond" w:cs="Times New Roman"/>
          <w:lang w:val="en-GB"/>
        </w:rPr>
        <w:t xml:space="preserve">often </w:t>
      </w:r>
      <w:r w:rsidR="008A2AE6" w:rsidRPr="00FF34F0">
        <w:rPr>
          <w:rFonts w:ascii="Garamond" w:hAnsi="Garamond" w:cs="Times New Roman"/>
          <w:lang w:val="en-GB"/>
        </w:rPr>
        <w:t xml:space="preserve">from the perspective of senior managers, which may be different from other groups, such as </w:t>
      </w:r>
      <w:r w:rsidR="007A66ED" w:rsidRPr="00FF34F0">
        <w:rPr>
          <w:rFonts w:ascii="Garamond" w:hAnsi="Garamond" w:cs="Times New Roman"/>
          <w:lang w:val="en-GB"/>
        </w:rPr>
        <w:t>middle and junior</w:t>
      </w:r>
      <w:r w:rsidR="008A2AE6" w:rsidRPr="00FF34F0">
        <w:rPr>
          <w:rFonts w:ascii="Garamond" w:hAnsi="Garamond" w:cs="Times New Roman"/>
          <w:lang w:val="en-GB"/>
        </w:rPr>
        <w:t xml:space="preserve"> managers, and those providing and receiving care. In appearing disinterested the research bolsters the interests of one particular group. </w:t>
      </w:r>
      <w:r w:rsidR="00C661FF" w:rsidRPr="00FF34F0">
        <w:rPr>
          <w:rFonts w:ascii="Garamond" w:hAnsi="Garamond" w:cs="Times New Roman"/>
          <w:lang w:val="en-GB"/>
        </w:rPr>
        <w:t xml:space="preserve">Moreover, the tendency for research to be focused on the needs of </w:t>
      </w:r>
      <w:r w:rsidR="005B1DD1" w:rsidRPr="00FF34F0">
        <w:rPr>
          <w:rFonts w:ascii="Garamond" w:hAnsi="Garamond" w:cs="Times New Roman"/>
          <w:lang w:val="en-GB"/>
        </w:rPr>
        <w:t xml:space="preserve">the ‘people in charge’ results in </w:t>
      </w:r>
      <w:r w:rsidR="00C661FF" w:rsidRPr="00FF34F0">
        <w:rPr>
          <w:rFonts w:ascii="Garamond" w:hAnsi="Garamond" w:cs="Times New Roman"/>
          <w:lang w:val="en-GB"/>
        </w:rPr>
        <w:t xml:space="preserve">an </w:t>
      </w:r>
      <w:r w:rsidR="008A2AE6" w:rsidRPr="00FF34F0">
        <w:rPr>
          <w:rFonts w:ascii="Garamond" w:hAnsi="Garamond" w:cs="Times New Roman"/>
          <w:lang w:val="en-GB"/>
        </w:rPr>
        <w:t>analytical neglect of certain organisati</w:t>
      </w:r>
      <w:r w:rsidR="008C7E2E" w:rsidRPr="00FF34F0">
        <w:rPr>
          <w:rFonts w:ascii="Garamond" w:hAnsi="Garamond" w:cs="Times New Roman"/>
          <w:lang w:val="en-GB"/>
        </w:rPr>
        <w:t>onal phenomena, such as</w:t>
      </w:r>
      <w:r w:rsidR="008A2AE6" w:rsidRPr="00FF34F0">
        <w:rPr>
          <w:rFonts w:ascii="Garamond" w:hAnsi="Garamond" w:cs="Times New Roman"/>
          <w:lang w:val="en-GB"/>
        </w:rPr>
        <w:t xml:space="preserve"> domination and oppression</w:t>
      </w:r>
      <w:r w:rsidR="00C661FF" w:rsidRPr="00FF34F0">
        <w:rPr>
          <w:rFonts w:ascii="Garamond" w:hAnsi="Garamond" w:cs="Times New Roman"/>
          <w:lang w:val="en-GB"/>
        </w:rPr>
        <w:t xml:space="preserve">. </w:t>
      </w:r>
      <w:r w:rsidR="008A2AE6" w:rsidRPr="00FF34F0">
        <w:rPr>
          <w:rFonts w:ascii="Garamond" w:hAnsi="Garamond" w:cs="Times New Roman"/>
          <w:lang w:val="en-GB"/>
        </w:rPr>
        <w:t xml:space="preserve"> </w:t>
      </w:r>
    </w:p>
    <w:p w14:paraId="2CA74DE4" w14:textId="77777777" w:rsidR="00503228" w:rsidRPr="00FF34F0" w:rsidRDefault="00503228" w:rsidP="006C51C5">
      <w:pPr>
        <w:rPr>
          <w:rFonts w:ascii="Garamond" w:hAnsi="Garamond" w:cs="Times New Roman"/>
          <w:lang w:val="en-GB"/>
        </w:rPr>
      </w:pPr>
    </w:p>
    <w:p w14:paraId="745AABFA" w14:textId="16656CB1" w:rsidR="00503228" w:rsidRPr="00FF34F0" w:rsidRDefault="00433AFB" w:rsidP="006C51C5">
      <w:pPr>
        <w:rPr>
          <w:rFonts w:ascii="Garamond" w:hAnsi="Garamond" w:cs="Times New Roman"/>
          <w:lang w:val="en-GB"/>
        </w:rPr>
      </w:pPr>
      <w:r w:rsidRPr="00FF34F0">
        <w:rPr>
          <w:rFonts w:ascii="Garamond" w:hAnsi="Garamond" w:cs="Times New Roman"/>
          <w:lang w:val="en-GB"/>
        </w:rPr>
        <w:t xml:space="preserve">Applying this lens to the extant literature on large-scale change illuminates the way that </w:t>
      </w:r>
      <w:r w:rsidR="00093DD9" w:rsidRPr="00FF34F0">
        <w:rPr>
          <w:rFonts w:ascii="Garamond" w:hAnsi="Garamond" w:cs="Times New Roman"/>
          <w:lang w:val="en-GB"/>
        </w:rPr>
        <w:t xml:space="preserve">management </w:t>
      </w:r>
      <w:r w:rsidRPr="00FF34F0">
        <w:rPr>
          <w:rFonts w:ascii="Garamond" w:hAnsi="Garamond" w:cs="Times New Roman"/>
          <w:lang w:val="en-GB"/>
        </w:rPr>
        <w:t xml:space="preserve">is portrayed as </w:t>
      </w:r>
      <w:r w:rsidR="00124144" w:rsidRPr="00FF34F0">
        <w:rPr>
          <w:rFonts w:ascii="Garamond" w:hAnsi="Garamond" w:cs="Times New Roman"/>
          <w:lang w:val="en-GB"/>
        </w:rPr>
        <w:t>‘</w:t>
      </w:r>
      <w:r w:rsidR="00093DD9" w:rsidRPr="00FF34F0">
        <w:rPr>
          <w:rFonts w:ascii="Garamond" w:hAnsi="Garamond" w:cs="Times New Roman"/>
          <w:lang w:val="en-GB"/>
        </w:rPr>
        <w:t xml:space="preserve">a set of technical activities, only problematic to the extent it might be difficult to perform’ (Learmonth 2003, p99). It also reveals that </w:t>
      </w:r>
      <w:r w:rsidR="009C168C" w:rsidRPr="00FF34F0">
        <w:rPr>
          <w:rFonts w:ascii="Garamond" w:hAnsi="Garamond" w:cs="Times New Roman"/>
          <w:lang w:val="en-GB"/>
        </w:rPr>
        <w:t xml:space="preserve">underlying seemingly neutral terms such as ‘system leadership’ </w:t>
      </w:r>
      <w:r w:rsidR="003824FD" w:rsidRPr="00FF34F0">
        <w:rPr>
          <w:rFonts w:ascii="Garamond" w:hAnsi="Garamond" w:cs="Times New Roman"/>
          <w:lang w:val="en-GB"/>
        </w:rPr>
        <w:t xml:space="preserve">there </w:t>
      </w:r>
      <w:r w:rsidR="009C168C" w:rsidRPr="00FF34F0">
        <w:rPr>
          <w:rFonts w:ascii="Garamond" w:hAnsi="Garamond" w:cs="Times New Roman"/>
          <w:lang w:val="en-GB"/>
        </w:rPr>
        <w:t xml:space="preserve">is a </w:t>
      </w:r>
      <w:r w:rsidR="00BB299B" w:rsidRPr="00FF34F0">
        <w:rPr>
          <w:rFonts w:ascii="Garamond" w:hAnsi="Garamond" w:cs="Times New Roman"/>
          <w:lang w:val="en-GB"/>
        </w:rPr>
        <w:t>managerial conception of healthcare as</w:t>
      </w:r>
      <w:r w:rsidR="009C168C" w:rsidRPr="00FF34F0">
        <w:rPr>
          <w:rFonts w:ascii="Garamond" w:hAnsi="Garamond" w:cs="Times New Roman"/>
          <w:lang w:val="en-GB"/>
        </w:rPr>
        <w:t xml:space="preserve"> a system that can be managed. </w:t>
      </w:r>
      <w:r w:rsidR="00165333" w:rsidRPr="00FF34F0">
        <w:rPr>
          <w:rFonts w:ascii="Garamond" w:hAnsi="Garamond" w:cs="Times New Roman"/>
          <w:lang w:val="en-GB"/>
        </w:rPr>
        <w:t>This language</w:t>
      </w:r>
      <w:r w:rsidR="00BB299B" w:rsidRPr="00FF34F0">
        <w:rPr>
          <w:rFonts w:ascii="Garamond" w:hAnsi="Garamond" w:cs="Times New Roman"/>
          <w:lang w:val="en-GB"/>
        </w:rPr>
        <w:t xml:space="preserve"> </w:t>
      </w:r>
      <w:r w:rsidR="00093DD9" w:rsidRPr="00FF34F0">
        <w:rPr>
          <w:rFonts w:ascii="Garamond" w:hAnsi="Garamond" w:cs="Times New Roman"/>
          <w:lang w:val="en-GB"/>
        </w:rPr>
        <w:t>may</w:t>
      </w:r>
      <w:r w:rsidR="00613D32" w:rsidRPr="00FF34F0">
        <w:rPr>
          <w:rFonts w:ascii="Garamond" w:hAnsi="Garamond" w:cs="Times New Roman"/>
          <w:lang w:val="en-GB"/>
        </w:rPr>
        <w:t xml:space="preserve"> camouflage coercive and punitive forms of performance management. </w:t>
      </w:r>
      <w:r w:rsidR="009C168C" w:rsidRPr="00FF34F0">
        <w:rPr>
          <w:rFonts w:ascii="Garamond" w:hAnsi="Garamond" w:cs="Times New Roman"/>
          <w:lang w:val="en-GB"/>
        </w:rPr>
        <w:t xml:space="preserve">For example, </w:t>
      </w:r>
      <w:r w:rsidR="004F0F86" w:rsidRPr="00FF34F0">
        <w:rPr>
          <w:rFonts w:ascii="Garamond" w:hAnsi="Garamond" w:cs="Times New Roman"/>
          <w:lang w:val="en-GB"/>
        </w:rPr>
        <w:t xml:space="preserve">in </w:t>
      </w:r>
      <w:r w:rsidR="00D2434B" w:rsidRPr="00FF34F0">
        <w:rPr>
          <w:rFonts w:ascii="Garamond" w:hAnsi="Garamond" w:cs="Times New Roman"/>
          <w:lang w:val="en-GB"/>
        </w:rPr>
        <w:t>the study by Turner et al (2016) of large-scale changes to clinical services in England, a</w:t>
      </w:r>
      <w:r w:rsidR="00F904CD" w:rsidRPr="00FF34F0">
        <w:rPr>
          <w:rFonts w:ascii="Garamond" w:hAnsi="Garamond" w:cs="Times New Roman"/>
          <w:lang w:val="en-GB"/>
        </w:rPr>
        <w:t xml:space="preserve"> service</w:t>
      </w:r>
      <w:r w:rsidR="00D2434B" w:rsidRPr="00FF34F0">
        <w:rPr>
          <w:rFonts w:ascii="Garamond" w:hAnsi="Garamond" w:cs="Times New Roman"/>
          <w:lang w:val="en-GB"/>
        </w:rPr>
        <w:t xml:space="preserve"> commissioner describes their </w:t>
      </w:r>
      <w:r w:rsidR="009C168C" w:rsidRPr="00FF34F0">
        <w:rPr>
          <w:rFonts w:ascii="Garamond" w:hAnsi="Garamond" w:cs="Times New Roman"/>
          <w:lang w:val="en-GB"/>
        </w:rPr>
        <w:t>strategy for managing stakeholder differences as ‘not letting people out of the room if I thought they were actually disagreeing but they weren’t disagreeing in the room’ (Turner et al 2016</w:t>
      </w:r>
      <w:r w:rsidR="00D2434B" w:rsidRPr="00FF34F0">
        <w:rPr>
          <w:rFonts w:ascii="Garamond" w:hAnsi="Garamond" w:cs="Times New Roman"/>
          <w:lang w:val="en-GB"/>
        </w:rPr>
        <w:t>, p</w:t>
      </w:r>
      <w:r w:rsidR="00F904CD" w:rsidRPr="00FF34F0">
        <w:rPr>
          <w:rFonts w:ascii="Garamond" w:hAnsi="Garamond" w:cs="Times New Roman"/>
          <w:lang w:val="en-GB"/>
        </w:rPr>
        <w:t>161</w:t>
      </w:r>
      <w:r w:rsidR="009C168C" w:rsidRPr="00FF34F0">
        <w:rPr>
          <w:rFonts w:ascii="Garamond" w:hAnsi="Garamond" w:cs="Times New Roman"/>
          <w:lang w:val="en-GB"/>
        </w:rPr>
        <w:t>).</w:t>
      </w:r>
      <w:r w:rsidR="001F7CC7" w:rsidRPr="00FF34F0">
        <w:rPr>
          <w:rFonts w:ascii="Garamond" w:hAnsi="Garamond" w:cs="Times New Roman"/>
          <w:lang w:val="en-GB"/>
        </w:rPr>
        <w:t xml:space="preserve"> Another strategy was for regional</w:t>
      </w:r>
      <w:r w:rsidR="009C168C" w:rsidRPr="00FF34F0">
        <w:rPr>
          <w:rFonts w:ascii="Garamond" w:hAnsi="Garamond" w:cs="Times New Roman"/>
          <w:lang w:val="en-GB"/>
        </w:rPr>
        <w:t xml:space="preserve"> managers to link their </w:t>
      </w:r>
      <w:r w:rsidR="001F7CC7" w:rsidRPr="00FF34F0">
        <w:rPr>
          <w:rFonts w:ascii="Garamond" w:hAnsi="Garamond" w:cs="Times New Roman"/>
          <w:lang w:val="en-GB"/>
        </w:rPr>
        <w:t xml:space="preserve">organisational </w:t>
      </w:r>
      <w:r w:rsidR="009C168C" w:rsidRPr="00FF34F0">
        <w:rPr>
          <w:rFonts w:ascii="Garamond" w:hAnsi="Garamond" w:cs="Times New Roman"/>
          <w:lang w:val="en-GB"/>
        </w:rPr>
        <w:t>goals to the appraisal (and by i</w:t>
      </w:r>
      <w:r w:rsidR="001F7CC7" w:rsidRPr="00FF34F0">
        <w:rPr>
          <w:rFonts w:ascii="Garamond" w:hAnsi="Garamond" w:cs="Times New Roman"/>
          <w:lang w:val="en-GB"/>
        </w:rPr>
        <w:t>m</w:t>
      </w:r>
      <w:r w:rsidR="00AD7F9C" w:rsidRPr="00FF34F0">
        <w:rPr>
          <w:rFonts w:ascii="Garamond" w:hAnsi="Garamond" w:cs="Times New Roman"/>
          <w:lang w:val="en-GB"/>
        </w:rPr>
        <w:t xml:space="preserve">plication, employment) of subordinate </w:t>
      </w:r>
      <w:r w:rsidR="00124144" w:rsidRPr="00FF34F0">
        <w:rPr>
          <w:rFonts w:ascii="Garamond" w:hAnsi="Garamond" w:cs="Times New Roman"/>
          <w:lang w:val="en-GB"/>
        </w:rPr>
        <w:t>staff</w:t>
      </w:r>
      <w:r w:rsidR="001F7CC7" w:rsidRPr="00FF34F0">
        <w:rPr>
          <w:rFonts w:ascii="Garamond" w:hAnsi="Garamond" w:cs="Times New Roman"/>
          <w:lang w:val="en-GB"/>
        </w:rPr>
        <w:t xml:space="preserve"> </w:t>
      </w:r>
      <w:r w:rsidR="009C168C" w:rsidRPr="00FF34F0">
        <w:rPr>
          <w:rFonts w:ascii="Garamond" w:hAnsi="Garamond" w:cs="Times New Roman"/>
          <w:lang w:val="en-GB"/>
        </w:rPr>
        <w:t>(Fraser et al 2017).</w:t>
      </w:r>
      <w:r w:rsidR="005636C2" w:rsidRPr="00FF34F0">
        <w:rPr>
          <w:rFonts w:ascii="Garamond" w:hAnsi="Garamond" w:cs="Times New Roman"/>
          <w:lang w:val="en-GB"/>
        </w:rPr>
        <w:t xml:space="preserve"> </w:t>
      </w:r>
      <w:r w:rsidR="00503228" w:rsidRPr="00FF34F0">
        <w:rPr>
          <w:rFonts w:ascii="Garamond" w:hAnsi="Garamond" w:cs="Times New Roman"/>
          <w:lang w:val="en-GB"/>
        </w:rPr>
        <w:t xml:space="preserve"> Looking at the data </w:t>
      </w:r>
      <w:r w:rsidR="004F0F86" w:rsidRPr="00FF34F0">
        <w:rPr>
          <w:rFonts w:ascii="Garamond" w:hAnsi="Garamond" w:cs="Times New Roman"/>
          <w:lang w:val="en-GB"/>
        </w:rPr>
        <w:t xml:space="preserve">in </w:t>
      </w:r>
      <w:r w:rsidR="00503228" w:rsidRPr="00FF34F0">
        <w:rPr>
          <w:rFonts w:ascii="Garamond" w:hAnsi="Garamond" w:cs="Times New Roman"/>
          <w:lang w:val="en-GB"/>
        </w:rPr>
        <w:t xml:space="preserve">this way </w:t>
      </w:r>
      <w:r w:rsidR="00E52174" w:rsidRPr="00FF34F0">
        <w:rPr>
          <w:rFonts w:ascii="Garamond" w:hAnsi="Garamond" w:cs="Times New Roman"/>
          <w:lang w:val="en-GB"/>
        </w:rPr>
        <w:t xml:space="preserve">affirms Latimer and </w:t>
      </w:r>
      <w:proofErr w:type="spellStart"/>
      <w:r w:rsidR="00E52174" w:rsidRPr="00FF34F0">
        <w:rPr>
          <w:rFonts w:ascii="Garamond" w:hAnsi="Garamond" w:cs="Times New Roman"/>
          <w:lang w:val="en-GB"/>
        </w:rPr>
        <w:t>Monro’s</w:t>
      </w:r>
      <w:proofErr w:type="spellEnd"/>
      <w:r w:rsidR="00E52174" w:rsidRPr="00FF34F0">
        <w:rPr>
          <w:rFonts w:ascii="Garamond" w:hAnsi="Garamond" w:cs="Times New Roman"/>
          <w:lang w:val="en-GB"/>
        </w:rPr>
        <w:t xml:space="preserve"> </w:t>
      </w:r>
      <w:r w:rsidR="00503228" w:rsidRPr="00FF34F0">
        <w:rPr>
          <w:rFonts w:ascii="Garamond" w:hAnsi="Garamond" w:cs="Times New Roman"/>
          <w:lang w:val="en-GB"/>
        </w:rPr>
        <w:t>insight that ‘</w:t>
      </w:r>
      <w:r w:rsidR="00C14E2F" w:rsidRPr="00FF34F0">
        <w:rPr>
          <w:rFonts w:ascii="Garamond" w:hAnsi="Garamond" w:cs="Times New Roman"/>
          <w:lang w:val="en-GB"/>
        </w:rPr>
        <w:t xml:space="preserve">for all the emphasis on reform, hierarchy remains the main mechanism at work along which credit and rewards travel upward while blame and responsibility </w:t>
      </w:r>
      <w:r w:rsidR="00F9201B" w:rsidRPr="00FF34F0">
        <w:rPr>
          <w:rFonts w:ascii="Garamond" w:hAnsi="Garamond" w:cs="Times New Roman"/>
          <w:lang w:val="en-GB"/>
        </w:rPr>
        <w:t>are divested down</w:t>
      </w:r>
      <w:r w:rsidR="00F6021C" w:rsidRPr="00FF34F0">
        <w:rPr>
          <w:rFonts w:ascii="Garamond" w:hAnsi="Garamond" w:cs="Times New Roman"/>
          <w:lang w:val="en-GB"/>
        </w:rPr>
        <w:t>’</w:t>
      </w:r>
      <w:r w:rsidR="00E52174" w:rsidRPr="00FF34F0">
        <w:rPr>
          <w:rFonts w:ascii="Garamond" w:hAnsi="Garamond" w:cs="Times New Roman"/>
          <w:lang w:val="en-GB"/>
        </w:rPr>
        <w:t xml:space="preserve"> (2015, p</w:t>
      </w:r>
      <w:r w:rsidR="00C14E2F" w:rsidRPr="00FF34F0">
        <w:rPr>
          <w:rFonts w:ascii="Garamond" w:hAnsi="Garamond" w:cs="Times New Roman"/>
          <w:lang w:val="en-GB"/>
        </w:rPr>
        <w:t xml:space="preserve"> 427</w:t>
      </w:r>
      <w:r w:rsidR="00F6021C" w:rsidRPr="00FF34F0">
        <w:rPr>
          <w:rFonts w:ascii="Garamond" w:hAnsi="Garamond" w:cs="Times New Roman"/>
          <w:lang w:val="en-GB"/>
        </w:rPr>
        <w:t>).</w:t>
      </w:r>
    </w:p>
    <w:p w14:paraId="7780F35C" w14:textId="50713137" w:rsidR="00093DD9" w:rsidRPr="00FF34F0" w:rsidRDefault="00093DD9" w:rsidP="006C51C5">
      <w:pPr>
        <w:rPr>
          <w:rFonts w:ascii="Garamond" w:hAnsi="Garamond" w:cs="Times New Roman"/>
          <w:lang w:val="en-GB"/>
        </w:rPr>
      </w:pPr>
    </w:p>
    <w:p w14:paraId="2179E5A5" w14:textId="77777777" w:rsidR="004141FF" w:rsidRPr="00FF34F0" w:rsidRDefault="004141FF" w:rsidP="006C51C5">
      <w:pPr>
        <w:rPr>
          <w:rFonts w:ascii="Garamond" w:hAnsi="Garamond" w:cs="Times New Roman"/>
          <w:lang w:val="en-GB"/>
        </w:rPr>
      </w:pPr>
    </w:p>
    <w:p w14:paraId="7FDCACA4" w14:textId="55BE1F45" w:rsidR="00873167" w:rsidRPr="00FF34F0" w:rsidRDefault="00873167" w:rsidP="006C51C5">
      <w:pPr>
        <w:rPr>
          <w:rFonts w:ascii="Garamond" w:hAnsi="Garamond" w:cs="Times New Roman"/>
          <w:b/>
          <w:lang w:val="en-GB"/>
        </w:rPr>
      </w:pPr>
      <w:r w:rsidRPr="00FF34F0">
        <w:rPr>
          <w:rFonts w:ascii="Garamond" w:hAnsi="Garamond" w:cs="Times New Roman"/>
          <w:b/>
          <w:lang w:val="en-GB"/>
        </w:rPr>
        <w:t>Framing, evidencing and strategies</w:t>
      </w:r>
    </w:p>
    <w:p w14:paraId="7674E268" w14:textId="77777777" w:rsidR="00873167" w:rsidRPr="00FF34F0" w:rsidRDefault="00873167" w:rsidP="006C51C5">
      <w:pPr>
        <w:rPr>
          <w:rFonts w:ascii="Garamond" w:hAnsi="Garamond" w:cs="Times New Roman"/>
          <w:lang w:val="en-GB"/>
        </w:rPr>
      </w:pPr>
    </w:p>
    <w:p w14:paraId="54B3D545" w14:textId="023341D9" w:rsidR="005B1064" w:rsidRPr="00FF34F0" w:rsidRDefault="00160459" w:rsidP="006C51C5">
      <w:pPr>
        <w:rPr>
          <w:rFonts w:ascii="Garamond" w:hAnsi="Garamond" w:cs="Times New Roman"/>
          <w:lang w:val="en-GB"/>
        </w:rPr>
      </w:pPr>
      <w:r w:rsidRPr="00FF34F0">
        <w:rPr>
          <w:rFonts w:ascii="Garamond" w:eastAsia="Times New Roman" w:hAnsi="Garamond" w:cs="Times New Roman"/>
          <w:lang w:val="en-GB"/>
        </w:rPr>
        <w:lastRenderedPageBreak/>
        <w:t xml:space="preserve">While </w:t>
      </w:r>
      <w:r w:rsidR="00C824FD" w:rsidRPr="00FF34F0">
        <w:rPr>
          <w:rFonts w:ascii="Garamond" w:eastAsia="Times New Roman" w:hAnsi="Garamond" w:cs="Times New Roman"/>
          <w:lang w:val="en-GB"/>
        </w:rPr>
        <w:t xml:space="preserve">policy </w:t>
      </w:r>
      <w:r w:rsidR="00F904CD" w:rsidRPr="00FF34F0">
        <w:rPr>
          <w:rFonts w:ascii="Garamond" w:eastAsia="Times New Roman" w:hAnsi="Garamond" w:cs="Times New Roman"/>
          <w:lang w:val="en-GB"/>
        </w:rPr>
        <w:t>texts often represent</w:t>
      </w:r>
      <w:r w:rsidRPr="00FF34F0">
        <w:rPr>
          <w:rFonts w:ascii="Garamond" w:eastAsia="Times New Roman" w:hAnsi="Garamond" w:cs="Times New Roman"/>
          <w:lang w:val="en-GB"/>
        </w:rPr>
        <w:t xml:space="preserve"> </w:t>
      </w:r>
      <w:r w:rsidR="00C824FD" w:rsidRPr="00FF34F0">
        <w:rPr>
          <w:rFonts w:ascii="Garamond" w:eastAsia="Times New Roman" w:hAnsi="Garamond" w:cs="Times New Roman"/>
          <w:lang w:val="en-GB"/>
        </w:rPr>
        <w:t>large-scale change as a technical issue</w:t>
      </w:r>
      <w:r w:rsidR="003444ED" w:rsidRPr="00FF34F0">
        <w:rPr>
          <w:rFonts w:ascii="Garamond" w:eastAsia="Times New Roman" w:hAnsi="Garamond" w:cs="Times New Roman"/>
          <w:lang w:val="en-GB"/>
        </w:rPr>
        <w:t xml:space="preserve"> (</w:t>
      </w:r>
      <w:proofErr w:type="spellStart"/>
      <w:r w:rsidR="003444ED" w:rsidRPr="00FF34F0">
        <w:rPr>
          <w:rFonts w:ascii="Garamond" w:eastAsia="Times New Roman" w:hAnsi="Garamond" w:cs="Times New Roman"/>
          <w:lang w:val="en-GB"/>
        </w:rPr>
        <w:t>Fulop</w:t>
      </w:r>
      <w:proofErr w:type="spellEnd"/>
      <w:r w:rsidR="003444ED" w:rsidRPr="00FF34F0">
        <w:rPr>
          <w:rFonts w:ascii="Garamond" w:eastAsia="Times New Roman" w:hAnsi="Garamond" w:cs="Times New Roman"/>
          <w:lang w:val="en-GB"/>
        </w:rPr>
        <w:t xml:space="preserve"> et al 2012</w:t>
      </w:r>
      <w:r w:rsidR="00390F65" w:rsidRPr="00FF34F0">
        <w:rPr>
          <w:rFonts w:ascii="Garamond" w:eastAsia="Times New Roman" w:hAnsi="Garamond" w:cs="Times New Roman"/>
          <w:lang w:val="en-GB"/>
        </w:rPr>
        <w:t>, Spurgeon et al 2010</w:t>
      </w:r>
      <w:r w:rsidR="003444ED" w:rsidRPr="00FF34F0">
        <w:rPr>
          <w:rFonts w:ascii="Garamond" w:eastAsia="Times New Roman" w:hAnsi="Garamond" w:cs="Times New Roman"/>
          <w:lang w:val="en-GB"/>
        </w:rPr>
        <w:t>)</w:t>
      </w:r>
      <w:r w:rsidR="00C824FD" w:rsidRPr="00FF34F0">
        <w:rPr>
          <w:rFonts w:ascii="Garamond" w:eastAsia="Times New Roman" w:hAnsi="Garamond" w:cs="Times New Roman"/>
          <w:lang w:val="en-GB"/>
        </w:rPr>
        <w:t xml:space="preserve">, </w:t>
      </w:r>
      <w:r w:rsidR="00CC2816" w:rsidRPr="00FF34F0">
        <w:rPr>
          <w:rFonts w:ascii="Garamond" w:eastAsia="Times New Roman" w:hAnsi="Garamond" w:cs="Times New Roman"/>
          <w:lang w:val="en-GB"/>
        </w:rPr>
        <w:t>Jones’ (1999) sociological study of the centralisation of renal services in London</w:t>
      </w:r>
      <w:r w:rsidR="00ED3611" w:rsidRPr="00FF34F0">
        <w:rPr>
          <w:rFonts w:ascii="Garamond" w:eastAsia="Times New Roman" w:hAnsi="Garamond" w:cs="Times New Roman"/>
          <w:lang w:val="en-GB"/>
        </w:rPr>
        <w:t xml:space="preserve"> </w:t>
      </w:r>
      <w:r w:rsidR="00F904CD" w:rsidRPr="00FF34F0">
        <w:rPr>
          <w:rFonts w:ascii="Garamond" w:eastAsia="Times New Roman" w:hAnsi="Garamond" w:cs="Times New Roman"/>
          <w:lang w:val="en-GB"/>
        </w:rPr>
        <w:t xml:space="preserve">reveals </w:t>
      </w:r>
      <w:r w:rsidR="00ED3611" w:rsidRPr="00FF34F0">
        <w:rPr>
          <w:rFonts w:ascii="Garamond" w:eastAsia="Times New Roman" w:hAnsi="Garamond" w:cs="Times New Roman"/>
          <w:lang w:val="en-GB"/>
        </w:rPr>
        <w:t xml:space="preserve">the </w:t>
      </w:r>
      <w:r w:rsidR="00106DF5" w:rsidRPr="00FF34F0">
        <w:rPr>
          <w:rFonts w:ascii="Garamond" w:eastAsia="Times New Roman" w:hAnsi="Garamond" w:cs="Times New Roman"/>
          <w:lang w:val="en-GB"/>
        </w:rPr>
        <w:t>political dime</w:t>
      </w:r>
      <w:r w:rsidR="001F099D" w:rsidRPr="00FF34F0">
        <w:rPr>
          <w:rFonts w:ascii="Garamond" w:eastAsia="Times New Roman" w:hAnsi="Garamond" w:cs="Times New Roman"/>
          <w:lang w:val="en-GB"/>
        </w:rPr>
        <w:t>n</w:t>
      </w:r>
      <w:r w:rsidR="00106DF5" w:rsidRPr="00FF34F0">
        <w:rPr>
          <w:rFonts w:ascii="Garamond" w:eastAsia="Times New Roman" w:hAnsi="Garamond" w:cs="Times New Roman"/>
          <w:lang w:val="en-GB"/>
        </w:rPr>
        <w:t>s</w:t>
      </w:r>
      <w:r w:rsidR="001F099D" w:rsidRPr="00FF34F0">
        <w:rPr>
          <w:rFonts w:ascii="Garamond" w:eastAsia="Times New Roman" w:hAnsi="Garamond" w:cs="Times New Roman"/>
          <w:lang w:val="en-GB"/>
        </w:rPr>
        <w:t>ions</w:t>
      </w:r>
      <w:r w:rsidR="00106DF5" w:rsidRPr="00FF34F0">
        <w:rPr>
          <w:rFonts w:ascii="Garamond" w:eastAsia="Times New Roman" w:hAnsi="Garamond" w:cs="Times New Roman"/>
          <w:lang w:val="en-GB"/>
        </w:rPr>
        <w:t>.</w:t>
      </w:r>
      <w:r w:rsidR="001F099D" w:rsidRPr="00FF34F0">
        <w:rPr>
          <w:rFonts w:ascii="Garamond" w:eastAsia="Times New Roman" w:hAnsi="Garamond" w:cs="Times New Roman"/>
          <w:lang w:val="en-GB"/>
        </w:rPr>
        <w:t xml:space="preserve"> </w:t>
      </w:r>
      <w:r w:rsidR="00D46680" w:rsidRPr="00FF34F0">
        <w:rPr>
          <w:rFonts w:ascii="Garamond" w:eastAsia="Times New Roman" w:hAnsi="Garamond" w:cs="Times New Roman"/>
          <w:lang w:val="en-GB"/>
        </w:rPr>
        <w:t xml:space="preserve">Drawing on </w:t>
      </w:r>
      <w:proofErr w:type="spellStart"/>
      <w:r w:rsidR="00D46680" w:rsidRPr="00FF34F0">
        <w:rPr>
          <w:rFonts w:ascii="Garamond" w:eastAsia="Times New Roman" w:hAnsi="Garamond" w:cs="Times New Roman"/>
          <w:lang w:val="en-GB"/>
        </w:rPr>
        <w:t>Habermas</w:t>
      </w:r>
      <w:proofErr w:type="spellEnd"/>
      <w:r w:rsidR="00D46680" w:rsidRPr="00FF34F0">
        <w:rPr>
          <w:rFonts w:ascii="Garamond" w:eastAsia="Times New Roman" w:hAnsi="Garamond" w:cs="Times New Roman"/>
          <w:lang w:val="en-GB"/>
        </w:rPr>
        <w:t>,</w:t>
      </w:r>
      <w:r w:rsidR="00F6021C" w:rsidRPr="00FF34F0">
        <w:rPr>
          <w:rFonts w:ascii="Garamond" w:eastAsia="Times New Roman" w:hAnsi="Garamond" w:cs="Times New Roman"/>
          <w:lang w:val="en-GB"/>
        </w:rPr>
        <w:t xml:space="preserve"> </w:t>
      </w:r>
      <w:r w:rsidR="00156E33" w:rsidRPr="00FF34F0">
        <w:rPr>
          <w:rFonts w:ascii="Garamond" w:eastAsia="Times New Roman" w:hAnsi="Garamond" w:cs="Times New Roman"/>
          <w:lang w:val="en-GB"/>
        </w:rPr>
        <w:t>Jones analyses</w:t>
      </w:r>
      <w:r w:rsidR="00F05436" w:rsidRPr="00FF34F0">
        <w:rPr>
          <w:rFonts w:ascii="Garamond" w:hAnsi="Garamond" w:cs="Times New Roman"/>
          <w:lang w:val="en-GB"/>
        </w:rPr>
        <w:t xml:space="preserve"> the in</w:t>
      </w:r>
      <w:r w:rsidR="00037170" w:rsidRPr="00FF34F0">
        <w:rPr>
          <w:rFonts w:ascii="Garamond" w:hAnsi="Garamond" w:cs="Times New Roman"/>
          <w:lang w:val="en-GB"/>
        </w:rPr>
        <w:t>ter</w:t>
      </w:r>
      <w:r w:rsidR="00873167" w:rsidRPr="00FF34F0">
        <w:rPr>
          <w:rFonts w:ascii="Garamond" w:hAnsi="Garamond" w:cs="Times New Roman"/>
          <w:lang w:val="en-GB"/>
        </w:rPr>
        <w:t>action of powerful interests</w:t>
      </w:r>
      <w:r w:rsidR="001F099D" w:rsidRPr="00FF34F0">
        <w:rPr>
          <w:rFonts w:ascii="Garamond" w:hAnsi="Garamond" w:cs="Times New Roman"/>
          <w:lang w:val="en-GB"/>
        </w:rPr>
        <w:t xml:space="preserve">, </w:t>
      </w:r>
      <w:r w:rsidR="00106DF5" w:rsidRPr="00FF34F0">
        <w:rPr>
          <w:rFonts w:ascii="Garamond" w:hAnsi="Garamond" w:cs="Times New Roman"/>
          <w:lang w:val="en-GB"/>
        </w:rPr>
        <w:t>includ</w:t>
      </w:r>
      <w:r w:rsidR="001F099D" w:rsidRPr="00FF34F0">
        <w:rPr>
          <w:rFonts w:ascii="Garamond" w:hAnsi="Garamond" w:cs="Times New Roman"/>
          <w:lang w:val="en-GB"/>
        </w:rPr>
        <w:t>ing</w:t>
      </w:r>
      <w:r w:rsidR="00037170" w:rsidRPr="00FF34F0">
        <w:rPr>
          <w:rFonts w:ascii="Garamond" w:hAnsi="Garamond" w:cs="Times New Roman"/>
          <w:lang w:val="en-GB"/>
        </w:rPr>
        <w:t xml:space="preserve"> the different </w:t>
      </w:r>
      <w:proofErr w:type="spellStart"/>
      <w:r w:rsidR="00037170" w:rsidRPr="00FF34F0">
        <w:rPr>
          <w:rFonts w:ascii="Garamond" w:hAnsi="Garamond" w:cs="Times New Roman"/>
          <w:lang w:val="en-GB"/>
        </w:rPr>
        <w:t>renal</w:t>
      </w:r>
      <w:proofErr w:type="spellEnd"/>
      <w:r w:rsidR="00037170" w:rsidRPr="00FF34F0">
        <w:rPr>
          <w:rFonts w:ascii="Garamond" w:hAnsi="Garamond" w:cs="Times New Roman"/>
          <w:lang w:val="en-GB"/>
        </w:rPr>
        <w:t xml:space="preserve"> units, each vying to be designated a specialist centre</w:t>
      </w:r>
      <w:r w:rsidR="00CC2816" w:rsidRPr="00FF34F0">
        <w:rPr>
          <w:rFonts w:ascii="Garamond" w:hAnsi="Garamond" w:cs="Times New Roman"/>
          <w:lang w:val="en-GB"/>
        </w:rPr>
        <w:t xml:space="preserve">. </w:t>
      </w:r>
      <w:r w:rsidR="00037170" w:rsidRPr="00FF34F0">
        <w:rPr>
          <w:rFonts w:ascii="Garamond" w:hAnsi="Garamond" w:cs="Times New Roman"/>
          <w:lang w:val="en-GB"/>
        </w:rPr>
        <w:t xml:space="preserve">He describes </w:t>
      </w:r>
      <w:r w:rsidR="00ED3611" w:rsidRPr="00FF34F0">
        <w:rPr>
          <w:rFonts w:ascii="Garamond" w:hAnsi="Garamond" w:cs="Times New Roman"/>
          <w:lang w:val="en-GB"/>
        </w:rPr>
        <w:t>the way a</w:t>
      </w:r>
      <w:r w:rsidR="00106DF5" w:rsidRPr="00FF34F0">
        <w:rPr>
          <w:rFonts w:ascii="Garamond" w:hAnsi="Garamond" w:cs="Times New Roman"/>
          <w:lang w:val="en-GB"/>
        </w:rPr>
        <w:t xml:space="preserve"> </w:t>
      </w:r>
      <w:r w:rsidR="001119DA" w:rsidRPr="00FF34F0">
        <w:rPr>
          <w:rFonts w:ascii="Garamond" w:hAnsi="Garamond" w:cs="Times New Roman"/>
          <w:lang w:val="en-GB"/>
        </w:rPr>
        <w:t xml:space="preserve">review group, </w:t>
      </w:r>
      <w:r w:rsidR="00CD7E9E" w:rsidRPr="00FF34F0">
        <w:rPr>
          <w:rFonts w:ascii="Garamond" w:hAnsi="Garamond" w:cs="Times New Roman"/>
          <w:lang w:val="en-GB"/>
        </w:rPr>
        <w:t xml:space="preserve">(comprising </w:t>
      </w:r>
      <w:r w:rsidR="00DA2B09" w:rsidRPr="00FF34F0">
        <w:rPr>
          <w:rFonts w:ascii="Garamond" w:hAnsi="Garamond" w:cs="Times New Roman"/>
          <w:lang w:val="en-GB"/>
        </w:rPr>
        <w:t>specialist clinicians, managers</w:t>
      </w:r>
      <w:r w:rsidR="00F904CD" w:rsidRPr="00FF34F0">
        <w:rPr>
          <w:rFonts w:ascii="Garamond" w:hAnsi="Garamond" w:cs="Times New Roman"/>
          <w:lang w:val="en-GB"/>
        </w:rPr>
        <w:t>,</w:t>
      </w:r>
      <w:r w:rsidR="00DA2B09" w:rsidRPr="00FF34F0">
        <w:rPr>
          <w:rFonts w:ascii="Garamond" w:hAnsi="Garamond" w:cs="Times New Roman"/>
          <w:lang w:val="en-GB"/>
        </w:rPr>
        <w:t xml:space="preserve"> and a patient representative)</w:t>
      </w:r>
      <w:r w:rsidR="001119DA" w:rsidRPr="00FF34F0">
        <w:rPr>
          <w:rFonts w:ascii="Garamond" w:hAnsi="Garamond" w:cs="Times New Roman"/>
          <w:lang w:val="en-GB"/>
        </w:rPr>
        <w:t xml:space="preserve"> promoted </w:t>
      </w:r>
      <w:r w:rsidR="00B512EE" w:rsidRPr="00FF34F0">
        <w:rPr>
          <w:rFonts w:ascii="Garamond" w:hAnsi="Garamond" w:cs="Times New Roman"/>
          <w:lang w:val="en-GB"/>
        </w:rPr>
        <w:t xml:space="preserve">a particular solution </w:t>
      </w:r>
      <w:r w:rsidR="006C7C10" w:rsidRPr="00FF34F0">
        <w:rPr>
          <w:rFonts w:ascii="Garamond" w:hAnsi="Garamond" w:cs="Times New Roman"/>
          <w:lang w:val="en-GB"/>
        </w:rPr>
        <w:t>(</w:t>
      </w:r>
      <w:r w:rsidR="00F6021C" w:rsidRPr="00FF34F0">
        <w:rPr>
          <w:rFonts w:ascii="Garamond" w:hAnsi="Garamond" w:cs="Times New Roman"/>
          <w:lang w:val="en-GB"/>
        </w:rPr>
        <w:t>centralisation</w:t>
      </w:r>
      <w:r w:rsidR="006C7C10" w:rsidRPr="00FF34F0">
        <w:rPr>
          <w:rFonts w:ascii="Garamond" w:hAnsi="Garamond" w:cs="Times New Roman"/>
          <w:lang w:val="en-GB"/>
        </w:rPr>
        <w:t>)</w:t>
      </w:r>
      <w:r w:rsidR="006B0CE6" w:rsidRPr="00FF34F0">
        <w:rPr>
          <w:rFonts w:ascii="Garamond" w:hAnsi="Garamond" w:cs="Times New Roman"/>
          <w:lang w:val="en-GB"/>
        </w:rPr>
        <w:t xml:space="preserve">. He goes on to describe a review process </w:t>
      </w:r>
      <w:r w:rsidR="006C7C10" w:rsidRPr="00FF34F0">
        <w:rPr>
          <w:rFonts w:ascii="Garamond" w:hAnsi="Garamond" w:cs="Times New Roman"/>
          <w:lang w:val="en-GB"/>
        </w:rPr>
        <w:t>consist</w:t>
      </w:r>
      <w:r w:rsidR="00E046AA" w:rsidRPr="00FF34F0">
        <w:rPr>
          <w:rFonts w:ascii="Garamond" w:hAnsi="Garamond" w:cs="Times New Roman"/>
          <w:lang w:val="en-GB"/>
        </w:rPr>
        <w:t xml:space="preserve">ing </w:t>
      </w:r>
      <w:r w:rsidR="006C7C10" w:rsidRPr="00FF34F0">
        <w:rPr>
          <w:rFonts w:ascii="Garamond" w:hAnsi="Garamond" w:cs="Times New Roman"/>
          <w:lang w:val="en-GB"/>
        </w:rPr>
        <w:t>of</w:t>
      </w:r>
      <w:r w:rsidR="00B512EE" w:rsidRPr="00FF34F0">
        <w:rPr>
          <w:rFonts w:ascii="Garamond" w:hAnsi="Garamond" w:cs="Times New Roman"/>
          <w:lang w:val="en-GB"/>
        </w:rPr>
        <w:t xml:space="preserve"> </w:t>
      </w:r>
      <w:r w:rsidR="00035E4D" w:rsidRPr="00FF34F0">
        <w:rPr>
          <w:rFonts w:ascii="Garamond" w:hAnsi="Garamond" w:cs="Times New Roman"/>
          <w:lang w:val="en-GB"/>
        </w:rPr>
        <w:t xml:space="preserve">a series </w:t>
      </w:r>
      <w:r w:rsidR="006C7C10" w:rsidRPr="00FF34F0">
        <w:rPr>
          <w:rFonts w:ascii="Garamond" w:hAnsi="Garamond" w:cs="Times New Roman"/>
          <w:lang w:val="en-GB"/>
        </w:rPr>
        <w:t>of meetings that were</w:t>
      </w:r>
      <w:r w:rsidR="005B1064" w:rsidRPr="00FF34F0">
        <w:rPr>
          <w:rFonts w:ascii="Garamond" w:hAnsi="Garamond" w:cs="Times New Roman"/>
          <w:lang w:val="en-GB"/>
        </w:rPr>
        <w:t xml:space="preserve"> ‘</w:t>
      </w:r>
      <w:r w:rsidR="00035E4D" w:rsidRPr="00FF34F0">
        <w:rPr>
          <w:rFonts w:ascii="Garamond" w:hAnsi="Garamond" w:cs="Times New Roman"/>
          <w:lang w:val="en-GB"/>
        </w:rPr>
        <w:t>less a means of arriving at</w:t>
      </w:r>
      <w:r w:rsidR="00696465" w:rsidRPr="00FF34F0">
        <w:rPr>
          <w:rFonts w:ascii="Garamond" w:hAnsi="Garamond" w:cs="Times New Roman"/>
          <w:lang w:val="en-GB"/>
        </w:rPr>
        <w:t xml:space="preserve"> a set of health</w:t>
      </w:r>
      <w:r w:rsidR="00035E4D" w:rsidRPr="00FF34F0">
        <w:rPr>
          <w:rFonts w:ascii="Garamond" w:hAnsi="Garamond" w:cs="Times New Roman"/>
          <w:lang w:val="en-GB"/>
        </w:rPr>
        <w:t>care decisions</w:t>
      </w:r>
      <w:r w:rsidR="00894AFF" w:rsidRPr="00FF34F0">
        <w:rPr>
          <w:rFonts w:ascii="Garamond" w:hAnsi="Garamond" w:cs="Times New Roman"/>
          <w:lang w:val="en-GB"/>
        </w:rPr>
        <w:t xml:space="preserve"> </w:t>
      </w:r>
      <w:r w:rsidR="00035E4D" w:rsidRPr="00FF34F0">
        <w:rPr>
          <w:rFonts w:ascii="Garamond" w:hAnsi="Garamond" w:cs="Times New Roman"/>
          <w:lang w:val="en-GB"/>
        </w:rPr>
        <w:t>and more a means of legitimising decis</w:t>
      </w:r>
      <w:r w:rsidR="00471F0B" w:rsidRPr="00FF34F0">
        <w:rPr>
          <w:rFonts w:ascii="Garamond" w:hAnsi="Garamond" w:cs="Times New Roman"/>
          <w:lang w:val="en-GB"/>
        </w:rPr>
        <w:t>ions that had, more or less, al</w:t>
      </w:r>
      <w:r w:rsidR="00035E4D" w:rsidRPr="00FF34F0">
        <w:rPr>
          <w:rFonts w:ascii="Garamond" w:hAnsi="Garamond" w:cs="Times New Roman"/>
          <w:lang w:val="en-GB"/>
        </w:rPr>
        <w:t>ready been taken</w:t>
      </w:r>
      <w:r w:rsidR="005B1064" w:rsidRPr="00FF34F0">
        <w:rPr>
          <w:rFonts w:ascii="Garamond" w:hAnsi="Garamond" w:cs="Times New Roman"/>
          <w:lang w:val="en-GB"/>
        </w:rPr>
        <w:t>’</w:t>
      </w:r>
      <w:r w:rsidR="00F904CD" w:rsidRPr="00FF34F0">
        <w:rPr>
          <w:rFonts w:ascii="Garamond" w:hAnsi="Garamond" w:cs="Times New Roman"/>
          <w:lang w:val="en-GB"/>
        </w:rPr>
        <w:t xml:space="preserve"> (1999, p94):</w:t>
      </w:r>
      <w:r w:rsidR="00035E4D" w:rsidRPr="00FF34F0">
        <w:rPr>
          <w:rFonts w:ascii="Garamond" w:hAnsi="Garamond" w:cs="Times New Roman"/>
          <w:lang w:val="en-GB"/>
        </w:rPr>
        <w:t xml:space="preserve"> </w:t>
      </w:r>
    </w:p>
    <w:p w14:paraId="052B3C71" w14:textId="77777777" w:rsidR="005B1064" w:rsidRPr="00FF34F0" w:rsidRDefault="005B1064" w:rsidP="006C51C5">
      <w:pPr>
        <w:rPr>
          <w:rFonts w:ascii="Garamond" w:hAnsi="Garamond" w:cs="Times New Roman"/>
          <w:lang w:val="en-GB"/>
        </w:rPr>
      </w:pPr>
    </w:p>
    <w:p w14:paraId="2EFD992F" w14:textId="1209A517" w:rsidR="003E22C3" w:rsidRPr="00FF34F0" w:rsidRDefault="00696465" w:rsidP="006C51C5">
      <w:pPr>
        <w:ind w:left="720"/>
        <w:rPr>
          <w:rFonts w:ascii="Garamond" w:eastAsia="Times New Roman" w:hAnsi="Garamond" w:cs="Times New Roman"/>
          <w:lang w:val="en-GB"/>
        </w:rPr>
      </w:pPr>
      <w:r w:rsidRPr="00FF34F0">
        <w:rPr>
          <w:rFonts w:ascii="Garamond" w:hAnsi="Garamond" w:cs="Times New Roman"/>
          <w:lang w:val="en-GB"/>
        </w:rPr>
        <w:t xml:space="preserve">The outcome </w:t>
      </w:r>
      <w:r w:rsidR="006B0CE6" w:rsidRPr="00FF34F0">
        <w:rPr>
          <w:rFonts w:ascii="Garamond" w:hAnsi="Garamond" w:cs="Times New Roman"/>
          <w:lang w:val="en-GB"/>
        </w:rPr>
        <w:t xml:space="preserve">of the planning process </w:t>
      </w:r>
      <w:r w:rsidRPr="00FF34F0">
        <w:rPr>
          <w:rFonts w:ascii="Garamond" w:hAnsi="Garamond" w:cs="Times New Roman"/>
          <w:lang w:val="en-GB"/>
        </w:rPr>
        <w:t xml:space="preserve">favoured </w:t>
      </w:r>
      <w:r w:rsidR="006B0CE6" w:rsidRPr="00FF34F0">
        <w:rPr>
          <w:rFonts w:ascii="Garamond" w:hAnsi="Garamond" w:cs="Times New Roman"/>
          <w:lang w:val="en-GB"/>
        </w:rPr>
        <w:t xml:space="preserve">the </w:t>
      </w:r>
      <w:r w:rsidRPr="00FF34F0">
        <w:rPr>
          <w:rFonts w:ascii="Garamond" w:hAnsi="Garamond" w:cs="Times New Roman"/>
          <w:lang w:val="en-GB"/>
        </w:rPr>
        <w:t>more powerful</w:t>
      </w:r>
      <w:r w:rsidR="006C7C10" w:rsidRPr="00FF34F0">
        <w:rPr>
          <w:rFonts w:ascii="Garamond" w:hAnsi="Garamond" w:cs="Times New Roman"/>
          <w:lang w:val="en-GB"/>
        </w:rPr>
        <w:t xml:space="preserve"> groups</w:t>
      </w:r>
      <w:r w:rsidR="00DF1970" w:rsidRPr="00FF34F0">
        <w:rPr>
          <w:rFonts w:ascii="Garamond" w:hAnsi="Garamond" w:cs="Times New Roman"/>
          <w:lang w:val="en-GB"/>
        </w:rPr>
        <w:t>. F</w:t>
      </w:r>
      <w:r w:rsidR="006C7C10" w:rsidRPr="00FF34F0">
        <w:rPr>
          <w:rFonts w:ascii="Garamond" w:hAnsi="Garamond" w:cs="Times New Roman"/>
          <w:lang w:val="en-GB"/>
        </w:rPr>
        <w:t xml:space="preserve">or example, precedence was given to academic standing over patient access. </w:t>
      </w:r>
      <w:r w:rsidR="00AB44FC" w:rsidRPr="00FF34F0">
        <w:rPr>
          <w:rFonts w:ascii="Garamond" w:hAnsi="Garamond" w:cs="Times New Roman"/>
          <w:lang w:val="en-GB"/>
        </w:rPr>
        <w:t>Both doctors and manage</w:t>
      </w:r>
      <w:r w:rsidR="006C7C10" w:rsidRPr="00FF34F0">
        <w:rPr>
          <w:rFonts w:ascii="Garamond" w:hAnsi="Garamond" w:cs="Times New Roman"/>
          <w:lang w:val="en-GB"/>
        </w:rPr>
        <w:t>rs engaged in strategic action</w:t>
      </w:r>
      <w:r w:rsidR="008F241C" w:rsidRPr="00FF34F0">
        <w:rPr>
          <w:rFonts w:ascii="Garamond" w:hAnsi="Garamond" w:cs="Times New Roman"/>
          <w:lang w:val="en-GB"/>
        </w:rPr>
        <w:t xml:space="preserve">, </w:t>
      </w:r>
      <w:r w:rsidR="006C7C10" w:rsidRPr="00FF34F0">
        <w:rPr>
          <w:rFonts w:ascii="Garamond" w:hAnsi="Garamond" w:cs="Times New Roman"/>
          <w:lang w:val="en-GB"/>
        </w:rPr>
        <w:t>includ</w:t>
      </w:r>
      <w:r w:rsidR="008F241C" w:rsidRPr="00FF34F0">
        <w:rPr>
          <w:rFonts w:ascii="Garamond" w:hAnsi="Garamond" w:cs="Times New Roman"/>
          <w:lang w:val="en-GB"/>
        </w:rPr>
        <w:t xml:space="preserve">ing </w:t>
      </w:r>
      <w:r w:rsidR="006C7C10" w:rsidRPr="00FF34F0">
        <w:rPr>
          <w:rFonts w:ascii="Garamond" w:hAnsi="Garamond" w:cs="Times New Roman"/>
          <w:lang w:val="en-GB"/>
        </w:rPr>
        <w:t xml:space="preserve">the mobilisation of particular and restricted understandings of </w:t>
      </w:r>
      <w:r w:rsidR="00222C9F" w:rsidRPr="00FF34F0">
        <w:rPr>
          <w:rFonts w:ascii="Garamond" w:hAnsi="Garamond" w:cs="Times New Roman"/>
          <w:lang w:val="en-GB"/>
        </w:rPr>
        <w:t xml:space="preserve">‘need’. </w:t>
      </w:r>
      <w:r w:rsidR="006C7C10" w:rsidRPr="00FF34F0">
        <w:rPr>
          <w:rFonts w:ascii="Garamond" w:hAnsi="Garamond" w:cs="Times New Roman"/>
          <w:lang w:val="en-GB"/>
        </w:rPr>
        <w:t>For example, doctors were able to use evidence of ‘unmet need’ to argue for more resources</w:t>
      </w:r>
      <w:r w:rsidR="008F241C" w:rsidRPr="00FF34F0">
        <w:rPr>
          <w:rFonts w:ascii="Garamond" w:hAnsi="Garamond" w:cs="Times New Roman"/>
          <w:lang w:val="en-GB"/>
        </w:rPr>
        <w:t xml:space="preserve"> </w:t>
      </w:r>
      <w:r w:rsidR="006C7C10" w:rsidRPr="00FF34F0">
        <w:rPr>
          <w:rFonts w:ascii="Garamond" w:hAnsi="Garamond" w:cs="Times New Roman"/>
          <w:lang w:val="en-GB"/>
        </w:rPr>
        <w:t xml:space="preserve">and justify decisions that protected vested interests. </w:t>
      </w:r>
    </w:p>
    <w:p w14:paraId="3584F45C" w14:textId="77777777" w:rsidR="006C7C10" w:rsidRPr="00FF34F0" w:rsidRDefault="006C7C10" w:rsidP="006C51C5">
      <w:pPr>
        <w:rPr>
          <w:rFonts w:ascii="Garamond" w:hAnsi="Garamond" w:cs="Times New Roman"/>
          <w:lang w:val="en-GB"/>
        </w:rPr>
      </w:pPr>
    </w:p>
    <w:p w14:paraId="7499D12D" w14:textId="29BABBE6" w:rsidR="00471F0B" w:rsidRPr="00FF34F0" w:rsidRDefault="00D21BEA" w:rsidP="006C51C5">
      <w:pPr>
        <w:rPr>
          <w:rFonts w:ascii="Garamond" w:hAnsi="Garamond" w:cs="Times New Roman"/>
          <w:lang w:val="en-GB"/>
        </w:rPr>
      </w:pPr>
      <w:r w:rsidRPr="00FF34F0">
        <w:rPr>
          <w:rFonts w:ascii="Garamond" w:hAnsi="Garamond" w:cs="Times New Roman"/>
          <w:lang w:val="en-GB"/>
        </w:rPr>
        <w:t>Jones provides a rich</w:t>
      </w:r>
      <w:r w:rsidR="00F6021C" w:rsidRPr="00FF34F0">
        <w:rPr>
          <w:rFonts w:ascii="Garamond" w:hAnsi="Garamond" w:cs="Times New Roman"/>
          <w:lang w:val="en-GB"/>
        </w:rPr>
        <w:t>,</w:t>
      </w:r>
      <w:r w:rsidRPr="00FF34F0">
        <w:rPr>
          <w:rFonts w:ascii="Garamond" w:hAnsi="Garamond" w:cs="Times New Roman"/>
          <w:lang w:val="en-GB"/>
        </w:rPr>
        <w:t xml:space="preserve"> detailed</w:t>
      </w:r>
      <w:r w:rsidR="00F6021C" w:rsidRPr="00FF34F0">
        <w:rPr>
          <w:rFonts w:ascii="Garamond" w:hAnsi="Garamond" w:cs="Times New Roman"/>
          <w:lang w:val="en-GB"/>
        </w:rPr>
        <w:t>, ethnographic</w:t>
      </w:r>
      <w:r w:rsidRPr="00FF34F0">
        <w:rPr>
          <w:rFonts w:ascii="Garamond" w:hAnsi="Garamond" w:cs="Times New Roman"/>
          <w:lang w:val="en-GB"/>
        </w:rPr>
        <w:t xml:space="preserve"> account</w:t>
      </w:r>
      <w:r w:rsidR="00696465" w:rsidRPr="00FF34F0">
        <w:rPr>
          <w:rFonts w:ascii="Garamond" w:hAnsi="Garamond" w:cs="Times New Roman"/>
          <w:lang w:val="en-GB"/>
        </w:rPr>
        <w:t>,</w:t>
      </w:r>
      <w:r w:rsidR="00471F0B" w:rsidRPr="00FF34F0">
        <w:rPr>
          <w:rFonts w:ascii="Garamond" w:hAnsi="Garamond" w:cs="Times New Roman"/>
          <w:lang w:val="en-GB"/>
        </w:rPr>
        <w:t xml:space="preserve"> capturing</w:t>
      </w:r>
      <w:r w:rsidR="008C31DE" w:rsidRPr="00FF34F0">
        <w:rPr>
          <w:rFonts w:ascii="Garamond" w:hAnsi="Garamond" w:cs="Times New Roman"/>
          <w:lang w:val="en-GB"/>
        </w:rPr>
        <w:t>, at one point,</w:t>
      </w:r>
      <w:r w:rsidR="00696465" w:rsidRPr="00FF34F0">
        <w:rPr>
          <w:rFonts w:ascii="Garamond" w:hAnsi="Garamond" w:cs="Times New Roman"/>
          <w:lang w:val="en-GB"/>
        </w:rPr>
        <w:t xml:space="preserve"> a </w:t>
      </w:r>
      <w:r w:rsidR="008E2C58" w:rsidRPr="00FF34F0">
        <w:rPr>
          <w:rFonts w:ascii="Garamond" w:hAnsi="Garamond" w:cs="Times New Roman"/>
          <w:lang w:val="en-GB"/>
        </w:rPr>
        <w:t xml:space="preserve">near </w:t>
      </w:r>
      <w:r w:rsidR="00696465" w:rsidRPr="00FF34F0">
        <w:rPr>
          <w:rFonts w:ascii="Garamond" w:hAnsi="Garamond" w:cs="Times New Roman"/>
          <w:lang w:val="en-GB"/>
        </w:rPr>
        <w:t xml:space="preserve">farcical </w:t>
      </w:r>
      <w:r w:rsidR="00471F0B" w:rsidRPr="00FF34F0">
        <w:rPr>
          <w:rFonts w:ascii="Garamond" w:hAnsi="Garamond" w:cs="Times New Roman"/>
          <w:lang w:val="en-GB"/>
        </w:rPr>
        <w:t>respon</w:t>
      </w:r>
      <w:r w:rsidR="00696465" w:rsidRPr="00FF34F0">
        <w:rPr>
          <w:rFonts w:ascii="Garamond" w:hAnsi="Garamond" w:cs="Times New Roman"/>
          <w:lang w:val="en-GB"/>
        </w:rPr>
        <w:t xml:space="preserve">se </w:t>
      </w:r>
      <w:r w:rsidR="00471F0B" w:rsidRPr="00FF34F0">
        <w:rPr>
          <w:rFonts w:ascii="Garamond" w:hAnsi="Garamond" w:cs="Times New Roman"/>
          <w:lang w:val="en-GB"/>
        </w:rPr>
        <w:t>to the politic</w:t>
      </w:r>
      <w:r w:rsidR="00696465" w:rsidRPr="00FF34F0">
        <w:rPr>
          <w:rFonts w:ascii="Garamond" w:hAnsi="Garamond" w:cs="Times New Roman"/>
          <w:lang w:val="en-GB"/>
        </w:rPr>
        <w:t xml:space="preserve">s </w:t>
      </w:r>
      <w:r w:rsidR="00471F0B" w:rsidRPr="00FF34F0">
        <w:rPr>
          <w:rFonts w:ascii="Garamond" w:hAnsi="Garamond" w:cs="Times New Roman"/>
          <w:lang w:val="en-GB"/>
        </w:rPr>
        <w:t>of hea</w:t>
      </w:r>
      <w:r w:rsidR="00222C9F" w:rsidRPr="00FF34F0">
        <w:rPr>
          <w:rFonts w:ascii="Garamond" w:hAnsi="Garamond" w:cs="Times New Roman"/>
          <w:lang w:val="en-GB"/>
        </w:rPr>
        <w:t>lth</w:t>
      </w:r>
      <w:r w:rsidR="00232B86" w:rsidRPr="00FF34F0">
        <w:rPr>
          <w:rFonts w:ascii="Garamond" w:hAnsi="Garamond" w:cs="Times New Roman"/>
          <w:lang w:val="en-GB"/>
        </w:rPr>
        <w:t xml:space="preserve">care change through an extended consideration of nomenclature: </w:t>
      </w:r>
    </w:p>
    <w:p w14:paraId="69EA7986" w14:textId="77777777" w:rsidR="00471F0B" w:rsidRPr="00FF34F0" w:rsidRDefault="00471F0B" w:rsidP="006C51C5">
      <w:pPr>
        <w:ind w:left="284" w:right="284"/>
        <w:rPr>
          <w:rFonts w:ascii="Garamond" w:hAnsi="Garamond" w:cs="Times New Roman"/>
          <w:lang w:val="en-GB"/>
        </w:rPr>
      </w:pPr>
    </w:p>
    <w:p w14:paraId="39ADD4A1" w14:textId="361134C4" w:rsidR="00C70E31" w:rsidRPr="00FF34F0" w:rsidRDefault="00471F0B" w:rsidP="006C51C5">
      <w:pPr>
        <w:ind w:left="284" w:right="284"/>
        <w:rPr>
          <w:rFonts w:ascii="Garamond" w:hAnsi="Garamond" w:cs="Times New Roman"/>
          <w:lang w:val="en-GB"/>
        </w:rPr>
      </w:pPr>
      <w:r w:rsidRPr="00FF34F0">
        <w:rPr>
          <w:rFonts w:ascii="Garamond" w:hAnsi="Garamond" w:cs="Times New Roman"/>
          <w:lang w:val="en-GB"/>
        </w:rPr>
        <w:t>The definitional problems seem to centre on the need to distinguish between units in a hierarchical sense, without introducing terms that could be construed as demeaning to a unit. Terms such as ‘secondary’, ‘subsidiary’ and ‘lesser’ were introduced but were clearly unacceptable</w:t>
      </w:r>
      <w:r w:rsidR="006B0CE6" w:rsidRPr="00FF34F0">
        <w:rPr>
          <w:rFonts w:ascii="Garamond" w:hAnsi="Garamond" w:cs="Times New Roman"/>
          <w:lang w:val="en-GB"/>
        </w:rPr>
        <w:t>. (1999, p96)</w:t>
      </w:r>
      <w:r w:rsidR="008F241C" w:rsidRPr="00FF34F0">
        <w:rPr>
          <w:rFonts w:ascii="Garamond" w:hAnsi="Garamond" w:cs="Times New Roman"/>
          <w:lang w:val="en-GB"/>
        </w:rPr>
        <w:t xml:space="preserve"> </w:t>
      </w:r>
    </w:p>
    <w:p w14:paraId="7D7A6F4B" w14:textId="77777777" w:rsidR="008D2CBF" w:rsidRPr="00FF34F0" w:rsidRDefault="008D2CBF" w:rsidP="006C51C5">
      <w:pPr>
        <w:ind w:right="720"/>
        <w:rPr>
          <w:rFonts w:ascii="Garamond" w:hAnsi="Garamond" w:cs="Times New Roman"/>
          <w:lang w:val="en-GB"/>
        </w:rPr>
      </w:pPr>
    </w:p>
    <w:p w14:paraId="5F54518B" w14:textId="69CD1209" w:rsidR="00C70E31" w:rsidRPr="00FF34F0" w:rsidRDefault="00ED3611" w:rsidP="006C51C5">
      <w:pPr>
        <w:ind w:right="720"/>
        <w:rPr>
          <w:rFonts w:ascii="Garamond" w:hAnsi="Garamond" w:cs="Times New Roman"/>
          <w:lang w:val="en-GB"/>
        </w:rPr>
      </w:pPr>
      <w:r w:rsidRPr="00FF34F0">
        <w:rPr>
          <w:rFonts w:ascii="Garamond" w:hAnsi="Garamond" w:cs="Times New Roman"/>
          <w:lang w:val="en-GB"/>
        </w:rPr>
        <w:t>Jones shows how management is accomplished through rhetoric</w:t>
      </w:r>
      <w:r w:rsidR="00DF1970" w:rsidRPr="00FF34F0">
        <w:rPr>
          <w:rFonts w:ascii="Garamond" w:hAnsi="Garamond" w:cs="Times New Roman"/>
          <w:lang w:val="en-GB"/>
        </w:rPr>
        <w:t xml:space="preserve"> (Hughes 1996</w:t>
      </w:r>
      <w:r w:rsidRPr="00FF34F0">
        <w:rPr>
          <w:rFonts w:ascii="Garamond" w:hAnsi="Garamond" w:cs="Times New Roman"/>
          <w:lang w:val="en-GB"/>
        </w:rPr>
        <w:t xml:space="preserve">), including the rhetoric of rational planning. Importantly, he shows how </w:t>
      </w:r>
      <w:r w:rsidR="00621E8C" w:rsidRPr="00FF34F0">
        <w:rPr>
          <w:rFonts w:ascii="Garamond" w:hAnsi="Garamond" w:cs="Times New Roman"/>
          <w:lang w:val="en-GB"/>
        </w:rPr>
        <w:t>health services research plays</w:t>
      </w:r>
      <w:r w:rsidR="001F099D" w:rsidRPr="00FF34F0">
        <w:rPr>
          <w:rFonts w:ascii="Garamond" w:hAnsi="Garamond" w:cs="Times New Roman"/>
          <w:lang w:val="en-GB"/>
        </w:rPr>
        <w:t xml:space="preserve"> an important role in </w:t>
      </w:r>
      <w:r w:rsidR="006B0CE6" w:rsidRPr="00FF34F0">
        <w:rPr>
          <w:rFonts w:ascii="Garamond" w:hAnsi="Garamond" w:cs="Times New Roman"/>
          <w:lang w:val="en-GB"/>
        </w:rPr>
        <w:t xml:space="preserve">strategic </w:t>
      </w:r>
      <w:r w:rsidR="001F099D" w:rsidRPr="00FF34F0">
        <w:rPr>
          <w:rFonts w:ascii="Garamond" w:hAnsi="Garamond" w:cs="Times New Roman"/>
          <w:lang w:val="en-GB"/>
        </w:rPr>
        <w:t>‘</w:t>
      </w:r>
      <w:proofErr w:type="spellStart"/>
      <w:r w:rsidR="00B749D9" w:rsidRPr="00FF34F0">
        <w:rPr>
          <w:rFonts w:ascii="Garamond" w:hAnsi="Garamond" w:cs="Times New Roman"/>
          <w:lang w:val="en-GB"/>
        </w:rPr>
        <w:t>depoliticisation</w:t>
      </w:r>
      <w:proofErr w:type="spellEnd"/>
      <w:r w:rsidR="001F099D" w:rsidRPr="00FF34F0">
        <w:rPr>
          <w:rFonts w:ascii="Garamond" w:hAnsi="Garamond" w:cs="Times New Roman"/>
          <w:lang w:val="en-GB"/>
        </w:rPr>
        <w:t>’</w:t>
      </w:r>
      <w:r w:rsidR="00F8492B" w:rsidRPr="00FF34F0">
        <w:rPr>
          <w:rFonts w:ascii="Garamond" w:hAnsi="Garamond" w:cs="Times New Roman"/>
          <w:lang w:val="en-GB"/>
        </w:rPr>
        <w:t>:</w:t>
      </w:r>
    </w:p>
    <w:p w14:paraId="00526B16" w14:textId="77777777" w:rsidR="00C70E31" w:rsidRPr="00FF34F0" w:rsidRDefault="00C70E31" w:rsidP="006C51C5">
      <w:pPr>
        <w:ind w:right="-720"/>
        <w:rPr>
          <w:rFonts w:ascii="Garamond" w:hAnsi="Garamond" w:cs="Times New Roman"/>
          <w:lang w:val="en-GB"/>
        </w:rPr>
      </w:pPr>
    </w:p>
    <w:p w14:paraId="55F13992" w14:textId="247AFE95" w:rsidR="00B8171C" w:rsidRPr="00FF34F0" w:rsidRDefault="00C70E31" w:rsidP="006C51C5">
      <w:pPr>
        <w:ind w:left="284" w:right="284"/>
        <w:rPr>
          <w:rFonts w:ascii="Garamond" w:hAnsi="Garamond" w:cs="Times New Roman"/>
          <w:lang w:val="en-GB"/>
        </w:rPr>
      </w:pPr>
      <w:r w:rsidRPr="00FF34F0">
        <w:rPr>
          <w:rFonts w:ascii="Garamond" w:hAnsi="Garamond" w:cs="Times New Roman"/>
          <w:lang w:val="en-GB"/>
        </w:rPr>
        <w:t>H</w:t>
      </w:r>
      <w:r w:rsidR="006B6B21" w:rsidRPr="00FF34F0">
        <w:rPr>
          <w:rFonts w:ascii="Garamond" w:hAnsi="Garamond" w:cs="Times New Roman"/>
          <w:lang w:val="en-GB"/>
        </w:rPr>
        <w:t>ard political choices are transformed into technical solutions through focusing on mechanistic rational forms of health service research, thus imposing a rational scientific framework on what in reality</w:t>
      </w:r>
      <w:r w:rsidR="00330AB9" w:rsidRPr="00FF34F0">
        <w:rPr>
          <w:rFonts w:ascii="Garamond" w:hAnsi="Garamond" w:cs="Times New Roman"/>
          <w:lang w:val="en-GB"/>
        </w:rPr>
        <w:t xml:space="preserve"> is</w:t>
      </w:r>
      <w:r w:rsidR="006B6B21" w:rsidRPr="00FF34F0">
        <w:rPr>
          <w:rFonts w:ascii="Garamond" w:hAnsi="Garamond" w:cs="Times New Roman"/>
          <w:lang w:val="en-GB"/>
        </w:rPr>
        <w:t xml:space="preserve"> more complex, contested and ambivalent</w:t>
      </w:r>
      <w:r w:rsidRPr="00FF34F0">
        <w:rPr>
          <w:rFonts w:ascii="Garamond" w:hAnsi="Garamond" w:cs="Times New Roman"/>
          <w:lang w:val="en-GB"/>
        </w:rPr>
        <w:t>.</w:t>
      </w:r>
      <w:r w:rsidR="00330AB9" w:rsidRPr="00FF34F0">
        <w:rPr>
          <w:rFonts w:ascii="Garamond" w:hAnsi="Garamond" w:cs="Times New Roman"/>
          <w:lang w:val="en-GB"/>
        </w:rPr>
        <w:t xml:space="preserve"> (</w:t>
      </w:r>
      <w:r w:rsidR="00B07F1F" w:rsidRPr="00FF34F0">
        <w:rPr>
          <w:rFonts w:ascii="Garamond" w:hAnsi="Garamond" w:cs="Times New Roman"/>
          <w:lang w:val="en-GB"/>
        </w:rPr>
        <w:t xml:space="preserve">Jones </w:t>
      </w:r>
      <w:r w:rsidR="00B749D9" w:rsidRPr="00FF34F0">
        <w:rPr>
          <w:rFonts w:ascii="Garamond" w:hAnsi="Garamond" w:cs="Times New Roman"/>
          <w:lang w:val="en-GB"/>
        </w:rPr>
        <w:t>1999, p130)</w:t>
      </w:r>
    </w:p>
    <w:p w14:paraId="737AEE19" w14:textId="77777777" w:rsidR="00CB6AAB" w:rsidRPr="00FF34F0" w:rsidRDefault="00CB6AAB" w:rsidP="006C51C5">
      <w:pPr>
        <w:rPr>
          <w:rFonts w:ascii="Garamond" w:hAnsi="Garamond" w:cs="Times New Roman"/>
          <w:lang w:val="en-GB"/>
        </w:rPr>
      </w:pPr>
    </w:p>
    <w:p w14:paraId="1A64C334" w14:textId="22523A68" w:rsidR="00DE73F5" w:rsidRPr="00FF34F0" w:rsidRDefault="00660CAE" w:rsidP="006C51C5">
      <w:pPr>
        <w:rPr>
          <w:rFonts w:ascii="Garamond" w:hAnsi="Garamond" w:cs="Times New Roman"/>
          <w:lang w:val="en-GB"/>
        </w:rPr>
      </w:pPr>
      <w:r w:rsidRPr="00FF34F0">
        <w:rPr>
          <w:rFonts w:ascii="Garamond" w:hAnsi="Garamond" w:cs="Times New Roman"/>
          <w:lang w:val="en-GB"/>
        </w:rPr>
        <w:t xml:space="preserve">In </w:t>
      </w:r>
      <w:r w:rsidR="00D350FB" w:rsidRPr="00FF34F0">
        <w:rPr>
          <w:rFonts w:ascii="Garamond" w:hAnsi="Garamond" w:cs="Times New Roman"/>
          <w:lang w:val="en-GB"/>
        </w:rPr>
        <w:t>his</w:t>
      </w:r>
      <w:r w:rsidR="00C70E31" w:rsidRPr="00FF34F0">
        <w:rPr>
          <w:rFonts w:ascii="Garamond" w:hAnsi="Garamond" w:cs="Times New Roman"/>
          <w:lang w:val="en-GB"/>
        </w:rPr>
        <w:t xml:space="preserve"> </w:t>
      </w:r>
      <w:r w:rsidRPr="00FF34F0">
        <w:rPr>
          <w:rFonts w:ascii="Garamond" w:hAnsi="Garamond" w:cs="Times New Roman"/>
          <w:lang w:val="en-GB"/>
        </w:rPr>
        <w:t>ethnography, and in his later chapter</w:t>
      </w:r>
      <w:r w:rsidR="00037170" w:rsidRPr="00FF34F0">
        <w:rPr>
          <w:rFonts w:ascii="Garamond" w:hAnsi="Garamond" w:cs="Times New Roman"/>
          <w:lang w:val="en-GB"/>
        </w:rPr>
        <w:t xml:space="preserve"> on healthcare de</w:t>
      </w:r>
      <w:r w:rsidR="00787656" w:rsidRPr="00FF34F0">
        <w:rPr>
          <w:rFonts w:ascii="Garamond" w:hAnsi="Garamond" w:cs="Times New Roman"/>
          <w:lang w:val="en-GB"/>
        </w:rPr>
        <w:t>cis</w:t>
      </w:r>
      <w:r w:rsidR="00037170" w:rsidRPr="00FF34F0">
        <w:rPr>
          <w:rFonts w:ascii="Garamond" w:hAnsi="Garamond" w:cs="Times New Roman"/>
          <w:lang w:val="en-GB"/>
        </w:rPr>
        <w:t>i</w:t>
      </w:r>
      <w:r w:rsidR="00787656" w:rsidRPr="00FF34F0">
        <w:rPr>
          <w:rFonts w:ascii="Garamond" w:hAnsi="Garamond" w:cs="Times New Roman"/>
          <w:lang w:val="en-GB"/>
        </w:rPr>
        <w:t>on-</w:t>
      </w:r>
      <w:r w:rsidR="00F76794" w:rsidRPr="00FF34F0">
        <w:rPr>
          <w:rFonts w:ascii="Garamond" w:hAnsi="Garamond" w:cs="Times New Roman"/>
          <w:lang w:val="en-GB"/>
        </w:rPr>
        <w:t>making</w:t>
      </w:r>
      <w:r w:rsidR="00844DCD" w:rsidRPr="00FF34F0">
        <w:rPr>
          <w:rFonts w:ascii="Garamond" w:hAnsi="Garamond" w:cs="Times New Roman"/>
          <w:lang w:val="en-GB"/>
        </w:rPr>
        <w:t xml:space="preserve"> (2001)</w:t>
      </w:r>
      <w:r w:rsidRPr="00FF34F0">
        <w:rPr>
          <w:rFonts w:ascii="Garamond" w:hAnsi="Garamond" w:cs="Times New Roman"/>
          <w:lang w:val="en-GB"/>
        </w:rPr>
        <w:t xml:space="preserve">, </w:t>
      </w:r>
      <w:r w:rsidR="00D350FB" w:rsidRPr="00FF34F0">
        <w:rPr>
          <w:rFonts w:ascii="Garamond" w:hAnsi="Garamond" w:cs="Times New Roman"/>
          <w:lang w:val="en-GB"/>
        </w:rPr>
        <w:t xml:space="preserve">Jones </w:t>
      </w:r>
      <w:r w:rsidRPr="00FF34F0">
        <w:rPr>
          <w:rFonts w:ascii="Garamond" w:hAnsi="Garamond" w:cs="Times New Roman"/>
          <w:lang w:val="en-GB"/>
        </w:rPr>
        <w:t>demonstrates t</w:t>
      </w:r>
      <w:r w:rsidR="00844DCD" w:rsidRPr="00FF34F0">
        <w:rPr>
          <w:rFonts w:ascii="Garamond" w:hAnsi="Garamond" w:cs="Times New Roman"/>
          <w:lang w:val="en-GB"/>
        </w:rPr>
        <w:t>he utility of critical theory for</w:t>
      </w:r>
      <w:r w:rsidRPr="00FF34F0">
        <w:rPr>
          <w:rFonts w:ascii="Garamond" w:hAnsi="Garamond" w:cs="Times New Roman"/>
          <w:lang w:val="en-GB"/>
        </w:rPr>
        <w:t xml:space="preserve"> analysing the interaction of power</w:t>
      </w:r>
      <w:r w:rsidR="00844DCD" w:rsidRPr="00FF34F0">
        <w:rPr>
          <w:rFonts w:ascii="Garamond" w:hAnsi="Garamond" w:cs="Times New Roman"/>
          <w:lang w:val="en-GB"/>
        </w:rPr>
        <w:t>ful</w:t>
      </w:r>
      <w:r w:rsidRPr="00FF34F0">
        <w:rPr>
          <w:rFonts w:ascii="Garamond" w:hAnsi="Garamond" w:cs="Times New Roman"/>
          <w:lang w:val="en-GB"/>
        </w:rPr>
        <w:t xml:space="preserve"> groups </w:t>
      </w:r>
      <w:r w:rsidR="00F633A7" w:rsidRPr="00FF34F0">
        <w:rPr>
          <w:rFonts w:ascii="Garamond" w:hAnsi="Garamond" w:cs="Times New Roman"/>
          <w:lang w:val="en-GB"/>
        </w:rPr>
        <w:t xml:space="preserve">in </w:t>
      </w:r>
      <w:r w:rsidR="00197B74" w:rsidRPr="00FF34F0">
        <w:rPr>
          <w:rFonts w:ascii="Garamond" w:hAnsi="Garamond" w:cs="Times New Roman"/>
          <w:lang w:val="en-GB"/>
        </w:rPr>
        <w:t>large-scale</w:t>
      </w:r>
      <w:r w:rsidR="00F633A7" w:rsidRPr="00FF34F0">
        <w:rPr>
          <w:rFonts w:ascii="Garamond" w:hAnsi="Garamond" w:cs="Times New Roman"/>
          <w:lang w:val="en-GB"/>
        </w:rPr>
        <w:t xml:space="preserve"> change. </w:t>
      </w:r>
      <w:r w:rsidR="008E38F6" w:rsidRPr="00FF34F0">
        <w:rPr>
          <w:rFonts w:ascii="Garamond" w:hAnsi="Garamond" w:cs="Times New Roman"/>
          <w:lang w:val="en-GB"/>
        </w:rPr>
        <w:t>Fo</w:t>
      </w:r>
      <w:r w:rsidR="00D674DA" w:rsidRPr="00FF34F0">
        <w:rPr>
          <w:rFonts w:ascii="Garamond" w:hAnsi="Garamond" w:cs="Times New Roman"/>
          <w:lang w:val="en-GB"/>
        </w:rPr>
        <w:t>ucault</w:t>
      </w:r>
      <w:r w:rsidR="009170B9" w:rsidRPr="00FF34F0">
        <w:rPr>
          <w:rFonts w:ascii="Garamond" w:hAnsi="Garamond" w:cs="Times New Roman"/>
          <w:lang w:val="en-GB"/>
        </w:rPr>
        <w:t>’</w:t>
      </w:r>
      <w:r w:rsidR="00D674DA" w:rsidRPr="00FF34F0">
        <w:rPr>
          <w:rFonts w:ascii="Garamond" w:hAnsi="Garamond" w:cs="Times New Roman"/>
          <w:lang w:val="en-GB"/>
        </w:rPr>
        <w:t xml:space="preserve">s </w:t>
      </w:r>
      <w:r w:rsidR="009D75F1" w:rsidRPr="00FF34F0">
        <w:rPr>
          <w:rFonts w:ascii="Garamond" w:hAnsi="Garamond" w:cs="Times New Roman"/>
          <w:lang w:val="en-GB"/>
        </w:rPr>
        <w:t>analytics</w:t>
      </w:r>
      <w:r w:rsidR="008E38F6" w:rsidRPr="00FF34F0">
        <w:rPr>
          <w:rFonts w:ascii="Garamond" w:hAnsi="Garamond" w:cs="Times New Roman"/>
          <w:lang w:val="en-GB"/>
        </w:rPr>
        <w:t xml:space="preserve"> of </w:t>
      </w:r>
      <w:r w:rsidR="00D674DA" w:rsidRPr="00FF34F0">
        <w:rPr>
          <w:rFonts w:ascii="Garamond" w:hAnsi="Garamond" w:cs="Times New Roman"/>
          <w:lang w:val="en-GB"/>
        </w:rPr>
        <w:t xml:space="preserve">power </w:t>
      </w:r>
      <w:r w:rsidR="00621E8C" w:rsidRPr="00FF34F0">
        <w:rPr>
          <w:rFonts w:ascii="Garamond" w:hAnsi="Garamond" w:cs="Times New Roman"/>
          <w:lang w:val="en-GB"/>
        </w:rPr>
        <w:t xml:space="preserve">also </w:t>
      </w:r>
      <w:r w:rsidR="00D674DA" w:rsidRPr="00FF34F0">
        <w:rPr>
          <w:rFonts w:ascii="Garamond" w:hAnsi="Garamond" w:cs="Times New Roman"/>
          <w:lang w:val="en-GB"/>
        </w:rPr>
        <w:t>offer</w:t>
      </w:r>
      <w:r w:rsidR="008E38F6" w:rsidRPr="00FF34F0">
        <w:rPr>
          <w:rFonts w:ascii="Garamond" w:hAnsi="Garamond" w:cs="Times New Roman"/>
          <w:lang w:val="en-GB"/>
        </w:rPr>
        <w:t xml:space="preserve"> a range of resources for </w:t>
      </w:r>
      <w:r w:rsidR="00621E8C" w:rsidRPr="00FF34F0">
        <w:rPr>
          <w:rFonts w:ascii="Garamond" w:hAnsi="Garamond" w:cs="Times New Roman"/>
          <w:lang w:val="en-GB"/>
        </w:rPr>
        <w:t>anal</w:t>
      </w:r>
      <w:r w:rsidR="00F633A7" w:rsidRPr="00FF34F0">
        <w:rPr>
          <w:rFonts w:ascii="Garamond" w:hAnsi="Garamond" w:cs="Times New Roman"/>
          <w:lang w:val="en-GB"/>
        </w:rPr>
        <w:t>ysing the</w:t>
      </w:r>
      <w:r w:rsidR="00621E8C" w:rsidRPr="00FF34F0">
        <w:rPr>
          <w:rFonts w:ascii="Garamond" w:hAnsi="Garamond" w:cs="Times New Roman"/>
          <w:lang w:val="en-GB"/>
        </w:rPr>
        <w:t xml:space="preserve"> politics</w:t>
      </w:r>
      <w:r w:rsidR="00F633A7" w:rsidRPr="00FF34F0">
        <w:rPr>
          <w:rFonts w:ascii="Garamond" w:hAnsi="Garamond" w:cs="Times New Roman"/>
          <w:lang w:val="en-GB"/>
        </w:rPr>
        <w:t xml:space="preserve"> of healthcare change</w:t>
      </w:r>
      <w:r w:rsidR="00621E8C" w:rsidRPr="00FF34F0">
        <w:rPr>
          <w:rFonts w:ascii="Garamond" w:hAnsi="Garamond" w:cs="Times New Roman"/>
          <w:lang w:val="en-GB"/>
        </w:rPr>
        <w:t xml:space="preserve">, particularly the role of </w:t>
      </w:r>
      <w:r w:rsidR="0055061A" w:rsidRPr="00FF34F0">
        <w:rPr>
          <w:rFonts w:ascii="Garamond" w:hAnsi="Garamond" w:cs="Times New Roman"/>
          <w:lang w:val="en-GB"/>
        </w:rPr>
        <w:t>knowledge and expertise</w:t>
      </w:r>
      <w:r w:rsidR="00621E8C" w:rsidRPr="00FF34F0">
        <w:rPr>
          <w:rFonts w:ascii="Garamond" w:hAnsi="Garamond" w:cs="Times New Roman"/>
          <w:lang w:val="en-GB"/>
        </w:rPr>
        <w:t xml:space="preserve">. </w:t>
      </w:r>
      <w:r w:rsidR="0055061A" w:rsidRPr="00FF34F0">
        <w:rPr>
          <w:rFonts w:ascii="Garamond" w:hAnsi="Garamond" w:cs="Times New Roman"/>
          <w:lang w:val="en-GB"/>
        </w:rPr>
        <w:t>Of particular salience are his perspectives on discourse and governmentality. This work draws our attention to the relations of power that are immanent in knowledge, and th</w:t>
      </w:r>
      <w:r w:rsidR="009D75F1" w:rsidRPr="00FF34F0">
        <w:rPr>
          <w:rFonts w:ascii="Garamond" w:hAnsi="Garamond" w:cs="Times New Roman"/>
          <w:lang w:val="en-GB"/>
        </w:rPr>
        <w:t xml:space="preserve">e way that </w:t>
      </w:r>
      <w:r w:rsidR="0055061A" w:rsidRPr="00FF34F0">
        <w:rPr>
          <w:rFonts w:ascii="Garamond" w:hAnsi="Garamond" w:cs="Times New Roman"/>
          <w:lang w:val="en-GB"/>
        </w:rPr>
        <w:t xml:space="preserve">knowledge and </w:t>
      </w:r>
      <w:r w:rsidR="009D75F1" w:rsidRPr="00FF34F0">
        <w:rPr>
          <w:rFonts w:ascii="Garamond" w:hAnsi="Garamond" w:cs="Times New Roman"/>
          <w:lang w:val="en-GB"/>
        </w:rPr>
        <w:t xml:space="preserve">the </w:t>
      </w:r>
      <w:r w:rsidR="0055061A" w:rsidRPr="00FF34F0">
        <w:rPr>
          <w:rFonts w:ascii="Garamond" w:hAnsi="Garamond" w:cs="Times New Roman"/>
          <w:lang w:val="en-GB"/>
        </w:rPr>
        <w:t>activities of experts play a central role in contemporary systems of governance</w:t>
      </w:r>
      <w:r w:rsidR="000621C4" w:rsidRPr="00FF34F0">
        <w:rPr>
          <w:rFonts w:ascii="Garamond" w:hAnsi="Garamond" w:cs="Times New Roman"/>
          <w:lang w:val="en-GB"/>
        </w:rPr>
        <w:t xml:space="preserve"> (Fo</w:t>
      </w:r>
      <w:r w:rsidR="003F3C26" w:rsidRPr="00FF34F0">
        <w:rPr>
          <w:rFonts w:ascii="Garamond" w:hAnsi="Garamond" w:cs="Times New Roman"/>
          <w:lang w:val="en-GB"/>
        </w:rPr>
        <w:t>ucau</w:t>
      </w:r>
      <w:r w:rsidR="00D46680" w:rsidRPr="00FF34F0">
        <w:rPr>
          <w:rFonts w:ascii="Garamond" w:hAnsi="Garamond" w:cs="Times New Roman"/>
          <w:lang w:val="en-GB"/>
        </w:rPr>
        <w:t>lt</w:t>
      </w:r>
      <w:r w:rsidR="00C16FFA" w:rsidRPr="00FF34F0">
        <w:rPr>
          <w:rFonts w:ascii="Garamond" w:hAnsi="Garamond" w:cs="Times New Roman"/>
          <w:lang w:val="en-GB"/>
        </w:rPr>
        <w:t xml:space="preserve"> 197</w:t>
      </w:r>
      <w:r w:rsidR="0060762F" w:rsidRPr="00FF34F0">
        <w:rPr>
          <w:rFonts w:ascii="Garamond" w:hAnsi="Garamond" w:cs="Times New Roman"/>
          <w:lang w:val="en-GB"/>
        </w:rPr>
        <w:t>9</w:t>
      </w:r>
      <w:r w:rsidR="003F3C26" w:rsidRPr="00FF34F0">
        <w:rPr>
          <w:rFonts w:ascii="Garamond" w:hAnsi="Garamond" w:cs="Times New Roman"/>
          <w:lang w:val="en-GB"/>
        </w:rPr>
        <w:t>,</w:t>
      </w:r>
      <w:r w:rsidR="00C16FFA" w:rsidRPr="00FF34F0">
        <w:rPr>
          <w:rFonts w:ascii="Garamond" w:hAnsi="Garamond" w:cs="Times New Roman"/>
          <w:lang w:val="en-GB"/>
        </w:rPr>
        <w:t xml:space="preserve"> 1990, 1991</w:t>
      </w:r>
      <w:r w:rsidR="003F3C26" w:rsidRPr="00FF34F0">
        <w:rPr>
          <w:rFonts w:ascii="Garamond" w:hAnsi="Garamond" w:cs="Times New Roman"/>
          <w:lang w:val="en-GB"/>
        </w:rPr>
        <w:t xml:space="preserve"> Miller and Rose</w:t>
      </w:r>
      <w:r w:rsidR="005B1064" w:rsidRPr="00FF34F0">
        <w:rPr>
          <w:rFonts w:ascii="Garamond" w:hAnsi="Garamond" w:cs="Times New Roman"/>
          <w:lang w:val="en-GB"/>
        </w:rPr>
        <w:t xml:space="preserve"> </w:t>
      </w:r>
      <w:r w:rsidR="00C16FFA" w:rsidRPr="00FF34F0">
        <w:rPr>
          <w:rFonts w:ascii="Garamond" w:hAnsi="Garamond" w:cs="Times New Roman"/>
          <w:lang w:val="en-GB"/>
        </w:rPr>
        <w:t>1993</w:t>
      </w:r>
      <w:r w:rsidR="003F3C26" w:rsidRPr="00FF34F0">
        <w:rPr>
          <w:rFonts w:ascii="Garamond" w:hAnsi="Garamond" w:cs="Times New Roman"/>
          <w:lang w:val="en-GB"/>
        </w:rPr>
        <w:t>,</w:t>
      </w:r>
      <w:r w:rsidR="00C16FFA" w:rsidRPr="00FF34F0">
        <w:rPr>
          <w:rFonts w:ascii="Garamond" w:hAnsi="Garamond" w:cs="Times New Roman"/>
          <w:lang w:val="en-GB"/>
        </w:rPr>
        <w:t xml:space="preserve"> Johnson 1993</w:t>
      </w:r>
      <w:r w:rsidR="000621C4" w:rsidRPr="00FF34F0">
        <w:rPr>
          <w:rFonts w:ascii="Garamond" w:hAnsi="Garamond" w:cs="Times New Roman"/>
          <w:lang w:val="en-GB"/>
        </w:rPr>
        <w:t>)</w:t>
      </w:r>
      <w:r w:rsidR="001F099D" w:rsidRPr="00FF34F0">
        <w:rPr>
          <w:rFonts w:ascii="Garamond" w:hAnsi="Garamond" w:cs="Times New Roman"/>
          <w:lang w:val="en-GB"/>
        </w:rPr>
        <w:t xml:space="preserve">. </w:t>
      </w:r>
    </w:p>
    <w:p w14:paraId="2159AA37" w14:textId="77777777" w:rsidR="00DE73F5" w:rsidRPr="00FF34F0" w:rsidRDefault="00DE73F5" w:rsidP="006C51C5">
      <w:pPr>
        <w:rPr>
          <w:rFonts w:ascii="Garamond" w:hAnsi="Garamond" w:cs="Times New Roman"/>
          <w:lang w:val="en-GB"/>
        </w:rPr>
      </w:pPr>
    </w:p>
    <w:p w14:paraId="3AD1AAAD" w14:textId="5531A434" w:rsidR="00C16FFA" w:rsidRPr="00FF34F0" w:rsidRDefault="009D75F1" w:rsidP="006C51C5">
      <w:pPr>
        <w:rPr>
          <w:rFonts w:ascii="Garamond" w:eastAsia="Calibri" w:hAnsi="Garamond" w:cs="Times New Roman"/>
        </w:rPr>
      </w:pPr>
      <w:r w:rsidRPr="00FF34F0">
        <w:rPr>
          <w:rFonts w:ascii="Garamond" w:hAnsi="Garamond" w:cs="Times New Roman"/>
          <w:lang w:val="en-GB"/>
        </w:rPr>
        <w:t xml:space="preserve">Jones </w:t>
      </w:r>
      <w:r w:rsidR="007263A2" w:rsidRPr="00FF34F0">
        <w:rPr>
          <w:rFonts w:ascii="Garamond" w:hAnsi="Garamond" w:cs="Times New Roman"/>
          <w:lang w:val="en-GB"/>
        </w:rPr>
        <w:t xml:space="preserve">and </w:t>
      </w:r>
      <w:proofErr w:type="spellStart"/>
      <w:r w:rsidR="007263A2" w:rsidRPr="00FF34F0">
        <w:rPr>
          <w:rFonts w:ascii="Garamond" w:hAnsi="Garamond" w:cs="Times New Roman"/>
          <w:lang w:val="en-GB"/>
        </w:rPr>
        <w:t>Exworthy</w:t>
      </w:r>
      <w:proofErr w:type="spellEnd"/>
      <w:r w:rsidR="007263A2" w:rsidRPr="00FF34F0">
        <w:rPr>
          <w:rFonts w:ascii="Garamond" w:hAnsi="Garamond" w:cs="Times New Roman"/>
          <w:lang w:val="en-GB"/>
        </w:rPr>
        <w:t xml:space="preserve"> </w:t>
      </w:r>
      <w:r w:rsidR="00D46680" w:rsidRPr="00FF34F0">
        <w:rPr>
          <w:rFonts w:ascii="Garamond" w:hAnsi="Garamond" w:cs="Times New Roman"/>
          <w:lang w:val="en-GB"/>
        </w:rPr>
        <w:t>(2015</w:t>
      </w:r>
      <w:r w:rsidRPr="00FF34F0">
        <w:rPr>
          <w:rFonts w:ascii="Garamond" w:hAnsi="Garamond" w:cs="Times New Roman"/>
          <w:lang w:val="en-GB"/>
        </w:rPr>
        <w:t xml:space="preserve">) </w:t>
      </w:r>
      <w:r w:rsidR="007263A2" w:rsidRPr="00FF34F0">
        <w:rPr>
          <w:rFonts w:ascii="Garamond" w:hAnsi="Garamond" w:cs="Times New Roman"/>
          <w:lang w:val="en-GB"/>
        </w:rPr>
        <w:t>combine</w:t>
      </w:r>
      <w:r w:rsidR="00D9653A" w:rsidRPr="00FF34F0">
        <w:rPr>
          <w:rFonts w:ascii="Garamond" w:hAnsi="Garamond" w:cs="Times New Roman"/>
          <w:lang w:val="en-GB"/>
        </w:rPr>
        <w:t xml:space="preserve"> Foucauld</w:t>
      </w:r>
      <w:r w:rsidRPr="00FF34F0">
        <w:rPr>
          <w:rFonts w:ascii="Garamond" w:hAnsi="Garamond" w:cs="Times New Roman"/>
          <w:lang w:val="en-GB"/>
        </w:rPr>
        <w:t>i</w:t>
      </w:r>
      <w:r w:rsidR="00D9653A" w:rsidRPr="00FF34F0">
        <w:rPr>
          <w:rFonts w:ascii="Garamond" w:hAnsi="Garamond" w:cs="Times New Roman"/>
          <w:lang w:val="en-GB"/>
        </w:rPr>
        <w:t>a</w:t>
      </w:r>
      <w:r w:rsidRPr="00FF34F0">
        <w:rPr>
          <w:rFonts w:ascii="Garamond" w:hAnsi="Garamond" w:cs="Times New Roman"/>
          <w:lang w:val="en-GB"/>
        </w:rPr>
        <w:t>n perspectives on discourse and gov</w:t>
      </w:r>
      <w:r w:rsidR="009F555C" w:rsidRPr="00FF34F0">
        <w:rPr>
          <w:rFonts w:ascii="Garamond" w:hAnsi="Garamond" w:cs="Times New Roman"/>
          <w:lang w:val="en-GB"/>
        </w:rPr>
        <w:t>ernmentality with the</w:t>
      </w:r>
      <w:r w:rsidRPr="00FF34F0">
        <w:rPr>
          <w:rFonts w:ascii="Garamond" w:hAnsi="Garamond" w:cs="Times New Roman"/>
          <w:lang w:val="en-GB"/>
        </w:rPr>
        <w:t xml:space="preserve"> </w:t>
      </w:r>
      <w:r w:rsidR="00DF1970" w:rsidRPr="00FF34F0">
        <w:rPr>
          <w:rFonts w:ascii="Garamond" w:hAnsi="Garamond" w:cs="Times New Roman"/>
          <w:lang w:val="en-GB"/>
        </w:rPr>
        <w:t xml:space="preserve">political </w:t>
      </w:r>
      <w:r w:rsidR="00ED3611" w:rsidRPr="00FF34F0">
        <w:rPr>
          <w:rFonts w:ascii="Garamond" w:hAnsi="Garamond" w:cs="Times New Roman"/>
          <w:lang w:val="en-GB"/>
        </w:rPr>
        <w:t xml:space="preserve">science </w:t>
      </w:r>
      <w:r w:rsidR="00DF1970" w:rsidRPr="00FF34F0">
        <w:rPr>
          <w:rFonts w:ascii="Garamond" w:hAnsi="Garamond" w:cs="Times New Roman"/>
          <w:lang w:val="en-GB"/>
        </w:rPr>
        <w:t>concept of</w:t>
      </w:r>
      <w:r w:rsidR="00086F8E" w:rsidRPr="00FF34F0">
        <w:rPr>
          <w:rFonts w:ascii="Garamond" w:hAnsi="Garamond" w:cs="Times New Roman"/>
          <w:lang w:val="en-GB"/>
        </w:rPr>
        <w:t xml:space="preserve"> </w:t>
      </w:r>
      <w:r w:rsidRPr="00FF34F0">
        <w:rPr>
          <w:rFonts w:ascii="Garamond" w:hAnsi="Garamond" w:cs="Times New Roman"/>
          <w:lang w:val="en-GB"/>
        </w:rPr>
        <w:t>‘framing’</w:t>
      </w:r>
      <w:r w:rsidR="009F555C" w:rsidRPr="00FF34F0">
        <w:rPr>
          <w:rFonts w:ascii="Garamond" w:hAnsi="Garamond" w:cs="Times New Roman"/>
          <w:lang w:val="en-GB"/>
        </w:rPr>
        <w:t xml:space="preserve"> (</w:t>
      </w:r>
      <w:r w:rsidR="00C16FFA" w:rsidRPr="00FF34F0">
        <w:rPr>
          <w:rFonts w:ascii="Garamond" w:hAnsi="Garamond" w:cs="Times New Roman"/>
          <w:lang w:val="en-GB"/>
        </w:rPr>
        <w:t xml:space="preserve">Rein and </w:t>
      </w:r>
      <w:proofErr w:type="spellStart"/>
      <w:r w:rsidR="00C16FFA" w:rsidRPr="00FF34F0">
        <w:rPr>
          <w:rFonts w:ascii="Garamond" w:hAnsi="Garamond" w:cs="Times New Roman"/>
          <w:lang w:val="en-GB"/>
        </w:rPr>
        <w:t>Schön</w:t>
      </w:r>
      <w:proofErr w:type="spellEnd"/>
      <w:r w:rsidR="00C16FFA" w:rsidRPr="00FF34F0">
        <w:rPr>
          <w:rFonts w:ascii="Garamond" w:hAnsi="Garamond" w:cs="Times New Roman"/>
          <w:lang w:val="en-GB"/>
        </w:rPr>
        <w:t xml:space="preserve"> 1993)</w:t>
      </w:r>
      <w:r w:rsidRPr="00FF34F0">
        <w:rPr>
          <w:rFonts w:ascii="Garamond" w:hAnsi="Garamond" w:cs="Times New Roman"/>
          <w:lang w:val="en-GB"/>
        </w:rPr>
        <w:t xml:space="preserve">. </w:t>
      </w:r>
      <w:r w:rsidR="007263A2" w:rsidRPr="00FF34F0">
        <w:rPr>
          <w:rFonts w:ascii="Garamond" w:hAnsi="Garamond" w:cs="Times New Roman"/>
          <w:lang w:val="en-GB"/>
        </w:rPr>
        <w:t xml:space="preserve">They </w:t>
      </w:r>
      <w:r w:rsidR="009F555C" w:rsidRPr="00FF34F0">
        <w:rPr>
          <w:rFonts w:ascii="Garamond" w:hAnsi="Garamond" w:cs="Times New Roman"/>
          <w:lang w:val="en-GB"/>
        </w:rPr>
        <w:t xml:space="preserve">show </w:t>
      </w:r>
      <w:r w:rsidR="007263A2" w:rsidRPr="00FF34F0">
        <w:rPr>
          <w:rFonts w:ascii="Garamond" w:hAnsi="Garamond" w:cs="Times New Roman"/>
          <w:lang w:val="en-GB"/>
        </w:rPr>
        <w:t xml:space="preserve">how </w:t>
      </w:r>
      <w:r w:rsidR="00086F8E" w:rsidRPr="00FF34F0">
        <w:rPr>
          <w:rFonts w:ascii="Garamond" w:hAnsi="Garamond" w:cs="Times New Roman"/>
          <w:lang w:val="en-GB"/>
        </w:rPr>
        <w:t xml:space="preserve">national </w:t>
      </w:r>
      <w:r w:rsidR="00D674DA" w:rsidRPr="00FF34F0">
        <w:rPr>
          <w:rFonts w:ascii="Garamond" w:hAnsi="Garamond" w:cs="Times New Roman"/>
          <w:lang w:val="en-GB"/>
        </w:rPr>
        <w:t>policy</w:t>
      </w:r>
      <w:r w:rsidR="00F633A7" w:rsidRPr="00FF34F0">
        <w:rPr>
          <w:rFonts w:ascii="Garamond" w:hAnsi="Garamond" w:cs="Times New Roman"/>
          <w:lang w:val="en-GB"/>
        </w:rPr>
        <w:t xml:space="preserve"> makers and implementation elites strategically reframed plans to centralise </w:t>
      </w:r>
      <w:r w:rsidR="00D674DA" w:rsidRPr="00FF34F0">
        <w:rPr>
          <w:rFonts w:ascii="Garamond" w:hAnsi="Garamond" w:cs="Times New Roman"/>
          <w:lang w:val="en-GB"/>
        </w:rPr>
        <w:t>hospital services</w:t>
      </w:r>
      <w:r w:rsidR="00871F3F" w:rsidRPr="00FF34F0">
        <w:rPr>
          <w:rFonts w:ascii="Garamond" w:hAnsi="Garamond" w:cs="Times New Roman"/>
          <w:lang w:val="en-GB"/>
        </w:rPr>
        <w:t xml:space="preserve">, using dominant discursive resources such as ‘evidence’ and ‘safety’. </w:t>
      </w:r>
      <w:r w:rsidR="00E7757C" w:rsidRPr="00FF34F0">
        <w:rPr>
          <w:rFonts w:ascii="Garamond" w:hAnsi="Garamond" w:cs="Times New Roman"/>
        </w:rPr>
        <w:t>Although the persuasive power of the framing was limited,</w:t>
      </w:r>
      <w:r w:rsidR="00871F3F" w:rsidRPr="00FF34F0">
        <w:rPr>
          <w:rFonts w:ascii="Garamond" w:hAnsi="Garamond" w:cs="Times New Roman"/>
        </w:rPr>
        <w:t xml:space="preserve"> in the sense that other stakeholders were unconvinced of the need for change,</w:t>
      </w:r>
      <w:r w:rsidR="00E7757C" w:rsidRPr="00FF34F0">
        <w:rPr>
          <w:rFonts w:ascii="Garamond" w:hAnsi="Garamond" w:cs="Times New Roman"/>
        </w:rPr>
        <w:t xml:space="preserve"> </w:t>
      </w:r>
      <w:r w:rsidR="00DF1970" w:rsidRPr="00FF34F0">
        <w:rPr>
          <w:rFonts w:ascii="Garamond" w:hAnsi="Garamond" w:cs="Times New Roman"/>
        </w:rPr>
        <w:t>Jones</w:t>
      </w:r>
      <w:r w:rsidR="007263A2" w:rsidRPr="00FF34F0">
        <w:rPr>
          <w:rFonts w:ascii="Garamond" w:hAnsi="Garamond" w:cs="Times New Roman"/>
        </w:rPr>
        <w:t xml:space="preserve"> and </w:t>
      </w:r>
      <w:proofErr w:type="spellStart"/>
      <w:r w:rsidR="007263A2" w:rsidRPr="00FF34F0">
        <w:rPr>
          <w:rFonts w:ascii="Garamond" w:hAnsi="Garamond" w:cs="Times New Roman"/>
        </w:rPr>
        <w:t>Exworthy</w:t>
      </w:r>
      <w:proofErr w:type="spellEnd"/>
      <w:r w:rsidR="007263A2" w:rsidRPr="00FF34F0">
        <w:rPr>
          <w:rFonts w:ascii="Garamond" w:hAnsi="Garamond" w:cs="Times New Roman"/>
        </w:rPr>
        <w:t xml:space="preserve"> identify</w:t>
      </w:r>
      <w:r w:rsidR="00D674DA" w:rsidRPr="00FF34F0">
        <w:rPr>
          <w:rFonts w:ascii="Garamond" w:hAnsi="Garamond" w:cs="Times New Roman"/>
        </w:rPr>
        <w:t xml:space="preserve"> </w:t>
      </w:r>
      <w:r w:rsidR="00E7757C" w:rsidRPr="00FF34F0">
        <w:rPr>
          <w:rFonts w:ascii="Garamond" w:hAnsi="Garamond" w:cs="Times New Roman"/>
        </w:rPr>
        <w:t>a more insidious form of power in the way the framing disguised the political nature of the issue by definin</w:t>
      </w:r>
      <w:r w:rsidR="00086F8E" w:rsidRPr="00FF34F0">
        <w:rPr>
          <w:rFonts w:ascii="Garamond" w:hAnsi="Garamond" w:cs="Times New Roman"/>
        </w:rPr>
        <w:t xml:space="preserve">g it as a clinical </w:t>
      </w:r>
      <w:r w:rsidR="00086F8E" w:rsidRPr="00FF34F0">
        <w:rPr>
          <w:rFonts w:ascii="Garamond" w:hAnsi="Garamond" w:cs="Times New Roman"/>
        </w:rPr>
        <w:lastRenderedPageBreak/>
        <w:t>problem. The strategic re-</w:t>
      </w:r>
      <w:r w:rsidR="00E7757C" w:rsidRPr="00FF34F0">
        <w:rPr>
          <w:rFonts w:ascii="Garamond" w:hAnsi="Garamond" w:cs="Times New Roman"/>
        </w:rPr>
        <w:t xml:space="preserve">framing had the effect of restricting the extent to which alternative courses of action could be considered, and undermined public participation in </w:t>
      </w:r>
      <w:r w:rsidR="005514C3" w:rsidRPr="00FF34F0">
        <w:rPr>
          <w:rFonts w:ascii="Garamond" w:hAnsi="Garamond" w:cs="Times New Roman"/>
        </w:rPr>
        <w:t xml:space="preserve">healthcare decision-making. </w:t>
      </w:r>
      <w:r w:rsidR="00E7757C" w:rsidRPr="00FF34F0">
        <w:rPr>
          <w:rFonts w:ascii="Garamond" w:hAnsi="Garamond" w:cs="Times New Roman"/>
        </w:rPr>
        <w:t xml:space="preserve"> </w:t>
      </w:r>
      <w:r w:rsidR="009F555C" w:rsidRPr="00FF34F0">
        <w:rPr>
          <w:rFonts w:ascii="Garamond" w:hAnsi="Garamond" w:cs="Times New Roman"/>
        </w:rPr>
        <w:t xml:space="preserve">This </w:t>
      </w:r>
      <w:r w:rsidR="00D674DA" w:rsidRPr="00FF34F0">
        <w:rPr>
          <w:rFonts w:ascii="Garamond" w:hAnsi="Garamond" w:cs="Times New Roman"/>
        </w:rPr>
        <w:t xml:space="preserve">discursive </w:t>
      </w:r>
      <w:r w:rsidR="009F555C" w:rsidRPr="00FF34F0">
        <w:rPr>
          <w:rFonts w:ascii="Garamond" w:hAnsi="Garamond" w:cs="Times New Roman"/>
        </w:rPr>
        <w:t>strategy had very real effects in th</w:t>
      </w:r>
      <w:r w:rsidR="00ED3611" w:rsidRPr="00FF34F0">
        <w:rPr>
          <w:rFonts w:ascii="Garamond" w:hAnsi="Garamond" w:cs="Times New Roman"/>
        </w:rPr>
        <w:t>e material world. In one instance</w:t>
      </w:r>
      <w:r w:rsidR="009F555C" w:rsidRPr="00FF34F0">
        <w:rPr>
          <w:rFonts w:ascii="Garamond" w:hAnsi="Garamond" w:cs="Times New Roman"/>
        </w:rPr>
        <w:t xml:space="preserve"> the ability of local c</w:t>
      </w:r>
      <w:r w:rsidR="00871F3F" w:rsidRPr="00FF34F0">
        <w:rPr>
          <w:rFonts w:ascii="Garamond" w:hAnsi="Garamond" w:cs="Times New Roman"/>
        </w:rPr>
        <w:t xml:space="preserve">ommissioners to define </w:t>
      </w:r>
      <w:r w:rsidR="000D674B" w:rsidRPr="00FF34F0">
        <w:rPr>
          <w:rFonts w:ascii="Garamond" w:hAnsi="Garamond" w:cs="Times New Roman"/>
        </w:rPr>
        <w:t>plans</w:t>
      </w:r>
      <w:r w:rsidR="009F555C" w:rsidRPr="00FF34F0">
        <w:rPr>
          <w:rFonts w:ascii="Garamond" w:hAnsi="Garamond" w:cs="Times New Roman"/>
        </w:rPr>
        <w:t xml:space="preserve"> as ‘clinical best practice’ allowed them to avoid pubic c</w:t>
      </w:r>
      <w:r w:rsidR="00D674DA" w:rsidRPr="00FF34F0">
        <w:rPr>
          <w:rFonts w:ascii="Garamond" w:hAnsi="Garamond" w:cs="Times New Roman"/>
        </w:rPr>
        <w:t>onsultation at the same time as</w:t>
      </w:r>
      <w:r w:rsidR="009F555C" w:rsidRPr="00FF34F0">
        <w:rPr>
          <w:rFonts w:ascii="Garamond" w:hAnsi="Garamond" w:cs="Times New Roman"/>
        </w:rPr>
        <w:t xml:space="preserve"> government policy established </w:t>
      </w:r>
      <w:r w:rsidR="00871F3F" w:rsidRPr="00FF34F0">
        <w:rPr>
          <w:rFonts w:ascii="Garamond" w:hAnsi="Garamond" w:cs="Times New Roman"/>
        </w:rPr>
        <w:t xml:space="preserve">a range of </w:t>
      </w:r>
      <w:r w:rsidR="009F555C" w:rsidRPr="00FF34F0">
        <w:rPr>
          <w:rFonts w:ascii="Garamond" w:hAnsi="Garamond" w:cs="Times New Roman"/>
        </w:rPr>
        <w:t>new mechanisms and structures for involving the public in decisions about service change.</w:t>
      </w:r>
      <w:r w:rsidR="00871F3F" w:rsidRPr="00FF34F0">
        <w:rPr>
          <w:rFonts w:ascii="Garamond" w:hAnsi="Garamond" w:cs="Times New Roman"/>
        </w:rPr>
        <w:t xml:space="preserve"> </w:t>
      </w:r>
    </w:p>
    <w:p w14:paraId="08FDF6E6" w14:textId="77777777" w:rsidR="00C16FFA" w:rsidRPr="00FF34F0" w:rsidRDefault="00C16FFA" w:rsidP="006C51C5">
      <w:pPr>
        <w:rPr>
          <w:rFonts w:ascii="Garamond" w:hAnsi="Garamond" w:cs="Times New Roman"/>
        </w:rPr>
      </w:pPr>
    </w:p>
    <w:p w14:paraId="6F056114" w14:textId="58F57628" w:rsidR="00BE10DD" w:rsidRPr="00FF34F0" w:rsidRDefault="00BE10DD" w:rsidP="006C51C5">
      <w:pPr>
        <w:rPr>
          <w:rFonts w:ascii="Garamond" w:hAnsi="Garamond" w:cs="Times New Roman"/>
        </w:rPr>
      </w:pPr>
      <w:r w:rsidRPr="00FF34F0">
        <w:rPr>
          <w:rFonts w:ascii="Garamond" w:hAnsi="Garamond" w:cs="Times New Roman"/>
        </w:rPr>
        <w:t xml:space="preserve">Fraser et al (2017) </w:t>
      </w:r>
      <w:r w:rsidR="00570B0B" w:rsidRPr="00FF34F0">
        <w:rPr>
          <w:rFonts w:ascii="Garamond" w:hAnsi="Garamond" w:cs="Times New Roman"/>
        </w:rPr>
        <w:t xml:space="preserve">also employ Foucauldian perspectives </w:t>
      </w:r>
      <w:r w:rsidRPr="00FF34F0">
        <w:rPr>
          <w:rFonts w:ascii="Garamond" w:hAnsi="Garamond" w:cs="Times New Roman"/>
        </w:rPr>
        <w:t>in a study of the London reconf</w:t>
      </w:r>
      <w:r w:rsidR="00F633A7" w:rsidRPr="00FF34F0">
        <w:rPr>
          <w:rFonts w:ascii="Garamond" w:hAnsi="Garamond" w:cs="Times New Roman"/>
        </w:rPr>
        <w:t>iguration of stroke services</w:t>
      </w:r>
      <w:r w:rsidR="00D46680" w:rsidRPr="00FF34F0">
        <w:rPr>
          <w:rFonts w:ascii="Garamond" w:hAnsi="Garamond" w:cs="Times New Roman"/>
        </w:rPr>
        <w:t xml:space="preserve">, showing how </w:t>
      </w:r>
      <w:r w:rsidRPr="00FF34F0">
        <w:rPr>
          <w:rFonts w:ascii="Garamond" w:hAnsi="Garamond" w:cs="Times New Roman"/>
        </w:rPr>
        <w:t>practices of stakeholder consulta</w:t>
      </w:r>
      <w:r w:rsidR="001D55B4" w:rsidRPr="00FF34F0">
        <w:rPr>
          <w:rFonts w:ascii="Garamond" w:hAnsi="Garamond" w:cs="Times New Roman"/>
        </w:rPr>
        <w:t>tion were manipulated to serve</w:t>
      </w:r>
      <w:r w:rsidRPr="00FF34F0">
        <w:rPr>
          <w:rFonts w:ascii="Garamond" w:hAnsi="Garamond" w:cs="Times New Roman"/>
        </w:rPr>
        <w:t xml:space="preserve"> powerful interests. They found that within </w:t>
      </w:r>
      <w:r w:rsidR="00B02376" w:rsidRPr="00FF34F0">
        <w:rPr>
          <w:rFonts w:ascii="Garamond" w:hAnsi="Garamond" w:cs="Times New Roman"/>
        </w:rPr>
        <w:t xml:space="preserve">ostensibly </w:t>
      </w:r>
      <w:r w:rsidR="005B1064" w:rsidRPr="00FF34F0">
        <w:rPr>
          <w:rFonts w:ascii="Garamond" w:hAnsi="Garamond" w:cs="Times New Roman"/>
        </w:rPr>
        <w:t xml:space="preserve">participative </w:t>
      </w:r>
      <w:r w:rsidRPr="00FF34F0">
        <w:rPr>
          <w:rFonts w:ascii="Garamond" w:hAnsi="Garamond" w:cs="Times New Roman"/>
        </w:rPr>
        <w:t xml:space="preserve">forums management consultants were able to control how problems were understood and which solutions were adopted. This is illustrated by the following excerpt from their study. The excerpt is from an interview with a management consultant involved in running the stakeholder </w:t>
      </w:r>
      <w:r w:rsidR="005B1064" w:rsidRPr="00FF34F0">
        <w:rPr>
          <w:rFonts w:ascii="Garamond" w:hAnsi="Garamond" w:cs="Times New Roman"/>
        </w:rPr>
        <w:t xml:space="preserve">consultation </w:t>
      </w:r>
      <w:r w:rsidRPr="00FF34F0">
        <w:rPr>
          <w:rFonts w:ascii="Garamond" w:hAnsi="Garamond" w:cs="Times New Roman"/>
        </w:rPr>
        <w:t xml:space="preserve">workshops. In this account the strategic use of </w:t>
      </w:r>
      <w:r w:rsidR="000D674B" w:rsidRPr="00FF34F0">
        <w:rPr>
          <w:rFonts w:ascii="Garamond" w:hAnsi="Garamond" w:cs="Times New Roman"/>
        </w:rPr>
        <w:t xml:space="preserve">these participation forums </w:t>
      </w:r>
      <w:r w:rsidR="005514C3" w:rsidRPr="00FF34F0">
        <w:rPr>
          <w:rFonts w:ascii="Garamond" w:hAnsi="Garamond" w:cs="Times New Roman"/>
        </w:rPr>
        <w:t xml:space="preserve">is </w:t>
      </w:r>
      <w:r w:rsidRPr="00FF34F0">
        <w:rPr>
          <w:rFonts w:ascii="Garamond" w:hAnsi="Garamond" w:cs="Times New Roman"/>
        </w:rPr>
        <w:t xml:space="preserve">explicit: </w:t>
      </w:r>
    </w:p>
    <w:p w14:paraId="3C6A3773" w14:textId="77777777" w:rsidR="00BE10DD" w:rsidRPr="00FF34F0" w:rsidRDefault="00BE10DD" w:rsidP="006C51C5">
      <w:pPr>
        <w:rPr>
          <w:rFonts w:ascii="Garamond" w:hAnsi="Garamond" w:cs="Times New Roman"/>
        </w:rPr>
      </w:pPr>
    </w:p>
    <w:p w14:paraId="176BECD2" w14:textId="181EA504" w:rsidR="00BE10DD" w:rsidRPr="00FF34F0" w:rsidRDefault="00BE10DD" w:rsidP="006C51C5">
      <w:pPr>
        <w:ind w:left="284" w:right="284"/>
        <w:rPr>
          <w:rFonts w:ascii="Garamond" w:hAnsi="Garamond" w:cs="Times New Roman"/>
        </w:rPr>
      </w:pPr>
      <w:r w:rsidRPr="00FF34F0">
        <w:rPr>
          <w:rFonts w:ascii="Garamond" w:hAnsi="Garamond" w:cs="Times New Roman"/>
        </w:rPr>
        <w:t xml:space="preserve">We had our first pan London conference and that was attended by representatives across London…and we mixed everyone up and we eventually workshopped ideas…but we kind of had the answers in our back pocket…And we were able to guide that conference to an answer that we had already, I suppose, decided on… </w:t>
      </w:r>
      <w:r w:rsidR="00FD4A18" w:rsidRPr="00FF34F0">
        <w:rPr>
          <w:rFonts w:ascii="Garamond" w:hAnsi="Garamond" w:cs="Times New Roman"/>
        </w:rPr>
        <w:t xml:space="preserve">(Fraser </w:t>
      </w:r>
      <w:r w:rsidR="000D674B" w:rsidRPr="00FF34F0">
        <w:rPr>
          <w:rFonts w:ascii="Garamond" w:hAnsi="Garamond" w:cs="Times New Roman"/>
        </w:rPr>
        <w:t xml:space="preserve">et al </w:t>
      </w:r>
      <w:r w:rsidR="00FD4A18" w:rsidRPr="00FF34F0">
        <w:rPr>
          <w:rFonts w:ascii="Garamond" w:hAnsi="Garamond" w:cs="Times New Roman"/>
        </w:rPr>
        <w:t>2017, p45).</w:t>
      </w:r>
    </w:p>
    <w:p w14:paraId="3D41F9C6" w14:textId="77777777" w:rsidR="007005E6" w:rsidRPr="00FF34F0" w:rsidRDefault="007005E6" w:rsidP="006C51C5">
      <w:pPr>
        <w:rPr>
          <w:rFonts w:ascii="Garamond" w:hAnsi="Garamond" w:cs="Times New Roman"/>
        </w:rPr>
      </w:pPr>
    </w:p>
    <w:p w14:paraId="0C5EC2FF" w14:textId="37AB1CB4" w:rsidR="00D6661C" w:rsidRPr="00FF34F0" w:rsidRDefault="00BE10DD" w:rsidP="006C51C5">
      <w:pPr>
        <w:rPr>
          <w:rFonts w:ascii="Garamond" w:eastAsia="Calibri" w:hAnsi="Garamond" w:cs="Times New Roman"/>
        </w:rPr>
      </w:pPr>
      <w:r w:rsidRPr="00FF34F0">
        <w:rPr>
          <w:rFonts w:ascii="Garamond" w:hAnsi="Garamond" w:cs="Times New Roman"/>
        </w:rPr>
        <w:t xml:space="preserve">The above </w:t>
      </w:r>
      <w:r w:rsidR="009F555C" w:rsidRPr="00FF34F0">
        <w:rPr>
          <w:rFonts w:ascii="Garamond" w:hAnsi="Garamond" w:cs="Times New Roman"/>
        </w:rPr>
        <w:t>work problematizes many of the recommendations of</w:t>
      </w:r>
      <w:r w:rsidR="005514C3" w:rsidRPr="00FF34F0">
        <w:rPr>
          <w:rFonts w:ascii="Garamond" w:hAnsi="Garamond" w:cs="Times New Roman"/>
        </w:rPr>
        <w:t xml:space="preserve"> </w:t>
      </w:r>
      <w:r w:rsidR="00C824FD" w:rsidRPr="00FF34F0">
        <w:rPr>
          <w:rFonts w:ascii="Garamond" w:hAnsi="Garamond" w:cs="Times New Roman"/>
        </w:rPr>
        <w:t xml:space="preserve">evaluation and implementation research, </w:t>
      </w:r>
      <w:r w:rsidR="009F555C" w:rsidRPr="00FF34F0">
        <w:rPr>
          <w:rFonts w:ascii="Garamond" w:hAnsi="Garamond" w:cs="Times New Roman"/>
        </w:rPr>
        <w:t xml:space="preserve">such as </w:t>
      </w:r>
      <w:r w:rsidR="00DF1011" w:rsidRPr="00FF34F0">
        <w:rPr>
          <w:rFonts w:ascii="Garamond" w:hAnsi="Garamond" w:cs="Times New Roman"/>
        </w:rPr>
        <w:t>‘</w:t>
      </w:r>
      <w:r w:rsidR="006D4577" w:rsidRPr="00FF34F0">
        <w:rPr>
          <w:rFonts w:ascii="Garamond" w:hAnsi="Garamond" w:cs="Times New Roman"/>
        </w:rPr>
        <w:t>engage physicians</w:t>
      </w:r>
      <w:r w:rsidR="009F555C" w:rsidRPr="00FF34F0">
        <w:rPr>
          <w:rFonts w:ascii="Garamond" w:hAnsi="Garamond" w:cs="Times New Roman"/>
        </w:rPr>
        <w:t>’ and ‘</w:t>
      </w:r>
      <w:r w:rsidR="00C824FD" w:rsidRPr="00FF34F0">
        <w:rPr>
          <w:rFonts w:ascii="Garamond" w:hAnsi="Garamond" w:cs="Times New Roman"/>
        </w:rPr>
        <w:t>involve</w:t>
      </w:r>
      <w:r w:rsidR="006D4577" w:rsidRPr="00FF34F0">
        <w:rPr>
          <w:rFonts w:ascii="Garamond" w:hAnsi="Garamond" w:cs="Times New Roman"/>
        </w:rPr>
        <w:t xml:space="preserve"> patients and families</w:t>
      </w:r>
      <w:r w:rsidRPr="00FF34F0">
        <w:rPr>
          <w:rFonts w:ascii="Garamond" w:hAnsi="Garamond" w:cs="Times New Roman"/>
        </w:rPr>
        <w:t>’</w:t>
      </w:r>
      <w:r w:rsidR="000D674B" w:rsidRPr="00FF34F0">
        <w:rPr>
          <w:rFonts w:ascii="Garamond" w:hAnsi="Garamond" w:cs="Times New Roman"/>
        </w:rPr>
        <w:t>,</w:t>
      </w:r>
      <w:r w:rsidR="001E0CB1" w:rsidRPr="00FF34F0">
        <w:rPr>
          <w:rFonts w:ascii="Garamond" w:hAnsi="Garamond" w:cs="Times New Roman"/>
        </w:rPr>
        <w:t xml:space="preserve"> </w:t>
      </w:r>
      <w:r w:rsidRPr="00FF34F0">
        <w:rPr>
          <w:rFonts w:ascii="Garamond" w:hAnsi="Garamond" w:cs="Times New Roman"/>
        </w:rPr>
        <w:t>showing how, in pr</w:t>
      </w:r>
      <w:r w:rsidR="000C3295" w:rsidRPr="00FF34F0">
        <w:rPr>
          <w:rFonts w:ascii="Garamond" w:hAnsi="Garamond" w:cs="Times New Roman"/>
        </w:rPr>
        <w:t>actice, these have been used as</w:t>
      </w:r>
      <w:r w:rsidR="00C050A6" w:rsidRPr="00FF34F0">
        <w:rPr>
          <w:rFonts w:ascii="Garamond" w:hAnsi="Garamond" w:cs="Times New Roman"/>
        </w:rPr>
        <w:t xml:space="preserve"> </w:t>
      </w:r>
      <w:proofErr w:type="spellStart"/>
      <w:r w:rsidR="009F555C" w:rsidRPr="00FF34F0">
        <w:rPr>
          <w:rFonts w:ascii="Garamond" w:hAnsi="Garamond" w:cs="Times New Roman"/>
        </w:rPr>
        <w:t>cooptive</w:t>
      </w:r>
      <w:proofErr w:type="spellEnd"/>
      <w:r w:rsidR="009F555C" w:rsidRPr="00FF34F0">
        <w:rPr>
          <w:rFonts w:ascii="Garamond" w:hAnsi="Garamond" w:cs="Times New Roman"/>
        </w:rPr>
        <w:t xml:space="preserve"> devices.</w:t>
      </w:r>
      <w:r w:rsidR="00380FBC" w:rsidRPr="00FF34F0">
        <w:rPr>
          <w:rFonts w:ascii="Garamond" w:hAnsi="Garamond" w:cs="Times New Roman"/>
        </w:rPr>
        <w:t xml:space="preserve"> Moreover, </w:t>
      </w:r>
      <w:r w:rsidR="006D4577" w:rsidRPr="00FF34F0">
        <w:rPr>
          <w:rFonts w:ascii="Garamond" w:hAnsi="Garamond" w:cs="Times New Roman"/>
        </w:rPr>
        <w:t xml:space="preserve">to the extent that these strategies are </w:t>
      </w:r>
      <w:r w:rsidR="004B4C55" w:rsidRPr="00FF34F0">
        <w:rPr>
          <w:rFonts w:ascii="Garamond" w:hAnsi="Garamond" w:cs="Times New Roman"/>
        </w:rPr>
        <w:t xml:space="preserve">recognized </w:t>
      </w:r>
      <w:r w:rsidR="005514C3" w:rsidRPr="00FF34F0">
        <w:rPr>
          <w:rFonts w:ascii="Garamond" w:hAnsi="Garamond" w:cs="Times New Roman"/>
        </w:rPr>
        <w:t xml:space="preserve">by other stakeholders they are </w:t>
      </w:r>
      <w:r w:rsidR="004B4C55" w:rsidRPr="00FF34F0">
        <w:rPr>
          <w:rFonts w:ascii="Garamond" w:hAnsi="Garamond" w:cs="Times New Roman"/>
        </w:rPr>
        <w:t>likely to ‘backfire’ by eroding trust</w:t>
      </w:r>
      <w:r w:rsidR="00163A0A" w:rsidRPr="00FF34F0">
        <w:rPr>
          <w:rFonts w:ascii="Garamond" w:hAnsi="Garamond" w:cs="Times New Roman"/>
        </w:rPr>
        <w:t xml:space="preserve"> (Jones and </w:t>
      </w:r>
      <w:proofErr w:type="spellStart"/>
      <w:r w:rsidR="00163A0A" w:rsidRPr="00FF34F0">
        <w:rPr>
          <w:rFonts w:ascii="Garamond" w:hAnsi="Garamond" w:cs="Times New Roman"/>
        </w:rPr>
        <w:t>Exworthy</w:t>
      </w:r>
      <w:proofErr w:type="spellEnd"/>
      <w:r w:rsidR="00163A0A" w:rsidRPr="00FF34F0">
        <w:rPr>
          <w:rFonts w:ascii="Garamond" w:hAnsi="Garamond" w:cs="Times New Roman"/>
        </w:rPr>
        <w:t xml:space="preserve"> 2015</w:t>
      </w:r>
      <w:r w:rsidRPr="00FF34F0">
        <w:rPr>
          <w:rFonts w:ascii="Garamond" w:hAnsi="Garamond" w:cs="Times New Roman"/>
        </w:rPr>
        <w:t>)</w:t>
      </w:r>
      <w:r w:rsidR="004B4C55" w:rsidRPr="00FF34F0">
        <w:rPr>
          <w:rFonts w:ascii="Garamond" w:hAnsi="Garamond" w:cs="Times New Roman"/>
        </w:rPr>
        <w:t xml:space="preserve">. </w:t>
      </w:r>
    </w:p>
    <w:p w14:paraId="4A33D0AB" w14:textId="513D198E" w:rsidR="009F555C" w:rsidRPr="00FF34F0" w:rsidRDefault="009F555C" w:rsidP="006C51C5">
      <w:pPr>
        <w:rPr>
          <w:rFonts w:ascii="Garamond" w:hAnsi="Garamond" w:cs="Times New Roman"/>
          <w:lang w:val="en-GB"/>
        </w:rPr>
      </w:pPr>
    </w:p>
    <w:p w14:paraId="5AE47198" w14:textId="081BE5C6" w:rsidR="00DE73F5" w:rsidRPr="00FF34F0" w:rsidRDefault="00DE73F5" w:rsidP="006C51C5">
      <w:pPr>
        <w:rPr>
          <w:rFonts w:ascii="Garamond" w:hAnsi="Garamond" w:cs="Times New Roman"/>
        </w:rPr>
      </w:pPr>
      <w:r w:rsidRPr="00FF34F0">
        <w:rPr>
          <w:rFonts w:ascii="Garamond" w:hAnsi="Garamond" w:cs="Times New Roman"/>
        </w:rPr>
        <w:t>Foucauldian perspectives on healthcare policy show that</w:t>
      </w:r>
      <w:r w:rsidR="00ED3611" w:rsidRPr="00FF34F0">
        <w:rPr>
          <w:rFonts w:ascii="Garamond" w:hAnsi="Garamond" w:cs="Times New Roman"/>
        </w:rPr>
        <w:t>,</w:t>
      </w:r>
      <w:r w:rsidRPr="00FF34F0">
        <w:rPr>
          <w:rFonts w:ascii="Garamond" w:hAnsi="Garamond" w:cs="Times New Roman"/>
        </w:rPr>
        <w:t xml:space="preserve"> beyond the often quite obvious use of rhetoric, power operates in policy practices in ways that are often difficult to see. Centr</w:t>
      </w:r>
      <w:r w:rsidR="00423677" w:rsidRPr="00FF34F0">
        <w:rPr>
          <w:rFonts w:ascii="Garamond" w:hAnsi="Garamond" w:cs="Times New Roman"/>
        </w:rPr>
        <w:t>al to these processes are</w:t>
      </w:r>
      <w:r w:rsidRPr="00FF34F0">
        <w:rPr>
          <w:rFonts w:ascii="Garamond" w:hAnsi="Garamond" w:cs="Times New Roman"/>
        </w:rPr>
        <w:t xml:space="preserve"> knowledge and expertise which serve to frame the debate, shaping how the problem is understood, which solutions are considered (and which are not) a</w:t>
      </w:r>
      <w:r w:rsidR="006500B4" w:rsidRPr="00FF34F0">
        <w:rPr>
          <w:rFonts w:ascii="Garamond" w:hAnsi="Garamond" w:cs="Times New Roman"/>
        </w:rPr>
        <w:t>nd who is included in decision-</w:t>
      </w:r>
      <w:r w:rsidRPr="00FF34F0">
        <w:rPr>
          <w:rFonts w:ascii="Garamond" w:hAnsi="Garamond" w:cs="Times New Roman"/>
        </w:rPr>
        <w:t xml:space="preserve">making. To the extent that research is orientated to problems as defined by </w:t>
      </w:r>
      <w:r w:rsidR="006500B4" w:rsidRPr="00FF34F0">
        <w:rPr>
          <w:rFonts w:ascii="Garamond" w:hAnsi="Garamond" w:cs="Times New Roman"/>
        </w:rPr>
        <w:t xml:space="preserve">policy elites, </w:t>
      </w:r>
      <w:r w:rsidRPr="00FF34F0">
        <w:rPr>
          <w:rFonts w:ascii="Garamond" w:hAnsi="Garamond" w:cs="Times New Roman"/>
        </w:rPr>
        <w:t xml:space="preserve">academic researchers are implicated in these processes. </w:t>
      </w:r>
    </w:p>
    <w:p w14:paraId="189FF944" w14:textId="4CFE75D1" w:rsidR="005B1064" w:rsidRPr="00FF34F0" w:rsidRDefault="005B1064" w:rsidP="006C51C5">
      <w:pPr>
        <w:rPr>
          <w:rFonts w:ascii="Garamond" w:hAnsi="Garamond" w:cs="Times New Roman"/>
        </w:rPr>
      </w:pPr>
    </w:p>
    <w:p w14:paraId="58FAB36F" w14:textId="77777777" w:rsidR="007263A2" w:rsidRPr="00FF34F0" w:rsidRDefault="007263A2" w:rsidP="006C51C5">
      <w:pPr>
        <w:rPr>
          <w:rFonts w:ascii="Garamond" w:hAnsi="Garamond" w:cs="Times New Roman"/>
        </w:rPr>
      </w:pPr>
    </w:p>
    <w:p w14:paraId="5BCB56A8" w14:textId="4D87CECE" w:rsidR="00235371" w:rsidRPr="00FF34F0" w:rsidRDefault="004C0BBF" w:rsidP="006C51C5">
      <w:pPr>
        <w:outlineLvl w:val="0"/>
        <w:rPr>
          <w:rFonts w:ascii="Garamond" w:hAnsi="Garamond" w:cs="Times New Roman"/>
          <w:b/>
          <w:lang w:val="en-GB"/>
        </w:rPr>
      </w:pPr>
      <w:r w:rsidRPr="00FF34F0">
        <w:rPr>
          <w:rFonts w:ascii="Garamond" w:hAnsi="Garamond" w:cs="Times New Roman"/>
          <w:b/>
          <w:lang w:val="en-GB"/>
        </w:rPr>
        <w:t>Discussion</w:t>
      </w:r>
    </w:p>
    <w:p w14:paraId="6BABB680" w14:textId="77777777" w:rsidR="004C0BBF" w:rsidRPr="00FF34F0" w:rsidRDefault="004C0BBF" w:rsidP="006C51C5">
      <w:pPr>
        <w:outlineLvl w:val="0"/>
        <w:rPr>
          <w:rFonts w:ascii="Garamond" w:hAnsi="Garamond" w:cs="Times New Roman"/>
          <w:b/>
          <w:lang w:val="en-GB"/>
        </w:rPr>
      </w:pPr>
    </w:p>
    <w:p w14:paraId="628E2482" w14:textId="01138D19" w:rsidR="00F57971" w:rsidRPr="00FF34F0" w:rsidRDefault="00FD4A18" w:rsidP="006C51C5">
      <w:pPr>
        <w:rPr>
          <w:rFonts w:ascii="Garamond" w:hAnsi="Garamond" w:cs="Times New Roman"/>
          <w:lang w:val="en-GB"/>
        </w:rPr>
      </w:pPr>
      <w:r w:rsidRPr="00FF34F0">
        <w:rPr>
          <w:rFonts w:ascii="Garamond" w:hAnsi="Garamond" w:cs="Times New Roman"/>
          <w:lang w:val="en-GB"/>
        </w:rPr>
        <w:t>In our</w:t>
      </w:r>
      <w:r w:rsidR="008E2C58" w:rsidRPr="00FF34F0">
        <w:rPr>
          <w:rFonts w:ascii="Garamond" w:hAnsi="Garamond" w:cs="Times New Roman"/>
          <w:lang w:val="en-GB"/>
        </w:rPr>
        <w:t xml:space="preserve"> review of </w:t>
      </w:r>
      <w:r w:rsidR="00CA098D" w:rsidRPr="00FF34F0">
        <w:rPr>
          <w:rFonts w:ascii="Garamond" w:hAnsi="Garamond" w:cs="Times New Roman"/>
          <w:lang w:val="en-GB"/>
        </w:rPr>
        <w:t xml:space="preserve">the existing literature on </w:t>
      </w:r>
      <w:r w:rsidR="00197B74" w:rsidRPr="00FF34F0">
        <w:rPr>
          <w:rFonts w:ascii="Garamond" w:hAnsi="Garamond" w:cs="Times New Roman"/>
          <w:lang w:val="en-GB"/>
        </w:rPr>
        <w:t>large-scale</w:t>
      </w:r>
      <w:r w:rsidR="005B1064" w:rsidRPr="00FF34F0">
        <w:rPr>
          <w:rFonts w:ascii="Garamond" w:hAnsi="Garamond" w:cs="Times New Roman"/>
          <w:lang w:val="en-GB"/>
        </w:rPr>
        <w:t xml:space="preserve"> </w:t>
      </w:r>
      <w:r w:rsidR="00CA098D" w:rsidRPr="00FF34F0">
        <w:rPr>
          <w:rFonts w:ascii="Garamond" w:hAnsi="Garamond" w:cs="Times New Roman"/>
          <w:lang w:val="en-GB"/>
        </w:rPr>
        <w:t>chang</w:t>
      </w:r>
      <w:r w:rsidR="00EC6E75" w:rsidRPr="00FF34F0">
        <w:rPr>
          <w:rFonts w:ascii="Garamond" w:hAnsi="Garamond" w:cs="Times New Roman"/>
          <w:lang w:val="en-GB"/>
        </w:rPr>
        <w:t>e</w:t>
      </w:r>
      <w:r w:rsidR="008E2C58" w:rsidRPr="00FF34F0">
        <w:rPr>
          <w:rFonts w:ascii="Garamond" w:hAnsi="Garamond" w:cs="Times New Roman"/>
          <w:lang w:val="en-GB"/>
        </w:rPr>
        <w:t xml:space="preserve"> we have highlighted the </w:t>
      </w:r>
      <w:r w:rsidR="005A72BE" w:rsidRPr="00FF34F0">
        <w:rPr>
          <w:rFonts w:ascii="Garamond" w:hAnsi="Garamond" w:cs="Times New Roman"/>
          <w:lang w:val="en-GB"/>
        </w:rPr>
        <w:t>domina</w:t>
      </w:r>
      <w:r w:rsidR="005F4BE7" w:rsidRPr="00FF34F0">
        <w:rPr>
          <w:rFonts w:ascii="Garamond" w:hAnsi="Garamond" w:cs="Times New Roman"/>
          <w:lang w:val="en-GB"/>
        </w:rPr>
        <w:t>n</w:t>
      </w:r>
      <w:r w:rsidR="008E2C58" w:rsidRPr="00FF34F0">
        <w:rPr>
          <w:rFonts w:ascii="Garamond" w:hAnsi="Garamond" w:cs="Times New Roman"/>
          <w:lang w:val="en-GB"/>
        </w:rPr>
        <w:t>ce of</w:t>
      </w:r>
      <w:r w:rsidR="005A72BE" w:rsidRPr="00FF34F0">
        <w:rPr>
          <w:rFonts w:ascii="Garamond" w:hAnsi="Garamond" w:cs="Times New Roman"/>
          <w:lang w:val="en-GB"/>
        </w:rPr>
        <w:t xml:space="preserve"> implementation</w:t>
      </w:r>
      <w:r w:rsidR="00EC6E75" w:rsidRPr="00FF34F0">
        <w:rPr>
          <w:rFonts w:ascii="Garamond" w:hAnsi="Garamond" w:cs="Times New Roman"/>
          <w:lang w:val="en-GB"/>
        </w:rPr>
        <w:t xml:space="preserve"> and evaluation studies that are</w:t>
      </w:r>
      <w:r w:rsidR="00B43392" w:rsidRPr="00FF34F0">
        <w:rPr>
          <w:rFonts w:ascii="Garamond" w:hAnsi="Garamond" w:cs="Times New Roman"/>
          <w:lang w:val="en-GB"/>
        </w:rPr>
        <w:t>, overall,</w:t>
      </w:r>
      <w:r w:rsidR="005A72BE" w:rsidRPr="00FF34F0">
        <w:rPr>
          <w:rFonts w:ascii="Garamond" w:hAnsi="Garamond" w:cs="Times New Roman"/>
          <w:lang w:val="en-GB"/>
        </w:rPr>
        <w:t xml:space="preserve"> highly normative, and although theoretically informed, </w:t>
      </w:r>
      <w:r w:rsidR="00A84210" w:rsidRPr="00FF34F0">
        <w:rPr>
          <w:rFonts w:ascii="Garamond" w:hAnsi="Garamond" w:cs="Times New Roman"/>
          <w:lang w:val="en-GB"/>
        </w:rPr>
        <w:t xml:space="preserve">orientated to generating recommendations for </w:t>
      </w:r>
      <w:r w:rsidR="005A72BE" w:rsidRPr="00FF34F0">
        <w:rPr>
          <w:rFonts w:ascii="Garamond" w:hAnsi="Garamond" w:cs="Times New Roman"/>
          <w:lang w:val="en-GB"/>
        </w:rPr>
        <w:t>real</w:t>
      </w:r>
      <w:r w:rsidR="00A84210" w:rsidRPr="00FF34F0">
        <w:rPr>
          <w:rFonts w:ascii="Garamond" w:hAnsi="Garamond" w:cs="Times New Roman"/>
          <w:lang w:val="en-GB"/>
        </w:rPr>
        <w:t>ising</w:t>
      </w:r>
      <w:r w:rsidR="005A72BE" w:rsidRPr="00FF34F0">
        <w:rPr>
          <w:rFonts w:ascii="Garamond" w:hAnsi="Garamond" w:cs="Times New Roman"/>
          <w:lang w:val="en-GB"/>
        </w:rPr>
        <w:t xml:space="preserve"> change. </w:t>
      </w:r>
      <w:r w:rsidR="006C09F9" w:rsidRPr="00FF34F0">
        <w:rPr>
          <w:rFonts w:ascii="Garamond" w:hAnsi="Garamond" w:cs="Times New Roman"/>
          <w:lang w:val="en-GB"/>
        </w:rPr>
        <w:t xml:space="preserve">We show how sociology can contribute to an understanding of </w:t>
      </w:r>
      <w:r w:rsidR="00197B74" w:rsidRPr="00FF34F0">
        <w:rPr>
          <w:rFonts w:ascii="Garamond" w:hAnsi="Garamond" w:cs="Times New Roman"/>
          <w:lang w:val="en-GB"/>
        </w:rPr>
        <w:t>large-scale</w:t>
      </w:r>
      <w:r w:rsidR="006C09F9" w:rsidRPr="00FF34F0">
        <w:rPr>
          <w:rFonts w:ascii="Garamond" w:hAnsi="Garamond" w:cs="Times New Roman"/>
          <w:lang w:val="en-GB"/>
        </w:rPr>
        <w:t xml:space="preserve"> change by </w:t>
      </w:r>
      <w:r w:rsidR="00D46680" w:rsidRPr="00FF34F0">
        <w:rPr>
          <w:rFonts w:ascii="Garamond" w:hAnsi="Garamond" w:cs="Times New Roman"/>
          <w:lang w:val="en-GB"/>
        </w:rPr>
        <w:t xml:space="preserve">surfacing underlying assumptions and </w:t>
      </w:r>
      <w:r w:rsidR="006C09F9" w:rsidRPr="00FF34F0">
        <w:rPr>
          <w:rFonts w:ascii="Garamond" w:hAnsi="Garamond" w:cs="Times New Roman"/>
          <w:lang w:val="en-GB"/>
        </w:rPr>
        <w:t>providing additional lines of analysis on the social, cultural and political</w:t>
      </w:r>
      <w:r w:rsidR="007A66ED" w:rsidRPr="00FF34F0">
        <w:rPr>
          <w:rFonts w:ascii="Garamond" w:hAnsi="Garamond" w:cs="Times New Roman"/>
          <w:lang w:val="en-GB"/>
        </w:rPr>
        <w:t xml:space="preserve"> dimensions</w:t>
      </w:r>
      <w:r w:rsidR="006C09F9" w:rsidRPr="00FF34F0">
        <w:rPr>
          <w:rFonts w:ascii="Garamond" w:hAnsi="Garamond" w:cs="Times New Roman"/>
          <w:lang w:val="en-GB"/>
        </w:rPr>
        <w:t xml:space="preserve">. </w:t>
      </w:r>
    </w:p>
    <w:p w14:paraId="43B817D8" w14:textId="77777777" w:rsidR="00F57971" w:rsidRPr="00FF34F0" w:rsidRDefault="00F57971" w:rsidP="006C51C5">
      <w:pPr>
        <w:rPr>
          <w:rFonts w:ascii="Garamond" w:hAnsi="Garamond" w:cs="Times New Roman"/>
          <w:lang w:val="en-GB"/>
        </w:rPr>
      </w:pPr>
    </w:p>
    <w:p w14:paraId="3CDCE4A0" w14:textId="754D2DC7" w:rsidR="00064CCE" w:rsidRPr="00FF34F0" w:rsidRDefault="006C09F9" w:rsidP="006C51C5">
      <w:pPr>
        <w:rPr>
          <w:rFonts w:ascii="Garamond" w:hAnsi="Garamond" w:cs="Times New Roman"/>
          <w:lang w:val="en-GB"/>
        </w:rPr>
      </w:pPr>
      <w:r w:rsidRPr="00FF34F0">
        <w:rPr>
          <w:rFonts w:ascii="Garamond" w:hAnsi="Garamond" w:cs="Times New Roman"/>
          <w:lang w:val="en-GB"/>
        </w:rPr>
        <w:t xml:space="preserve">A focus on </w:t>
      </w:r>
      <w:r w:rsidR="00197B74" w:rsidRPr="00FF34F0">
        <w:rPr>
          <w:rFonts w:ascii="Garamond" w:hAnsi="Garamond" w:cs="Times New Roman"/>
          <w:lang w:val="en-GB"/>
        </w:rPr>
        <w:t>large-scale</w:t>
      </w:r>
      <w:r w:rsidRPr="00FF34F0">
        <w:rPr>
          <w:rFonts w:ascii="Garamond" w:hAnsi="Garamond" w:cs="Times New Roman"/>
          <w:lang w:val="en-GB"/>
        </w:rPr>
        <w:t xml:space="preserve"> change can also contribute a wider and deeper understanding of the core</w:t>
      </w:r>
      <w:r w:rsidR="005B1064" w:rsidRPr="00FF34F0">
        <w:rPr>
          <w:rFonts w:ascii="Garamond" w:hAnsi="Garamond" w:cs="Times New Roman"/>
          <w:lang w:val="en-GB"/>
        </w:rPr>
        <w:t xml:space="preserve"> concerns of medical sociology - </w:t>
      </w:r>
      <w:r w:rsidRPr="00FF34F0">
        <w:rPr>
          <w:rFonts w:ascii="Garamond" w:hAnsi="Garamond" w:cs="Times New Roman"/>
          <w:lang w:val="en-GB"/>
        </w:rPr>
        <w:t xml:space="preserve">medical knowledge, the practice of medical work, and the experience of receiving or giving medical and health care </w:t>
      </w:r>
      <w:r w:rsidR="00D350FB" w:rsidRPr="00FF34F0">
        <w:rPr>
          <w:rFonts w:ascii="Garamond" w:hAnsi="Garamond" w:cs="Times New Roman"/>
          <w:lang w:val="en-GB"/>
        </w:rPr>
        <w:t xml:space="preserve">- </w:t>
      </w:r>
      <w:r w:rsidRPr="00FF34F0">
        <w:rPr>
          <w:rFonts w:ascii="Garamond" w:hAnsi="Garamond" w:cs="Times New Roman"/>
          <w:lang w:val="en-GB"/>
        </w:rPr>
        <w:t xml:space="preserve">by linking micro and </w:t>
      </w:r>
      <w:proofErr w:type="spellStart"/>
      <w:r w:rsidRPr="00FF34F0">
        <w:rPr>
          <w:rFonts w:ascii="Garamond" w:hAnsi="Garamond" w:cs="Times New Roman"/>
          <w:lang w:val="en-GB"/>
        </w:rPr>
        <w:t>meso</w:t>
      </w:r>
      <w:proofErr w:type="spellEnd"/>
      <w:r w:rsidRPr="00FF34F0">
        <w:rPr>
          <w:rFonts w:ascii="Garamond" w:hAnsi="Garamond" w:cs="Times New Roman"/>
          <w:lang w:val="en-GB"/>
        </w:rPr>
        <w:t xml:space="preserve"> practices to macro-level social processes. Sociological perspectives on </w:t>
      </w:r>
      <w:r w:rsidR="00197B74" w:rsidRPr="00FF34F0">
        <w:rPr>
          <w:rFonts w:ascii="Garamond" w:hAnsi="Garamond" w:cs="Times New Roman"/>
          <w:lang w:val="en-GB"/>
        </w:rPr>
        <w:t>large-scale</w:t>
      </w:r>
      <w:r w:rsidRPr="00FF34F0">
        <w:rPr>
          <w:rFonts w:ascii="Garamond" w:hAnsi="Garamond" w:cs="Times New Roman"/>
          <w:lang w:val="en-GB"/>
        </w:rPr>
        <w:t xml:space="preserve"> change bring</w:t>
      </w:r>
      <w:r w:rsidR="0096019F" w:rsidRPr="00FF34F0">
        <w:rPr>
          <w:rFonts w:ascii="Garamond" w:hAnsi="Garamond" w:cs="Times New Roman"/>
          <w:lang w:val="en-GB"/>
        </w:rPr>
        <w:t xml:space="preserve"> the healthcare landscape, </w:t>
      </w:r>
      <w:r w:rsidRPr="00FF34F0">
        <w:rPr>
          <w:rFonts w:ascii="Garamond" w:hAnsi="Garamond" w:cs="Times New Roman"/>
          <w:lang w:val="en-GB"/>
        </w:rPr>
        <w:t xml:space="preserve">often the backdrop to studies in medical sociology, to the fore, </w:t>
      </w:r>
      <w:r w:rsidR="005B1064" w:rsidRPr="00FF34F0">
        <w:rPr>
          <w:rFonts w:ascii="Garamond" w:hAnsi="Garamond" w:cs="Times New Roman"/>
          <w:lang w:val="en-GB"/>
        </w:rPr>
        <w:t xml:space="preserve">showing </w:t>
      </w:r>
      <w:r w:rsidRPr="00FF34F0">
        <w:rPr>
          <w:rFonts w:ascii="Garamond" w:hAnsi="Garamond" w:cs="Times New Roman"/>
          <w:lang w:val="en-GB"/>
        </w:rPr>
        <w:t xml:space="preserve">how this infrastructure shapes and supports working relations, interactions and practices. From this perspective the healthcare landscape is simultaneously a system of social relationships and a system of ideas. This stance reveals the configuration of the healthcare landscape to be an </w:t>
      </w:r>
      <w:r w:rsidRPr="00FF34F0">
        <w:rPr>
          <w:rFonts w:ascii="Garamond" w:hAnsi="Garamond" w:cs="Times New Roman"/>
          <w:lang w:val="en-GB"/>
        </w:rPr>
        <w:lastRenderedPageBreak/>
        <w:t>important site of political contestation, illuminating how beliefs and ideologies are manifes</w:t>
      </w:r>
      <w:r w:rsidR="0076508B" w:rsidRPr="00FF34F0">
        <w:rPr>
          <w:rFonts w:ascii="Garamond" w:hAnsi="Garamond" w:cs="Times New Roman"/>
          <w:lang w:val="en-GB"/>
        </w:rPr>
        <w:t>t in the distribution of health</w:t>
      </w:r>
      <w:r w:rsidRPr="00FF34F0">
        <w:rPr>
          <w:rFonts w:ascii="Garamond" w:hAnsi="Garamond" w:cs="Times New Roman"/>
          <w:lang w:val="en-GB"/>
        </w:rPr>
        <w:t xml:space="preserve">care facilities, how plans for change privilege particular visions and versions of health care and advance the interests of certain groups, and how the disruption of the therapeutic landscape invokes reflection on values and identity, and provokes collective social action. Sociological perspectives on </w:t>
      </w:r>
      <w:r w:rsidR="00197B74" w:rsidRPr="00FF34F0">
        <w:rPr>
          <w:rFonts w:ascii="Garamond" w:hAnsi="Garamond" w:cs="Times New Roman"/>
          <w:lang w:val="en-GB"/>
        </w:rPr>
        <w:t>large-scale</w:t>
      </w:r>
      <w:r w:rsidRPr="00FF34F0">
        <w:rPr>
          <w:rFonts w:ascii="Garamond" w:hAnsi="Garamond" w:cs="Times New Roman"/>
          <w:lang w:val="en-GB"/>
        </w:rPr>
        <w:t xml:space="preserve"> change are attuned to the way that territory is discursively rendered in systems of governance that include forms of knowledge and the practices of professionals. </w:t>
      </w:r>
      <w:r w:rsidR="00064CCE" w:rsidRPr="00FF34F0">
        <w:rPr>
          <w:rFonts w:ascii="Garamond" w:hAnsi="Garamond" w:cs="Times New Roman"/>
          <w:lang w:val="en-GB"/>
        </w:rPr>
        <w:t xml:space="preserve">We suggest that future research might benefit from ethnographic approaches that ‘follow’ a policy through multiple practices at different levels </w:t>
      </w:r>
      <w:r w:rsidR="00A10CE9">
        <w:rPr>
          <w:rFonts w:ascii="Garamond" w:hAnsi="Garamond" w:cs="Times New Roman"/>
          <w:lang w:val="en-GB"/>
        </w:rPr>
        <w:t>(Ball 2016, Shore and Wright 199</w:t>
      </w:r>
      <w:r w:rsidR="00064CCE" w:rsidRPr="00FF34F0">
        <w:rPr>
          <w:rFonts w:ascii="Garamond" w:hAnsi="Garamond" w:cs="Times New Roman"/>
          <w:lang w:val="en-GB"/>
        </w:rPr>
        <w:t>7,</w:t>
      </w:r>
      <w:r w:rsidR="005F7E14" w:rsidRPr="00FF34F0">
        <w:rPr>
          <w:rFonts w:ascii="Garamond" w:hAnsi="Garamond" w:cs="Times New Roman"/>
          <w:lang w:val="en-GB"/>
        </w:rPr>
        <w:t xml:space="preserve"> Marcus 1995</w:t>
      </w:r>
      <w:r w:rsidR="00064CCE" w:rsidRPr="00FF34F0">
        <w:rPr>
          <w:rFonts w:ascii="Garamond" w:hAnsi="Garamond" w:cs="Times New Roman"/>
          <w:lang w:val="en-GB"/>
        </w:rPr>
        <w:t xml:space="preserve">). These approaches are well-suited to </w:t>
      </w:r>
      <w:r w:rsidR="00892A0D" w:rsidRPr="00FF34F0">
        <w:rPr>
          <w:rFonts w:ascii="Garamond" w:hAnsi="Garamond" w:cs="Times New Roman"/>
          <w:lang w:val="en-GB"/>
        </w:rPr>
        <w:t xml:space="preserve">the way that </w:t>
      </w:r>
      <w:r w:rsidR="00064CCE" w:rsidRPr="00FF34F0">
        <w:rPr>
          <w:rFonts w:ascii="Garamond" w:hAnsi="Garamond" w:cs="Times New Roman"/>
          <w:lang w:val="en-GB"/>
        </w:rPr>
        <w:t xml:space="preserve">contemporary </w:t>
      </w:r>
      <w:r w:rsidR="00892A0D" w:rsidRPr="00FF34F0">
        <w:rPr>
          <w:rFonts w:ascii="Garamond" w:hAnsi="Garamond" w:cs="Times New Roman"/>
          <w:lang w:val="en-GB"/>
        </w:rPr>
        <w:t xml:space="preserve">healthcare </w:t>
      </w:r>
      <w:r w:rsidR="00064CCE" w:rsidRPr="00FF34F0">
        <w:rPr>
          <w:rFonts w:ascii="Garamond" w:hAnsi="Garamond" w:cs="Times New Roman"/>
          <w:lang w:val="en-GB"/>
        </w:rPr>
        <w:t>governance</w:t>
      </w:r>
      <w:r w:rsidR="00892A0D" w:rsidRPr="00FF34F0">
        <w:rPr>
          <w:rFonts w:ascii="Garamond" w:hAnsi="Garamond" w:cs="Times New Roman"/>
          <w:lang w:val="en-GB"/>
        </w:rPr>
        <w:t xml:space="preserve"> involves </w:t>
      </w:r>
      <w:r w:rsidR="00064CCE" w:rsidRPr="00FF34F0">
        <w:rPr>
          <w:rFonts w:ascii="Garamond" w:hAnsi="Garamond" w:cs="Times New Roman"/>
          <w:lang w:val="en-GB"/>
        </w:rPr>
        <w:t xml:space="preserve">the knowledge and activities of multiple actors and organisations, across international, national, regional, and local levels. </w:t>
      </w:r>
    </w:p>
    <w:p w14:paraId="5C10B70F" w14:textId="77777777" w:rsidR="0096019F" w:rsidRPr="00FF34F0" w:rsidRDefault="0096019F" w:rsidP="006C51C5">
      <w:pPr>
        <w:rPr>
          <w:rFonts w:ascii="Garamond" w:hAnsi="Garamond" w:cs="Times New Roman"/>
          <w:lang w:val="en-GB"/>
        </w:rPr>
      </w:pPr>
    </w:p>
    <w:p w14:paraId="6D4C313B" w14:textId="346834C5" w:rsidR="003B0683" w:rsidRPr="00FF34F0" w:rsidRDefault="00D56748" w:rsidP="006C51C5">
      <w:pPr>
        <w:rPr>
          <w:rFonts w:ascii="Garamond" w:hAnsi="Garamond" w:cs="Times New Roman"/>
          <w:lang w:val="en-GB"/>
        </w:rPr>
      </w:pPr>
      <w:r w:rsidRPr="00FF34F0">
        <w:rPr>
          <w:rFonts w:ascii="Garamond" w:hAnsi="Garamond" w:cs="Times New Roman"/>
          <w:lang w:val="en-GB"/>
        </w:rPr>
        <w:t>The findings fro</w:t>
      </w:r>
      <w:r w:rsidR="00163A0A" w:rsidRPr="00FF34F0">
        <w:rPr>
          <w:rFonts w:ascii="Garamond" w:hAnsi="Garamond" w:cs="Times New Roman"/>
          <w:lang w:val="en-GB"/>
        </w:rPr>
        <w:t>m our review support</w:t>
      </w:r>
      <w:r w:rsidRPr="00FF34F0">
        <w:rPr>
          <w:rFonts w:ascii="Garamond" w:hAnsi="Garamond" w:cs="Times New Roman"/>
          <w:lang w:val="en-GB"/>
        </w:rPr>
        <w:t xml:space="preserve"> </w:t>
      </w:r>
      <w:r w:rsidR="004852BE" w:rsidRPr="00FF34F0">
        <w:rPr>
          <w:rFonts w:ascii="Garamond" w:hAnsi="Garamond" w:cs="Times New Roman"/>
          <w:lang w:val="en-GB"/>
        </w:rPr>
        <w:t>Ferlie</w:t>
      </w:r>
      <w:r w:rsidRPr="00FF34F0">
        <w:rPr>
          <w:rFonts w:ascii="Garamond" w:hAnsi="Garamond" w:cs="Times New Roman"/>
          <w:lang w:val="en-GB"/>
        </w:rPr>
        <w:t>’s</w:t>
      </w:r>
      <w:r w:rsidR="004852BE" w:rsidRPr="00FF34F0">
        <w:rPr>
          <w:rFonts w:ascii="Garamond" w:hAnsi="Garamond" w:cs="Times New Roman"/>
          <w:lang w:val="en-GB"/>
        </w:rPr>
        <w:t xml:space="preserve"> (2016) </w:t>
      </w:r>
      <w:r w:rsidRPr="00FF34F0">
        <w:rPr>
          <w:rFonts w:ascii="Garamond" w:hAnsi="Garamond" w:cs="Times New Roman"/>
          <w:lang w:val="en-GB"/>
        </w:rPr>
        <w:t xml:space="preserve">assertion </w:t>
      </w:r>
      <w:r w:rsidR="004852BE" w:rsidRPr="00FF34F0">
        <w:rPr>
          <w:rFonts w:ascii="Garamond" w:hAnsi="Garamond" w:cs="Times New Roman"/>
          <w:lang w:val="en-GB"/>
        </w:rPr>
        <w:t xml:space="preserve">that there has been in decline in social science-based analysis of organisational change in the context of public policy. </w:t>
      </w:r>
      <w:r w:rsidR="00F57971" w:rsidRPr="00FF34F0">
        <w:rPr>
          <w:rFonts w:ascii="Garamond" w:hAnsi="Garamond" w:cs="Times New Roman"/>
          <w:lang w:val="en-GB"/>
        </w:rPr>
        <w:t xml:space="preserve">Ferlie’s assessment echoes broader concerns within sociology that the support from government agencies for competing forms of knowledge, such as conventional economics, has led, in part, to the marginalisation of sociological perspectives in social knowledge (Brown and Spencer 2014, </w:t>
      </w:r>
      <w:proofErr w:type="spellStart"/>
      <w:r w:rsidR="00F57971" w:rsidRPr="00FF34F0">
        <w:rPr>
          <w:rFonts w:ascii="Garamond" w:hAnsi="Garamond" w:cs="Times New Roman"/>
          <w:lang w:val="en-GB"/>
        </w:rPr>
        <w:t>Burawoy</w:t>
      </w:r>
      <w:proofErr w:type="spellEnd"/>
      <w:r w:rsidR="00F57971" w:rsidRPr="00FF34F0">
        <w:rPr>
          <w:rFonts w:ascii="Garamond" w:hAnsi="Garamond" w:cs="Times New Roman"/>
          <w:lang w:val="en-GB"/>
        </w:rPr>
        <w:t xml:space="preserve"> 2015, Sorokin 2017).</w:t>
      </w:r>
      <w:r w:rsidR="00A423ED" w:rsidRPr="00FF34F0">
        <w:rPr>
          <w:rFonts w:ascii="Garamond" w:hAnsi="Garamond" w:cs="Times New Roman"/>
          <w:lang w:val="en-GB"/>
        </w:rPr>
        <w:t xml:space="preserve"> </w:t>
      </w:r>
      <w:r w:rsidR="004852BE" w:rsidRPr="00FF34F0">
        <w:rPr>
          <w:rFonts w:ascii="Garamond" w:hAnsi="Garamond" w:cs="Times New Roman"/>
          <w:lang w:val="en-GB"/>
        </w:rPr>
        <w:t>Health services research can be considered instrumental in cases where the questions are not defined by the researcher. In such cases the values and the goals of the research are supplied by external funding and policy agencies, and the focus is on ‘providing solutions to predefined problems, the means to predefined ends’ (</w:t>
      </w:r>
      <w:proofErr w:type="spellStart"/>
      <w:r w:rsidR="004852BE" w:rsidRPr="00FF34F0">
        <w:rPr>
          <w:rFonts w:ascii="Garamond" w:hAnsi="Garamond" w:cs="Times New Roman"/>
          <w:lang w:val="en-GB"/>
        </w:rPr>
        <w:t>Burawoy</w:t>
      </w:r>
      <w:proofErr w:type="spellEnd"/>
      <w:r w:rsidR="004852BE" w:rsidRPr="00FF34F0">
        <w:rPr>
          <w:rFonts w:ascii="Garamond" w:hAnsi="Garamond" w:cs="Times New Roman"/>
          <w:lang w:val="en-GB"/>
        </w:rPr>
        <w:t xml:space="preserve"> 2004, p1606). </w:t>
      </w:r>
      <w:r w:rsidR="00F904CD" w:rsidRPr="00FF34F0">
        <w:rPr>
          <w:rFonts w:ascii="Garamond" w:hAnsi="Garamond" w:cs="Times New Roman"/>
          <w:lang w:val="en-GB"/>
        </w:rPr>
        <w:t>Learmonth (2003) observes</w:t>
      </w:r>
      <w:r w:rsidR="003B0683" w:rsidRPr="00FF34F0">
        <w:rPr>
          <w:rFonts w:ascii="Garamond" w:hAnsi="Garamond" w:cs="Times New Roman"/>
          <w:lang w:val="en-GB"/>
        </w:rPr>
        <w:t xml:space="preserve"> that, in some cases, the vocabulary of senior managers is reproduced in the wording of speci</w:t>
      </w:r>
      <w:r w:rsidR="0021753D" w:rsidRPr="00FF34F0">
        <w:rPr>
          <w:rFonts w:ascii="Garamond" w:hAnsi="Garamond" w:cs="Times New Roman"/>
          <w:lang w:val="en-GB"/>
        </w:rPr>
        <w:t>ficati</w:t>
      </w:r>
      <w:r w:rsidR="00F904CD" w:rsidRPr="00FF34F0">
        <w:rPr>
          <w:rFonts w:ascii="Garamond" w:hAnsi="Garamond" w:cs="Times New Roman"/>
          <w:lang w:val="en-GB"/>
        </w:rPr>
        <w:t>ons from funding agencies. The</w:t>
      </w:r>
      <w:r w:rsidR="009F231C" w:rsidRPr="00FF34F0">
        <w:rPr>
          <w:rFonts w:ascii="Garamond" w:hAnsi="Garamond" w:cs="Times New Roman"/>
          <w:lang w:val="en-GB"/>
        </w:rPr>
        <w:t xml:space="preserve">se tendencies </w:t>
      </w:r>
      <w:r w:rsidR="0021753D" w:rsidRPr="00FF34F0">
        <w:rPr>
          <w:rFonts w:ascii="Garamond" w:hAnsi="Garamond" w:cs="Times New Roman"/>
          <w:lang w:val="en-GB"/>
        </w:rPr>
        <w:t xml:space="preserve">are </w:t>
      </w:r>
      <w:r w:rsidR="00A423ED" w:rsidRPr="00FF34F0">
        <w:rPr>
          <w:rFonts w:ascii="Garamond" w:hAnsi="Garamond" w:cs="Times New Roman"/>
          <w:lang w:val="en-GB"/>
        </w:rPr>
        <w:t>likely to be i</w:t>
      </w:r>
      <w:r w:rsidR="003B0683" w:rsidRPr="00FF34F0">
        <w:rPr>
          <w:rFonts w:ascii="Garamond" w:hAnsi="Garamond" w:cs="Times New Roman"/>
          <w:lang w:val="en-GB"/>
        </w:rPr>
        <w:t xml:space="preserve">ntensified by features of contemporary academic research practice, such as the increasing number of early-career social scientists reliant on fixed term contracts funded by government agencies, and the expectation that resultant research will </w:t>
      </w:r>
      <w:r w:rsidR="00877FE2" w:rsidRPr="00FF34F0">
        <w:rPr>
          <w:rFonts w:ascii="Garamond" w:hAnsi="Garamond" w:cs="Times New Roman"/>
          <w:lang w:val="en-GB"/>
        </w:rPr>
        <w:t>be ‘co-produced’ with senior service</w:t>
      </w:r>
      <w:r w:rsidR="003B0683" w:rsidRPr="00FF34F0">
        <w:rPr>
          <w:rFonts w:ascii="Garamond" w:hAnsi="Garamond" w:cs="Times New Roman"/>
          <w:lang w:val="en-GB"/>
        </w:rPr>
        <w:t xml:space="preserve"> managers. </w:t>
      </w:r>
    </w:p>
    <w:p w14:paraId="501C54E1" w14:textId="77777777" w:rsidR="003B0683" w:rsidRPr="00FF34F0" w:rsidRDefault="003B0683" w:rsidP="006C51C5">
      <w:pPr>
        <w:rPr>
          <w:rFonts w:ascii="Garamond" w:hAnsi="Garamond" w:cs="Times New Roman"/>
          <w:lang w:val="en-GB"/>
        </w:rPr>
      </w:pPr>
    </w:p>
    <w:p w14:paraId="3E8D5D21" w14:textId="583AEDEF" w:rsidR="00316FDE" w:rsidRPr="00FF34F0" w:rsidRDefault="004852BE" w:rsidP="006C51C5">
      <w:pPr>
        <w:rPr>
          <w:rFonts w:ascii="Garamond" w:hAnsi="Garamond" w:cs="Times New Roman"/>
          <w:lang w:val="en-GB"/>
        </w:rPr>
      </w:pPr>
      <w:proofErr w:type="spellStart"/>
      <w:r w:rsidRPr="00FF34F0">
        <w:rPr>
          <w:rFonts w:ascii="Garamond" w:hAnsi="Garamond" w:cs="Times New Roman"/>
          <w:lang w:val="en-GB"/>
        </w:rPr>
        <w:t>Scambler</w:t>
      </w:r>
      <w:proofErr w:type="spellEnd"/>
      <w:r w:rsidRPr="00FF34F0">
        <w:rPr>
          <w:rFonts w:ascii="Garamond" w:hAnsi="Garamond" w:cs="Times New Roman"/>
          <w:lang w:val="en-GB"/>
        </w:rPr>
        <w:t xml:space="preserve"> (1996) argues that studies funded by government departments are not intrinsically undesirable, but represent particular interests. </w:t>
      </w:r>
      <w:r w:rsidR="00163A0A" w:rsidRPr="00FF34F0">
        <w:rPr>
          <w:rFonts w:ascii="Garamond" w:hAnsi="Garamond" w:cs="Times New Roman"/>
          <w:lang w:val="en-GB"/>
        </w:rPr>
        <w:t>He advocates c</w:t>
      </w:r>
      <w:r w:rsidR="00D56748" w:rsidRPr="00FF34F0">
        <w:rPr>
          <w:rFonts w:ascii="Garamond" w:hAnsi="Garamond" w:cs="Times New Roman"/>
          <w:lang w:val="en-GB"/>
        </w:rPr>
        <w:t xml:space="preserve">ritical theory </w:t>
      </w:r>
      <w:r w:rsidR="00163A0A" w:rsidRPr="00FF34F0">
        <w:rPr>
          <w:rFonts w:ascii="Garamond" w:hAnsi="Garamond" w:cs="Times New Roman"/>
          <w:lang w:val="en-GB"/>
        </w:rPr>
        <w:t>as offering</w:t>
      </w:r>
      <w:r w:rsidR="00D56748" w:rsidRPr="00FF34F0">
        <w:rPr>
          <w:rFonts w:ascii="Garamond" w:hAnsi="Garamond" w:cs="Times New Roman"/>
          <w:lang w:val="en-GB"/>
        </w:rPr>
        <w:t xml:space="preserve"> sociologists studying healthcare change an orientation that acts as a corrective to the dominance of economic and state imperatives in research agendas. </w:t>
      </w:r>
      <w:r w:rsidR="00316FDE" w:rsidRPr="00FF34F0">
        <w:rPr>
          <w:rFonts w:ascii="Garamond" w:hAnsi="Garamond" w:cs="Times New Roman"/>
          <w:lang w:val="en-GB"/>
        </w:rPr>
        <w:t>Critical perspectives are important because of the way that</w:t>
      </w:r>
      <w:r w:rsidR="00197B74" w:rsidRPr="00FF34F0">
        <w:rPr>
          <w:rFonts w:ascii="Garamond" w:hAnsi="Garamond" w:cs="Times New Roman"/>
          <w:lang w:val="en-GB"/>
        </w:rPr>
        <w:t xml:space="preserve"> large-scale</w:t>
      </w:r>
      <w:r w:rsidR="00270A77" w:rsidRPr="00FF34F0">
        <w:rPr>
          <w:rFonts w:ascii="Garamond" w:hAnsi="Garamond" w:cs="Times New Roman"/>
          <w:lang w:val="en-GB"/>
        </w:rPr>
        <w:t xml:space="preserve"> change is, for many, </w:t>
      </w:r>
      <w:r w:rsidR="00316FDE" w:rsidRPr="00FF34F0">
        <w:rPr>
          <w:rFonts w:ascii="Garamond" w:hAnsi="Garamond" w:cs="Times New Roman"/>
          <w:lang w:val="en-GB"/>
        </w:rPr>
        <w:t>a ‘troubling’ iss</w:t>
      </w:r>
      <w:r w:rsidR="00A10CE9">
        <w:rPr>
          <w:rFonts w:ascii="Garamond" w:hAnsi="Garamond" w:cs="Times New Roman"/>
          <w:lang w:val="en-GB"/>
        </w:rPr>
        <w:t>ue (Willmott 2015</w:t>
      </w:r>
      <w:r w:rsidR="00197B74" w:rsidRPr="00FF34F0">
        <w:rPr>
          <w:rFonts w:ascii="Garamond" w:hAnsi="Garamond" w:cs="Times New Roman"/>
          <w:lang w:val="en-GB"/>
        </w:rPr>
        <w:t>). Large-scale</w:t>
      </w:r>
      <w:r w:rsidR="00316FDE" w:rsidRPr="00FF34F0">
        <w:rPr>
          <w:rFonts w:ascii="Garamond" w:hAnsi="Garamond" w:cs="Times New Roman"/>
          <w:lang w:val="en-GB"/>
        </w:rPr>
        <w:t xml:space="preserve"> change disrupts clinical teams, care practices and therapeutic relationships, and fractures individual and collective identities. It can also disrupt the relations between local institutions and the communities they serve (Brown 2003). </w:t>
      </w:r>
      <w:r w:rsidR="00197B74" w:rsidRPr="00FF34F0">
        <w:rPr>
          <w:rFonts w:ascii="Garamond" w:hAnsi="Garamond" w:cs="Times New Roman"/>
          <w:lang w:val="en-GB"/>
        </w:rPr>
        <w:t xml:space="preserve">Large-scale </w:t>
      </w:r>
      <w:r w:rsidR="00316FDE" w:rsidRPr="00FF34F0">
        <w:rPr>
          <w:rFonts w:ascii="Garamond" w:hAnsi="Garamond" w:cs="Times New Roman"/>
          <w:lang w:val="en-GB"/>
        </w:rPr>
        <w:t xml:space="preserve">change reconfigures state-citizen relations at the same time as it redistributes resources. </w:t>
      </w:r>
      <w:r w:rsidR="00270A77" w:rsidRPr="00FF34F0">
        <w:rPr>
          <w:rFonts w:ascii="Garamond" w:hAnsi="Garamond" w:cs="Times New Roman"/>
          <w:lang w:val="en-GB"/>
        </w:rPr>
        <w:t>And behind euphemistic reference to ‘system leadership’ and ‘hands on facilitation’</w:t>
      </w:r>
      <w:r w:rsidR="00CC347A" w:rsidRPr="00FF34F0">
        <w:rPr>
          <w:rFonts w:ascii="Garamond" w:hAnsi="Garamond" w:cs="Times New Roman"/>
          <w:lang w:val="en-GB"/>
        </w:rPr>
        <w:t xml:space="preserve"> is the suggestion of coercion and domination</w:t>
      </w:r>
      <w:r w:rsidR="00270A77" w:rsidRPr="00FF34F0">
        <w:rPr>
          <w:rFonts w:ascii="Garamond" w:hAnsi="Garamond" w:cs="Times New Roman"/>
          <w:lang w:val="en-GB"/>
        </w:rPr>
        <w:t xml:space="preserve">. </w:t>
      </w:r>
      <w:r w:rsidR="00316FDE" w:rsidRPr="00FF34F0">
        <w:rPr>
          <w:rFonts w:ascii="Garamond" w:hAnsi="Garamond" w:cs="Times New Roman"/>
          <w:lang w:val="en-GB"/>
        </w:rPr>
        <w:t>It also invariably consumes vast amount of public resources in the pursuit of change that is often never realised</w:t>
      </w:r>
      <w:r w:rsidR="00CC347A" w:rsidRPr="00FF34F0">
        <w:rPr>
          <w:rFonts w:ascii="Garamond" w:hAnsi="Garamond" w:cs="Times New Roman"/>
          <w:lang w:val="en-GB"/>
        </w:rPr>
        <w:t>.</w:t>
      </w:r>
      <w:r w:rsidR="00316FDE" w:rsidRPr="00FF34F0">
        <w:rPr>
          <w:rFonts w:ascii="Garamond" w:hAnsi="Garamond" w:cs="Times New Roman"/>
          <w:lang w:val="en-GB"/>
        </w:rPr>
        <w:t xml:space="preserve"> In a rare </w:t>
      </w:r>
      <w:r w:rsidR="00CC347A" w:rsidRPr="00FF34F0">
        <w:rPr>
          <w:rFonts w:ascii="Garamond" w:hAnsi="Garamond" w:cs="Times New Roman"/>
          <w:lang w:val="en-GB"/>
        </w:rPr>
        <w:t xml:space="preserve">effort </w:t>
      </w:r>
      <w:r w:rsidR="00316FDE" w:rsidRPr="00FF34F0">
        <w:rPr>
          <w:rFonts w:ascii="Garamond" w:hAnsi="Garamond" w:cs="Times New Roman"/>
          <w:lang w:val="en-GB"/>
        </w:rPr>
        <w:t xml:space="preserve">to cost the process, </w:t>
      </w:r>
      <w:proofErr w:type="spellStart"/>
      <w:r w:rsidR="00316FDE" w:rsidRPr="00FF34F0">
        <w:rPr>
          <w:rFonts w:ascii="Garamond" w:hAnsi="Garamond" w:cs="Times New Roman"/>
          <w:lang w:val="en-GB"/>
        </w:rPr>
        <w:t>Wistow</w:t>
      </w:r>
      <w:proofErr w:type="spellEnd"/>
      <w:r w:rsidR="00316FDE" w:rsidRPr="00FF34F0">
        <w:rPr>
          <w:rFonts w:ascii="Garamond" w:hAnsi="Garamond" w:cs="Times New Roman"/>
          <w:lang w:val="en-GB"/>
        </w:rPr>
        <w:t xml:space="preserve"> et al (2015) found that in one locality </w:t>
      </w:r>
      <w:r w:rsidR="00A423ED" w:rsidRPr="00FF34F0">
        <w:rPr>
          <w:rFonts w:ascii="Garamond" w:hAnsi="Garamond" w:cs="Times New Roman"/>
          <w:lang w:val="en-GB"/>
        </w:rPr>
        <w:t>in England a programme</w:t>
      </w:r>
      <w:r w:rsidR="00316FDE" w:rsidRPr="00FF34F0">
        <w:rPr>
          <w:rFonts w:ascii="Garamond" w:hAnsi="Garamond" w:cs="Times New Roman"/>
          <w:lang w:val="en-GB"/>
        </w:rPr>
        <w:t xml:space="preserve"> cost £24.9 million in the first three years, without any change to services. In the first two years £7.9 million was spent on management consultants alone.</w:t>
      </w:r>
    </w:p>
    <w:p w14:paraId="05506866" w14:textId="77777777" w:rsidR="00316FDE" w:rsidRPr="00FF34F0" w:rsidRDefault="00316FDE" w:rsidP="006C51C5">
      <w:pPr>
        <w:rPr>
          <w:rFonts w:ascii="Garamond" w:hAnsi="Garamond" w:cs="Times New Roman"/>
          <w:lang w:val="en-GB"/>
        </w:rPr>
      </w:pPr>
    </w:p>
    <w:p w14:paraId="4675163F" w14:textId="07E5A14A" w:rsidR="00DB57F8" w:rsidRPr="00FF34F0" w:rsidRDefault="00A25A0F" w:rsidP="006C51C5">
      <w:pPr>
        <w:rPr>
          <w:rFonts w:ascii="Garamond" w:hAnsi="Garamond" w:cs="Times New Roman"/>
          <w:lang w:val="en-GB"/>
        </w:rPr>
      </w:pPr>
      <w:r w:rsidRPr="00FF34F0">
        <w:rPr>
          <w:rFonts w:ascii="Garamond" w:hAnsi="Garamond" w:cs="Times New Roman"/>
          <w:lang w:val="en-GB"/>
        </w:rPr>
        <w:t xml:space="preserve">For critical sociologists the role of sociology in relation to healthcare policy is to promote a broader range of values in research, and a wider spectrum of topics and questions in public discourse. </w:t>
      </w:r>
      <w:proofErr w:type="spellStart"/>
      <w:r w:rsidRPr="00FF34F0">
        <w:rPr>
          <w:rFonts w:ascii="Garamond" w:hAnsi="Garamond" w:cs="Times New Roman"/>
          <w:lang w:val="en-GB"/>
        </w:rPr>
        <w:t>Scambler</w:t>
      </w:r>
      <w:proofErr w:type="spellEnd"/>
      <w:r w:rsidRPr="00FF34F0">
        <w:rPr>
          <w:rFonts w:ascii="Garamond" w:hAnsi="Garamond" w:cs="Times New Roman"/>
          <w:lang w:val="en-GB"/>
        </w:rPr>
        <w:t xml:space="preserve"> </w:t>
      </w:r>
      <w:r w:rsidR="00CC347A" w:rsidRPr="00FF34F0">
        <w:rPr>
          <w:rFonts w:ascii="Garamond" w:hAnsi="Garamond" w:cs="Times New Roman"/>
          <w:lang w:val="en-GB"/>
        </w:rPr>
        <w:t>(1996)</w:t>
      </w:r>
      <w:r w:rsidR="00197B74" w:rsidRPr="00FF34F0">
        <w:rPr>
          <w:rFonts w:ascii="Garamond" w:hAnsi="Garamond" w:cs="Times New Roman"/>
          <w:lang w:val="en-GB"/>
        </w:rPr>
        <w:t>, for example,</w:t>
      </w:r>
      <w:r w:rsidR="00CC347A" w:rsidRPr="00FF34F0">
        <w:rPr>
          <w:rFonts w:ascii="Garamond" w:hAnsi="Garamond" w:cs="Times New Roman"/>
          <w:lang w:val="en-GB"/>
        </w:rPr>
        <w:t xml:space="preserve"> </w:t>
      </w:r>
      <w:r w:rsidRPr="00FF34F0">
        <w:rPr>
          <w:rFonts w:ascii="Garamond" w:hAnsi="Garamond" w:cs="Times New Roman"/>
          <w:lang w:val="en-GB"/>
        </w:rPr>
        <w:t>advocates a sociology guided by the goals</w:t>
      </w:r>
      <w:r w:rsidR="00EF52B0" w:rsidRPr="00FF34F0">
        <w:rPr>
          <w:rFonts w:ascii="Garamond" w:hAnsi="Garamond" w:cs="Times New Roman"/>
          <w:lang w:val="en-GB"/>
        </w:rPr>
        <w:t xml:space="preserve"> of inclusion and participation</w:t>
      </w:r>
      <w:r w:rsidR="00642FFE" w:rsidRPr="00FF34F0">
        <w:rPr>
          <w:rFonts w:ascii="Garamond" w:hAnsi="Garamond" w:cs="Times New Roman"/>
          <w:lang w:val="en-GB"/>
        </w:rPr>
        <w:t xml:space="preserve">, but </w:t>
      </w:r>
      <w:r w:rsidRPr="00FF34F0">
        <w:rPr>
          <w:rFonts w:ascii="Garamond" w:hAnsi="Garamond" w:cs="Times New Roman"/>
          <w:lang w:val="en-GB"/>
        </w:rPr>
        <w:t xml:space="preserve">always vigilant to the </w:t>
      </w:r>
      <w:r w:rsidR="00642FFE" w:rsidRPr="00FF34F0">
        <w:rPr>
          <w:rFonts w:ascii="Garamond" w:hAnsi="Garamond" w:cs="Times New Roman"/>
          <w:lang w:val="en-GB"/>
        </w:rPr>
        <w:t xml:space="preserve">potential for these processes to be co-opted. </w:t>
      </w:r>
      <w:r w:rsidR="00D0783E" w:rsidRPr="00FF34F0">
        <w:rPr>
          <w:rFonts w:ascii="Garamond" w:hAnsi="Garamond" w:cs="Times New Roman"/>
          <w:lang w:val="en-GB"/>
        </w:rPr>
        <w:t>Both critical theory and Foucauldian perspectives suggest an ema</w:t>
      </w:r>
      <w:r w:rsidR="00523D80" w:rsidRPr="00FF34F0">
        <w:rPr>
          <w:rFonts w:ascii="Garamond" w:hAnsi="Garamond" w:cs="Times New Roman"/>
          <w:lang w:val="en-GB"/>
        </w:rPr>
        <w:t>ncipatory role for sociology. F</w:t>
      </w:r>
      <w:r w:rsidR="00D0783E" w:rsidRPr="00FF34F0">
        <w:rPr>
          <w:rFonts w:ascii="Garamond" w:hAnsi="Garamond" w:cs="Times New Roman"/>
          <w:lang w:val="en-GB"/>
        </w:rPr>
        <w:t>r</w:t>
      </w:r>
      <w:r w:rsidR="00523D80" w:rsidRPr="00FF34F0">
        <w:rPr>
          <w:rFonts w:ascii="Garamond" w:hAnsi="Garamond" w:cs="Times New Roman"/>
          <w:lang w:val="en-GB"/>
        </w:rPr>
        <w:t>om the perspective of</w:t>
      </w:r>
      <w:r w:rsidR="00D0783E" w:rsidRPr="00FF34F0">
        <w:rPr>
          <w:rFonts w:ascii="Garamond" w:hAnsi="Garamond" w:cs="Times New Roman"/>
          <w:lang w:val="en-GB"/>
        </w:rPr>
        <w:t xml:space="preserve"> critical theory this is accomplished by exposing, with a view to alleviating, oppression. In contrast, Foucauldian scholarship seeks to ‘unsettle the certainties and orthodoxies that govern the present’ (Shore and Wright 1997, p17) so as to </w:t>
      </w:r>
      <w:r w:rsidR="00156E33" w:rsidRPr="00FF34F0">
        <w:rPr>
          <w:rFonts w:ascii="Garamond" w:hAnsi="Garamond" w:cs="Times New Roman"/>
          <w:lang w:val="en-GB"/>
        </w:rPr>
        <w:t xml:space="preserve">support public </w:t>
      </w:r>
      <w:r w:rsidR="00156E33" w:rsidRPr="00FF34F0">
        <w:rPr>
          <w:rFonts w:ascii="Garamond" w:hAnsi="Garamond" w:cs="Times New Roman"/>
          <w:lang w:val="en-GB"/>
        </w:rPr>
        <w:lastRenderedPageBreak/>
        <w:t>debate</w:t>
      </w:r>
      <w:r w:rsidR="00D350FB" w:rsidRPr="00FF34F0">
        <w:rPr>
          <w:rFonts w:ascii="Garamond" w:hAnsi="Garamond" w:cs="Times New Roman"/>
          <w:lang w:val="en-GB"/>
        </w:rPr>
        <w:t>,</w:t>
      </w:r>
      <w:r w:rsidR="00156E33" w:rsidRPr="00FF34F0">
        <w:rPr>
          <w:rFonts w:ascii="Garamond" w:hAnsi="Garamond" w:cs="Times New Roman"/>
          <w:lang w:val="en-GB"/>
        </w:rPr>
        <w:t xml:space="preserve"> and </w:t>
      </w:r>
      <w:r w:rsidR="00D0783E" w:rsidRPr="00FF34F0">
        <w:rPr>
          <w:rFonts w:ascii="Garamond" w:hAnsi="Garamond" w:cs="Times New Roman"/>
          <w:lang w:val="en-GB"/>
        </w:rPr>
        <w:t>create room for alternative policy options</w:t>
      </w:r>
      <w:r w:rsidR="00D350FB" w:rsidRPr="00FF34F0">
        <w:rPr>
          <w:rFonts w:ascii="Garamond" w:hAnsi="Garamond" w:cs="Times New Roman"/>
          <w:lang w:val="en-GB"/>
        </w:rPr>
        <w:t xml:space="preserve"> (Wedel and Feldman 2005</w:t>
      </w:r>
      <w:r w:rsidR="00EF1108" w:rsidRPr="00FF34F0">
        <w:rPr>
          <w:rFonts w:ascii="Garamond" w:hAnsi="Garamond" w:cs="Times New Roman"/>
          <w:lang w:val="en-GB"/>
        </w:rPr>
        <w:t xml:space="preserve">). </w:t>
      </w:r>
      <w:r w:rsidR="00F861C0" w:rsidRPr="00FF34F0">
        <w:rPr>
          <w:rFonts w:ascii="Garamond" w:hAnsi="Garamond" w:cs="Times New Roman"/>
          <w:lang w:val="en-GB"/>
        </w:rPr>
        <w:t xml:space="preserve">Sociology can </w:t>
      </w:r>
      <w:r w:rsidR="000C2866" w:rsidRPr="00FF34F0">
        <w:rPr>
          <w:rFonts w:ascii="Garamond" w:hAnsi="Garamond" w:cs="Times New Roman"/>
          <w:lang w:val="en-GB"/>
        </w:rPr>
        <w:t xml:space="preserve">also </w:t>
      </w:r>
      <w:r w:rsidR="00036EA8" w:rsidRPr="00FF34F0">
        <w:rPr>
          <w:rFonts w:ascii="Garamond" w:hAnsi="Garamond" w:cs="Times New Roman"/>
          <w:lang w:val="en-GB"/>
        </w:rPr>
        <w:t xml:space="preserve">contribute to public debate </w:t>
      </w:r>
      <w:r w:rsidR="0068378A" w:rsidRPr="00FF34F0">
        <w:rPr>
          <w:rFonts w:ascii="Garamond" w:hAnsi="Garamond" w:cs="Times New Roman"/>
          <w:lang w:val="en-GB"/>
        </w:rPr>
        <w:t>by articulating</w:t>
      </w:r>
      <w:r w:rsidR="000C2866" w:rsidRPr="00FF34F0">
        <w:rPr>
          <w:rFonts w:ascii="Garamond" w:hAnsi="Garamond" w:cs="Times New Roman"/>
          <w:lang w:val="en-GB"/>
        </w:rPr>
        <w:t xml:space="preserve"> alternative and suba</w:t>
      </w:r>
      <w:r w:rsidR="00036EA8" w:rsidRPr="00FF34F0">
        <w:rPr>
          <w:rFonts w:ascii="Garamond" w:hAnsi="Garamond" w:cs="Times New Roman"/>
          <w:lang w:val="en-GB"/>
        </w:rPr>
        <w:t xml:space="preserve">ltern </w:t>
      </w:r>
      <w:r w:rsidR="00FD4089" w:rsidRPr="00FF34F0">
        <w:rPr>
          <w:rFonts w:ascii="Garamond" w:hAnsi="Garamond" w:cs="Times New Roman"/>
          <w:lang w:val="en-GB"/>
        </w:rPr>
        <w:t>logics</w:t>
      </w:r>
      <w:r w:rsidR="009F231C" w:rsidRPr="00FF34F0">
        <w:rPr>
          <w:rFonts w:ascii="Garamond" w:hAnsi="Garamond" w:cs="Times New Roman"/>
          <w:lang w:val="en-GB"/>
        </w:rPr>
        <w:t xml:space="preserve"> and versions</w:t>
      </w:r>
      <w:r w:rsidR="0068378A" w:rsidRPr="00FF34F0">
        <w:rPr>
          <w:rFonts w:ascii="Garamond" w:hAnsi="Garamond" w:cs="Times New Roman"/>
          <w:lang w:val="en-GB"/>
        </w:rPr>
        <w:t xml:space="preserve"> of healthcare</w:t>
      </w:r>
      <w:r w:rsidR="00163A0A" w:rsidRPr="00FF34F0">
        <w:rPr>
          <w:rFonts w:ascii="Garamond" w:hAnsi="Garamond" w:cs="Times New Roman"/>
          <w:lang w:val="en-GB"/>
        </w:rPr>
        <w:t xml:space="preserve">. These </w:t>
      </w:r>
      <w:r w:rsidR="00A36029" w:rsidRPr="00FF34F0">
        <w:rPr>
          <w:rFonts w:ascii="Garamond" w:hAnsi="Garamond" w:cs="Times New Roman"/>
          <w:lang w:val="en-GB"/>
        </w:rPr>
        <w:t xml:space="preserve">can </w:t>
      </w:r>
      <w:r w:rsidR="00036EA8" w:rsidRPr="00FF34F0">
        <w:rPr>
          <w:rFonts w:ascii="Garamond" w:hAnsi="Garamond" w:cs="Times New Roman"/>
          <w:lang w:val="en-GB"/>
        </w:rPr>
        <w:t xml:space="preserve">help to </w:t>
      </w:r>
      <w:r w:rsidR="00A423ED" w:rsidRPr="00FF34F0">
        <w:rPr>
          <w:rFonts w:ascii="Garamond" w:hAnsi="Garamond" w:cs="Times New Roman"/>
          <w:lang w:val="en-GB"/>
        </w:rPr>
        <w:t xml:space="preserve">expand and rebalance </w:t>
      </w:r>
      <w:r w:rsidR="00270A77" w:rsidRPr="00FF34F0">
        <w:rPr>
          <w:rFonts w:ascii="Garamond" w:hAnsi="Garamond" w:cs="Times New Roman"/>
          <w:lang w:val="en-GB"/>
        </w:rPr>
        <w:t>healthcare policy.</w:t>
      </w:r>
      <w:r w:rsidR="00163A0A" w:rsidRPr="00FF34F0">
        <w:rPr>
          <w:rFonts w:ascii="Garamond" w:hAnsi="Garamond" w:cs="Times New Roman"/>
          <w:lang w:val="en-GB"/>
        </w:rPr>
        <w:t xml:space="preserve"> </w:t>
      </w:r>
      <w:r w:rsidR="00A423ED" w:rsidRPr="00FF34F0">
        <w:rPr>
          <w:rFonts w:ascii="Garamond" w:hAnsi="Garamond" w:cs="Times New Roman"/>
          <w:lang w:val="en-GB"/>
        </w:rPr>
        <w:t xml:space="preserve">In the case of </w:t>
      </w:r>
      <w:r w:rsidR="00197B74" w:rsidRPr="00FF34F0">
        <w:rPr>
          <w:rFonts w:ascii="Garamond" w:hAnsi="Garamond" w:cs="Times New Roman"/>
          <w:lang w:val="en-GB"/>
        </w:rPr>
        <w:t>large-scale change this could mean</w:t>
      </w:r>
      <w:r w:rsidR="00A423ED" w:rsidRPr="00FF34F0">
        <w:rPr>
          <w:rFonts w:ascii="Garamond" w:hAnsi="Garamond" w:cs="Times New Roman"/>
          <w:lang w:val="en-GB"/>
        </w:rPr>
        <w:t xml:space="preserve"> an alternative conception of healthcare planning ‘</w:t>
      </w:r>
      <w:r w:rsidR="00DB57F8" w:rsidRPr="00FF34F0">
        <w:rPr>
          <w:rFonts w:ascii="Garamond" w:hAnsi="Garamond" w:cs="Times New Roman"/>
          <w:lang w:val="en-GB"/>
        </w:rPr>
        <w:t>as less about picking from a menu of competing interventions and more about the enlargement and balancing of competing conceptions and visions of healthcare</w:t>
      </w:r>
      <w:r w:rsidR="00431E98" w:rsidRPr="00FF34F0">
        <w:rPr>
          <w:rFonts w:ascii="Garamond" w:hAnsi="Garamond" w:cs="Times New Roman"/>
          <w:lang w:val="en-GB"/>
        </w:rPr>
        <w:t>’ (Cribb 2018b, p7</w:t>
      </w:r>
      <w:r w:rsidR="009F231C" w:rsidRPr="00FF34F0">
        <w:rPr>
          <w:rFonts w:ascii="Garamond" w:hAnsi="Garamond" w:cs="Times New Roman"/>
          <w:lang w:val="en-GB"/>
        </w:rPr>
        <w:t>)</w:t>
      </w:r>
      <w:r w:rsidR="00DB57F8" w:rsidRPr="00FF34F0">
        <w:rPr>
          <w:rFonts w:ascii="Garamond" w:hAnsi="Garamond" w:cs="Times New Roman"/>
          <w:lang w:val="en-GB"/>
        </w:rPr>
        <w:t xml:space="preserve">. </w:t>
      </w:r>
    </w:p>
    <w:p w14:paraId="505198C5" w14:textId="6F1FE154" w:rsidR="00DB57F8" w:rsidRPr="00FF34F0" w:rsidRDefault="00DB57F8" w:rsidP="006C51C5">
      <w:pPr>
        <w:rPr>
          <w:rFonts w:ascii="Garamond" w:hAnsi="Garamond" w:cs="Times New Roman"/>
          <w:lang w:val="en-GB"/>
        </w:rPr>
      </w:pPr>
    </w:p>
    <w:p w14:paraId="0025B2BE" w14:textId="3E35B151" w:rsidR="000C2C04" w:rsidRPr="00FF34F0" w:rsidRDefault="00523D80" w:rsidP="006C51C5">
      <w:pPr>
        <w:rPr>
          <w:rFonts w:ascii="Garamond" w:hAnsi="Garamond" w:cs="Times New Roman"/>
          <w:lang w:val="en-GB"/>
        </w:rPr>
      </w:pPr>
      <w:r w:rsidRPr="00FF34F0">
        <w:rPr>
          <w:rFonts w:ascii="Garamond" w:hAnsi="Garamond" w:cs="Times New Roman"/>
          <w:lang w:val="en-GB"/>
        </w:rPr>
        <w:t>W</w:t>
      </w:r>
      <w:r w:rsidR="00302615" w:rsidRPr="00FF34F0">
        <w:rPr>
          <w:rFonts w:ascii="Garamond" w:hAnsi="Garamond" w:cs="Times New Roman"/>
          <w:lang w:val="en-GB"/>
        </w:rPr>
        <w:t>e have sought to open up new lines of analysis a</w:t>
      </w:r>
      <w:r w:rsidR="00FD4089" w:rsidRPr="00FF34F0">
        <w:rPr>
          <w:rFonts w:ascii="Garamond" w:hAnsi="Garamond" w:cs="Times New Roman"/>
          <w:lang w:val="en-GB"/>
        </w:rPr>
        <w:t>nd suggest additional and comple</w:t>
      </w:r>
      <w:r w:rsidR="00302615" w:rsidRPr="00FF34F0">
        <w:rPr>
          <w:rFonts w:ascii="Garamond" w:hAnsi="Garamond" w:cs="Times New Roman"/>
          <w:lang w:val="en-GB"/>
        </w:rPr>
        <w:t xml:space="preserve">mentary insights on </w:t>
      </w:r>
      <w:r w:rsidR="00431E98" w:rsidRPr="00FF34F0">
        <w:rPr>
          <w:rFonts w:ascii="Garamond" w:hAnsi="Garamond" w:cs="Times New Roman"/>
          <w:lang w:val="en-GB"/>
        </w:rPr>
        <w:t xml:space="preserve">large-scale healthcare </w:t>
      </w:r>
      <w:r w:rsidR="00302615" w:rsidRPr="00FF34F0">
        <w:rPr>
          <w:rFonts w:ascii="Garamond" w:hAnsi="Garamond" w:cs="Times New Roman"/>
          <w:lang w:val="en-GB"/>
        </w:rPr>
        <w:t xml:space="preserve">change. We believe that </w:t>
      </w:r>
      <w:r w:rsidR="00F8474A" w:rsidRPr="00FF34F0">
        <w:rPr>
          <w:rFonts w:ascii="Garamond" w:hAnsi="Garamond" w:cs="Times New Roman"/>
          <w:lang w:val="en-GB"/>
        </w:rPr>
        <w:t xml:space="preserve">by </w:t>
      </w:r>
      <w:r w:rsidR="00CC65DD" w:rsidRPr="00FF34F0">
        <w:rPr>
          <w:rFonts w:ascii="Garamond" w:hAnsi="Garamond" w:cs="Times New Roman"/>
          <w:lang w:val="en-GB"/>
        </w:rPr>
        <w:t xml:space="preserve">including a wider </w:t>
      </w:r>
      <w:r w:rsidR="00302615" w:rsidRPr="00FF34F0">
        <w:rPr>
          <w:rFonts w:ascii="Garamond" w:hAnsi="Garamond" w:cs="Times New Roman"/>
          <w:lang w:val="en-GB"/>
        </w:rPr>
        <w:t xml:space="preserve">range of values and voices, </w:t>
      </w:r>
      <w:r w:rsidR="00CC65DD" w:rsidRPr="00FF34F0">
        <w:rPr>
          <w:rFonts w:ascii="Garamond" w:hAnsi="Garamond" w:cs="Times New Roman"/>
          <w:lang w:val="en-GB"/>
        </w:rPr>
        <w:t xml:space="preserve">offering critical perspectives, </w:t>
      </w:r>
      <w:r w:rsidR="00302615" w:rsidRPr="00FF34F0">
        <w:rPr>
          <w:rFonts w:ascii="Garamond" w:hAnsi="Garamond" w:cs="Times New Roman"/>
          <w:lang w:val="en-GB"/>
        </w:rPr>
        <w:t xml:space="preserve">and articulating potential futures, </w:t>
      </w:r>
      <w:r w:rsidR="002218F9" w:rsidRPr="00FF34F0">
        <w:rPr>
          <w:rFonts w:ascii="Garamond" w:hAnsi="Garamond" w:cs="Times New Roman"/>
          <w:lang w:val="en-GB"/>
        </w:rPr>
        <w:t>sociology can enrich</w:t>
      </w:r>
      <w:r w:rsidR="000C2C04" w:rsidRPr="00FF34F0">
        <w:rPr>
          <w:rFonts w:ascii="Garamond" w:hAnsi="Garamond" w:cs="Times New Roman"/>
          <w:lang w:val="en-GB"/>
        </w:rPr>
        <w:t xml:space="preserve"> future healthcare </w:t>
      </w:r>
      <w:r w:rsidR="00CC65DD" w:rsidRPr="00FF34F0">
        <w:rPr>
          <w:rFonts w:ascii="Garamond" w:hAnsi="Garamond" w:cs="Times New Roman"/>
          <w:lang w:val="en-GB"/>
        </w:rPr>
        <w:t xml:space="preserve">research, debate and policy - </w:t>
      </w:r>
      <w:r w:rsidR="000C2C04" w:rsidRPr="00FF34F0">
        <w:rPr>
          <w:rFonts w:ascii="Garamond" w:hAnsi="Garamond" w:cs="Times New Roman"/>
          <w:lang w:val="en-GB"/>
        </w:rPr>
        <w:t xml:space="preserve">empirically, theoretically, ethically and politically.   </w:t>
      </w:r>
    </w:p>
    <w:p w14:paraId="67F37F7A" w14:textId="77777777" w:rsidR="00AF4B4C" w:rsidRPr="00FF34F0" w:rsidRDefault="00AF4B4C" w:rsidP="006C51C5">
      <w:pPr>
        <w:rPr>
          <w:rFonts w:ascii="Garamond" w:hAnsi="Garamond" w:cs="Times New Roman"/>
          <w:lang w:val="en-GB"/>
        </w:rPr>
      </w:pPr>
    </w:p>
    <w:p w14:paraId="7BE81543" w14:textId="0305AAB1" w:rsidR="00AF4B4C" w:rsidRPr="00FF34F0" w:rsidRDefault="00AF4B4C" w:rsidP="006C51C5">
      <w:pPr>
        <w:rPr>
          <w:rFonts w:ascii="Garamond" w:hAnsi="Garamond" w:cs="Times New Roman"/>
          <w:b/>
          <w:lang w:val="en-GB"/>
        </w:rPr>
      </w:pPr>
      <w:r w:rsidRPr="00FF34F0">
        <w:rPr>
          <w:rFonts w:ascii="Garamond" w:hAnsi="Garamond" w:cs="Times New Roman"/>
          <w:b/>
          <w:lang w:val="en-GB"/>
        </w:rPr>
        <w:t>Acknowledgements</w:t>
      </w:r>
    </w:p>
    <w:p w14:paraId="1DEC0843" w14:textId="25AD5CF1" w:rsidR="00AF4B4C" w:rsidRPr="00FF34F0" w:rsidRDefault="00E67B01" w:rsidP="006C51C5">
      <w:pPr>
        <w:rPr>
          <w:rFonts w:ascii="Garamond" w:hAnsi="Garamond" w:cs="Times New Roman"/>
          <w:lang w:val="en-GB"/>
        </w:rPr>
      </w:pPr>
      <w:r w:rsidRPr="00FF34F0">
        <w:rPr>
          <w:rFonts w:ascii="Garamond" w:hAnsi="Garamond" w:cs="Times New Roman"/>
          <w:lang w:val="en-GB"/>
        </w:rPr>
        <w:t xml:space="preserve">This paper began as part of a special event symposium on </w:t>
      </w:r>
      <w:r w:rsidR="009C73AD" w:rsidRPr="00FF34F0">
        <w:rPr>
          <w:rFonts w:ascii="Garamond" w:hAnsi="Garamond" w:cs="Times New Roman"/>
          <w:lang w:val="en-GB"/>
        </w:rPr>
        <w:t>‘Transforming Health Care: Theoretical and Methodological Perspectives on Major Service Change’ at the BSA M</w:t>
      </w:r>
      <w:r w:rsidRPr="00FF34F0">
        <w:rPr>
          <w:rFonts w:ascii="Garamond" w:hAnsi="Garamond" w:cs="Times New Roman"/>
          <w:lang w:val="en-GB"/>
        </w:rPr>
        <w:t xml:space="preserve">edical </w:t>
      </w:r>
      <w:r w:rsidR="009C73AD" w:rsidRPr="00FF34F0">
        <w:rPr>
          <w:rFonts w:ascii="Garamond" w:hAnsi="Garamond" w:cs="Times New Roman"/>
          <w:lang w:val="en-GB"/>
        </w:rPr>
        <w:t>S</w:t>
      </w:r>
      <w:r w:rsidRPr="00FF34F0">
        <w:rPr>
          <w:rFonts w:ascii="Garamond" w:hAnsi="Garamond" w:cs="Times New Roman"/>
          <w:lang w:val="en-GB"/>
        </w:rPr>
        <w:t xml:space="preserve">ociology </w:t>
      </w:r>
      <w:r w:rsidR="009C73AD" w:rsidRPr="00FF34F0">
        <w:rPr>
          <w:rFonts w:ascii="Garamond" w:hAnsi="Garamond" w:cs="Times New Roman"/>
          <w:lang w:val="en-GB"/>
        </w:rPr>
        <w:t xml:space="preserve">Group </w:t>
      </w:r>
      <w:r w:rsidRPr="00FF34F0">
        <w:rPr>
          <w:rFonts w:ascii="Garamond" w:hAnsi="Garamond" w:cs="Times New Roman"/>
          <w:lang w:val="en-GB"/>
        </w:rPr>
        <w:t xml:space="preserve">conference </w:t>
      </w:r>
      <w:r w:rsidR="00DB5310" w:rsidRPr="00FF34F0">
        <w:rPr>
          <w:rFonts w:ascii="Garamond" w:hAnsi="Garamond" w:cs="Times New Roman"/>
          <w:lang w:val="en-GB"/>
        </w:rPr>
        <w:t xml:space="preserve">in </w:t>
      </w:r>
      <w:r w:rsidRPr="00FF34F0">
        <w:rPr>
          <w:rFonts w:ascii="Garamond" w:hAnsi="Garamond" w:cs="Times New Roman"/>
          <w:lang w:val="en-GB"/>
        </w:rPr>
        <w:t xml:space="preserve">2016. We are grateful to the editors for their </w:t>
      </w:r>
      <w:r w:rsidR="00D217E5" w:rsidRPr="00FF34F0">
        <w:rPr>
          <w:rFonts w:ascii="Garamond" w:hAnsi="Garamond" w:cs="Times New Roman"/>
          <w:lang w:val="en-GB"/>
        </w:rPr>
        <w:t xml:space="preserve">support and </w:t>
      </w:r>
      <w:r w:rsidRPr="00FF34F0">
        <w:rPr>
          <w:rFonts w:ascii="Garamond" w:hAnsi="Garamond" w:cs="Times New Roman"/>
          <w:lang w:val="en-GB"/>
        </w:rPr>
        <w:t>tenacity</w:t>
      </w:r>
      <w:r w:rsidR="00867060" w:rsidRPr="00FF34F0">
        <w:rPr>
          <w:rFonts w:ascii="Garamond" w:hAnsi="Garamond" w:cs="Times New Roman"/>
          <w:lang w:val="en-GB"/>
        </w:rPr>
        <w:t>,</w:t>
      </w:r>
      <w:r w:rsidRPr="00FF34F0">
        <w:rPr>
          <w:rFonts w:ascii="Garamond" w:hAnsi="Garamond" w:cs="Times New Roman"/>
          <w:lang w:val="en-GB"/>
        </w:rPr>
        <w:t xml:space="preserve"> and for helpful comments from three anonymous reviewers. </w:t>
      </w:r>
      <w:r w:rsidR="00B176DD" w:rsidRPr="00FF34F0">
        <w:rPr>
          <w:rFonts w:ascii="Garamond" w:hAnsi="Garamond" w:cs="Times New Roman"/>
          <w:lang w:val="en-GB"/>
        </w:rPr>
        <w:t xml:space="preserve">We also thank SKAPE at the University of Edinburgh for funding </w:t>
      </w:r>
      <w:r w:rsidRPr="00FF34F0">
        <w:rPr>
          <w:rFonts w:ascii="Garamond" w:hAnsi="Garamond" w:cs="Times New Roman"/>
          <w:lang w:val="en-GB"/>
        </w:rPr>
        <w:t>a writing workshop</w:t>
      </w:r>
      <w:r w:rsidR="00881D4C" w:rsidRPr="00FF34F0">
        <w:rPr>
          <w:rFonts w:ascii="Garamond" w:hAnsi="Garamond" w:cs="Times New Roman"/>
          <w:lang w:val="en-GB"/>
        </w:rPr>
        <w:t xml:space="preserve">, </w:t>
      </w:r>
      <w:r w:rsidRPr="00FF34F0">
        <w:rPr>
          <w:rFonts w:ascii="Garamond" w:hAnsi="Garamond" w:cs="Times New Roman"/>
          <w:lang w:val="en-GB"/>
        </w:rPr>
        <w:t xml:space="preserve">Sarah Wright and Colin Lorne </w:t>
      </w:r>
      <w:r w:rsidR="00B176DD" w:rsidRPr="00FF34F0">
        <w:rPr>
          <w:rFonts w:ascii="Garamond" w:hAnsi="Garamond" w:cs="Times New Roman"/>
          <w:lang w:val="en-GB"/>
        </w:rPr>
        <w:t>for their thoughtful co</w:t>
      </w:r>
      <w:r w:rsidR="00881D4C" w:rsidRPr="00FF34F0">
        <w:rPr>
          <w:rFonts w:ascii="Garamond" w:hAnsi="Garamond" w:cs="Times New Roman"/>
          <w:lang w:val="en-GB"/>
        </w:rPr>
        <w:t xml:space="preserve">mments on earlier drafts, and </w:t>
      </w:r>
      <w:r w:rsidRPr="00FF34F0">
        <w:rPr>
          <w:rFonts w:ascii="Garamond" w:hAnsi="Garamond" w:cs="Times New Roman"/>
          <w:lang w:val="en-GB"/>
        </w:rPr>
        <w:t xml:space="preserve">Justin Waring for his </w:t>
      </w:r>
      <w:r w:rsidR="00DB5310" w:rsidRPr="00FF34F0">
        <w:rPr>
          <w:rFonts w:ascii="Garamond" w:hAnsi="Garamond" w:cs="Times New Roman"/>
          <w:lang w:val="en-GB"/>
        </w:rPr>
        <w:t>generosity</w:t>
      </w:r>
      <w:r w:rsidR="00D217E5" w:rsidRPr="00FF34F0">
        <w:rPr>
          <w:rFonts w:ascii="Garamond" w:hAnsi="Garamond" w:cs="Times New Roman"/>
          <w:lang w:val="en-GB"/>
        </w:rPr>
        <w:t xml:space="preserve"> and </w:t>
      </w:r>
      <w:r w:rsidR="00DB5310" w:rsidRPr="00FF34F0">
        <w:rPr>
          <w:rFonts w:ascii="Garamond" w:hAnsi="Garamond" w:cs="Times New Roman"/>
          <w:lang w:val="en-GB"/>
        </w:rPr>
        <w:t>advice.</w:t>
      </w:r>
      <w:r w:rsidRPr="00FF34F0">
        <w:rPr>
          <w:rFonts w:ascii="Garamond" w:hAnsi="Garamond" w:cs="Times New Roman"/>
          <w:lang w:val="en-GB"/>
        </w:rPr>
        <w:t xml:space="preserve"> </w:t>
      </w:r>
    </w:p>
    <w:p w14:paraId="6C65B58B" w14:textId="77777777" w:rsidR="000C2C04" w:rsidRPr="00FF34F0" w:rsidRDefault="000C2C04" w:rsidP="006C51C5">
      <w:pPr>
        <w:ind w:left="284" w:right="284"/>
        <w:rPr>
          <w:rFonts w:ascii="Garamond" w:hAnsi="Garamond" w:cs="Times New Roman"/>
          <w:lang w:val="en-GB"/>
        </w:rPr>
      </w:pPr>
    </w:p>
    <w:p w14:paraId="62BA42B8" w14:textId="77777777" w:rsidR="0041524F" w:rsidRPr="00FF34F0" w:rsidRDefault="0041524F" w:rsidP="006C51C5">
      <w:pPr>
        <w:outlineLvl w:val="0"/>
        <w:rPr>
          <w:rFonts w:ascii="Garamond" w:hAnsi="Garamond" w:cs="Times New Roman"/>
          <w:b/>
        </w:rPr>
      </w:pPr>
    </w:p>
    <w:p w14:paraId="397F6BC2" w14:textId="5B5A676D" w:rsidR="009E1546" w:rsidRPr="00FF34F0" w:rsidRDefault="009E1546" w:rsidP="006C51C5">
      <w:pPr>
        <w:rPr>
          <w:rFonts w:ascii="Garamond" w:eastAsia="Calibri" w:hAnsi="Garamond" w:cs="Times New Roman"/>
          <w:b/>
        </w:rPr>
      </w:pPr>
      <w:r w:rsidRPr="00FF34F0">
        <w:rPr>
          <w:rFonts w:ascii="Garamond" w:eastAsia="Calibri" w:hAnsi="Garamond" w:cs="Times New Roman"/>
          <w:b/>
        </w:rPr>
        <w:t>References:</w:t>
      </w:r>
    </w:p>
    <w:p w14:paraId="2F467224" w14:textId="77777777" w:rsidR="002A144A" w:rsidRPr="00FF34F0" w:rsidRDefault="002A144A" w:rsidP="006C51C5">
      <w:pPr>
        <w:rPr>
          <w:rFonts w:ascii="Garamond" w:eastAsia="Calibri" w:hAnsi="Garamond" w:cs="Times New Roman"/>
          <w:b/>
        </w:rPr>
      </w:pPr>
    </w:p>
    <w:p w14:paraId="1649735A" w14:textId="75C2801D" w:rsidR="002A144A" w:rsidRPr="00FF34F0" w:rsidRDefault="002A144A" w:rsidP="006C51C5">
      <w:pPr>
        <w:rPr>
          <w:rFonts w:ascii="Garamond" w:eastAsia="Calibri" w:hAnsi="Garamond" w:cs="Times New Roman"/>
        </w:rPr>
      </w:pPr>
      <w:r w:rsidRPr="00FF34F0">
        <w:rPr>
          <w:rFonts w:ascii="Garamond" w:eastAsia="Calibri" w:hAnsi="Garamond" w:cs="Times New Roman"/>
        </w:rPr>
        <w:t xml:space="preserve">Allen, D., Braithwaite, J., </w:t>
      </w:r>
      <w:proofErr w:type="spellStart"/>
      <w:r w:rsidRPr="00FF34F0">
        <w:rPr>
          <w:rFonts w:ascii="Garamond" w:eastAsia="Calibri" w:hAnsi="Garamond" w:cs="Times New Roman"/>
        </w:rPr>
        <w:t>Sandall</w:t>
      </w:r>
      <w:proofErr w:type="spellEnd"/>
      <w:r w:rsidRPr="00FF34F0">
        <w:rPr>
          <w:rFonts w:ascii="Garamond" w:eastAsia="Calibri" w:hAnsi="Garamond" w:cs="Times New Roman"/>
        </w:rPr>
        <w:t>, J., and Waring, J. (Eds.). (2016). </w:t>
      </w:r>
      <w:r w:rsidRPr="00FF34F0">
        <w:rPr>
          <w:rFonts w:ascii="Garamond" w:eastAsia="Calibri" w:hAnsi="Garamond" w:cs="Times New Roman"/>
          <w:iCs/>
        </w:rPr>
        <w:t>The Sociology of Healthcare Safety and Quality</w:t>
      </w:r>
      <w:r w:rsidRPr="00FF34F0">
        <w:rPr>
          <w:rFonts w:ascii="Garamond" w:eastAsia="Calibri" w:hAnsi="Garamond" w:cs="Times New Roman"/>
        </w:rPr>
        <w:t xml:space="preserve">. Oxford, </w:t>
      </w:r>
      <w:r w:rsidR="001176F3" w:rsidRPr="00FF34F0">
        <w:rPr>
          <w:rFonts w:ascii="Garamond" w:eastAsia="Calibri" w:hAnsi="Garamond" w:cs="Times New Roman"/>
        </w:rPr>
        <w:t>Wiley Blackwell</w:t>
      </w:r>
      <w:r w:rsidRPr="00FF34F0">
        <w:rPr>
          <w:rFonts w:ascii="Garamond" w:eastAsia="Calibri" w:hAnsi="Garamond" w:cs="Times New Roman"/>
        </w:rPr>
        <w:t>.</w:t>
      </w:r>
    </w:p>
    <w:p w14:paraId="1DC4358B" w14:textId="77777777" w:rsidR="00552F65" w:rsidRPr="00FF34F0" w:rsidRDefault="00552F65" w:rsidP="006C51C5">
      <w:pPr>
        <w:rPr>
          <w:rFonts w:ascii="Garamond" w:eastAsia="Calibri" w:hAnsi="Garamond" w:cs="Times New Roman"/>
        </w:rPr>
      </w:pPr>
    </w:p>
    <w:p w14:paraId="0E2152DB" w14:textId="5F1195FB" w:rsidR="00552F65" w:rsidRPr="00FF34F0" w:rsidRDefault="00552F65" w:rsidP="006C51C5">
      <w:pPr>
        <w:rPr>
          <w:rFonts w:ascii="Garamond" w:eastAsia="Calibri" w:hAnsi="Garamond" w:cs="Times New Roman"/>
        </w:rPr>
      </w:pPr>
      <w:r w:rsidRPr="00FF34F0">
        <w:rPr>
          <w:rFonts w:ascii="Garamond" w:eastAsia="Calibri" w:hAnsi="Garamond" w:cs="Times New Roman"/>
        </w:rPr>
        <w:t xml:space="preserve">Bal, R. (2017). Evidence-based policy as reflexive practice. What can we learn from evidence-based medicine? </w:t>
      </w:r>
      <w:r w:rsidRPr="00FF34F0">
        <w:rPr>
          <w:rFonts w:ascii="Garamond" w:eastAsia="Calibri" w:hAnsi="Garamond" w:cs="Times New Roman"/>
          <w:iCs/>
        </w:rPr>
        <w:t>Journal of Health Services Research &amp; Policy</w:t>
      </w:r>
      <w:r w:rsidRPr="00FF34F0">
        <w:rPr>
          <w:rFonts w:ascii="Garamond" w:eastAsia="Calibri" w:hAnsi="Garamond" w:cs="Times New Roman"/>
        </w:rPr>
        <w:t>, </w:t>
      </w:r>
      <w:r w:rsidRPr="00FF34F0">
        <w:rPr>
          <w:rFonts w:ascii="Garamond" w:eastAsia="Calibri" w:hAnsi="Garamond" w:cs="Times New Roman"/>
          <w:iCs/>
        </w:rPr>
        <w:t>22</w:t>
      </w:r>
      <w:r w:rsidRPr="00FF34F0">
        <w:rPr>
          <w:rFonts w:ascii="Garamond" w:eastAsia="Calibri" w:hAnsi="Garamond" w:cs="Times New Roman"/>
        </w:rPr>
        <w:t>(2), 113-119.</w:t>
      </w:r>
    </w:p>
    <w:p w14:paraId="40B3B086" w14:textId="6592192A" w:rsidR="00D51986" w:rsidRPr="00FF34F0" w:rsidRDefault="00D51986" w:rsidP="006C51C5">
      <w:pPr>
        <w:rPr>
          <w:rFonts w:ascii="Garamond" w:eastAsia="Calibri" w:hAnsi="Garamond" w:cs="Times New Roman"/>
        </w:rPr>
      </w:pPr>
    </w:p>
    <w:p w14:paraId="30DC3E72" w14:textId="29DDACD1" w:rsidR="00D51986" w:rsidRPr="00FF34F0" w:rsidRDefault="00D51986" w:rsidP="006C51C5">
      <w:pPr>
        <w:rPr>
          <w:rFonts w:ascii="Garamond" w:eastAsia="Calibri" w:hAnsi="Garamond" w:cs="Times New Roman"/>
        </w:rPr>
      </w:pPr>
      <w:proofErr w:type="spellStart"/>
      <w:r w:rsidRPr="00FF34F0">
        <w:rPr>
          <w:rFonts w:ascii="Garamond" w:eastAsia="Calibri" w:hAnsi="Garamond" w:cs="Times New Roman"/>
        </w:rPr>
        <w:t>Balasubramanian</w:t>
      </w:r>
      <w:proofErr w:type="spellEnd"/>
      <w:r w:rsidRPr="00FF34F0">
        <w:rPr>
          <w:rFonts w:ascii="Garamond" w:eastAsia="Calibri" w:hAnsi="Garamond" w:cs="Times New Roman"/>
        </w:rPr>
        <w:t>, I., Mohan, H., Whelan, R., McDermott, F., and Winter, D. (2016). Restructuring an evolving Irish trauma system: What can we learn from Europe and Australia? The Surgeon, 14(1), 44-51.</w:t>
      </w:r>
    </w:p>
    <w:p w14:paraId="59455F9A" w14:textId="325E8494" w:rsidR="00B07F1F" w:rsidRPr="00FF34F0" w:rsidRDefault="00552F65" w:rsidP="006C51C5">
      <w:pPr>
        <w:rPr>
          <w:rFonts w:ascii="Garamond" w:eastAsia="Calibri" w:hAnsi="Garamond" w:cs="Times New Roman"/>
        </w:rPr>
      </w:pPr>
      <w:r w:rsidRPr="00FF34F0">
        <w:rPr>
          <w:rFonts w:ascii="Garamond" w:eastAsia="Calibri" w:hAnsi="Garamond" w:cs="Times New Roman"/>
        </w:rPr>
        <w:t xml:space="preserve"> </w:t>
      </w:r>
    </w:p>
    <w:p w14:paraId="721AD7E6" w14:textId="58700C20" w:rsidR="00B07F1F" w:rsidRPr="00FF34F0" w:rsidRDefault="00B10656" w:rsidP="006C51C5">
      <w:pPr>
        <w:rPr>
          <w:rFonts w:ascii="Garamond" w:eastAsia="Calibri" w:hAnsi="Garamond" w:cs="Times New Roman"/>
        </w:rPr>
      </w:pPr>
      <w:r w:rsidRPr="00FF34F0">
        <w:rPr>
          <w:rFonts w:ascii="Garamond" w:eastAsia="Calibri" w:hAnsi="Garamond" w:cs="Times New Roman"/>
        </w:rPr>
        <w:t>Ball, S. J. (2016)</w:t>
      </w:r>
      <w:r w:rsidR="00B07F1F" w:rsidRPr="00FF34F0">
        <w:rPr>
          <w:rFonts w:ascii="Garamond" w:eastAsia="Calibri" w:hAnsi="Garamond" w:cs="Times New Roman"/>
        </w:rPr>
        <w:t xml:space="preserve"> Following policy: Networks, network ethnography and education policy </w:t>
      </w:r>
      <w:proofErr w:type="spellStart"/>
      <w:r w:rsidR="00B07F1F" w:rsidRPr="00FF34F0">
        <w:rPr>
          <w:rFonts w:ascii="Garamond" w:eastAsia="Calibri" w:hAnsi="Garamond" w:cs="Times New Roman"/>
        </w:rPr>
        <w:t>mobilities</w:t>
      </w:r>
      <w:proofErr w:type="spellEnd"/>
      <w:r w:rsidR="00B07F1F" w:rsidRPr="00FF34F0">
        <w:rPr>
          <w:rFonts w:ascii="Garamond" w:eastAsia="Calibri" w:hAnsi="Garamond" w:cs="Times New Roman"/>
        </w:rPr>
        <w:t>. Journal of Education Policy, 31(5), 549-566.</w:t>
      </w:r>
    </w:p>
    <w:p w14:paraId="5D8E16AB" w14:textId="2E3F6E0A" w:rsidR="00AE7C5C" w:rsidRPr="00FF34F0" w:rsidRDefault="00AE7C5C" w:rsidP="006C51C5">
      <w:pPr>
        <w:rPr>
          <w:rFonts w:ascii="Garamond" w:eastAsia="Calibri" w:hAnsi="Garamond" w:cs="Times New Roman"/>
        </w:rPr>
      </w:pPr>
    </w:p>
    <w:p w14:paraId="526D353F" w14:textId="108B685F" w:rsidR="00AE7C5C" w:rsidRPr="00FF34F0" w:rsidRDefault="00AE7C5C" w:rsidP="006C51C5">
      <w:pPr>
        <w:rPr>
          <w:rFonts w:ascii="Garamond" w:eastAsia="Calibri" w:hAnsi="Garamond" w:cs="Times New Roman"/>
        </w:rPr>
      </w:pPr>
      <w:r w:rsidRPr="00FF34F0">
        <w:rPr>
          <w:rFonts w:ascii="Garamond" w:eastAsia="Calibri" w:hAnsi="Garamond" w:cs="Times New Roman"/>
        </w:rPr>
        <w:t xml:space="preserve">Barratt, H., Harrison, D. A., </w:t>
      </w:r>
      <w:proofErr w:type="spellStart"/>
      <w:r w:rsidRPr="00FF34F0">
        <w:rPr>
          <w:rFonts w:ascii="Garamond" w:eastAsia="Calibri" w:hAnsi="Garamond" w:cs="Times New Roman"/>
        </w:rPr>
        <w:t>Fulop</w:t>
      </w:r>
      <w:proofErr w:type="spellEnd"/>
      <w:r w:rsidRPr="00FF34F0">
        <w:rPr>
          <w:rFonts w:ascii="Garamond" w:eastAsia="Calibri" w:hAnsi="Garamond" w:cs="Times New Roman"/>
        </w:rPr>
        <w:t xml:space="preserve">, N. J., and </w:t>
      </w:r>
      <w:proofErr w:type="spellStart"/>
      <w:r w:rsidRPr="00FF34F0">
        <w:rPr>
          <w:rFonts w:ascii="Garamond" w:eastAsia="Calibri" w:hAnsi="Garamond" w:cs="Times New Roman"/>
        </w:rPr>
        <w:t>Raine</w:t>
      </w:r>
      <w:proofErr w:type="spellEnd"/>
      <w:r w:rsidRPr="00FF34F0">
        <w:rPr>
          <w:rFonts w:ascii="Garamond" w:eastAsia="Calibri" w:hAnsi="Garamond" w:cs="Times New Roman"/>
        </w:rPr>
        <w:t>, R. (2015). Factors that influence the way communities respond to proposals for major changes to local emergency services: a qualitative study. PLOS One, 10(3), e0120766.</w:t>
      </w:r>
    </w:p>
    <w:p w14:paraId="3C352D51" w14:textId="77777777" w:rsidR="009E1546" w:rsidRPr="00FF34F0" w:rsidRDefault="009E1546" w:rsidP="006C51C5">
      <w:pPr>
        <w:rPr>
          <w:rFonts w:ascii="Garamond" w:eastAsia="Calibri" w:hAnsi="Garamond" w:cs="Times New Roman"/>
        </w:rPr>
      </w:pPr>
    </w:p>
    <w:p w14:paraId="72EE7580" w14:textId="48BA6CC2" w:rsidR="004603B2" w:rsidRPr="00FF34F0" w:rsidRDefault="004603B2" w:rsidP="006C51C5">
      <w:pPr>
        <w:rPr>
          <w:rFonts w:ascii="Garamond" w:hAnsi="Garamond" w:cs="Times New Roman"/>
          <w:color w:val="222222"/>
        </w:rPr>
      </w:pPr>
      <w:r w:rsidRPr="00FF34F0">
        <w:rPr>
          <w:rFonts w:ascii="Garamond" w:hAnsi="Garamond" w:cs="Times New Roman"/>
          <w:color w:val="222222"/>
        </w:rPr>
        <w:t xml:space="preserve">Barnett, R., and Barnett, P. (2003) “If you want to sit on your butts you’ll get nothing!” Community activism in response to threats of rural hospital closure in southern New Zealand. </w:t>
      </w:r>
      <w:r w:rsidRPr="00FF34F0">
        <w:rPr>
          <w:rFonts w:ascii="Garamond" w:hAnsi="Garamond" w:cs="Times New Roman"/>
          <w:iCs/>
          <w:color w:val="222222"/>
        </w:rPr>
        <w:t>Health and Place</w:t>
      </w:r>
      <w:r w:rsidRPr="00FF34F0">
        <w:rPr>
          <w:rFonts w:ascii="Garamond" w:hAnsi="Garamond" w:cs="Times New Roman"/>
          <w:color w:val="222222"/>
        </w:rPr>
        <w:t xml:space="preserve">, </w:t>
      </w:r>
      <w:r w:rsidRPr="00FF34F0">
        <w:rPr>
          <w:rFonts w:ascii="Garamond" w:hAnsi="Garamond" w:cs="Times New Roman"/>
          <w:iCs/>
          <w:color w:val="222222"/>
        </w:rPr>
        <w:t>9,</w:t>
      </w:r>
      <w:r w:rsidRPr="00FF34F0">
        <w:rPr>
          <w:rFonts w:ascii="Garamond" w:hAnsi="Garamond" w:cs="Times New Roman"/>
          <w:color w:val="222222"/>
        </w:rPr>
        <w:t>2, 59-71.</w:t>
      </w:r>
    </w:p>
    <w:p w14:paraId="1E968FE5" w14:textId="77777777" w:rsidR="004F4F0A" w:rsidRPr="00FF34F0" w:rsidRDefault="004F4F0A" w:rsidP="006C51C5">
      <w:pPr>
        <w:rPr>
          <w:rFonts w:ascii="Garamond" w:eastAsia="Calibri" w:hAnsi="Garamond" w:cs="Times New Roman"/>
        </w:rPr>
      </w:pPr>
    </w:p>
    <w:p w14:paraId="0F3AF318" w14:textId="7239BD97" w:rsidR="00512FD9" w:rsidRPr="00FF34F0" w:rsidRDefault="00512FD9" w:rsidP="006C51C5">
      <w:pPr>
        <w:rPr>
          <w:rFonts w:ascii="Garamond" w:eastAsia="Calibri" w:hAnsi="Garamond" w:cs="Times New Roman"/>
        </w:rPr>
      </w:pPr>
      <w:r w:rsidRPr="00FF34F0">
        <w:rPr>
          <w:rFonts w:ascii="Garamond" w:hAnsi="Garamond" w:cs="Times New Roman"/>
          <w:color w:val="222222"/>
        </w:rPr>
        <w:t xml:space="preserve">Best, A., </w:t>
      </w:r>
      <w:proofErr w:type="spellStart"/>
      <w:r w:rsidRPr="00FF34F0">
        <w:rPr>
          <w:rFonts w:ascii="Garamond" w:hAnsi="Garamond" w:cs="Times New Roman"/>
          <w:color w:val="222222"/>
        </w:rPr>
        <w:t>Greenhalgh</w:t>
      </w:r>
      <w:proofErr w:type="spellEnd"/>
      <w:r w:rsidRPr="00FF34F0">
        <w:rPr>
          <w:rFonts w:ascii="Garamond" w:hAnsi="Garamond" w:cs="Times New Roman"/>
          <w:color w:val="222222"/>
        </w:rPr>
        <w:t xml:space="preserve">, T., Lewis, S., Saul, J., Carroll, S., and </w:t>
      </w:r>
      <w:proofErr w:type="spellStart"/>
      <w:r w:rsidRPr="00FF34F0">
        <w:rPr>
          <w:rFonts w:ascii="Garamond" w:hAnsi="Garamond" w:cs="Times New Roman"/>
          <w:color w:val="222222"/>
        </w:rPr>
        <w:t>Bitz</w:t>
      </w:r>
      <w:proofErr w:type="spellEnd"/>
      <w:r w:rsidRPr="00FF34F0">
        <w:rPr>
          <w:rFonts w:ascii="Garamond" w:hAnsi="Garamond" w:cs="Times New Roman"/>
          <w:color w:val="222222"/>
        </w:rPr>
        <w:t>, J. (2012) Large</w:t>
      </w:r>
      <w:r w:rsidRPr="00FF34F0">
        <w:rPr>
          <w:rFonts w:ascii="Calibri" w:eastAsia="Calibri" w:hAnsi="Calibri" w:cs="Calibri"/>
          <w:color w:val="222222"/>
        </w:rPr>
        <w:t>‐</w:t>
      </w:r>
      <w:r w:rsidRPr="00FF34F0">
        <w:rPr>
          <w:rFonts w:ascii="Garamond" w:hAnsi="Garamond" w:cs="Times New Roman"/>
          <w:color w:val="222222"/>
        </w:rPr>
        <w:t xml:space="preserve">system transformation in health care: a realist review. </w:t>
      </w:r>
      <w:r w:rsidRPr="00FF34F0">
        <w:rPr>
          <w:rFonts w:ascii="Garamond" w:hAnsi="Garamond" w:cs="Times New Roman"/>
          <w:i/>
          <w:iCs/>
          <w:color w:val="222222"/>
        </w:rPr>
        <w:t>The Milbank Quarterly</w:t>
      </w:r>
      <w:r w:rsidRPr="00FF34F0">
        <w:rPr>
          <w:rFonts w:ascii="Garamond" w:hAnsi="Garamond" w:cs="Times New Roman"/>
          <w:color w:val="222222"/>
        </w:rPr>
        <w:t xml:space="preserve">, </w:t>
      </w:r>
      <w:r w:rsidRPr="00FF34F0">
        <w:rPr>
          <w:rFonts w:ascii="Garamond" w:hAnsi="Garamond" w:cs="Times New Roman"/>
          <w:i/>
          <w:iCs/>
          <w:color w:val="222222"/>
        </w:rPr>
        <w:t xml:space="preserve">90, </w:t>
      </w:r>
      <w:r w:rsidRPr="00FF34F0">
        <w:rPr>
          <w:rFonts w:ascii="Garamond" w:hAnsi="Garamond" w:cs="Times New Roman"/>
          <w:color w:val="222222"/>
        </w:rPr>
        <w:t>3, 421-456.</w:t>
      </w:r>
    </w:p>
    <w:p w14:paraId="2C2B3514" w14:textId="77777777" w:rsidR="00512FD9" w:rsidRPr="00FF34F0" w:rsidRDefault="00512FD9" w:rsidP="006C51C5">
      <w:pPr>
        <w:rPr>
          <w:rFonts w:ascii="Garamond" w:eastAsia="Calibri" w:hAnsi="Garamond" w:cs="Times New Roman"/>
        </w:rPr>
      </w:pPr>
    </w:p>
    <w:p w14:paraId="7CAB04CB" w14:textId="25C77F53" w:rsidR="009E1546" w:rsidRPr="00FF34F0" w:rsidRDefault="00512FD9" w:rsidP="006C51C5">
      <w:pPr>
        <w:rPr>
          <w:rFonts w:ascii="Garamond" w:hAnsi="Garamond" w:cs="Times New Roman"/>
          <w:lang w:val="en-GB"/>
        </w:rPr>
      </w:pPr>
      <w:r w:rsidRPr="00FF34F0">
        <w:rPr>
          <w:rFonts w:ascii="Garamond" w:hAnsi="Garamond" w:cs="Times New Roman"/>
          <w:lang w:val="en-GB"/>
        </w:rPr>
        <w:t>Brown, T. (2003)</w:t>
      </w:r>
      <w:r w:rsidR="009E1546" w:rsidRPr="00FF34F0">
        <w:rPr>
          <w:rFonts w:ascii="Garamond" w:hAnsi="Garamond" w:cs="Times New Roman"/>
          <w:lang w:val="en-GB"/>
        </w:rPr>
        <w:t xml:space="preserve"> Towards an understanding of local protest: hospital closure and community resistance. S</w:t>
      </w:r>
      <w:r w:rsidRPr="00FF34F0">
        <w:rPr>
          <w:rFonts w:ascii="Garamond" w:hAnsi="Garamond" w:cs="Times New Roman"/>
          <w:lang w:val="en-GB"/>
        </w:rPr>
        <w:t>ocial and Cultural Geography, 4,4</w:t>
      </w:r>
      <w:r w:rsidR="009E1546" w:rsidRPr="00FF34F0">
        <w:rPr>
          <w:rFonts w:ascii="Garamond" w:hAnsi="Garamond" w:cs="Times New Roman"/>
          <w:lang w:val="en-GB"/>
        </w:rPr>
        <w:t>, 489-504.</w:t>
      </w:r>
    </w:p>
    <w:p w14:paraId="10EDEA98" w14:textId="77777777" w:rsidR="00B06AB6" w:rsidRPr="00FF34F0" w:rsidRDefault="00B06AB6" w:rsidP="006C51C5">
      <w:pPr>
        <w:rPr>
          <w:rFonts w:ascii="Garamond" w:hAnsi="Garamond" w:cs="Times New Roman"/>
          <w:lang w:val="en-GB"/>
        </w:rPr>
      </w:pPr>
    </w:p>
    <w:p w14:paraId="124D8DC8" w14:textId="3250B799" w:rsidR="00B06AB6" w:rsidRPr="00FF34F0" w:rsidRDefault="00B06AB6" w:rsidP="006C51C5">
      <w:pPr>
        <w:rPr>
          <w:rFonts w:ascii="Garamond" w:hAnsi="Garamond" w:cs="Times New Roman"/>
          <w:color w:val="222222"/>
        </w:rPr>
      </w:pPr>
      <w:r w:rsidRPr="00FF34F0">
        <w:rPr>
          <w:rFonts w:ascii="Garamond" w:hAnsi="Garamond" w:cs="Times New Roman"/>
          <w:color w:val="222222"/>
        </w:rPr>
        <w:lastRenderedPageBreak/>
        <w:t xml:space="preserve">Brown, A., and Spencer, D. (2014) Understanding the global financial crisis: Sociology, political economy and heterodox economics. </w:t>
      </w:r>
      <w:r w:rsidRPr="00FF34F0">
        <w:rPr>
          <w:rFonts w:ascii="Garamond" w:hAnsi="Garamond" w:cs="Times New Roman"/>
          <w:iCs/>
          <w:color w:val="222222"/>
        </w:rPr>
        <w:t>Sociology</w:t>
      </w:r>
      <w:r w:rsidRPr="00FF34F0">
        <w:rPr>
          <w:rFonts w:ascii="Garamond" w:hAnsi="Garamond" w:cs="Times New Roman"/>
          <w:color w:val="222222"/>
        </w:rPr>
        <w:t xml:space="preserve">, </w:t>
      </w:r>
      <w:r w:rsidRPr="00FF34F0">
        <w:rPr>
          <w:rFonts w:ascii="Garamond" w:hAnsi="Garamond" w:cs="Times New Roman"/>
          <w:iCs/>
          <w:color w:val="222222"/>
        </w:rPr>
        <w:t>48</w:t>
      </w:r>
      <w:r w:rsidRPr="00FF34F0">
        <w:rPr>
          <w:rFonts w:ascii="Garamond" w:hAnsi="Garamond" w:cs="Times New Roman"/>
          <w:color w:val="222222"/>
        </w:rPr>
        <w:t>,5, 938-953.</w:t>
      </w:r>
    </w:p>
    <w:p w14:paraId="111B07A1" w14:textId="77777777" w:rsidR="004F4F0A" w:rsidRPr="00FF34F0" w:rsidRDefault="004F4F0A" w:rsidP="006C51C5">
      <w:pPr>
        <w:rPr>
          <w:rFonts w:ascii="Garamond" w:hAnsi="Garamond" w:cs="Times New Roman"/>
          <w:color w:val="222222"/>
        </w:rPr>
      </w:pPr>
    </w:p>
    <w:p w14:paraId="582CB9E5" w14:textId="63A0DBA8" w:rsidR="00B10656" w:rsidRPr="00FF34F0" w:rsidRDefault="00B10656" w:rsidP="006C51C5">
      <w:pPr>
        <w:rPr>
          <w:rFonts w:ascii="Garamond" w:hAnsi="Garamond" w:cs="Times New Roman"/>
          <w:color w:val="222222"/>
        </w:rPr>
      </w:pPr>
      <w:proofErr w:type="spellStart"/>
      <w:r w:rsidRPr="00FF34F0">
        <w:rPr>
          <w:rFonts w:ascii="Garamond" w:hAnsi="Garamond" w:cs="Times New Roman"/>
          <w:color w:val="222222"/>
        </w:rPr>
        <w:t>Burawoy</w:t>
      </w:r>
      <w:proofErr w:type="spellEnd"/>
      <w:r w:rsidRPr="00FF34F0">
        <w:rPr>
          <w:rFonts w:ascii="Garamond" w:hAnsi="Garamond" w:cs="Times New Roman"/>
          <w:color w:val="222222"/>
        </w:rPr>
        <w:t>, M. (2015) Facing an unequal world. Current Sociology, 63(1), 5-34.</w:t>
      </w:r>
    </w:p>
    <w:p w14:paraId="3270590E" w14:textId="77777777" w:rsidR="00B10656" w:rsidRPr="00FF34F0" w:rsidRDefault="00B10656" w:rsidP="006C51C5">
      <w:pPr>
        <w:rPr>
          <w:rFonts w:ascii="Garamond" w:hAnsi="Garamond" w:cs="Times New Roman"/>
          <w:color w:val="222222"/>
        </w:rPr>
      </w:pPr>
    </w:p>
    <w:p w14:paraId="5DA04112" w14:textId="37ABC064" w:rsidR="00B06AB6" w:rsidRPr="00FF34F0" w:rsidRDefault="00E91879" w:rsidP="006C51C5">
      <w:pPr>
        <w:rPr>
          <w:rFonts w:ascii="Garamond" w:hAnsi="Garamond" w:cs="Times New Roman"/>
          <w:color w:val="222222"/>
        </w:rPr>
      </w:pPr>
      <w:proofErr w:type="spellStart"/>
      <w:r w:rsidRPr="00FF34F0">
        <w:rPr>
          <w:rFonts w:ascii="Garamond" w:hAnsi="Garamond" w:cs="Times New Roman"/>
          <w:color w:val="222222"/>
        </w:rPr>
        <w:t>Burawoy</w:t>
      </w:r>
      <w:proofErr w:type="spellEnd"/>
      <w:r w:rsidRPr="00FF34F0">
        <w:rPr>
          <w:rFonts w:ascii="Garamond" w:hAnsi="Garamond" w:cs="Times New Roman"/>
          <w:color w:val="222222"/>
        </w:rPr>
        <w:t xml:space="preserve">, M. (2004) Public sociologies: Contradictions, dilemmas, and possibilities. </w:t>
      </w:r>
      <w:r w:rsidRPr="00FF34F0">
        <w:rPr>
          <w:rFonts w:ascii="Garamond" w:hAnsi="Garamond" w:cs="Times New Roman"/>
          <w:iCs/>
          <w:color w:val="222222"/>
        </w:rPr>
        <w:t>Social Forces</w:t>
      </w:r>
      <w:r w:rsidRPr="00FF34F0">
        <w:rPr>
          <w:rFonts w:ascii="Garamond" w:hAnsi="Garamond" w:cs="Times New Roman"/>
          <w:color w:val="222222"/>
        </w:rPr>
        <w:t xml:space="preserve">, </w:t>
      </w:r>
      <w:r w:rsidRPr="00FF34F0">
        <w:rPr>
          <w:rFonts w:ascii="Garamond" w:hAnsi="Garamond" w:cs="Times New Roman"/>
          <w:iCs/>
          <w:color w:val="222222"/>
        </w:rPr>
        <w:t>82</w:t>
      </w:r>
      <w:r w:rsidRPr="00FF34F0">
        <w:rPr>
          <w:rFonts w:ascii="Garamond" w:hAnsi="Garamond" w:cs="Times New Roman"/>
          <w:color w:val="222222"/>
        </w:rPr>
        <w:t>,4, 1603-1618.</w:t>
      </w:r>
    </w:p>
    <w:p w14:paraId="349F2791" w14:textId="77777777" w:rsidR="00973278" w:rsidRPr="00FF34F0" w:rsidRDefault="00973278" w:rsidP="006C51C5">
      <w:pPr>
        <w:rPr>
          <w:rFonts w:ascii="Garamond" w:hAnsi="Garamond" w:cs="Times New Roman"/>
          <w:color w:val="222222"/>
        </w:rPr>
      </w:pPr>
    </w:p>
    <w:p w14:paraId="4D7E6BD7" w14:textId="61EA3CB8" w:rsidR="00973278" w:rsidRPr="00FF34F0" w:rsidRDefault="00973278" w:rsidP="006C51C5">
      <w:pPr>
        <w:rPr>
          <w:rFonts w:ascii="Garamond" w:hAnsi="Garamond" w:cs="Times New Roman"/>
          <w:color w:val="222222"/>
        </w:rPr>
      </w:pPr>
      <w:r w:rsidRPr="00FF34F0">
        <w:rPr>
          <w:rFonts w:ascii="Garamond" w:hAnsi="Garamond" w:cs="Times New Roman"/>
          <w:color w:val="222222"/>
        </w:rPr>
        <w:t xml:space="preserve">Black, N. (1997). Health services research: </w:t>
      </w:r>
      <w:proofErr w:type="spellStart"/>
      <w:r w:rsidRPr="00FF34F0">
        <w:rPr>
          <w:rFonts w:ascii="Garamond" w:hAnsi="Garamond" w:cs="Times New Roman"/>
          <w:color w:val="222222"/>
        </w:rPr>
        <w:t>saviour</w:t>
      </w:r>
      <w:proofErr w:type="spellEnd"/>
      <w:r w:rsidRPr="00FF34F0">
        <w:rPr>
          <w:rFonts w:ascii="Garamond" w:hAnsi="Garamond" w:cs="Times New Roman"/>
          <w:color w:val="222222"/>
        </w:rPr>
        <w:t xml:space="preserve"> or chimera? </w:t>
      </w:r>
      <w:r w:rsidRPr="00FF34F0">
        <w:rPr>
          <w:rFonts w:ascii="Garamond" w:hAnsi="Garamond" w:cs="Times New Roman"/>
          <w:iCs/>
          <w:color w:val="222222"/>
        </w:rPr>
        <w:t>The Lancet</w:t>
      </w:r>
      <w:r w:rsidRPr="00FF34F0">
        <w:rPr>
          <w:rFonts w:ascii="Garamond" w:hAnsi="Garamond" w:cs="Times New Roman"/>
          <w:color w:val="222222"/>
        </w:rPr>
        <w:t>, </w:t>
      </w:r>
      <w:r w:rsidRPr="00FF34F0">
        <w:rPr>
          <w:rFonts w:ascii="Garamond" w:hAnsi="Garamond" w:cs="Times New Roman"/>
          <w:iCs/>
          <w:color w:val="222222"/>
        </w:rPr>
        <w:t>349</w:t>
      </w:r>
      <w:r w:rsidRPr="00FF34F0">
        <w:rPr>
          <w:rFonts w:ascii="Garamond" w:hAnsi="Garamond" w:cs="Times New Roman"/>
          <w:color w:val="222222"/>
        </w:rPr>
        <w:t>(9068), 1834-1836.</w:t>
      </w:r>
    </w:p>
    <w:p w14:paraId="0868FB7F" w14:textId="77777777" w:rsidR="00DF2001" w:rsidRPr="00FF34F0" w:rsidRDefault="00DF2001" w:rsidP="006C51C5">
      <w:pPr>
        <w:rPr>
          <w:rFonts w:ascii="Garamond" w:hAnsi="Garamond" w:cs="Times New Roman"/>
        </w:rPr>
      </w:pPr>
    </w:p>
    <w:p w14:paraId="79310502" w14:textId="27B70458" w:rsidR="00DF2001" w:rsidRPr="00FF34F0" w:rsidRDefault="00DF2001" w:rsidP="006C51C5">
      <w:pPr>
        <w:rPr>
          <w:rFonts w:ascii="Garamond" w:hAnsi="Garamond" w:cs="Times New Roman"/>
        </w:rPr>
      </w:pPr>
      <w:r w:rsidRPr="00FF34F0">
        <w:rPr>
          <w:rFonts w:ascii="Garamond" w:hAnsi="Garamond" w:cs="Times New Roman"/>
        </w:rPr>
        <w:t>Cribb, A. (2018a). Improvement science meets improvement scholarship: reframing research for better healthcare. </w:t>
      </w:r>
      <w:r w:rsidRPr="00FF34F0">
        <w:rPr>
          <w:rFonts w:ascii="Garamond" w:hAnsi="Garamond" w:cs="Times New Roman"/>
          <w:iCs/>
        </w:rPr>
        <w:t>Health Care Analysis</w:t>
      </w:r>
      <w:r w:rsidRPr="00FF34F0">
        <w:rPr>
          <w:rFonts w:ascii="Garamond" w:hAnsi="Garamond" w:cs="Times New Roman"/>
        </w:rPr>
        <w:t>, </w:t>
      </w:r>
      <w:r w:rsidRPr="00FF34F0">
        <w:rPr>
          <w:rFonts w:ascii="Garamond" w:hAnsi="Garamond" w:cs="Times New Roman"/>
          <w:iCs/>
        </w:rPr>
        <w:t>26</w:t>
      </w:r>
      <w:r w:rsidRPr="00FF34F0">
        <w:rPr>
          <w:rFonts w:ascii="Garamond" w:hAnsi="Garamond" w:cs="Times New Roman"/>
        </w:rPr>
        <w:t>(2), 109-123.</w:t>
      </w:r>
    </w:p>
    <w:p w14:paraId="7255EA68" w14:textId="083D69E5" w:rsidR="00D37F35" w:rsidRPr="00FF34F0" w:rsidRDefault="00D37F35" w:rsidP="006C51C5">
      <w:pPr>
        <w:rPr>
          <w:rFonts w:ascii="Garamond" w:hAnsi="Garamond" w:cs="Times New Roman"/>
        </w:rPr>
      </w:pPr>
    </w:p>
    <w:p w14:paraId="3714271F" w14:textId="49A14F22" w:rsidR="00D37F35" w:rsidRPr="00FF34F0" w:rsidRDefault="00B10656" w:rsidP="006C51C5">
      <w:pPr>
        <w:rPr>
          <w:rFonts w:ascii="Garamond" w:hAnsi="Garamond" w:cs="Times New Roman"/>
        </w:rPr>
      </w:pPr>
      <w:r w:rsidRPr="00FF34F0">
        <w:rPr>
          <w:rFonts w:ascii="Garamond" w:hAnsi="Garamond" w:cs="Times New Roman"/>
        </w:rPr>
        <w:t>Cribb, A. (2018</w:t>
      </w:r>
      <w:r w:rsidR="00AA3AEB" w:rsidRPr="00FF34F0">
        <w:rPr>
          <w:rFonts w:ascii="Garamond" w:hAnsi="Garamond" w:cs="Times New Roman"/>
        </w:rPr>
        <w:t>b</w:t>
      </w:r>
      <w:r w:rsidRPr="00FF34F0">
        <w:rPr>
          <w:rFonts w:ascii="Garamond" w:hAnsi="Garamond" w:cs="Times New Roman"/>
        </w:rPr>
        <w:t>)</w:t>
      </w:r>
      <w:r w:rsidR="00AA3AEB" w:rsidRPr="00FF34F0">
        <w:rPr>
          <w:rFonts w:ascii="Garamond" w:hAnsi="Garamond" w:cs="Times New Roman"/>
        </w:rPr>
        <w:t>.</w:t>
      </w:r>
      <w:r w:rsidR="00D37F35" w:rsidRPr="00FF34F0">
        <w:rPr>
          <w:rFonts w:ascii="Garamond" w:hAnsi="Garamond" w:cs="Times New Roman"/>
        </w:rPr>
        <w:t xml:space="preserve"> Healthcare in transition. Understanding key ideas and tensions in contemporary healthcare policy. Bristol: Policy Press. </w:t>
      </w:r>
    </w:p>
    <w:p w14:paraId="0D055BDA" w14:textId="43EB6C0B" w:rsidR="004F4F0A" w:rsidRPr="00FF34F0" w:rsidRDefault="004F4F0A" w:rsidP="006C51C5">
      <w:pPr>
        <w:autoSpaceDE w:val="0"/>
        <w:autoSpaceDN w:val="0"/>
        <w:adjustRightInd w:val="0"/>
        <w:rPr>
          <w:rFonts w:ascii="Garamond" w:hAnsi="Garamond" w:cs="Times New Roman"/>
          <w:lang w:val="en-GB"/>
        </w:rPr>
      </w:pPr>
    </w:p>
    <w:p w14:paraId="17DD7482" w14:textId="0C88D4E8" w:rsidR="00C80F57" w:rsidRPr="00FF34F0" w:rsidRDefault="00B10656" w:rsidP="006C51C5">
      <w:pPr>
        <w:autoSpaceDE w:val="0"/>
        <w:autoSpaceDN w:val="0"/>
        <w:adjustRightInd w:val="0"/>
        <w:rPr>
          <w:rFonts w:ascii="Garamond" w:hAnsi="Garamond" w:cs="Times New Roman"/>
          <w:lang w:val="en-GB"/>
        </w:rPr>
      </w:pPr>
      <w:proofErr w:type="spellStart"/>
      <w:r w:rsidRPr="00FF34F0">
        <w:rPr>
          <w:rFonts w:ascii="Garamond" w:hAnsi="Garamond" w:cs="Times New Roman"/>
          <w:lang w:val="en-GB"/>
        </w:rPr>
        <w:t>Coid</w:t>
      </w:r>
      <w:proofErr w:type="spellEnd"/>
      <w:r w:rsidRPr="00FF34F0">
        <w:rPr>
          <w:rFonts w:ascii="Garamond" w:hAnsi="Garamond" w:cs="Times New Roman"/>
          <w:lang w:val="en-GB"/>
        </w:rPr>
        <w:t xml:space="preserve"> D, and Davies, H. (2008)</w:t>
      </w:r>
      <w:r w:rsidR="00C80F57" w:rsidRPr="00FF34F0">
        <w:rPr>
          <w:rFonts w:ascii="Garamond" w:hAnsi="Garamond" w:cs="Times New Roman"/>
          <w:lang w:val="en-GB"/>
        </w:rPr>
        <w:t xml:space="preserve"> Structural change in heal</w:t>
      </w:r>
      <w:r w:rsidR="004F4F0A" w:rsidRPr="00FF34F0">
        <w:rPr>
          <w:rFonts w:ascii="Garamond" w:hAnsi="Garamond" w:cs="Times New Roman"/>
          <w:lang w:val="en-GB"/>
        </w:rPr>
        <w:t xml:space="preserve">th care: what's the attraction? </w:t>
      </w:r>
      <w:r w:rsidR="00C80F57" w:rsidRPr="00FF34F0">
        <w:rPr>
          <w:rFonts w:ascii="Garamond" w:hAnsi="Garamond" w:cs="Times New Roman"/>
          <w:lang w:val="en-GB"/>
        </w:rPr>
        <w:t xml:space="preserve">Journal of the Royal Society of </w:t>
      </w:r>
      <w:proofErr w:type="gramStart"/>
      <w:r w:rsidR="00C80F57" w:rsidRPr="00FF34F0">
        <w:rPr>
          <w:rFonts w:ascii="Garamond" w:hAnsi="Garamond" w:cs="Times New Roman"/>
          <w:lang w:val="en-GB"/>
        </w:rPr>
        <w:t>Medicine,101,278</w:t>
      </w:r>
      <w:proofErr w:type="gramEnd"/>
      <w:r w:rsidR="00C80F57" w:rsidRPr="00FF34F0">
        <w:rPr>
          <w:rFonts w:ascii="Garamond" w:hAnsi="Garamond" w:cs="Times New Roman"/>
          <w:lang w:val="en-GB"/>
        </w:rPr>
        <w:t>-81.</w:t>
      </w:r>
    </w:p>
    <w:p w14:paraId="3E806F95" w14:textId="77777777" w:rsidR="003B0200" w:rsidRPr="00FF34F0" w:rsidRDefault="003B0200" w:rsidP="006C51C5">
      <w:pPr>
        <w:autoSpaceDE w:val="0"/>
        <w:autoSpaceDN w:val="0"/>
        <w:adjustRightInd w:val="0"/>
        <w:rPr>
          <w:rFonts w:ascii="Garamond" w:hAnsi="Garamond" w:cs="Times New Roman"/>
          <w:lang w:val="en-GB"/>
        </w:rPr>
      </w:pPr>
    </w:p>
    <w:p w14:paraId="0E081329" w14:textId="074A6F03" w:rsidR="003B0200" w:rsidRPr="00FF34F0" w:rsidRDefault="003B0200" w:rsidP="006C51C5">
      <w:pPr>
        <w:autoSpaceDE w:val="0"/>
        <w:autoSpaceDN w:val="0"/>
        <w:adjustRightInd w:val="0"/>
        <w:rPr>
          <w:rFonts w:ascii="Garamond" w:hAnsi="Garamond" w:cs="Times New Roman"/>
        </w:rPr>
      </w:pPr>
      <w:r w:rsidRPr="00FF34F0">
        <w:rPr>
          <w:rFonts w:ascii="Garamond" w:hAnsi="Garamond" w:cs="Times New Roman"/>
        </w:rPr>
        <w:t xml:space="preserve">Currie, G., Finn, R., and Martin, G. (2008). Accounting for the dark </w:t>
      </w:r>
      <w:proofErr w:type="spellStart"/>
      <w:r w:rsidRPr="00FF34F0">
        <w:rPr>
          <w:rFonts w:ascii="Garamond" w:hAnsi="Garamond" w:cs="Times New Roman"/>
        </w:rPr>
        <w:t>side'of</w:t>
      </w:r>
      <w:proofErr w:type="spellEnd"/>
      <w:r w:rsidRPr="00FF34F0">
        <w:rPr>
          <w:rFonts w:ascii="Garamond" w:hAnsi="Garamond" w:cs="Times New Roman"/>
        </w:rPr>
        <w:t xml:space="preserve"> new organizational forms: The case of healthcare professionals. </w:t>
      </w:r>
      <w:r w:rsidRPr="00FF34F0">
        <w:rPr>
          <w:rFonts w:ascii="Garamond" w:hAnsi="Garamond" w:cs="Times New Roman"/>
          <w:iCs/>
        </w:rPr>
        <w:t>Human Relations</w:t>
      </w:r>
      <w:r w:rsidRPr="00FF34F0">
        <w:rPr>
          <w:rFonts w:ascii="Garamond" w:hAnsi="Garamond" w:cs="Times New Roman"/>
        </w:rPr>
        <w:t>, </w:t>
      </w:r>
      <w:r w:rsidRPr="00FF34F0">
        <w:rPr>
          <w:rFonts w:ascii="Garamond" w:hAnsi="Garamond" w:cs="Times New Roman"/>
          <w:i/>
          <w:iCs/>
        </w:rPr>
        <w:t>61</w:t>
      </w:r>
      <w:r w:rsidRPr="00FF34F0">
        <w:rPr>
          <w:rFonts w:ascii="Garamond" w:hAnsi="Garamond" w:cs="Times New Roman"/>
        </w:rPr>
        <w:t>(4), 539-564.</w:t>
      </w:r>
    </w:p>
    <w:p w14:paraId="4D918B8C" w14:textId="2BD46FC7" w:rsidR="00832696" w:rsidRPr="00FF34F0" w:rsidRDefault="00832696" w:rsidP="006C51C5">
      <w:pPr>
        <w:autoSpaceDE w:val="0"/>
        <w:autoSpaceDN w:val="0"/>
        <w:adjustRightInd w:val="0"/>
        <w:rPr>
          <w:rFonts w:ascii="Garamond" w:hAnsi="Garamond" w:cs="Times New Roman"/>
        </w:rPr>
      </w:pPr>
    </w:p>
    <w:p w14:paraId="0FD0E4E9" w14:textId="481AD05F" w:rsidR="00832696" w:rsidRPr="00FF34F0" w:rsidRDefault="00832696" w:rsidP="006C51C5">
      <w:pPr>
        <w:autoSpaceDE w:val="0"/>
        <w:autoSpaceDN w:val="0"/>
        <w:adjustRightInd w:val="0"/>
        <w:rPr>
          <w:rFonts w:ascii="Garamond" w:hAnsi="Garamond" w:cs="Times New Roman"/>
        </w:rPr>
      </w:pPr>
      <w:r w:rsidRPr="00FF34F0">
        <w:rPr>
          <w:rFonts w:ascii="Garamond" w:hAnsi="Garamond" w:cs="Times New Roman"/>
        </w:rPr>
        <w:t>Dalton, J., Chambers, D., Harden, M., Street, A., Parker, G., and Eastwood, A. Service user engagement and health service reconfiguration: a rapid evidence synthesis. Health Services Delivery Research 2015; 3 (17).</w:t>
      </w:r>
    </w:p>
    <w:p w14:paraId="6AD11CF9" w14:textId="77777777" w:rsidR="00C80F57" w:rsidRPr="00FF34F0" w:rsidRDefault="00C80F57" w:rsidP="006C51C5">
      <w:pPr>
        <w:rPr>
          <w:rFonts w:ascii="Garamond" w:hAnsi="Garamond" w:cs="Times New Roman"/>
          <w:lang w:val="en-GB"/>
        </w:rPr>
      </w:pPr>
    </w:p>
    <w:p w14:paraId="79704B4B" w14:textId="6CF2BF4C" w:rsidR="00CC0C1F" w:rsidRPr="00FF34F0" w:rsidRDefault="00CC0C1F" w:rsidP="006C51C5">
      <w:pPr>
        <w:rPr>
          <w:rFonts w:ascii="Garamond" w:hAnsi="Garamond" w:cs="Times New Roman"/>
          <w:color w:val="222222"/>
        </w:rPr>
      </w:pPr>
      <w:r w:rsidRPr="00FF34F0">
        <w:rPr>
          <w:rFonts w:ascii="Garamond" w:hAnsi="Garamond" w:cs="Times New Roman"/>
          <w:color w:val="222222"/>
        </w:rPr>
        <w:t xml:space="preserve">Davies, C. (2003) Some of our concepts are missing: reflections on the absence of a sociology of </w:t>
      </w:r>
      <w:proofErr w:type="spellStart"/>
      <w:r w:rsidRPr="00FF34F0">
        <w:rPr>
          <w:rFonts w:ascii="Garamond" w:hAnsi="Garamond" w:cs="Times New Roman"/>
          <w:color w:val="222222"/>
        </w:rPr>
        <w:t>organisations</w:t>
      </w:r>
      <w:proofErr w:type="spellEnd"/>
      <w:r w:rsidRPr="00FF34F0">
        <w:rPr>
          <w:rFonts w:ascii="Garamond" w:hAnsi="Garamond" w:cs="Times New Roman"/>
          <w:color w:val="222222"/>
        </w:rPr>
        <w:t xml:space="preserve"> in Sociology of Health and Illness. </w:t>
      </w:r>
      <w:r w:rsidRPr="00FF34F0">
        <w:rPr>
          <w:rFonts w:ascii="Garamond" w:hAnsi="Garamond" w:cs="Times New Roman"/>
          <w:i/>
          <w:iCs/>
          <w:color w:val="222222"/>
        </w:rPr>
        <w:t>Sociology of Health &amp; Illness</w:t>
      </w:r>
      <w:r w:rsidRPr="00FF34F0">
        <w:rPr>
          <w:rFonts w:ascii="Garamond" w:hAnsi="Garamond" w:cs="Times New Roman"/>
          <w:color w:val="222222"/>
        </w:rPr>
        <w:t xml:space="preserve"> 25,3, 172-190.</w:t>
      </w:r>
    </w:p>
    <w:p w14:paraId="56584DA3" w14:textId="77777777" w:rsidR="00AF5556" w:rsidRPr="00FF34F0" w:rsidRDefault="00AF5556" w:rsidP="006C51C5">
      <w:pPr>
        <w:rPr>
          <w:rFonts w:ascii="Garamond" w:hAnsi="Garamond" w:cs="Times New Roman"/>
          <w:color w:val="222222"/>
        </w:rPr>
      </w:pPr>
    </w:p>
    <w:p w14:paraId="226CED05" w14:textId="089F8486" w:rsidR="00AF5556" w:rsidRPr="00FF34F0" w:rsidRDefault="000F1648" w:rsidP="006C51C5">
      <w:pPr>
        <w:rPr>
          <w:rFonts w:ascii="Garamond" w:hAnsi="Garamond" w:cs="Times New Roman"/>
          <w:color w:val="222222"/>
        </w:rPr>
      </w:pPr>
      <w:proofErr w:type="spellStart"/>
      <w:r w:rsidRPr="00FF34F0">
        <w:rPr>
          <w:rFonts w:ascii="Garamond" w:hAnsi="Garamond" w:cs="Times New Roman"/>
          <w:color w:val="222222"/>
        </w:rPr>
        <w:t>Dattée</w:t>
      </w:r>
      <w:proofErr w:type="spellEnd"/>
      <w:r w:rsidRPr="00FF34F0">
        <w:rPr>
          <w:rFonts w:ascii="Garamond" w:hAnsi="Garamond" w:cs="Times New Roman"/>
          <w:color w:val="222222"/>
        </w:rPr>
        <w:t xml:space="preserve">, B., and </w:t>
      </w:r>
      <w:r w:rsidR="00AF5556" w:rsidRPr="00FF34F0">
        <w:rPr>
          <w:rFonts w:ascii="Garamond" w:hAnsi="Garamond" w:cs="Times New Roman"/>
          <w:color w:val="222222"/>
        </w:rPr>
        <w:t xml:space="preserve">Barlow, J. (2010). Complexity and whole-system change </w:t>
      </w:r>
      <w:proofErr w:type="spellStart"/>
      <w:r w:rsidR="00AF5556" w:rsidRPr="00FF34F0">
        <w:rPr>
          <w:rFonts w:ascii="Garamond" w:hAnsi="Garamond" w:cs="Times New Roman"/>
          <w:color w:val="222222"/>
        </w:rPr>
        <w:t>programmes</w:t>
      </w:r>
      <w:proofErr w:type="spellEnd"/>
      <w:r w:rsidR="00AF5556" w:rsidRPr="00FF34F0">
        <w:rPr>
          <w:rFonts w:ascii="Garamond" w:hAnsi="Garamond" w:cs="Times New Roman"/>
          <w:color w:val="222222"/>
        </w:rPr>
        <w:t>. Journal of Health Services Research &amp; Policy, 15 (</w:t>
      </w:r>
      <w:proofErr w:type="spellStart"/>
      <w:r w:rsidR="00AF5556" w:rsidRPr="00FF34F0">
        <w:rPr>
          <w:rFonts w:ascii="Garamond" w:hAnsi="Garamond" w:cs="Times New Roman"/>
          <w:color w:val="222222"/>
        </w:rPr>
        <w:t>suppl</w:t>
      </w:r>
      <w:proofErr w:type="spellEnd"/>
      <w:r w:rsidR="00AF5556" w:rsidRPr="00FF34F0">
        <w:rPr>
          <w:rFonts w:ascii="Garamond" w:hAnsi="Garamond" w:cs="Times New Roman"/>
          <w:color w:val="222222"/>
        </w:rPr>
        <w:t>), 19-25.</w:t>
      </w:r>
    </w:p>
    <w:p w14:paraId="6AABAE71" w14:textId="009E31CF" w:rsidR="009B3BAD" w:rsidRPr="00FF34F0" w:rsidRDefault="009B3BAD" w:rsidP="006C51C5">
      <w:pPr>
        <w:rPr>
          <w:rFonts w:ascii="Garamond" w:hAnsi="Garamond" w:cs="Times New Roman"/>
          <w:color w:val="222222"/>
        </w:rPr>
      </w:pPr>
    </w:p>
    <w:p w14:paraId="4FE983CD" w14:textId="388C00D5" w:rsidR="009B3BAD" w:rsidRPr="00FF34F0" w:rsidRDefault="009B3BAD" w:rsidP="006C51C5">
      <w:pPr>
        <w:rPr>
          <w:rFonts w:ascii="Garamond" w:hAnsi="Garamond" w:cs="Times New Roman"/>
          <w:color w:val="222222"/>
        </w:rPr>
      </w:pPr>
      <w:r w:rsidRPr="00FF34F0">
        <w:rPr>
          <w:rFonts w:ascii="Garamond" w:hAnsi="Garamond" w:cs="Times New Roman"/>
          <w:color w:val="222222"/>
        </w:rPr>
        <w:t xml:space="preserve">Edwards, N., Rowan, M., </w:t>
      </w:r>
      <w:proofErr w:type="spellStart"/>
      <w:r w:rsidRPr="00FF34F0">
        <w:rPr>
          <w:rFonts w:ascii="Garamond" w:hAnsi="Garamond" w:cs="Times New Roman"/>
          <w:color w:val="222222"/>
        </w:rPr>
        <w:t>Marck</w:t>
      </w:r>
      <w:proofErr w:type="spellEnd"/>
      <w:r w:rsidRPr="00FF34F0">
        <w:rPr>
          <w:rFonts w:ascii="Garamond" w:hAnsi="Garamond" w:cs="Times New Roman"/>
          <w:color w:val="222222"/>
        </w:rPr>
        <w:t xml:space="preserve">, P., &amp; </w:t>
      </w:r>
      <w:proofErr w:type="spellStart"/>
      <w:r w:rsidRPr="00FF34F0">
        <w:rPr>
          <w:rFonts w:ascii="Garamond" w:hAnsi="Garamond" w:cs="Times New Roman"/>
          <w:color w:val="222222"/>
        </w:rPr>
        <w:t>Grinspun</w:t>
      </w:r>
      <w:proofErr w:type="spellEnd"/>
      <w:r w:rsidRPr="00FF34F0">
        <w:rPr>
          <w:rFonts w:ascii="Garamond" w:hAnsi="Garamond" w:cs="Times New Roman"/>
          <w:color w:val="222222"/>
        </w:rPr>
        <w:t>, D. (2011). Understanding whole systems change in health care: the case of nurse practitioners in Canada. Policy, Politics, &amp; Nursing Practice, 12(1), 4-17.</w:t>
      </w:r>
    </w:p>
    <w:p w14:paraId="3F941AB7" w14:textId="156463D5" w:rsidR="00035949" w:rsidRPr="00FF34F0" w:rsidRDefault="00035949" w:rsidP="006C51C5">
      <w:pPr>
        <w:rPr>
          <w:rFonts w:ascii="Garamond" w:hAnsi="Garamond" w:cs="Times New Roman"/>
          <w:lang w:val="en-GB"/>
        </w:rPr>
      </w:pPr>
    </w:p>
    <w:p w14:paraId="47569A6D" w14:textId="73ECAFEA" w:rsidR="00955FAE" w:rsidRPr="00FF34F0" w:rsidRDefault="00955FAE" w:rsidP="006C51C5">
      <w:pPr>
        <w:rPr>
          <w:rFonts w:ascii="Garamond" w:hAnsi="Garamond" w:cs="Times New Roman"/>
          <w:lang w:val="en-GB"/>
        </w:rPr>
      </w:pPr>
      <w:r w:rsidRPr="00FF34F0">
        <w:rPr>
          <w:rFonts w:ascii="Garamond" w:hAnsi="Garamond" w:cs="Times New Roman"/>
          <w:lang w:val="en-GB"/>
        </w:rPr>
        <w:t>Evans, J., Baker, G., Berta, W., and Barnsley, J. (2015). Culture and cognition in health systems change. Journal of Health Organization and Management, 29(7), 874-892.</w:t>
      </w:r>
    </w:p>
    <w:p w14:paraId="637254BE" w14:textId="77777777" w:rsidR="00955FAE" w:rsidRPr="00FF34F0" w:rsidRDefault="00955FAE" w:rsidP="006C51C5">
      <w:pPr>
        <w:rPr>
          <w:rFonts w:ascii="Garamond" w:hAnsi="Garamond" w:cs="Times New Roman"/>
          <w:lang w:val="en-GB"/>
        </w:rPr>
      </w:pPr>
    </w:p>
    <w:p w14:paraId="26E9EAC7" w14:textId="527BCA18" w:rsidR="006A6361" w:rsidRPr="00FF34F0" w:rsidRDefault="00B10656" w:rsidP="006C51C5">
      <w:pPr>
        <w:rPr>
          <w:rFonts w:ascii="Garamond" w:hAnsi="Garamond" w:cs="Times New Roman"/>
        </w:rPr>
      </w:pPr>
      <w:proofErr w:type="spellStart"/>
      <w:r w:rsidRPr="00FF34F0">
        <w:rPr>
          <w:rFonts w:ascii="Garamond" w:hAnsi="Garamond" w:cs="Times New Roman"/>
        </w:rPr>
        <w:t>Eyles</w:t>
      </w:r>
      <w:proofErr w:type="spellEnd"/>
      <w:r w:rsidRPr="00FF34F0">
        <w:rPr>
          <w:rFonts w:ascii="Garamond" w:hAnsi="Garamond" w:cs="Times New Roman"/>
        </w:rPr>
        <w:t>, J. (1985)</w:t>
      </w:r>
      <w:r w:rsidR="006A6361" w:rsidRPr="00FF34F0">
        <w:rPr>
          <w:rFonts w:ascii="Garamond" w:hAnsi="Garamond" w:cs="Times New Roman"/>
        </w:rPr>
        <w:t xml:space="preserve"> </w:t>
      </w:r>
      <w:r w:rsidR="006A6361" w:rsidRPr="00FF34F0">
        <w:rPr>
          <w:rFonts w:ascii="Garamond" w:hAnsi="Garamond" w:cs="Times New Roman"/>
          <w:iCs/>
        </w:rPr>
        <w:t>Senses of Place</w:t>
      </w:r>
      <w:r w:rsidR="006A6361" w:rsidRPr="00FF34F0">
        <w:rPr>
          <w:rFonts w:ascii="Garamond" w:hAnsi="Garamond" w:cs="Times New Roman"/>
        </w:rPr>
        <w:t xml:space="preserve">. Warrington: </w:t>
      </w:r>
      <w:proofErr w:type="spellStart"/>
      <w:r w:rsidR="006A6361" w:rsidRPr="00FF34F0">
        <w:rPr>
          <w:rFonts w:ascii="Garamond" w:hAnsi="Garamond" w:cs="Times New Roman"/>
        </w:rPr>
        <w:t>Silverbrook</w:t>
      </w:r>
      <w:proofErr w:type="spellEnd"/>
      <w:r w:rsidR="006A6361" w:rsidRPr="00FF34F0">
        <w:rPr>
          <w:rFonts w:ascii="Garamond" w:hAnsi="Garamond" w:cs="Times New Roman"/>
        </w:rPr>
        <w:t>.</w:t>
      </w:r>
    </w:p>
    <w:p w14:paraId="57DC0FA1" w14:textId="45BD3168" w:rsidR="00B10656" w:rsidRPr="00FF34F0" w:rsidRDefault="00B10656" w:rsidP="006C51C5">
      <w:pPr>
        <w:rPr>
          <w:rFonts w:ascii="Garamond" w:hAnsi="Garamond" w:cs="Times New Roman"/>
        </w:rPr>
      </w:pPr>
    </w:p>
    <w:p w14:paraId="061D4C36" w14:textId="2A93264C" w:rsidR="00012282" w:rsidRPr="00FF34F0" w:rsidRDefault="00012282" w:rsidP="006C51C5">
      <w:pPr>
        <w:rPr>
          <w:rFonts w:ascii="Garamond" w:hAnsi="Garamond" w:cs="Times New Roman"/>
        </w:rPr>
      </w:pPr>
      <w:r w:rsidRPr="00FF34F0">
        <w:rPr>
          <w:rFonts w:ascii="Garamond" w:hAnsi="Garamond" w:cs="Times New Roman"/>
        </w:rPr>
        <w:t xml:space="preserve">Farmer, J., and </w:t>
      </w:r>
      <w:proofErr w:type="spellStart"/>
      <w:r w:rsidRPr="00FF34F0">
        <w:rPr>
          <w:rFonts w:ascii="Garamond" w:hAnsi="Garamond" w:cs="Times New Roman"/>
        </w:rPr>
        <w:t>Nimegeer</w:t>
      </w:r>
      <w:proofErr w:type="spellEnd"/>
      <w:r w:rsidRPr="00FF34F0">
        <w:rPr>
          <w:rFonts w:ascii="Garamond" w:hAnsi="Garamond" w:cs="Times New Roman"/>
        </w:rPr>
        <w:t>, A. (2014). Community participation to design rural primary healthcare services. BMC Health Services Research, 14(1), 130.</w:t>
      </w:r>
    </w:p>
    <w:p w14:paraId="13BA710E" w14:textId="77777777" w:rsidR="00012282" w:rsidRPr="00FF34F0" w:rsidRDefault="00012282" w:rsidP="006C51C5">
      <w:pPr>
        <w:rPr>
          <w:rFonts w:ascii="Garamond" w:hAnsi="Garamond" w:cs="Times New Roman"/>
        </w:rPr>
      </w:pPr>
    </w:p>
    <w:p w14:paraId="08DEA898" w14:textId="471E0903" w:rsidR="00B10656" w:rsidRPr="00FF34F0" w:rsidRDefault="00B10656" w:rsidP="006C51C5">
      <w:pPr>
        <w:rPr>
          <w:rFonts w:ascii="Garamond" w:hAnsi="Garamond" w:cs="Times New Roman"/>
        </w:rPr>
      </w:pPr>
      <w:r w:rsidRPr="00FF34F0">
        <w:rPr>
          <w:rFonts w:ascii="Garamond" w:hAnsi="Garamond" w:cs="Times New Roman"/>
        </w:rPr>
        <w:t xml:space="preserve">Ferlie, E. (2016) </w:t>
      </w:r>
      <w:proofErr w:type="spellStart"/>
      <w:r w:rsidRPr="00FF34F0">
        <w:rPr>
          <w:rFonts w:ascii="Garamond" w:hAnsi="Garamond" w:cs="Times New Roman"/>
        </w:rPr>
        <w:t>Analysing</w:t>
      </w:r>
      <w:proofErr w:type="spellEnd"/>
      <w:r w:rsidRPr="00FF34F0">
        <w:rPr>
          <w:rFonts w:ascii="Garamond" w:hAnsi="Garamond" w:cs="Times New Roman"/>
        </w:rPr>
        <w:t xml:space="preserve"> health care organizations: A personal anthology.  London, Routledge.</w:t>
      </w:r>
    </w:p>
    <w:p w14:paraId="1A6D1B2D" w14:textId="77777777" w:rsidR="003B0200" w:rsidRPr="00FF34F0" w:rsidRDefault="003B0200" w:rsidP="006C51C5">
      <w:pPr>
        <w:rPr>
          <w:rFonts w:ascii="Garamond" w:hAnsi="Garamond" w:cs="Times New Roman"/>
        </w:rPr>
      </w:pPr>
    </w:p>
    <w:p w14:paraId="7D46CAB7" w14:textId="0D3EBB87" w:rsidR="00571035" w:rsidRPr="00FF34F0" w:rsidRDefault="00571035" w:rsidP="006C51C5">
      <w:pPr>
        <w:rPr>
          <w:rFonts w:ascii="Garamond" w:hAnsi="Garamond" w:cs="Times New Roman"/>
        </w:rPr>
      </w:pPr>
      <w:r w:rsidRPr="00FF34F0">
        <w:rPr>
          <w:rFonts w:ascii="Garamond" w:hAnsi="Garamond" w:cs="Times New Roman"/>
        </w:rPr>
        <w:t>Foucaul</w:t>
      </w:r>
      <w:r w:rsidR="00B10656" w:rsidRPr="00FF34F0">
        <w:rPr>
          <w:rFonts w:ascii="Garamond" w:hAnsi="Garamond" w:cs="Times New Roman"/>
        </w:rPr>
        <w:t>t, M. (1979)</w:t>
      </w:r>
      <w:r w:rsidRPr="00FF34F0">
        <w:rPr>
          <w:rFonts w:ascii="Garamond" w:hAnsi="Garamond" w:cs="Times New Roman"/>
        </w:rPr>
        <w:t xml:space="preserve"> Discipline and punish: The birth of the prison. New York: Vintage.</w:t>
      </w:r>
    </w:p>
    <w:p w14:paraId="1392C4EC" w14:textId="7D0085FB" w:rsidR="00571035" w:rsidRPr="00FF34F0" w:rsidRDefault="00571035" w:rsidP="006C51C5">
      <w:pPr>
        <w:rPr>
          <w:rFonts w:ascii="Garamond" w:hAnsi="Garamond" w:cs="Times New Roman"/>
        </w:rPr>
      </w:pPr>
    </w:p>
    <w:p w14:paraId="37B6B778" w14:textId="46CA63CB" w:rsidR="001A6C5F" w:rsidRPr="00FF34F0" w:rsidRDefault="00332817" w:rsidP="006C51C5">
      <w:pPr>
        <w:rPr>
          <w:rFonts w:ascii="Garamond" w:hAnsi="Garamond" w:cs="Times New Roman"/>
        </w:rPr>
      </w:pPr>
      <w:r w:rsidRPr="00332817">
        <w:rPr>
          <w:rFonts w:ascii="Garamond" w:hAnsi="Garamond" w:cs="Times New Roman"/>
        </w:rPr>
        <w:t xml:space="preserve">Foucault, M. (1980). Two lectures. In Gordon, C. (Ed). Power/Knowledge: Selected interviews and </w:t>
      </w:r>
      <w:proofErr w:type="gramStart"/>
      <w:r w:rsidRPr="00332817">
        <w:rPr>
          <w:rFonts w:ascii="Garamond" w:hAnsi="Garamond" w:cs="Times New Roman"/>
        </w:rPr>
        <w:t>other</w:t>
      </w:r>
      <w:proofErr w:type="gramEnd"/>
      <w:r w:rsidRPr="00332817">
        <w:rPr>
          <w:rFonts w:ascii="Garamond" w:hAnsi="Garamond" w:cs="Times New Roman"/>
        </w:rPr>
        <w:t xml:space="preserve"> writings 1972-1977. New York: Pantheon Books.</w:t>
      </w:r>
    </w:p>
    <w:p w14:paraId="014A1EF8" w14:textId="44FBC2E4" w:rsidR="00571035" w:rsidRPr="00FF34F0" w:rsidRDefault="00B10656" w:rsidP="006C51C5">
      <w:pPr>
        <w:rPr>
          <w:rFonts w:ascii="Garamond" w:hAnsi="Garamond" w:cs="Times New Roman"/>
        </w:rPr>
      </w:pPr>
      <w:r w:rsidRPr="00FF34F0">
        <w:rPr>
          <w:rFonts w:ascii="Garamond" w:hAnsi="Garamond" w:cs="Times New Roman"/>
        </w:rPr>
        <w:lastRenderedPageBreak/>
        <w:t>Foucault, M. (1990)</w:t>
      </w:r>
      <w:r w:rsidR="00571035" w:rsidRPr="00FF34F0">
        <w:rPr>
          <w:rFonts w:ascii="Garamond" w:hAnsi="Garamond" w:cs="Times New Roman"/>
        </w:rPr>
        <w:t xml:space="preserve"> </w:t>
      </w:r>
      <w:r w:rsidR="00571035" w:rsidRPr="00FF34F0">
        <w:rPr>
          <w:rFonts w:ascii="Garamond" w:hAnsi="Garamond" w:cs="Times New Roman"/>
          <w:iCs/>
        </w:rPr>
        <w:t>The history of sexuality. Volume 1: An Introduction</w:t>
      </w:r>
      <w:r w:rsidR="00571035" w:rsidRPr="00FF34F0">
        <w:rPr>
          <w:rFonts w:ascii="Garamond" w:hAnsi="Garamond" w:cs="Times New Roman"/>
          <w:i/>
          <w:iCs/>
        </w:rPr>
        <w:t xml:space="preserve">. </w:t>
      </w:r>
      <w:r w:rsidR="00571035" w:rsidRPr="00FF34F0">
        <w:rPr>
          <w:rFonts w:ascii="Garamond" w:hAnsi="Garamond" w:cs="Times New Roman"/>
        </w:rPr>
        <w:t>New York: Vintage.</w:t>
      </w:r>
    </w:p>
    <w:p w14:paraId="18C4A9DF" w14:textId="77777777" w:rsidR="00CB49A9" w:rsidRPr="00FF34F0" w:rsidRDefault="00CB49A9" w:rsidP="006C51C5">
      <w:pPr>
        <w:rPr>
          <w:rFonts w:ascii="Garamond" w:hAnsi="Garamond" w:cs="Times New Roman"/>
          <w:lang w:val="en-GB"/>
        </w:rPr>
      </w:pPr>
    </w:p>
    <w:p w14:paraId="2741FD41" w14:textId="7DA5EE96" w:rsidR="00571035" w:rsidRPr="00FF34F0" w:rsidRDefault="00B10656" w:rsidP="006C51C5">
      <w:pPr>
        <w:rPr>
          <w:rFonts w:ascii="Garamond" w:hAnsi="Garamond" w:cs="Times New Roman"/>
        </w:rPr>
      </w:pPr>
      <w:r w:rsidRPr="00FF34F0">
        <w:rPr>
          <w:rFonts w:ascii="Garamond" w:hAnsi="Garamond" w:cs="Times New Roman"/>
        </w:rPr>
        <w:t>Foucault, M. (1991)</w:t>
      </w:r>
      <w:r w:rsidR="00571035" w:rsidRPr="00FF34F0">
        <w:rPr>
          <w:rFonts w:ascii="Garamond" w:hAnsi="Garamond" w:cs="Times New Roman"/>
        </w:rPr>
        <w:t xml:space="preserve"> Governmentality. In G. </w:t>
      </w:r>
      <w:proofErr w:type="spellStart"/>
      <w:r w:rsidR="00571035" w:rsidRPr="00FF34F0">
        <w:rPr>
          <w:rFonts w:ascii="Garamond" w:hAnsi="Garamond" w:cs="Times New Roman"/>
        </w:rPr>
        <w:t>Burchell</w:t>
      </w:r>
      <w:proofErr w:type="spellEnd"/>
      <w:r w:rsidR="00571035" w:rsidRPr="00FF34F0">
        <w:rPr>
          <w:rFonts w:ascii="Garamond" w:hAnsi="Garamond" w:cs="Times New Roman"/>
        </w:rPr>
        <w:t>, C. Gordon and P. Miller (</w:t>
      </w:r>
      <w:proofErr w:type="spellStart"/>
      <w:r w:rsidR="00571035" w:rsidRPr="00FF34F0">
        <w:rPr>
          <w:rFonts w:ascii="Garamond" w:hAnsi="Garamond" w:cs="Times New Roman"/>
        </w:rPr>
        <w:t>Eds</w:t>
      </w:r>
      <w:proofErr w:type="spellEnd"/>
      <w:r w:rsidR="00571035" w:rsidRPr="00FF34F0">
        <w:rPr>
          <w:rFonts w:ascii="Garamond" w:hAnsi="Garamond" w:cs="Times New Roman"/>
        </w:rPr>
        <w:t xml:space="preserve">), The Foucault effect. Chicago: The University of Chicago Press. </w:t>
      </w:r>
    </w:p>
    <w:p w14:paraId="421A9383" w14:textId="77777777" w:rsidR="00B10656" w:rsidRPr="00FF34F0" w:rsidRDefault="00B10656" w:rsidP="006C51C5">
      <w:pPr>
        <w:rPr>
          <w:rFonts w:ascii="Garamond" w:eastAsia="Calibri" w:hAnsi="Garamond" w:cs="Times New Roman"/>
        </w:rPr>
      </w:pPr>
    </w:p>
    <w:p w14:paraId="5646622F" w14:textId="3E6748CA" w:rsidR="00E02D9C" w:rsidRPr="00FF34F0" w:rsidRDefault="00571035" w:rsidP="006C51C5">
      <w:pPr>
        <w:rPr>
          <w:rFonts w:ascii="Garamond" w:eastAsia="Calibri" w:hAnsi="Garamond" w:cs="Times New Roman"/>
        </w:rPr>
      </w:pPr>
      <w:r w:rsidRPr="00FF34F0">
        <w:rPr>
          <w:rFonts w:ascii="Garamond" w:eastAsia="Calibri" w:hAnsi="Garamond" w:cs="Times New Roman"/>
        </w:rPr>
        <w:t xml:space="preserve">Fraser, A., Boaz, A., and </w:t>
      </w:r>
      <w:proofErr w:type="spellStart"/>
      <w:r w:rsidRPr="00FF34F0">
        <w:rPr>
          <w:rFonts w:ascii="Garamond" w:eastAsia="Calibri" w:hAnsi="Garamond" w:cs="Times New Roman"/>
        </w:rPr>
        <w:t>Baeza</w:t>
      </w:r>
      <w:proofErr w:type="spellEnd"/>
      <w:r w:rsidRPr="00FF34F0">
        <w:rPr>
          <w:rFonts w:ascii="Garamond" w:eastAsia="Calibri" w:hAnsi="Garamond" w:cs="Times New Roman"/>
        </w:rPr>
        <w:t>, J. (2017)</w:t>
      </w:r>
      <w:r w:rsidR="006347AF" w:rsidRPr="00FF34F0">
        <w:rPr>
          <w:rFonts w:ascii="Garamond" w:eastAsia="Calibri" w:hAnsi="Garamond" w:cs="Times New Roman"/>
        </w:rPr>
        <w:t xml:space="preserve"> ‘Holding the line’: a qualitative study of the role of evidence in early phase decision-making in the reconfiguration of str</w:t>
      </w:r>
      <w:r w:rsidR="00E02D9C" w:rsidRPr="00FF34F0">
        <w:rPr>
          <w:rFonts w:ascii="Garamond" w:eastAsia="Calibri" w:hAnsi="Garamond" w:cs="Times New Roman"/>
        </w:rPr>
        <w:t>oke services in London. Health Research Policy and Systems, 15,1</w:t>
      </w:r>
      <w:r w:rsidR="006347AF" w:rsidRPr="00FF34F0">
        <w:rPr>
          <w:rFonts w:ascii="Garamond" w:eastAsia="Calibri" w:hAnsi="Garamond" w:cs="Times New Roman"/>
        </w:rPr>
        <w:t>, 45.</w:t>
      </w:r>
    </w:p>
    <w:p w14:paraId="1B6053F6" w14:textId="77777777" w:rsidR="005F3564" w:rsidRPr="00FF34F0" w:rsidRDefault="005F3564" w:rsidP="006C51C5">
      <w:pPr>
        <w:rPr>
          <w:rFonts w:ascii="Garamond" w:eastAsia="Calibri" w:hAnsi="Garamond" w:cs="Times New Roman"/>
        </w:rPr>
      </w:pPr>
    </w:p>
    <w:p w14:paraId="3A4C6175" w14:textId="6B365309" w:rsidR="00E02D9C" w:rsidRPr="00FF34F0" w:rsidRDefault="00E02D9C" w:rsidP="006C51C5">
      <w:pPr>
        <w:rPr>
          <w:rFonts w:ascii="Garamond" w:hAnsi="Garamond" w:cs="Times New Roman"/>
        </w:rPr>
      </w:pPr>
      <w:proofErr w:type="spellStart"/>
      <w:r w:rsidRPr="00FF34F0">
        <w:rPr>
          <w:rFonts w:ascii="Garamond" w:hAnsi="Garamond" w:cs="Times New Roman"/>
        </w:rPr>
        <w:t>Fulop</w:t>
      </w:r>
      <w:proofErr w:type="spellEnd"/>
      <w:r w:rsidRPr="00FF34F0">
        <w:rPr>
          <w:rFonts w:ascii="Garamond" w:hAnsi="Garamond" w:cs="Times New Roman"/>
        </w:rPr>
        <w:t>, N., Protopsalt</w:t>
      </w:r>
      <w:r w:rsidR="00B10656" w:rsidRPr="00FF34F0">
        <w:rPr>
          <w:rFonts w:ascii="Garamond" w:hAnsi="Garamond" w:cs="Times New Roman"/>
        </w:rPr>
        <w:t>is, G., King, A., et al. (2005)</w:t>
      </w:r>
      <w:r w:rsidRPr="00FF34F0">
        <w:rPr>
          <w:rFonts w:ascii="Garamond" w:hAnsi="Garamond" w:cs="Times New Roman"/>
        </w:rPr>
        <w:t xml:space="preserve"> Changing </w:t>
      </w:r>
      <w:proofErr w:type="spellStart"/>
      <w:r w:rsidRPr="00FF34F0">
        <w:rPr>
          <w:rFonts w:ascii="Garamond" w:hAnsi="Garamond" w:cs="Times New Roman"/>
        </w:rPr>
        <w:t>organisations</w:t>
      </w:r>
      <w:proofErr w:type="spellEnd"/>
      <w:r w:rsidRPr="00FF34F0">
        <w:rPr>
          <w:rFonts w:ascii="Garamond" w:hAnsi="Garamond" w:cs="Times New Roman"/>
        </w:rPr>
        <w:t>: a study of the context and processes of mergers of health care providers in England. Social Science and Medicine, 60, 119-130.</w:t>
      </w:r>
    </w:p>
    <w:p w14:paraId="1E1C74EF" w14:textId="52AB2767" w:rsidR="003C4B16" w:rsidRPr="00FF34F0" w:rsidRDefault="003C4B16" w:rsidP="006C51C5">
      <w:pPr>
        <w:rPr>
          <w:rFonts w:ascii="Garamond" w:hAnsi="Garamond" w:cs="Times New Roman"/>
        </w:rPr>
      </w:pPr>
    </w:p>
    <w:p w14:paraId="0B13717D" w14:textId="44BBA91D" w:rsidR="003C4B16" w:rsidRPr="00FF34F0" w:rsidRDefault="003C4B16" w:rsidP="006C51C5">
      <w:pPr>
        <w:rPr>
          <w:rFonts w:ascii="Garamond" w:hAnsi="Garamond" w:cs="Times New Roman"/>
        </w:rPr>
      </w:pPr>
      <w:proofErr w:type="spellStart"/>
      <w:r w:rsidRPr="00FF34F0">
        <w:rPr>
          <w:rFonts w:ascii="Garamond" w:hAnsi="Garamond" w:cs="Times New Roman"/>
        </w:rPr>
        <w:t>Fulop</w:t>
      </w:r>
      <w:proofErr w:type="spellEnd"/>
      <w:r w:rsidRPr="00FF34F0">
        <w:rPr>
          <w:rFonts w:ascii="Garamond" w:hAnsi="Garamond" w:cs="Times New Roman"/>
        </w:rPr>
        <w:t>, N., Walters, R., &amp; Spurgeon, P. (2012). Implementing changes to hospital services: Factors influencing the process and ‘results’ of reconfiguration. Health Policy, 104(2), 128-135.</w:t>
      </w:r>
    </w:p>
    <w:p w14:paraId="0F03A38C" w14:textId="4956BE88" w:rsidR="006B1B70" w:rsidRPr="00FF34F0" w:rsidRDefault="006B1B70" w:rsidP="006C51C5">
      <w:pPr>
        <w:rPr>
          <w:rFonts w:ascii="Garamond" w:hAnsi="Garamond" w:cs="Times New Roman"/>
        </w:rPr>
      </w:pPr>
    </w:p>
    <w:p w14:paraId="1FD8449F" w14:textId="789C124B" w:rsidR="006B1B70" w:rsidRPr="00FF34F0" w:rsidRDefault="006B1B70" w:rsidP="006C51C5">
      <w:pPr>
        <w:rPr>
          <w:rFonts w:ascii="Garamond" w:hAnsi="Garamond" w:cs="Times New Roman"/>
        </w:rPr>
      </w:pPr>
      <w:r w:rsidRPr="00FF34F0">
        <w:rPr>
          <w:rFonts w:ascii="Garamond" w:hAnsi="Garamond" w:cs="Times New Roman"/>
        </w:rPr>
        <w:t xml:space="preserve">Gilbert, F., Denis, J. L., </w:t>
      </w:r>
      <w:proofErr w:type="spellStart"/>
      <w:r w:rsidRPr="00FF34F0">
        <w:rPr>
          <w:rFonts w:ascii="Garamond" w:hAnsi="Garamond" w:cs="Times New Roman"/>
        </w:rPr>
        <w:t>Lamothe</w:t>
      </w:r>
      <w:proofErr w:type="spellEnd"/>
      <w:r w:rsidRPr="00FF34F0">
        <w:rPr>
          <w:rFonts w:ascii="Garamond" w:hAnsi="Garamond" w:cs="Times New Roman"/>
        </w:rPr>
        <w:t xml:space="preserve">, L., Beaulieu, M., D'amour, D., and </w:t>
      </w:r>
      <w:proofErr w:type="spellStart"/>
      <w:r w:rsidRPr="00FF34F0">
        <w:rPr>
          <w:rFonts w:ascii="Garamond" w:hAnsi="Garamond" w:cs="Times New Roman"/>
        </w:rPr>
        <w:t>Goudreau</w:t>
      </w:r>
      <w:proofErr w:type="spellEnd"/>
      <w:r w:rsidRPr="00FF34F0">
        <w:rPr>
          <w:rFonts w:ascii="Garamond" w:hAnsi="Garamond" w:cs="Times New Roman"/>
        </w:rPr>
        <w:t>, J. (2015). Reforming primary healthcare: from public policy to organizational change. Journal of Health Organization and Management, 29(1), 92-110.</w:t>
      </w:r>
    </w:p>
    <w:p w14:paraId="1676B4DE" w14:textId="5774FCC4" w:rsidR="00BC70EF" w:rsidRPr="00FF34F0" w:rsidRDefault="00BC70EF" w:rsidP="006C51C5">
      <w:pPr>
        <w:rPr>
          <w:rFonts w:ascii="Garamond" w:hAnsi="Garamond" w:cs="Times New Roman"/>
        </w:rPr>
      </w:pPr>
    </w:p>
    <w:p w14:paraId="6029E5E9" w14:textId="200BD86C" w:rsidR="00BC70EF" w:rsidRPr="00FF34F0" w:rsidRDefault="001D12DB" w:rsidP="006C51C5">
      <w:pPr>
        <w:rPr>
          <w:rFonts w:ascii="Garamond" w:hAnsi="Garamond" w:cs="Times New Roman"/>
        </w:rPr>
      </w:pPr>
      <w:proofErr w:type="spellStart"/>
      <w:r w:rsidRPr="00FF34F0">
        <w:rPr>
          <w:rFonts w:ascii="Garamond" w:hAnsi="Garamond" w:cs="Times New Roman"/>
        </w:rPr>
        <w:t>Greenhalgh</w:t>
      </w:r>
      <w:proofErr w:type="spellEnd"/>
      <w:r w:rsidRPr="00FF34F0">
        <w:rPr>
          <w:rFonts w:ascii="Garamond" w:hAnsi="Garamond" w:cs="Times New Roman"/>
        </w:rPr>
        <w:t>, T., Humphrey, C., Hughes, J., Macfarlane, F., Butler, C., &amp; Pawson, R. (2009). How do you modernize a health service? A realist evaluation of whole</w:t>
      </w:r>
      <w:r w:rsidRPr="00FF34F0">
        <w:rPr>
          <w:rFonts w:ascii="Calibri" w:eastAsia="Calibri" w:hAnsi="Calibri" w:cs="Calibri"/>
        </w:rPr>
        <w:t>‐</w:t>
      </w:r>
      <w:r w:rsidRPr="00FF34F0">
        <w:rPr>
          <w:rFonts w:ascii="Garamond" w:hAnsi="Garamond" w:cs="Times New Roman"/>
        </w:rPr>
        <w:t>scale transformation in London. The Milbank Quarterly, 87(2), 391-416.</w:t>
      </w:r>
    </w:p>
    <w:p w14:paraId="10555691" w14:textId="77777777" w:rsidR="001D12DB" w:rsidRPr="00FF34F0" w:rsidRDefault="001D12DB" w:rsidP="006C51C5">
      <w:pPr>
        <w:rPr>
          <w:rFonts w:ascii="Garamond" w:hAnsi="Garamond" w:cs="Times New Roman"/>
        </w:rPr>
      </w:pPr>
    </w:p>
    <w:p w14:paraId="3993DE19" w14:textId="4F30CFD5" w:rsidR="00D36DE1" w:rsidRPr="00FF34F0" w:rsidRDefault="00D36DE1" w:rsidP="006C51C5">
      <w:pPr>
        <w:rPr>
          <w:rFonts w:ascii="Garamond" w:hAnsi="Garamond" w:cs="Times New Roman"/>
        </w:rPr>
      </w:pPr>
      <w:proofErr w:type="spellStart"/>
      <w:r w:rsidRPr="00FF34F0">
        <w:rPr>
          <w:rFonts w:ascii="Garamond" w:hAnsi="Garamond" w:cs="Times New Roman"/>
        </w:rPr>
        <w:t>Greenhalgh</w:t>
      </w:r>
      <w:proofErr w:type="spellEnd"/>
      <w:r w:rsidRPr="00FF34F0">
        <w:rPr>
          <w:rFonts w:ascii="Garamond" w:hAnsi="Garamond" w:cs="Times New Roman"/>
        </w:rPr>
        <w:t>, T., Macfarlane, F., Barton-Sweeney, C., and Woodard, F. (2012). “If we build it, will it stay?” A case study of the sustainability of whole</w:t>
      </w:r>
      <w:r w:rsidRPr="00FF34F0">
        <w:rPr>
          <w:rFonts w:ascii="Calibri" w:eastAsia="Calibri" w:hAnsi="Calibri" w:cs="Calibri"/>
        </w:rPr>
        <w:t>‐</w:t>
      </w:r>
      <w:r w:rsidRPr="00FF34F0">
        <w:rPr>
          <w:rFonts w:ascii="Garamond" w:hAnsi="Garamond" w:cs="Times New Roman"/>
        </w:rPr>
        <w:t>system change in London. The Milbank Quarterly, 90(3), 516-547.</w:t>
      </w:r>
    </w:p>
    <w:p w14:paraId="6F6278A4" w14:textId="77777777" w:rsidR="009E1546" w:rsidRPr="00FF34F0" w:rsidRDefault="009E1546" w:rsidP="006C51C5">
      <w:pPr>
        <w:rPr>
          <w:rFonts w:ascii="Garamond" w:hAnsi="Garamond" w:cs="Times New Roman"/>
          <w:lang w:val="en-GB"/>
        </w:rPr>
      </w:pPr>
    </w:p>
    <w:p w14:paraId="653178D8" w14:textId="05305CF0" w:rsidR="00E02D9C" w:rsidRPr="00FF34F0" w:rsidRDefault="00E02D9C" w:rsidP="006C51C5">
      <w:pPr>
        <w:rPr>
          <w:rFonts w:ascii="Garamond" w:hAnsi="Garamond" w:cs="Times New Roman"/>
          <w:lang w:val="en-GB"/>
        </w:rPr>
      </w:pPr>
      <w:r w:rsidRPr="00FF34F0">
        <w:rPr>
          <w:rFonts w:ascii="Garamond" w:hAnsi="Garamond" w:cs="Times New Roman"/>
          <w:color w:val="222222"/>
        </w:rPr>
        <w:t xml:space="preserve">Griffiths, L. (2003) Making connections: studies of the social </w:t>
      </w:r>
      <w:proofErr w:type="spellStart"/>
      <w:r w:rsidRPr="00FF34F0">
        <w:rPr>
          <w:rFonts w:ascii="Garamond" w:hAnsi="Garamond" w:cs="Times New Roman"/>
          <w:color w:val="222222"/>
        </w:rPr>
        <w:t>organisation</w:t>
      </w:r>
      <w:proofErr w:type="spellEnd"/>
      <w:r w:rsidRPr="00FF34F0">
        <w:rPr>
          <w:rFonts w:ascii="Garamond" w:hAnsi="Garamond" w:cs="Times New Roman"/>
          <w:color w:val="222222"/>
        </w:rPr>
        <w:t xml:space="preserve"> of healthcare. </w:t>
      </w:r>
      <w:r w:rsidRPr="00FF34F0">
        <w:rPr>
          <w:rFonts w:ascii="Garamond" w:hAnsi="Garamond" w:cs="Times New Roman"/>
          <w:iCs/>
          <w:color w:val="222222"/>
        </w:rPr>
        <w:t>Sociology of Health and Illness</w:t>
      </w:r>
      <w:r w:rsidRPr="00FF34F0">
        <w:rPr>
          <w:rFonts w:ascii="Garamond" w:hAnsi="Garamond" w:cs="Times New Roman"/>
          <w:color w:val="222222"/>
        </w:rPr>
        <w:t xml:space="preserve">, </w:t>
      </w:r>
      <w:r w:rsidRPr="00FF34F0">
        <w:rPr>
          <w:rFonts w:ascii="Garamond" w:hAnsi="Garamond" w:cs="Times New Roman"/>
          <w:iCs/>
          <w:color w:val="222222"/>
        </w:rPr>
        <w:t>25</w:t>
      </w:r>
      <w:r w:rsidRPr="00FF34F0">
        <w:rPr>
          <w:rFonts w:ascii="Garamond" w:hAnsi="Garamond" w:cs="Times New Roman"/>
          <w:color w:val="222222"/>
        </w:rPr>
        <w:t>,3, 155-171.</w:t>
      </w:r>
    </w:p>
    <w:p w14:paraId="11FF9D77" w14:textId="77777777" w:rsidR="00A00243" w:rsidRPr="00FF34F0" w:rsidRDefault="00A00243" w:rsidP="006C51C5">
      <w:pPr>
        <w:rPr>
          <w:rFonts w:ascii="Garamond" w:hAnsi="Garamond" w:cs="Times New Roman"/>
          <w:color w:val="222222"/>
        </w:rPr>
      </w:pPr>
    </w:p>
    <w:p w14:paraId="7430C43C" w14:textId="7E053CB4" w:rsidR="000E5FF4" w:rsidRPr="00FF34F0" w:rsidRDefault="00A00243" w:rsidP="006C51C5">
      <w:pPr>
        <w:rPr>
          <w:rFonts w:ascii="Garamond" w:hAnsi="Garamond" w:cs="Times New Roman"/>
          <w:color w:val="222222"/>
        </w:rPr>
      </w:pPr>
      <w:proofErr w:type="spellStart"/>
      <w:r w:rsidRPr="00FF34F0">
        <w:rPr>
          <w:rFonts w:ascii="Garamond" w:hAnsi="Garamond" w:cs="Times New Roman"/>
          <w:color w:val="222222"/>
        </w:rPr>
        <w:t>Huby</w:t>
      </w:r>
      <w:proofErr w:type="spellEnd"/>
      <w:r w:rsidRPr="00FF34F0">
        <w:rPr>
          <w:rFonts w:ascii="Garamond" w:hAnsi="Garamond" w:cs="Times New Roman"/>
          <w:color w:val="222222"/>
        </w:rPr>
        <w:t xml:space="preserve">, G., Harris, F. M., Powell, A. E., </w:t>
      </w:r>
      <w:proofErr w:type="spellStart"/>
      <w:r w:rsidRPr="00FF34F0">
        <w:rPr>
          <w:rFonts w:ascii="Garamond" w:hAnsi="Garamond" w:cs="Times New Roman"/>
          <w:color w:val="222222"/>
        </w:rPr>
        <w:t>Kielman</w:t>
      </w:r>
      <w:proofErr w:type="spellEnd"/>
      <w:r w:rsidRPr="00FF34F0">
        <w:rPr>
          <w:rFonts w:ascii="Garamond" w:hAnsi="Garamond" w:cs="Times New Roman"/>
          <w:color w:val="222222"/>
        </w:rPr>
        <w:t>, T., Sheikh, A., Wil</w:t>
      </w:r>
      <w:r w:rsidR="00B10656" w:rsidRPr="00FF34F0">
        <w:rPr>
          <w:rFonts w:ascii="Garamond" w:hAnsi="Garamond" w:cs="Times New Roman"/>
          <w:color w:val="222222"/>
        </w:rPr>
        <w:t>liams, S., and</w:t>
      </w:r>
      <w:r w:rsidR="000D674B" w:rsidRPr="00FF34F0">
        <w:rPr>
          <w:rFonts w:ascii="Garamond" w:hAnsi="Garamond" w:cs="Times New Roman"/>
          <w:color w:val="222222"/>
        </w:rPr>
        <w:t xml:space="preserve"> Pinnock, H. (2014)</w:t>
      </w:r>
      <w:r w:rsidRPr="00FF34F0">
        <w:rPr>
          <w:rFonts w:ascii="Garamond" w:hAnsi="Garamond" w:cs="Times New Roman"/>
          <w:color w:val="222222"/>
        </w:rPr>
        <w:t xml:space="preserve"> Beyond professional boundaries: relationships and resources in health services' </w:t>
      </w:r>
      <w:proofErr w:type="spellStart"/>
      <w:r w:rsidRPr="00FF34F0">
        <w:rPr>
          <w:rFonts w:ascii="Garamond" w:hAnsi="Garamond" w:cs="Times New Roman"/>
          <w:color w:val="222222"/>
        </w:rPr>
        <w:t>modernisation</w:t>
      </w:r>
      <w:proofErr w:type="spellEnd"/>
      <w:r w:rsidRPr="00FF34F0">
        <w:rPr>
          <w:rFonts w:ascii="Garamond" w:hAnsi="Garamond" w:cs="Times New Roman"/>
          <w:color w:val="222222"/>
        </w:rPr>
        <w:t xml:space="preserve"> in England and Wales. </w:t>
      </w:r>
      <w:r w:rsidR="00E112BC" w:rsidRPr="00FF34F0">
        <w:rPr>
          <w:rFonts w:ascii="Garamond" w:hAnsi="Garamond" w:cs="Times New Roman"/>
          <w:iCs/>
          <w:color w:val="222222"/>
        </w:rPr>
        <w:t>Sociology of Health and</w:t>
      </w:r>
      <w:r w:rsidRPr="00FF34F0">
        <w:rPr>
          <w:rFonts w:ascii="Garamond" w:hAnsi="Garamond" w:cs="Times New Roman"/>
          <w:iCs/>
          <w:color w:val="222222"/>
        </w:rPr>
        <w:t xml:space="preserve"> Illness</w:t>
      </w:r>
      <w:r w:rsidRPr="00FF34F0">
        <w:rPr>
          <w:rFonts w:ascii="Garamond" w:hAnsi="Garamond" w:cs="Times New Roman"/>
          <w:color w:val="222222"/>
        </w:rPr>
        <w:t xml:space="preserve">, </w:t>
      </w:r>
      <w:r w:rsidRPr="00FF34F0">
        <w:rPr>
          <w:rFonts w:ascii="Garamond" w:hAnsi="Garamond" w:cs="Times New Roman"/>
          <w:iCs/>
          <w:color w:val="222222"/>
        </w:rPr>
        <w:t>36</w:t>
      </w:r>
      <w:r w:rsidRPr="00FF34F0">
        <w:rPr>
          <w:rFonts w:ascii="Garamond" w:hAnsi="Garamond" w:cs="Times New Roman"/>
          <w:color w:val="222222"/>
        </w:rPr>
        <w:t>,3, 400-415.</w:t>
      </w:r>
    </w:p>
    <w:p w14:paraId="314F171D" w14:textId="0AA2F0FA" w:rsidR="00B07F1F" w:rsidRPr="00FF34F0" w:rsidRDefault="00B07F1F" w:rsidP="006C51C5">
      <w:pPr>
        <w:rPr>
          <w:rFonts w:ascii="Garamond" w:hAnsi="Garamond" w:cs="Times New Roman"/>
          <w:color w:val="222222"/>
        </w:rPr>
      </w:pPr>
    </w:p>
    <w:p w14:paraId="280357AD" w14:textId="730BBDF0" w:rsidR="00B07F1F" w:rsidRPr="00FF34F0" w:rsidRDefault="00B10656" w:rsidP="006C51C5">
      <w:pPr>
        <w:rPr>
          <w:rFonts w:ascii="Garamond" w:hAnsi="Garamond" w:cs="Times New Roman"/>
          <w:color w:val="222222"/>
        </w:rPr>
      </w:pPr>
      <w:r w:rsidRPr="00FF34F0">
        <w:rPr>
          <w:rFonts w:ascii="Garamond" w:hAnsi="Garamond" w:cs="Times New Roman"/>
          <w:color w:val="222222"/>
        </w:rPr>
        <w:t>Hughes, D. (1996)</w:t>
      </w:r>
      <w:r w:rsidR="00B07F1F" w:rsidRPr="00FF34F0">
        <w:rPr>
          <w:rFonts w:ascii="Garamond" w:hAnsi="Garamond" w:cs="Times New Roman"/>
          <w:color w:val="222222"/>
        </w:rPr>
        <w:t xml:space="preserve"> NHS managers as rhetoricians: a case of culture </w:t>
      </w:r>
      <w:proofErr w:type="gramStart"/>
      <w:r w:rsidR="00B07F1F" w:rsidRPr="00FF34F0">
        <w:rPr>
          <w:rFonts w:ascii="Garamond" w:hAnsi="Garamond" w:cs="Times New Roman"/>
          <w:color w:val="222222"/>
        </w:rPr>
        <w:t>management?.</w:t>
      </w:r>
      <w:proofErr w:type="gramEnd"/>
      <w:r w:rsidR="00B07F1F" w:rsidRPr="00FF34F0">
        <w:rPr>
          <w:rFonts w:ascii="Garamond" w:hAnsi="Garamond" w:cs="Times New Roman"/>
          <w:color w:val="222222"/>
        </w:rPr>
        <w:t xml:space="preserve"> Sociology of Health &amp; Illness, 18(3), 291-314.</w:t>
      </w:r>
    </w:p>
    <w:p w14:paraId="3C308674" w14:textId="66F2D8A7" w:rsidR="00BC70EF" w:rsidRPr="00FF34F0" w:rsidRDefault="00BC70EF" w:rsidP="006C51C5">
      <w:pPr>
        <w:rPr>
          <w:rFonts w:ascii="Garamond" w:hAnsi="Garamond" w:cs="Times New Roman"/>
          <w:color w:val="222222"/>
        </w:rPr>
      </w:pPr>
    </w:p>
    <w:p w14:paraId="0D6E6CE4" w14:textId="7C5F4452" w:rsidR="00BC70EF" w:rsidRPr="00FF34F0" w:rsidRDefault="00BC70EF" w:rsidP="006C51C5">
      <w:pPr>
        <w:rPr>
          <w:rFonts w:ascii="Garamond" w:hAnsi="Garamond" w:cs="Times New Roman"/>
          <w:color w:val="222222"/>
        </w:rPr>
      </w:pPr>
      <w:r w:rsidRPr="00FF34F0">
        <w:rPr>
          <w:rFonts w:ascii="Garamond" w:hAnsi="Garamond" w:cs="Times New Roman"/>
          <w:color w:val="222222"/>
        </w:rPr>
        <w:t xml:space="preserve">Hunter, D., Erskine, J., Hicks, C., McGovern, T., Small, A., </w:t>
      </w:r>
      <w:proofErr w:type="spellStart"/>
      <w:r w:rsidRPr="00FF34F0">
        <w:rPr>
          <w:rFonts w:ascii="Garamond" w:hAnsi="Garamond" w:cs="Times New Roman"/>
          <w:color w:val="222222"/>
        </w:rPr>
        <w:t>Lugsden</w:t>
      </w:r>
      <w:proofErr w:type="spellEnd"/>
      <w:r w:rsidRPr="00FF34F0">
        <w:rPr>
          <w:rFonts w:ascii="Garamond" w:hAnsi="Garamond" w:cs="Times New Roman"/>
          <w:color w:val="222222"/>
        </w:rPr>
        <w:t xml:space="preserve">, E., Whitty, P., Steen, I., and Eccles, M. (2014). A mixed-methods evaluation of transformational change in NHS North East. Health Services and Delivery Research 2 (47). </w:t>
      </w:r>
    </w:p>
    <w:p w14:paraId="0C358CC3" w14:textId="7C2BAF5D" w:rsidR="00B10656" w:rsidRPr="00FF34F0" w:rsidRDefault="00B10656" w:rsidP="006C51C5">
      <w:pPr>
        <w:rPr>
          <w:rFonts w:ascii="Garamond" w:hAnsi="Garamond" w:cs="Times New Roman"/>
          <w:color w:val="222222"/>
        </w:rPr>
      </w:pPr>
    </w:p>
    <w:p w14:paraId="5873B666" w14:textId="56C4355E" w:rsidR="00B07F1F" w:rsidRPr="00FF34F0" w:rsidRDefault="00B10656" w:rsidP="006C51C5">
      <w:pPr>
        <w:rPr>
          <w:rFonts w:ascii="Garamond" w:hAnsi="Garamond" w:cs="Times New Roman"/>
          <w:color w:val="222222"/>
        </w:rPr>
      </w:pPr>
      <w:proofErr w:type="spellStart"/>
      <w:r w:rsidRPr="00FF34F0">
        <w:rPr>
          <w:rFonts w:ascii="Garamond" w:hAnsi="Garamond" w:cs="Times New Roman"/>
          <w:color w:val="222222"/>
        </w:rPr>
        <w:t>Im</w:t>
      </w:r>
      <w:r w:rsidR="00BC70EF" w:rsidRPr="00FF34F0">
        <w:rPr>
          <w:rFonts w:ascii="Garamond" w:hAnsi="Garamond" w:cs="Times New Roman"/>
          <w:color w:val="222222"/>
        </w:rPr>
        <w:t>m</w:t>
      </w:r>
      <w:r w:rsidRPr="00FF34F0">
        <w:rPr>
          <w:rFonts w:ascii="Garamond" w:hAnsi="Garamond" w:cs="Times New Roman"/>
          <w:color w:val="222222"/>
        </w:rPr>
        <w:t>ison</w:t>
      </w:r>
      <w:proofErr w:type="spellEnd"/>
      <w:r w:rsidRPr="00FF34F0">
        <w:rPr>
          <w:rFonts w:ascii="Garamond" w:hAnsi="Garamond" w:cs="Times New Roman"/>
          <w:color w:val="222222"/>
        </w:rPr>
        <w:t xml:space="preserve">, C., </w:t>
      </w:r>
      <w:proofErr w:type="spellStart"/>
      <w:r w:rsidRPr="00FF34F0">
        <w:rPr>
          <w:rFonts w:ascii="Garamond" w:hAnsi="Garamond" w:cs="Times New Roman"/>
          <w:color w:val="222222"/>
        </w:rPr>
        <w:t>Sonola</w:t>
      </w:r>
      <w:proofErr w:type="spellEnd"/>
      <w:r w:rsidRPr="00FF34F0">
        <w:rPr>
          <w:rFonts w:ascii="Garamond" w:hAnsi="Garamond" w:cs="Times New Roman"/>
          <w:color w:val="222222"/>
        </w:rPr>
        <w:t xml:space="preserve">, L., </w:t>
      </w:r>
      <w:proofErr w:type="spellStart"/>
      <w:r w:rsidRPr="00FF34F0">
        <w:rPr>
          <w:rFonts w:ascii="Garamond" w:hAnsi="Garamond" w:cs="Times New Roman"/>
          <w:color w:val="222222"/>
        </w:rPr>
        <w:t>Honeyman</w:t>
      </w:r>
      <w:proofErr w:type="spellEnd"/>
      <w:r w:rsidRPr="00FF34F0">
        <w:rPr>
          <w:rFonts w:ascii="Garamond" w:hAnsi="Garamond" w:cs="Times New Roman"/>
          <w:color w:val="222222"/>
        </w:rPr>
        <w:t xml:space="preserve">, M., Ross, S. (2014) The reconfiguration of clinical services. What is the evidence? London, Kings Fund. </w:t>
      </w:r>
    </w:p>
    <w:p w14:paraId="2693101B" w14:textId="77777777" w:rsidR="003B0200" w:rsidRPr="00FF34F0" w:rsidRDefault="003B0200" w:rsidP="006C51C5">
      <w:pPr>
        <w:rPr>
          <w:rFonts w:ascii="Garamond" w:hAnsi="Garamond" w:cs="Times New Roman"/>
          <w:color w:val="222222"/>
        </w:rPr>
      </w:pPr>
    </w:p>
    <w:p w14:paraId="62E0212C" w14:textId="77777777" w:rsidR="00B10656" w:rsidRPr="00FF34F0" w:rsidRDefault="00B10656" w:rsidP="006C51C5">
      <w:pPr>
        <w:rPr>
          <w:rFonts w:ascii="Garamond" w:hAnsi="Garamond" w:cs="Times New Roman"/>
          <w:color w:val="222222"/>
        </w:rPr>
      </w:pPr>
    </w:p>
    <w:p w14:paraId="69A0B9FB" w14:textId="034EFF37" w:rsidR="00A00243" w:rsidRPr="00FF34F0" w:rsidRDefault="00A00243" w:rsidP="006C51C5">
      <w:pPr>
        <w:rPr>
          <w:rFonts w:ascii="Garamond" w:hAnsi="Garamond" w:cs="Times New Roman"/>
          <w:lang w:val="en-GB"/>
        </w:rPr>
      </w:pPr>
      <w:proofErr w:type="spellStart"/>
      <w:r w:rsidRPr="00FF34F0">
        <w:rPr>
          <w:rFonts w:ascii="Garamond" w:hAnsi="Garamond" w:cs="Times New Roman"/>
          <w:lang w:val="en-GB"/>
        </w:rPr>
        <w:t>Ivanova</w:t>
      </w:r>
      <w:proofErr w:type="spellEnd"/>
      <w:r w:rsidRPr="00FF34F0">
        <w:rPr>
          <w:rFonts w:ascii="Garamond" w:hAnsi="Garamond" w:cs="Times New Roman"/>
          <w:lang w:val="en-GB"/>
        </w:rPr>
        <w:t xml:space="preserve">, D., </w:t>
      </w:r>
      <w:proofErr w:type="spellStart"/>
      <w:r w:rsidRPr="00FF34F0">
        <w:rPr>
          <w:rFonts w:ascii="Garamond" w:hAnsi="Garamond" w:cs="Times New Roman"/>
          <w:lang w:val="en-GB"/>
        </w:rPr>
        <w:t>Wallenburg</w:t>
      </w:r>
      <w:proofErr w:type="spellEnd"/>
      <w:r w:rsidRPr="00FF34F0">
        <w:rPr>
          <w:rFonts w:ascii="Garamond" w:hAnsi="Garamond" w:cs="Times New Roman"/>
          <w:lang w:val="en-GB"/>
        </w:rPr>
        <w:t xml:space="preserve">, I., and Bal, R. (2016) Care in place: A case study of assembling a </w:t>
      </w:r>
      <w:proofErr w:type="spellStart"/>
      <w:r w:rsidRPr="00FF34F0">
        <w:rPr>
          <w:rFonts w:ascii="Garamond" w:hAnsi="Garamond" w:cs="Times New Roman"/>
          <w:lang w:val="en-GB"/>
        </w:rPr>
        <w:t>carescape</w:t>
      </w:r>
      <w:proofErr w:type="spellEnd"/>
      <w:r w:rsidRPr="00FF34F0">
        <w:rPr>
          <w:rFonts w:ascii="Garamond" w:hAnsi="Garamond" w:cs="Times New Roman"/>
          <w:lang w:val="en-GB"/>
        </w:rPr>
        <w:t>. Sociology of Health and Illness, 38,8, 1336-1349.</w:t>
      </w:r>
    </w:p>
    <w:p w14:paraId="08A19E5A" w14:textId="51A7EB29" w:rsidR="00D8333E" w:rsidRPr="00FF34F0" w:rsidRDefault="00D8333E" w:rsidP="006C51C5">
      <w:pPr>
        <w:rPr>
          <w:rFonts w:ascii="Garamond" w:hAnsi="Garamond" w:cs="Times New Roman"/>
          <w:lang w:val="en-GB"/>
        </w:rPr>
      </w:pPr>
    </w:p>
    <w:p w14:paraId="31F55D96" w14:textId="40049111" w:rsidR="00D8333E" w:rsidRPr="00FF34F0" w:rsidRDefault="00D8333E" w:rsidP="006C51C5">
      <w:pPr>
        <w:rPr>
          <w:rFonts w:ascii="Garamond" w:hAnsi="Garamond" w:cs="Times New Roman"/>
          <w:lang w:val="en-GB"/>
        </w:rPr>
      </w:pPr>
      <w:r w:rsidRPr="00FF34F0">
        <w:rPr>
          <w:rFonts w:ascii="Garamond" w:hAnsi="Garamond" w:cs="Times New Roman"/>
          <w:lang w:val="en-GB"/>
        </w:rPr>
        <w:t>Jansen, J. O., Morrison, J. J., Smyth, L., and Campbell, M. K. (2016). Using population-based critical care data to evaluate trauma outcomes. The Surgeon, 14(1), 7-12.</w:t>
      </w:r>
    </w:p>
    <w:p w14:paraId="0DE52B2F" w14:textId="77777777" w:rsidR="000E5FF4" w:rsidRPr="00FF34F0" w:rsidRDefault="000E5FF4" w:rsidP="006C51C5">
      <w:pPr>
        <w:rPr>
          <w:rFonts w:ascii="Garamond" w:hAnsi="Garamond" w:cs="Times New Roman"/>
          <w:lang w:val="en-GB"/>
        </w:rPr>
      </w:pPr>
    </w:p>
    <w:p w14:paraId="560BCC3E" w14:textId="3B85DA71" w:rsidR="00A00243" w:rsidRPr="00FF34F0" w:rsidRDefault="00856C71" w:rsidP="006C51C5">
      <w:pPr>
        <w:rPr>
          <w:rFonts w:ascii="Garamond" w:hAnsi="Garamond" w:cs="Times New Roman"/>
          <w:color w:val="1A1A1A"/>
          <w:lang w:val="en-GB"/>
        </w:rPr>
      </w:pPr>
      <w:proofErr w:type="spellStart"/>
      <w:r w:rsidRPr="00FF34F0">
        <w:rPr>
          <w:rFonts w:ascii="Garamond" w:hAnsi="Garamond" w:cs="Times New Roman"/>
          <w:color w:val="1A1A1A"/>
          <w:lang w:val="en-GB"/>
        </w:rPr>
        <w:t>Janssens</w:t>
      </w:r>
      <w:proofErr w:type="spellEnd"/>
      <w:r w:rsidRPr="00FF34F0">
        <w:rPr>
          <w:rFonts w:ascii="Garamond" w:hAnsi="Garamond" w:cs="Times New Roman"/>
          <w:color w:val="1A1A1A"/>
          <w:lang w:val="en-GB"/>
        </w:rPr>
        <w:t xml:space="preserve">, M., and </w:t>
      </w:r>
      <w:proofErr w:type="spellStart"/>
      <w:r w:rsidRPr="00FF34F0">
        <w:rPr>
          <w:rFonts w:ascii="Garamond" w:hAnsi="Garamond" w:cs="Times New Roman"/>
          <w:color w:val="1A1A1A"/>
          <w:lang w:val="en-GB"/>
        </w:rPr>
        <w:t>Steyaert</w:t>
      </w:r>
      <w:proofErr w:type="spellEnd"/>
      <w:r w:rsidRPr="00FF34F0">
        <w:rPr>
          <w:rFonts w:ascii="Garamond" w:hAnsi="Garamond" w:cs="Times New Roman"/>
          <w:color w:val="1A1A1A"/>
          <w:lang w:val="en-GB"/>
        </w:rPr>
        <w:t xml:space="preserve">, C. (2009) HRM and performance: A plea for reflexivity in HRM studies. </w:t>
      </w:r>
      <w:r w:rsidRPr="00FF34F0">
        <w:rPr>
          <w:rFonts w:ascii="Garamond" w:hAnsi="Garamond" w:cs="Times New Roman"/>
          <w:iCs/>
          <w:color w:val="1A1A1A"/>
          <w:lang w:val="en-GB"/>
        </w:rPr>
        <w:t>Journal of Management Studies</w:t>
      </w:r>
      <w:r w:rsidRPr="00FF34F0">
        <w:rPr>
          <w:rFonts w:ascii="Garamond" w:hAnsi="Garamond" w:cs="Times New Roman"/>
          <w:color w:val="1A1A1A"/>
          <w:lang w:val="en-GB"/>
        </w:rPr>
        <w:t xml:space="preserve">, </w:t>
      </w:r>
      <w:r w:rsidRPr="00FF34F0">
        <w:rPr>
          <w:rFonts w:ascii="Garamond" w:hAnsi="Garamond" w:cs="Times New Roman"/>
          <w:iCs/>
          <w:color w:val="1A1A1A"/>
          <w:lang w:val="en-GB"/>
        </w:rPr>
        <w:t>46</w:t>
      </w:r>
      <w:r w:rsidR="00E87973" w:rsidRPr="00FF34F0">
        <w:rPr>
          <w:rFonts w:ascii="Garamond" w:hAnsi="Garamond" w:cs="Times New Roman"/>
          <w:color w:val="1A1A1A"/>
          <w:lang w:val="en-GB"/>
        </w:rPr>
        <w:t>,1</w:t>
      </w:r>
      <w:r w:rsidRPr="00FF34F0">
        <w:rPr>
          <w:rFonts w:ascii="Garamond" w:hAnsi="Garamond" w:cs="Times New Roman"/>
          <w:color w:val="1A1A1A"/>
          <w:lang w:val="en-GB"/>
        </w:rPr>
        <w:t>, 143-155.</w:t>
      </w:r>
    </w:p>
    <w:p w14:paraId="2BB66771" w14:textId="426B6B6F" w:rsidR="000E5FF4" w:rsidRPr="00FF34F0" w:rsidRDefault="000E5FF4" w:rsidP="006C51C5">
      <w:pPr>
        <w:rPr>
          <w:rFonts w:ascii="Garamond" w:hAnsi="Garamond" w:cs="Times New Roman"/>
          <w:color w:val="1A1A1A"/>
          <w:lang w:val="en-GB"/>
        </w:rPr>
      </w:pPr>
    </w:p>
    <w:p w14:paraId="2E054D14" w14:textId="35037961" w:rsidR="007740F5" w:rsidRPr="00FF34F0" w:rsidRDefault="007740F5" w:rsidP="006C51C5">
      <w:pPr>
        <w:rPr>
          <w:rFonts w:ascii="Garamond" w:hAnsi="Garamond" w:cs="Times New Roman"/>
          <w:color w:val="1A1A1A"/>
          <w:lang w:val="en-GB"/>
        </w:rPr>
      </w:pPr>
      <w:r w:rsidRPr="00FF34F0">
        <w:rPr>
          <w:rFonts w:ascii="Garamond" w:hAnsi="Garamond" w:cs="Times New Roman"/>
          <w:color w:val="1A1A1A"/>
          <w:lang w:val="en-GB"/>
        </w:rPr>
        <w:t>Johns</w:t>
      </w:r>
      <w:r w:rsidR="00B10656" w:rsidRPr="00FF34F0">
        <w:rPr>
          <w:rFonts w:ascii="Garamond" w:hAnsi="Garamond" w:cs="Times New Roman"/>
          <w:color w:val="1A1A1A"/>
          <w:lang w:val="en-GB"/>
        </w:rPr>
        <w:t>on, T. (1993)</w:t>
      </w:r>
      <w:r w:rsidRPr="00FF34F0">
        <w:rPr>
          <w:rFonts w:ascii="Garamond" w:hAnsi="Garamond" w:cs="Times New Roman"/>
          <w:color w:val="1A1A1A"/>
          <w:lang w:val="en-GB"/>
        </w:rPr>
        <w:t xml:space="preserve"> Expertise and the state. In M. </w:t>
      </w:r>
      <w:proofErr w:type="spellStart"/>
      <w:r w:rsidRPr="00FF34F0">
        <w:rPr>
          <w:rFonts w:ascii="Garamond" w:hAnsi="Garamond" w:cs="Times New Roman"/>
          <w:color w:val="1A1A1A"/>
          <w:lang w:val="en-GB"/>
        </w:rPr>
        <w:t>Gane</w:t>
      </w:r>
      <w:proofErr w:type="spellEnd"/>
      <w:r w:rsidRPr="00FF34F0">
        <w:rPr>
          <w:rFonts w:ascii="Garamond" w:hAnsi="Garamond" w:cs="Times New Roman"/>
          <w:color w:val="1A1A1A"/>
          <w:lang w:val="en-GB"/>
        </w:rPr>
        <w:t xml:space="preserve"> and T. Johnson (</w:t>
      </w:r>
      <w:proofErr w:type="spellStart"/>
      <w:r w:rsidRPr="00FF34F0">
        <w:rPr>
          <w:rFonts w:ascii="Garamond" w:hAnsi="Garamond" w:cs="Times New Roman"/>
          <w:color w:val="1A1A1A"/>
          <w:lang w:val="en-GB"/>
        </w:rPr>
        <w:t>Eds</w:t>
      </w:r>
      <w:proofErr w:type="spellEnd"/>
      <w:r w:rsidRPr="00FF34F0">
        <w:rPr>
          <w:rFonts w:ascii="Garamond" w:hAnsi="Garamond" w:cs="Times New Roman"/>
          <w:color w:val="1A1A1A"/>
          <w:lang w:val="en-GB"/>
        </w:rPr>
        <w:t>), Foucault's new domains. London: Routledge</w:t>
      </w:r>
      <w:r w:rsidR="00B10656" w:rsidRPr="00FF34F0">
        <w:rPr>
          <w:rFonts w:ascii="Garamond" w:hAnsi="Garamond" w:cs="Times New Roman"/>
          <w:color w:val="1A1A1A"/>
          <w:lang w:val="en-GB"/>
        </w:rPr>
        <w:t>.</w:t>
      </w:r>
    </w:p>
    <w:p w14:paraId="24E82683" w14:textId="504D02FB" w:rsidR="007740F5" w:rsidRPr="00FF34F0" w:rsidRDefault="007740F5" w:rsidP="006C51C5">
      <w:pPr>
        <w:rPr>
          <w:rFonts w:ascii="Garamond" w:hAnsi="Garamond" w:cs="Times New Roman"/>
        </w:rPr>
      </w:pPr>
    </w:p>
    <w:p w14:paraId="35784721" w14:textId="75F40146" w:rsidR="007740F5" w:rsidRPr="00FF34F0" w:rsidRDefault="00B10656" w:rsidP="006C51C5">
      <w:pPr>
        <w:rPr>
          <w:rFonts w:ascii="Garamond" w:hAnsi="Garamond" w:cs="Times New Roman"/>
        </w:rPr>
      </w:pPr>
      <w:r w:rsidRPr="00FF34F0">
        <w:rPr>
          <w:rFonts w:ascii="Garamond" w:hAnsi="Garamond" w:cs="Times New Roman"/>
        </w:rPr>
        <w:t>Jones, L., and</w:t>
      </w:r>
      <w:r w:rsidR="007740F5" w:rsidRPr="00FF34F0">
        <w:rPr>
          <w:rFonts w:ascii="Garamond" w:hAnsi="Garamond" w:cs="Times New Roman"/>
        </w:rPr>
        <w:t xml:space="preserve"> </w:t>
      </w:r>
      <w:proofErr w:type="spellStart"/>
      <w:r w:rsidR="007740F5" w:rsidRPr="00FF34F0">
        <w:rPr>
          <w:rFonts w:ascii="Garamond" w:hAnsi="Garamond" w:cs="Times New Roman"/>
        </w:rPr>
        <w:t>Exworthy</w:t>
      </w:r>
      <w:proofErr w:type="spellEnd"/>
      <w:r w:rsidR="007740F5" w:rsidRPr="00FF34F0">
        <w:rPr>
          <w:rFonts w:ascii="Garamond" w:hAnsi="Garamond" w:cs="Times New Roman"/>
        </w:rPr>
        <w:t>, M. (2015). Framing in policy processes: A case study from hospital planning in the National Health Service in England. Social Science &amp; Medicine, 124, 196-204.</w:t>
      </w:r>
    </w:p>
    <w:p w14:paraId="7FC281AC" w14:textId="77777777" w:rsidR="00856C71" w:rsidRPr="00FF34F0" w:rsidRDefault="00856C71" w:rsidP="006C51C5">
      <w:pPr>
        <w:rPr>
          <w:rFonts w:ascii="Garamond" w:hAnsi="Garamond" w:cs="Times New Roman"/>
          <w:lang w:val="en-GB"/>
        </w:rPr>
      </w:pPr>
    </w:p>
    <w:p w14:paraId="7D25EB0D" w14:textId="0364F541" w:rsidR="00856C71" w:rsidRPr="00FF34F0" w:rsidRDefault="00856C71" w:rsidP="006C51C5">
      <w:pPr>
        <w:rPr>
          <w:rFonts w:ascii="Garamond" w:hAnsi="Garamond" w:cs="Times New Roman"/>
        </w:rPr>
      </w:pPr>
      <w:r w:rsidRPr="00FF34F0">
        <w:rPr>
          <w:rFonts w:ascii="Garamond" w:hAnsi="Garamond" w:cs="Times New Roman"/>
        </w:rPr>
        <w:t>Jones, I.</w:t>
      </w:r>
      <w:r w:rsidR="009D2E25" w:rsidRPr="00FF34F0">
        <w:rPr>
          <w:rFonts w:ascii="Garamond" w:hAnsi="Garamond" w:cs="Times New Roman"/>
        </w:rPr>
        <w:t>R.,</w:t>
      </w:r>
      <w:r w:rsidR="00B10656" w:rsidRPr="00FF34F0">
        <w:rPr>
          <w:rFonts w:ascii="Garamond" w:hAnsi="Garamond" w:cs="Times New Roman"/>
        </w:rPr>
        <w:t xml:space="preserve"> (1999)</w:t>
      </w:r>
      <w:r w:rsidRPr="00FF34F0">
        <w:rPr>
          <w:rFonts w:ascii="Garamond" w:hAnsi="Garamond" w:cs="Times New Roman"/>
        </w:rPr>
        <w:t xml:space="preserve"> Professional power and the need for health care </w:t>
      </w:r>
      <w:proofErr w:type="spellStart"/>
      <w:r w:rsidRPr="00FF34F0">
        <w:rPr>
          <w:rFonts w:ascii="Garamond" w:hAnsi="Garamond" w:cs="Times New Roman"/>
        </w:rPr>
        <w:t>Aldershot</w:t>
      </w:r>
      <w:proofErr w:type="spellEnd"/>
      <w:r w:rsidRPr="00FF34F0">
        <w:rPr>
          <w:rFonts w:ascii="Garamond" w:hAnsi="Garamond" w:cs="Times New Roman"/>
        </w:rPr>
        <w:t xml:space="preserve">: </w:t>
      </w:r>
      <w:proofErr w:type="spellStart"/>
      <w:r w:rsidRPr="00FF34F0">
        <w:rPr>
          <w:rFonts w:ascii="Garamond" w:hAnsi="Garamond" w:cs="Times New Roman"/>
        </w:rPr>
        <w:t>Ashgate</w:t>
      </w:r>
      <w:proofErr w:type="spellEnd"/>
      <w:r w:rsidRPr="00FF34F0">
        <w:rPr>
          <w:rFonts w:ascii="Garamond" w:hAnsi="Garamond" w:cs="Times New Roman"/>
        </w:rPr>
        <w:t>.</w:t>
      </w:r>
    </w:p>
    <w:p w14:paraId="073D5AED" w14:textId="77777777" w:rsidR="000D674B" w:rsidRPr="00FF34F0" w:rsidRDefault="000D674B" w:rsidP="006C51C5">
      <w:pPr>
        <w:rPr>
          <w:rFonts w:ascii="Garamond" w:hAnsi="Garamond" w:cs="Times New Roman"/>
        </w:rPr>
      </w:pPr>
    </w:p>
    <w:p w14:paraId="08439725" w14:textId="5DB04FDF" w:rsidR="009D2E25" w:rsidRPr="00FF34F0" w:rsidRDefault="009D2E25" w:rsidP="006C51C5">
      <w:pPr>
        <w:rPr>
          <w:rFonts w:ascii="Garamond" w:hAnsi="Garamond" w:cs="Times New Roman"/>
        </w:rPr>
      </w:pPr>
      <w:r w:rsidRPr="00FF34F0">
        <w:rPr>
          <w:rFonts w:ascii="Garamond" w:hAnsi="Garamond" w:cs="Times New Roman"/>
        </w:rPr>
        <w:t xml:space="preserve">Jones, I.R., (2001) Health care decision making and the politics of health. In </w:t>
      </w:r>
      <w:proofErr w:type="spellStart"/>
      <w:r w:rsidRPr="00FF34F0">
        <w:rPr>
          <w:rFonts w:ascii="Garamond" w:hAnsi="Garamond" w:cs="Times New Roman"/>
        </w:rPr>
        <w:t>Scambler</w:t>
      </w:r>
      <w:proofErr w:type="spellEnd"/>
      <w:r w:rsidRPr="00FF34F0">
        <w:rPr>
          <w:rFonts w:ascii="Garamond" w:hAnsi="Garamond" w:cs="Times New Roman"/>
        </w:rPr>
        <w:t xml:space="preserve">, G. (ed.) </w:t>
      </w:r>
      <w:proofErr w:type="spellStart"/>
      <w:r w:rsidRPr="00FF34F0">
        <w:rPr>
          <w:rFonts w:ascii="Garamond" w:hAnsi="Garamond" w:cs="Times New Roman"/>
        </w:rPr>
        <w:t>Habermas</w:t>
      </w:r>
      <w:proofErr w:type="spellEnd"/>
      <w:r w:rsidRPr="00FF34F0">
        <w:rPr>
          <w:rFonts w:ascii="Garamond" w:hAnsi="Garamond" w:cs="Times New Roman"/>
        </w:rPr>
        <w:t>, Critical Theory and Health. London, Routledge.</w:t>
      </w:r>
    </w:p>
    <w:p w14:paraId="6AC23492" w14:textId="0A34E819" w:rsidR="003636B1" w:rsidRPr="00FF34F0" w:rsidRDefault="003636B1" w:rsidP="006C51C5">
      <w:pPr>
        <w:rPr>
          <w:rFonts w:ascii="Garamond" w:hAnsi="Garamond" w:cs="Times New Roman"/>
        </w:rPr>
      </w:pPr>
    </w:p>
    <w:p w14:paraId="27B57CD8" w14:textId="18A86600" w:rsidR="00856C71" w:rsidRPr="00FF34F0" w:rsidRDefault="003636B1" w:rsidP="006C51C5">
      <w:pPr>
        <w:rPr>
          <w:rFonts w:ascii="Garamond" w:hAnsi="Garamond" w:cs="Times New Roman"/>
        </w:rPr>
      </w:pPr>
      <w:r w:rsidRPr="00FF34F0">
        <w:rPr>
          <w:rFonts w:ascii="Garamond" w:hAnsi="Garamond" w:cs="Times New Roman"/>
          <w:color w:val="1A1A1A"/>
          <w:lang w:val="en-GB"/>
        </w:rPr>
        <w:t xml:space="preserve">Kitchener, M., and </w:t>
      </w:r>
      <w:proofErr w:type="spellStart"/>
      <w:r w:rsidRPr="00FF34F0">
        <w:rPr>
          <w:rFonts w:ascii="Garamond" w:hAnsi="Garamond" w:cs="Times New Roman"/>
          <w:color w:val="1A1A1A"/>
          <w:lang w:val="en-GB"/>
        </w:rPr>
        <w:t>Gask</w:t>
      </w:r>
      <w:proofErr w:type="spellEnd"/>
      <w:r w:rsidRPr="00FF34F0">
        <w:rPr>
          <w:rFonts w:ascii="Garamond" w:hAnsi="Garamond" w:cs="Times New Roman"/>
          <w:color w:val="1A1A1A"/>
          <w:lang w:val="en-GB"/>
        </w:rPr>
        <w:t xml:space="preserve">, L. (2003) NPM merger mania Lessons from an early case. </w:t>
      </w:r>
      <w:r w:rsidRPr="00FF34F0">
        <w:rPr>
          <w:rFonts w:ascii="Garamond" w:hAnsi="Garamond" w:cs="Times New Roman"/>
          <w:iCs/>
          <w:color w:val="1A1A1A"/>
          <w:lang w:val="en-GB"/>
        </w:rPr>
        <w:t>Public Management Review</w:t>
      </w:r>
      <w:r w:rsidRPr="00FF34F0">
        <w:rPr>
          <w:rFonts w:ascii="Garamond" w:hAnsi="Garamond" w:cs="Times New Roman"/>
          <w:color w:val="1A1A1A"/>
          <w:lang w:val="en-GB"/>
        </w:rPr>
        <w:t xml:space="preserve">, </w:t>
      </w:r>
      <w:r w:rsidRPr="00FF34F0">
        <w:rPr>
          <w:rFonts w:ascii="Garamond" w:hAnsi="Garamond" w:cs="Times New Roman"/>
          <w:iCs/>
          <w:color w:val="1A1A1A"/>
          <w:lang w:val="en-GB"/>
        </w:rPr>
        <w:t>5</w:t>
      </w:r>
      <w:r w:rsidRPr="00FF34F0">
        <w:rPr>
          <w:rFonts w:ascii="Garamond" w:hAnsi="Garamond" w:cs="Times New Roman"/>
          <w:color w:val="1A1A1A"/>
          <w:lang w:val="en-GB"/>
        </w:rPr>
        <w:t>(1), 19-44.</w:t>
      </w:r>
    </w:p>
    <w:p w14:paraId="362B35C8" w14:textId="77777777" w:rsidR="00B10656" w:rsidRPr="00FF34F0" w:rsidRDefault="00B10656" w:rsidP="006C51C5">
      <w:pPr>
        <w:rPr>
          <w:rFonts w:ascii="Garamond" w:hAnsi="Garamond" w:cs="Times New Roman"/>
        </w:rPr>
      </w:pPr>
    </w:p>
    <w:p w14:paraId="6CD8B7C4" w14:textId="35D136AC" w:rsidR="00856C71" w:rsidRPr="00FF34F0" w:rsidRDefault="00856C71" w:rsidP="006C51C5">
      <w:pPr>
        <w:rPr>
          <w:rFonts w:ascii="Garamond" w:hAnsi="Garamond" w:cs="Times New Roman"/>
        </w:rPr>
      </w:pPr>
      <w:r w:rsidRPr="00FF34F0">
        <w:rPr>
          <w:rFonts w:ascii="Garamond" w:hAnsi="Garamond" w:cs="Times New Roman"/>
        </w:rPr>
        <w:t>Kearns, R., and Joseph, A. (1993). Space in its place: Developing the link in medical geography. Social Science and Medicine, 6, 711-777.</w:t>
      </w:r>
    </w:p>
    <w:p w14:paraId="510EC965" w14:textId="77777777" w:rsidR="00856C71" w:rsidRPr="00FF34F0" w:rsidRDefault="00856C71" w:rsidP="006C51C5">
      <w:pPr>
        <w:rPr>
          <w:rFonts w:ascii="Garamond" w:hAnsi="Garamond" w:cs="Times New Roman"/>
        </w:rPr>
      </w:pPr>
    </w:p>
    <w:p w14:paraId="21B7FB82" w14:textId="259DD4E6" w:rsidR="00E2753B" w:rsidRDefault="00856C71" w:rsidP="006C51C5">
      <w:pPr>
        <w:rPr>
          <w:rFonts w:ascii="Garamond" w:hAnsi="Garamond" w:cs="Times New Roman"/>
        </w:rPr>
      </w:pPr>
      <w:r w:rsidRPr="00FF34F0">
        <w:rPr>
          <w:rFonts w:ascii="Garamond" w:hAnsi="Garamond" w:cs="Times New Roman"/>
        </w:rPr>
        <w:t xml:space="preserve">Kearns, R., and Joseph, A. (1997). Restructuring health and rural communities in New Zealand. </w:t>
      </w:r>
      <w:r w:rsidRPr="00FF34F0">
        <w:rPr>
          <w:rFonts w:ascii="Garamond" w:hAnsi="Garamond" w:cs="Times New Roman"/>
          <w:iCs/>
        </w:rPr>
        <w:t>Progress in Human Geography</w:t>
      </w:r>
      <w:r w:rsidRPr="00FF34F0">
        <w:rPr>
          <w:rFonts w:ascii="Garamond" w:hAnsi="Garamond" w:cs="Times New Roman"/>
          <w:i/>
          <w:iCs/>
        </w:rPr>
        <w:t xml:space="preserve">, </w:t>
      </w:r>
      <w:r w:rsidRPr="00FF34F0">
        <w:rPr>
          <w:rFonts w:ascii="Garamond" w:hAnsi="Garamond" w:cs="Times New Roman"/>
          <w:iCs/>
        </w:rPr>
        <w:t>21</w:t>
      </w:r>
      <w:r w:rsidR="00887CCC" w:rsidRPr="00FF34F0">
        <w:rPr>
          <w:rFonts w:ascii="Garamond" w:hAnsi="Garamond" w:cs="Times New Roman"/>
        </w:rPr>
        <w:t xml:space="preserve">, 18-32. </w:t>
      </w:r>
    </w:p>
    <w:p w14:paraId="4A89BD97" w14:textId="77777777" w:rsidR="005B551D" w:rsidRPr="00FF34F0" w:rsidRDefault="005B551D" w:rsidP="006C51C5">
      <w:pPr>
        <w:rPr>
          <w:rFonts w:ascii="Garamond" w:hAnsi="Garamond" w:cs="Times New Roman"/>
        </w:rPr>
      </w:pPr>
    </w:p>
    <w:p w14:paraId="43BF53D9" w14:textId="725B115A" w:rsidR="00257350" w:rsidRDefault="00B10656" w:rsidP="006C51C5">
      <w:pPr>
        <w:rPr>
          <w:rFonts w:ascii="Garamond" w:hAnsi="Garamond" w:cs="Times New Roman"/>
          <w:color w:val="1A1A1A"/>
          <w:lang w:val="en-GB"/>
        </w:rPr>
      </w:pPr>
      <w:r w:rsidRPr="00FF34F0">
        <w:rPr>
          <w:rFonts w:ascii="Garamond" w:hAnsi="Garamond" w:cs="Times New Roman"/>
          <w:color w:val="1A1A1A"/>
          <w:lang w:val="en-GB"/>
        </w:rPr>
        <w:t>Latimer, J., and Munro, R. (2015) Uprooting class? Culture, world-making and reform. The Sociological Review, 63(2), 415-432.</w:t>
      </w:r>
    </w:p>
    <w:p w14:paraId="0A21D861" w14:textId="77777777" w:rsidR="005B551D" w:rsidRDefault="005B551D" w:rsidP="006C51C5">
      <w:pPr>
        <w:rPr>
          <w:rFonts w:ascii="Garamond" w:hAnsi="Garamond" w:cs="Times New Roman"/>
          <w:color w:val="1A1A1A"/>
          <w:lang w:val="en-GB"/>
        </w:rPr>
      </w:pPr>
    </w:p>
    <w:p w14:paraId="4F76AFB1" w14:textId="688ED4E1" w:rsidR="005B551D" w:rsidRPr="00FF34F0" w:rsidRDefault="005B551D" w:rsidP="006C51C5">
      <w:pPr>
        <w:rPr>
          <w:rFonts w:ascii="Garamond" w:hAnsi="Garamond" w:cs="Times New Roman"/>
          <w:color w:val="1A1A1A"/>
          <w:lang w:val="en-GB"/>
        </w:rPr>
      </w:pPr>
      <w:r w:rsidRPr="005B551D">
        <w:rPr>
          <w:rFonts w:ascii="Garamond" w:hAnsi="Garamond" w:cs="Times New Roman"/>
          <w:color w:val="1A1A1A"/>
          <w:lang w:val="en-GB"/>
        </w:rPr>
        <w:t>Knights, D., and Morgan, G. (1992). Leadership and corporate strategy: Toward a critical analysis. The Leadership Quarterly, 3(3), 171-190.</w:t>
      </w:r>
    </w:p>
    <w:p w14:paraId="390C851B" w14:textId="77777777" w:rsidR="00CC5E53" w:rsidRPr="00FF34F0" w:rsidRDefault="00CC5E53" w:rsidP="006C51C5">
      <w:pPr>
        <w:rPr>
          <w:rFonts w:ascii="Garamond" w:hAnsi="Garamond" w:cs="Times New Roman"/>
          <w:color w:val="1A1A1A"/>
          <w:lang w:val="en-GB"/>
        </w:rPr>
      </w:pPr>
    </w:p>
    <w:p w14:paraId="4F03008C" w14:textId="56DED4E3" w:rsidR="00CC5E53" w:rsidRPr="00FF34F0" w:rsidRDefault="00CC5E53" w:rsidP="006C51C5">
      <w:pPr>
        <w:rPr>
          <w:rFonts w:ascii="Garamond" w:hAnsi="Garamond" w:cs="Times New Roman"/>
          <w:color w:val="1A1A1A"/>
          <w:lang w:val="en-GB"/>
        </w:rPr>
      </w:pPr>
      <w:r w:rsidRPr="00FF34F0">
        <w:rPr>
          <w:rFonts w:ascii="Garamond" w:hAnsi="Garamond" w:cs="Times New Roman"/>
          <w:color w:val="1A1A1A"/>
          <w:lang w:val="en-GB"/>
        </w:rPr>
        <w:t>Latimer, J., and Munro, R. (2015). Uprooting class? Culture, world-making and reform. The Sociological Review, 63(2), 415-432.</w:t>
      </w:r>
    </w:p>
    <w:p w14:paraId="3B4D6FB1" w14:textId="77777777" w:rsidR="00B10656" w:rsidRPr="00FF34F0" w:rsidRDefault="00B10656" w:rsidP="006C51C5">
      <w:pPr>
        <w:rPr>
          <w:rFonts w:ascii="Garamond" w:hAnsi="Garamond" w:cs="Times New Roman"/>
          <w:color w:val="1A1A1A"/>
          <w:lang w:val="en-GB"/>
        </w:rPr>
      </w:pPr>
    </w:p>
    <w:p w14:paraId="1E00799C" w14:textId="5B09539C" w:rsidR="00257350" w:rsidRPr="00FF34F0" w:rsidRDefault="00257350" w:rsidP="006C51C5">
      <w:pPr>
        <w:rPr>
          <w:rFonts w:ascii="Garamond" w:hAnsi="Garamond" w:cs="Times New Roman"/>
          <w:color w:val="1A1A1A"/>
          <w:lang w:val="en-GB"/>
        </w:rPr>
      </w:pPr>
      <w:r w:rsidRPr="00FF34F0">
        <w:rPr>
          <w:rFonts w:ascii="Garamond" w:hAnsi="Garamond" w:cs="Times New Roman"/>
          <w:color w:val="1A1A1A"/>
          <w:lang w:val="en-GB"/>
        </w:rPr>
        <w:t xml:space="preserve">Lawton, J., Peel, E., Parry, O., </w:t>
      </w:r>
      <w:proofErr w:type="spellStart"/>
      <w:r w:rsidRPr="00FF34F0">
        <w:rPr>
          <w:rFonts w:ascii="Garamond" w:hAnsi="Garamond" w:cs="Times New Roman"/>
          <w:color w:val="1A1A1A"/>
          <w:lang w:val="en-GB"/>
        </w:rPr>
        <w:t>Araoz</w:t>
      </w:r>
      <w:proofErr w:type="spellEnd"/>
      <w:r w:rsidRPr="00FF34F0">
        <w:rPr>
          <w:rFonts w:ascii="Garamond" w:hAnsi="Garamond" w:cs="Times New Roman"/>
          <w:color w:val="1A1A1A"/>
          <w:lang w:val="en-GB"/>
        </w:rPr>
        <w:t xml:space="preserve">, G., and Douglas, M. (2005) Lay perceptions of type 2 diabetes in Scotland: bringing health services back in. </w:t>
      </w:r>
      <w:r w:rsidRPr="00FF34F0">
        <w:rPr>
          <w:rFonts w:ascii="Garamond" w:hAnsi="Garamond" w:cs="Times New Roman"/>
          <w:iCs/>
          <w:color w:val="1A1A1A"/>
          <w:lang w:val="en-GB"/>
        </w:rPr>
        <w:t>Social Science and Medicine</w:t>
      </w:r>
      <w:r w:rsidRPr="00FF34F0">
        <w:rPr>
          <w:rFonts w:ascii="Garamond" w:hAnsi="Garamond" w:cs="Times New Roman"/>
          <w:color w:val="1A1A1A"/>
          <w:lang w:val="en-GB"/>
        </w:rPr>
        <w:t xml:space="preserve">, </w:t>
      </w:r>
      <w:r w:rsidRPr="00FF34F0">
        <w:rPr>
          <w:rFonts w:ascii="Garamond" w:hAnsi="Garamond" w:cs="Times New Roman"/>
          <w:iCs/>
          <w:color w:val="1A1A1A"/>
          <w:lang w:val="en-GB"/>
        </w:rPr>
        <w:t xml:space="preserve">60 </w:t>
      </w:r>
      <w:r w:rsidRPr="00FF34F0">
        <w:rPr>
          <w:rFonts w:ascii="Garamond" w:hAnsi="Garamond" w:cs="Times New Roman"/>
          <w:color w:val="1A1A1A"/>
          <w:lang w:val="en-GB"/>
        </w:rPr>
        <w:t>(7), 1423-1435.</w:t>
      </w:r>
    </w:p>
    <w:p w14:paraId="09368832" w14:textId="0439D3DB" w:rsidR="00553AAF" w:rsidRPr="00FF34F0" w:rsidRDefault="00553AAF" w:rsidP="006C51C5">
      <w:pPr>
        <w:rPr>
          <w:rFonts w:ascii="Garamond" w:hAnsi="Garamond" w:cs="Times New Roman"/>
          <w:color w:val="1A1A1A"/>
          <w:lang w:val="en-GB"/>
        </w:rPr>
      </w:pPr>
    </w:p>
    <w:p w14:paraId="39813148" w14:textId="265AA802" w:rsidR="009B3BAD" w:rsidRPr="00FF34F0" w:rsidRDefault="009B3BAD" w:rsidP="006C51C5">
      <w:pPr>
        <w:rPr>
          <w:rFonts w:ascii="Garamond" w:hAnsi="Garamond" w:cs="Times New Roman"/>
          <w:color w:val="1A1A1A"/>
          <w:lang w:val="en-GB"/>
        </w:rPr>
      </w:pPr>
      <w:proofErr w:type="spellStart"/>
      <w:r w:rsidRPr="00FF34F0">
        <w:rPr>
          <w:rFonts w:ascii="Garamond" w:hAnsi="Garamond" w:cs="Times New Roman"/>
          <w:color w:val="1A1A1A"/>
          <w:lang w:val="en-GB"/>
        </w:rPr>
        <w:t>LaVela</w:t>
      </w:r>
      <w:proofErr w:type="spellEnd"/>
      <w:r w:rsidRPr="00FF34F0">
        <w:rPr>
          <w:rFonts w:ascii="Garamond" w:hAnsi="Garamond" w:cs="Times New Roman"/>
          <w:color w:val="1A1A1A"/>
          <w:lang w:val="en-GB"/>
        </w:rPr>
        <w:t xml:space="preserve">, S., and Hill, J. (2014). Re-designing primary care: Implementation of patient-aligned care teams. Healthcare 2 (4):268-274. </w:t>
      </w:r>
    </w:p>
    <w:p w14:paraId="72E84329" w14:textId="77777777" w:rsidR="009B3BAD" w:rsidRPr="00FF34F0" w:rsidRDefault="009B3BAD" w:rsidP="006C51C5">
      <w:pPr>
        <w:rPr>
          <w:rFonts w:ascii="Garamond" w:hAnsi="Garamond" w:cs="Times New Roman"/>
          <w:color w:val="1A1A1A"/>
          <w:lang w:val="en-GB"/>
        </w:rPr>
      </w:pPr>
    </w:p>
    <w:p w14:paraId="63B3BB1F" w14:textId="1BCE2AF5" w:rsidR="00553AAF" w:rsidRPr="00FF34F0" w:rsidRDefault="00B10656" w:rsidP="006C51C5">
      <w:pPr>
        <w:rPr>
          <w:rFonts w:ascii="Garamond" w:hAnsi="Garamond" w:cs="Times New Roman"/>
          <w:color w:val="1A1A1A"/>
          <w:lang w:val="en-GB"/>
        </w:rPr>
      </w:pPr>
      <w:r w:rsidRPr="00FF34F0">
        <w:rPr>
          <w:rFonts w:ascii="Garamond" w:hAnsi="Garamond" w:cs="Times New Roman"/>
          <w:color w:val="1A1A1A"/>
          <w:lang w:val="en-GB"/>
        </w:rPr>
        <w:t>Learmonth, M. (2003)</w:t>
      </w:r>
      <w:r w:rsidR="00553AAF" w:rsidRPr="00FF34F0">
        <w:rPr>
          <w:rFonts w:ascii="Garamond" w:hAnsi="Garamond" w:cs="Times New Roman"/>
          <w:color w:val="1A1A1A"/>
          <w:lang w:val="en-GB"/>
        </w:rPr>
        <w:t xml:space="preserve"> Making health services management research critical: a review and a suggestion. Sociology of Health &amp; Illness, 25(1), 93-119.</w:t>
      </w:r>
    </w:p>
    <w:p w14:paraId="7890AF5C" w14:textId="77777777" w:rsidR="009B736D" w:rsidRPr="00FF34F0" w:rsidRDefault="009B736D" w:rsidP="006C51C5">
      <w:pPr>
        <w:rPr>
          <w:rFonts w:ascii="Garamond" w:hAnsi="Garamond" w:cs="Times New Roman"/>
          <w:color w:val="1A1A1A"/>
          <w:lang w:val="en-GB"/>
        </w:rPr>
      </w:pPr>
    </w:p>
    <w:p w14:paraId="2D318555" w14:textId="6CEB77F7" w:rsidR="009B736D" w:rsidRPr="00FF34F0" w:rsidRDefault="009B736D" w:rsidP="006C51C5">
      <w:pPr>
        <w:rPr>
          <w:rFonts w:ascii="Garamond" w:hAnsi="Garamond" w:cs="Times New Roman"/>
          <w:color w:val="1A1A1A"/>
          <w:lang w:val="en-GB"/>
        </w:rPr>
      </w:pPr>
      <w:r w:rsidRPr="00FF34F0">
        <w:rPr>
          <w:rFonts w:ascii="Garamond" w:hAnsi="Garamond" w:cs="Times New Roman"/>
          <w:color w:val="1A1A1A"/>
          <w:lang w:val="en-GB"/>
        </w:rPr>
        <w:t xml:space="preserve">Macfarlane, F., </w:t>
      </w:r>
      <w:proofErr w:type="spellStart"/>
      <w:r w:rsidRPr="00FF34F0">
        <w:rPr>
          <w:rFonts w:ascii="Garamond" w:hAnsi="Garamond" w:cs="Times New Roman"/>
          <w:color w:val="1A1A1A"/>
          <w:lang w:val="en-GB"/>
        </w:rPr>
        <w:t>Greenhalgh</w:t>
      </w:r>
      <w:proofErr w:type="spellEnd"/>
      <w:r w:rsidRPr="00FF34F0">
        <w:rPr>
          <w:rFonts w:ascii="Garamond" w:hAnsi="Garamond" w:cs="Times New Roman"/>
          <w:color w:val="1A1A1A"/>
          <w:lang w:val="en-GB"/>
        </w:rPr>
        <w:t>, T., Humphrey, C., et al (2011). A new workforce in the making? A case study of strategic human resource management in a whole-system change effort in healthcare. Journal of Health Organization and Management, 25(1), 55-72.</w:t>
      </w:r>
      <w:r w:rsidR="005F3564" w:rsidRPr="00FF34F0">
        <w:rPr>
          <w:rFonts w:ascii="Garamond" w:hAnsi="Garamond" w:cs="Times New Roman"/>
          <w:color w:val="1A1A1A"/>
          <w:lang w:val="en-GB"/>
        </w:rPr>
        <w:t xml:space="preserve"> </w:t>
      </w:r>
    </w:p>
    <w:p w14:paraId="20662A41" w14:textId="77777777" w:rsidR="005F3564" w:rsidRPr="00FF34F0" w:rsidRDefault="005F3564" w:rsidP="006C51C5">
      <w:pPr>
        <w:rPr>
          <w:rFonts w:ascii="Garamond" w:hAnsi="Garamond" w:cs="Times New Roman"/>
          <w:color w:val="1A1A1A"/>
          <w:lang w:val="en-GB"/>
        </w:rPr>
      </w:pPr>
    </w:p>
    <w:p w14:paraId="12761C53" w14:textId="43F768FD" w:rsidR="000D40ED" w:rsidRPr="00FF34F0" w:rsidRDefault="000D40ED" w:rsidP="006C51C5">
      <w:pPr>
        <w:rPr>
          <w:rFonts w:ascii="Garamond" w:hAnsi="Garamond" w:cs="Times New Roman"/>
          <w:color w:val="1A1A1A"/>
          <w:lang w:val="en-GB"/>
        </w:rPr>
      </w:pPr>
      <w:r w:rsidRPr="00FF34F0">
        <w:rPr>
          <w:rFonts w:ascii="Garamond" w:hAnsi="Garamond" w:cs="Times New Roman"/>
          <w:color w:val="1A1A1A"/>
          <w:lang w:val="en-GB"/>
        </w:rPr>
        <w:t xml:space="preserve">Macfarlane, F., Barton-Sweeney, C., Woodard, F., and </w:t>
      </w:r>
      <w:proofErr w:type="spellStart"/>
      <w:r w:rsidRPr="00FF34F0">
        <w:rPr>
          <w:rFonts w:ascii="Garamond" w:hAnsi="Garamond" w:cs="Times New Roman"/>
          <w:color w:val="1A1A1A"/>
          <w:lang w:val="en-GB"/>
        </w:rPr>
        <w:t>Greenhalgh</w:t>
      </w:r>
      <w:proofErr w:type="spellEnd"/>
      <w:r w:rsidRPr="00FF34F0">
        <w:rPr>
          <w:rFonts w:ascii="Garamond" w:hAnsi="Garamond" w:cs="Times New Roman"/>
          <w:color w:val="1A1A1A"/>
          <w:lang w:val="en-GB"/>
        </w:rPr>
        <w:t>, T. (2013). Achieving and sustaining profound institutional change in healthcare: case study using neo-institutional theory. Social Science and Medicine, 80, 10-18.</w:t>
      </w:r>
    </w:p>
    <w:p w14:paraId="4D3DF1B3" w14:textId="77777777" w:rsidR="00D8314B" w:rsidRPr="00FF34F0" w:rsidRDefault="00D8314B" w:rsidP="006C51C5">
      <w:pPr>
        <w:rPr>
          <w:rFonts w:ascii="Garamond" w:hAnsi="Garamond" w:cs="Times New Roman"/>
          <w:color w:val="1A1A1A"/>
          <w:lang w:val="en-GB"/>
        </w:rPr>
      </w:pPr>
    </w:p>
    <w:p w14:paraId="449A2C96" w14:textId="30B652A9" w:rsidR="00D8314B" w:rsidRPr="00FF34F0" w:rsidRDefault="00D8314B" w:rsidP="006C51C5">
      <w:pPr>
        <w:rPr>
          <w:rFonts w:ascii="Garamond" w:hAnsi="Garamond" w:cs="Times New Roman"/>
          <w:color w:val="1A1A1A"/>
          <w:lang w:val="en-GB"/>
        </w:rPr>
      </w:pPr>
      <w:r w:rsidRPr="00FF34F0">
        <w:rPr>
          <w:rFonts w:ascii="Garamond" w:hAnsi="Garamond" w:cs="Times New Roman"/>
          <w:color w:val="1A1A1A"/>
          <w:lang w:val="en-GB"/>
        </w:rPr>
        <w:lastRenderedPageBreak/>
        <w:t>Marcus, G. (1995). Ethnography in/of the world system: The emergence of multi-sited ethnography. Annual Review of Anthropology, 24(1), 95-117.</w:t>
      </w:r>
    </w:p>
    <w:p w14:paraId="44E13434" w14:textId="4064AA09" w:rsidR="009940BC" w:rsidRPr="00FF34F0" w:rsidRDefault="009940BC" w:rsidP="006C51C5">
      <w:pPr>
        <w:rPr>
          <w:rFonts w:ascii="Garamond" w:hAnsi="Garamond" w:cs="Times New Roman"/>
          <w:color w:val="1A1A1A"/>
          <w:lang w:val="en-GB"/>
        </w:rPr>
      </w:pPr>
    </w:p>
    <w:p w14:paraId="70DBFFF8" w14:textId="107462B1" w:rsidR="009940BC" w:rsidRPr="00FF34F0" w:rsidRDefault="009940BC" w:rsidP="006C51C5">
      <w:pPr>
        <w:rPr>
          <w:rFonts w:ascii="Garamond" w:hAnsi="Garamond" w:cs="Times New Roman"/>
          <w:color w:val="1A1A1A"/>
          <w:lang w:val="en-GB"/>
        </w:rPr>
      </w:pPr>
      <w:r w:rsidRPr="00FF34F0">
        <w:rPr>
          <w:rFonts w:ascii="Garamond" w:hAnsi="Garamond" w:cs="Times New Roman"/>
          <w:color w:val="1A1A1A"/>
          <w:lang w:val="en-GB"/>
        </w:rPr>
        <w:t>Marti</w:t>
      </w:r>
      <w:r w:rsidR="00B10656" w:rsidRPr="00FF34F0">
        <w:rPr>
          <w:rFonts w:ascii="Garamond" w:hAnsi="Garamond" w:cs="Times New Roman"/>
          <w:color w:val="1A1A1A"/>
          <w:lang w:val="en-GB"/>
        </w:rPr>
        <w:t>n, G., and Learmonth, M. (2012)</w:t>
      </w:r>
      <w:r w:rsidRPr="00FF34F0">
        <w:rPr>
          <w:rFonts w:ascii="Garamond" w:hAnsi="Garamond" w:cs="Times New Roman"/>
          <w:color w:val="1A1A1A"/>
          <w:lang w:val="en-GB"/>
        </w:rPr>
        <w:t xml:space="preserve"> A critical account of the rise and spread of ‘leadership’: the case of UK healthcare. Social Science and Medicine, 74(3), 281-288.</w:t>
      </w:r>
    </w:p>
    <w:p w14:paraId="406BD99B" w14:textId="77777777" w:rsidR="00087C62" w:rsidRPr="00FF34F0" w:rsidRDefault="00087C62" w:rsidP="006C51C5">
      <w:pPr>
        <w:rPr>
          <w:rFonts w:ascii="Garamond" w:hAnsi="Garamond" w:cs="Times New Roman"/>
          <w:color w:val="1A1A1A"/>
          <w:lang w:val="en-GB"/>
        </w:rPr>
      </w:pPr>
    </w:p>
    <w:p w14:paraId="5F918F63" w14:textId="335D4D7E" w:rsidR="00087C62" w:rsidRPr="00FF34F0" w:rsidRDefault="00087C62" w:rsidP="006C51C5">
      <w:pPr>
        <w:rPr>
          <w:rFonts w:ascii="Garamond" w:hAnsi="Garamond" w:cs="Times New Roman"/>
          <w:color w:val="1A1A1A"/>
        </w:rPr>
      </w:pPr>
      <w:r w:rsidRPr="00FF34F0">
        <w:rPr>
          <w:rFonts w:ascii="Garamond" w:hAnsi="Garamond" w:cs="Times New Roman"/>
          <w:color w:val="1A1A1A"/>
        </w:rPr>
        <w:t xml:space="preserve">Martin, D., Nettleton, S., </w:t>
      </w:r>
      <w:proofErr w:type="spellStart"/>
      <w:r w:rsidRPr="00FF34F0">
        <w:rPr>
          <w:rFonts w:ascii="Garamond" w:hAnsi="Garamond" w:cs="Times New Roman"/>
          <w:color w:val="1A1A1A"/>
        </w:rPr>
        <w:t>Buse</w:t>
      </w:r>
      <w:proofErr w:type="spellEnd"/>
      <w:r w:rsidRPr="00FF34F0">
        <w:rPr>
          <w:rFonts w:ascii="Garamond" w:hAnsi="Garamond" w:cs="Times New Roman"/>
          <w:color w:val="1A1A1A"/>
        </w:rPr>
        <w:t xml:space="preserve">, C., Prior, L., and </w:t>
      </w:r>
      <w:proofErr w:type="spellStart"/>
      <w:r w:rsidRPr="00FF34F0">
        <w:rPr>
          <w:rFonts w:ascii="Garamond" w:hAnsi="Garamond" w:cs="Times New Roman"/>
          <w:color w:val="1A1A1A"/>
        </w:rPr>
        <w:t>Twigg</w:t>
      </w:r>
      <w:proofErr w:type="spellEnd"/>
      <w:r w:rsidRPr="00FF34F0">
        <w:rPr>
          <w:rFonts w:ascii="Garamond" w:hAnsi="Garamond" w:cs="Times New Roman"/>
          <w:color w:val="1A1A1A"/>
        </w:rPr>
        <w:t>, J. (2015). Architecture and health care: a place for sociology. </w:t>
      </w:r>
      <w:r w:rsidRPr="00FF34F0">
        <w:rPr>
          <w:rFonts w:ascii="Garamond" w:hAnsi="Garamond" w:cs="Times New Roman"/>
          <w:iCs/>
          <w:color w:val="1A1A1A"/>
        </w:rPr>
        <w:t>Sociology of Health &amp; Illness</w:t>
      </w:r>
      <w:r w:rsidRPr="00FF34F0">
        <w:rPr>
          <w:rFonts w:ascii="Garamond" w:hAnsi="Garamond" w:cs="Times New Roman"/>
          <w:color w:val="1A1A1A"/>
        </w:rPr>
        <w:t>, </w:t>
      </w:r>
      <w:r w:rsidRPr="00FF34F0">
        <w:rPr>
          <w:rFonts w:ascii="Garamond" w:hAnsi="Garamond" w:cs="Times New Roman"/>
          <w:iCs/>
          <w:color w:val="1A1A1A"/>
        </w:rPr>
        <w:t>37</w:t>
      </w:r>
      <w:r w:rsidRPr="00FF34F0">
        <w:rPr>
          <w:rFonts w:ascii="Garamond" w:hAnsi="Garamond" w:cs="Times New Roman"/>
          <w:color w:val="1A1A1A"/>
        </w:rPr>
        <w:t>(7), 1007-1022.</w:t>
      </w:r>
    </w:p>
    <w:p w14:paraId="3C4AA7A0" w14:textId="77777777" w:rsidR="009940BC" w:rsidRPr="00FF34F0" w:rsidRDefault="009940BC" w:rsidP="006C51C5">
      <w:pPr>
        <w:rPr>
          <w:rFonts w:ascii="Garamond" w:hAnsi="Garamond" w:cs="Times New Roman"/>
          <w:color w:val="1A1A1A"/>
          <w:lang w:val="en-GB"/>
        </w:rPr>
      </w:pPr>
    </w:p>
    <w:p w14:paraId="1ECAA726" w14:textId="7A14E40F" w:rsidR="009940BC" w:rsidRPr="00FF34F0" w:rsidRDefault="00B10656" w:rsidP="006C51C5">
      <w:pPr>
        <w:rPr>
          <w:rFonts w:ascii="Garamond" w:hAnsi="Garamond" w:cs="Times New Roman"/>
          <w:color w:val="1A1A1A"/>
          <w:lang w:val="en-GB"/>
        </w:rPr>
      </w:pPr>
      <w:r w:rsidRPr="00FF34F0">
        <w:rPr>
          <w:rFonts w:ascii="Garamond" w:hAnsi="Garamond" w:cs="Times New Roman"/>
          <w:color w:val="1A1A1A"/>
          <w:lang w:val="en-GB"/>
        </w:rPr>
        <w:t>McDonald, R. (2004)</w:t>
      </w:r>
      <w:r w:rsidR="009940BC" w:rsidRPr="00FF34F0">
        <w:rPr>
          <w:rFonts w:ascii="Garamond" w:hAnsi="Garamond" w:cs="Times New Roman"/>
          <w:color w:val="1A1A1A"/>
          <w:lang w:val="en-GB"/>
        </w:rPr>
        <w:t xml:space="preserve"> Individual identity and organisational control: Empowerment and Modernisation in a Primary Care Trust. Sociology of Health &amp; Illness, 26(7), 925-950.</w:t>
      </w:r>
    </w:p>
    <w:p w14:paraId="04B3661A" w14:textId="32E4A56E" w:rsidR="009940BC" w:rsidRPr="00FF34F0" w:rsidRDefault="009940BC" w:rsidP="006C51C5">
      <w:pPr>
        <w:rPr>
          <w:rFonts w:ascii="Garamond" w:hAnsi="Garamond" w:cs="Times New Roman"/>
          <w:color w:val="1A1A1A"/>
          <w:lang w:val="en-GB"/>
        </w:rPr>
      </w:pPr>
    </w:p>
    <w:p w14:paraId="783C4F0F" w14:textId="53BC427F" w:rsidR="009940BC" w:rsidRPr="00FF34F0" w:rsidRDefault="00B10656" w:rsidP="006C51C5">
      <w:pPr>
        <w:rPr>
          <w:rFonts w:ascii="Garamond" w:hAnsi="Garamond" w:cs="Times New Roman"/>
          <w:color w:val="1A1A1A"/>
          <w:lang w:val="en-GB"/>
        </w:rPr>
      </w:pPr>
      <w:r w:rsidRPr="00FF34F0">
        <w:rPr>
          <w:rFonts w:ascii="Garamond" w:hAnsi="Garamond" w:cs="Times New Roman"/>
          <w:color w:val="1A1A1A"/>
          <w:lang w:val="en-GB"/>
        </w:rPr>
        <w:t>Miller, P., and Rose, N. (1993)</w:t>
      </w:r>
      <w:r w:rsidR="009940BC" w:rsidRPr="00FF34F0">
        <w:rPr>
          <w:rFonts w:ascii="Garamond" w:hAnsi="Garamond" w:cs="Times New Roman"/>
          <w:color w:val="1A1A1A"/>
          <w:lang w:val="en-GB"/>
        </w:rPr>
        <w:t xml:space="preserve"> Governing economic life. In M. </w:t>
      </w:r>
      <w:proofErr w:type="spellStart"/>
      <w:r w:rsidR="009940BC" w:rsidRPr="00FF34F0">
        <w:rPr>
          <w:rFonts w:ascii="Garamond" w:hAnsi="Garamond" w:cs="Times New Roman"/>
          <w:color w:val="1A1A1A"/>
          <w:lang w:val="en-GB"/>
        </w:rPr>
        <w:t>Gane</w:t>
      </w:r>
      <w:proofErr w:type="spellEnd"/>
      <w:r w:rsidR="009940BC" w:rsidRPr="00FF34F0">
        <w:rPr>
          <w:rFonts w:ascii="Garamond" w:hAnsi="Garamond" w:cs="Times New Roman"/>
          <w:color w:val="1A1A1A"/>
          <w:lang w:val="en-GB"/>
        </w:rPr>
        <w:t xml:space="preserve"> and T. Johnson (Eds.), Foucault's new domains. London: Routledge.</w:t>
      </w:r>
    </w:p>
    <w:p w14:paraId="784FEBDC" w14:textId="4D4AE6F3" w:rsidR="005F3564" w:rsidRPr="00FF34F0" w:rsidRDefault="005F3564" w:rsidP="006C51C5">
      <w:pPr>
        <w:rPr>
          <w:rFonts w:ascii="Garamond" w:hAnsi="Garamond" w:cs="Times New Roman"/>
          <w:color w:val="1A1A1A"/>
          <w:lang w:val="en-GB"/>
        </w:rPr>
      </w:pPr>
    </w:p>
    <w:p w14:paraId="4D8AE825" w14:textId="1290F672" w:rsidR="005F3564" w:rsidRPr="00FF34F0" w:rsidRDefault="005F3564" w:rsidP="006C51C5">
      <w:pPr>
        <w:rPr>
          <w:rFonts w:ascii="Garamond" w:hAnsi="Garamond" w:cs="Times New Roman"/>
          <w:color w:val="1A1A1A"/>
          <w:lang w:val="en-GB"/>
        </w:rPr>
      </w:pPr>
      <w:r w:rsidRPr="00FF34F0">
        <w:rPr>
          <w:rFonts w:ascii="Garamond" w:hAnsi="Garamond" w:cs="Times New Roman"/>
          <w:color w:val="1A1A1A"/>
          <w:lang w:val="en-GB"/>
        </w:rPr>
        <w:t xml:space="preserve">Morris, S., Hunter, R., Ramsay, A., </w:t>
      </w:r>
      <w:proofErr w:type="spellStart"/>
      <w:r w:rsidRPr="00FF34F0">
        <w:rPr>
          <w:rFonts w:ascii="Garamond" w:hAnsi="Garamond" w:cs="Times New Roman"/>
          <w:color w:val="1A1A1A"/>
          <w:lang w:val="en-GB"/>
        </w:rPr>
        <w:t>Boaden</w:t>
      </w:r>
      <w:proofErr w:type="spellEnd"/>
      <w:r w:rsidRPr="00FF34F0">
        <w:rPr>
          <w:rFonts w:ascii="Garamond" w:hAnsi="Garamond" w:cs="Times New Roman"/>
          <w:color w:val="1A1A1A"/>
          <w:lang w:val="en-GB"/>
        </w:rPr>
        <w:t xml:space="preserve">, R., </w:t>
      </w:r>
      <w:proofErr w:type="spellStart"/>
      <w:r w:rsidRPr="00FF34F0">
        <w:rPr>
          <w:rFonts w:ascii="Garamond" w:hAnsi="Garamond" w:cs="Times New Roman"/>
          <w:color w:val="1A1A1A"/>
          <w:lang w:val="en-GB"/>
        </w:rPr>
        <w:t>McKevitt</w:t>
      </w:r>
      <w:proofErr w:type="spellEnd"/>
      <w:r w:rsidRPr="00FF34F0">
        <w:rPr>
          <w:rFonts w:ascii="Garamond" w:hAnsi="Garamond" w:cs="Times New Roman"/>
          <w:color w:val="1A1A1A"/>
          <w:lang w:val="en-GB"/>
        </w:rPr>
        <w:t xml:space="preserve">, C., Perry, C., </w:t>
      </w:r>
      <w:proofErr w:type="spellStart"/>
      <w:r w:rsidRPr="00FF34F0">
        <w:rPr>
          <w:rFonts w:ascii="Garamond" w:hAnsi="Garamond" w:cs="Times New Roman"/>
          <w:color w:val="1A1A1A"/>
          <w:lang w:val="en-GB"/>
        </w:rPr>
        <w:t>Pursani</w:t>
      </w:r>
      <w:proofErr w:type="spellEnd"/>
      <w:r w:rsidRPr="00FF34F0">
        <w:rPr>
          <w:rFonts w:ascii="Garamond" w:hAnsi="Garamond" w:cs="Times New Roman"/>
          <w:color w:val="1A1A1A"/>
          <w:lang w:val="en-GB"/>
        </w:rPr>
        <w:t xml:space="preserve">, N., Rudd, A., </w:t>
      </w:r>
      <w:proofErr w:type="spellStart"/>
      <w:r w:rsidRPr="00FF34F0">
        <w:rPr>
          <w:rFonts w:ascii="Garamond" w:hAnsi="Garamond" w:cs="Times New Roman"/>
          <w:color w:val="1A1A1A"/>
          <w:lang w:val="en-GB"/>
        </w:rPr>
        <w:t>Schwamm</w:t>
      </w:r>
      <w:proofErr w:type="spellEnd"/>
      <w:r w:rsidRPr="00FF34F0">
        <w:rPr>
          <w:rFonts w:ascii="Garamond" w:hAnsi="Garamond" w:cs="Times New Roman"/>
          <w:color w:val="1A1A1A"/>
          <w:lang w:val="en-GB"/>
        </w:rPr>
        <w:t xml:space="preserve">, L., Turner, S., </w:t>
      </w:r>
      <w:proofErr w:type="spellStart"/>
      <w:r w:rsidRPr="00FF34F0">
        <w:rPr>
          <w:rFonts w:ascii="Garamond" w:hAnsi="Garamond" w:cs="Times New Roman"/>
          <w:color w:val="1A1A1A"/>
          <w:lang w:val="en-GB"/>
        </w:rPr>
        <w:t>Tyrrell</w:t>
      </w:r>
      <w:proofErr w:type="spellEnd"/>
      <w:r w:rsidRPr="00FF34F0">
        <w:rPr>
          <w:rFonts w:ascii="Garamond" w:hAnsi="Garamond" w:cs="Times New Roman"/>
          <w:color w:val="1A1A1A"/>
          <w:lang w:val="en-GB"/>
        </w:rPr>
        <w:t xml:space="preserve">, P., Wolfe, C., </w:t>
      </w:r>
      <w:proofErr w:type="spellStart"/>
      <w:r w:rsidRPr="00FF34F0">
        <w:rPr>
          <w:rFonts w:ascii="Garamond" w:hAnsi="Garamond" w:cs="Times New Roman"/>
          <w:color w:val="1A1A1A"/>
          <w:lang w:val="en-GB"/>
        </w:rPr>
        <w:t>Fulop</w:t>
      </w:r>
      <w:proofErr w:type="spellEnd"/>
      <w:r w:rsidRPr="00FF34F0">
        <w:rPr>
          <w:rFonts w:ascii="Garamond" w:hAnsi="Garamond" w:cs="Times New Roman"/>
          <w:color w:val="1A1A1A"/>
          <w:lang w:val="en-GB"/>
        </w:rPr>
        <w:t>, N. (2014). Impact of centralising acute stroke services in English metropolitan areas on mortality and length of hospital stay: difference-in-differences analysis. BMJ, 349, g4757.</w:t>
      </w:r>
    </w:p>
    <w:p w14:paraId="034FFCDE" w14:textId="2AE00EA0" w:rsidR="00E87973" w:rsidRPr="00FF34F0" w:rsidRDefault="00E87973" w:rsidP="006C51C5">
      <w:pPr>
        <w:rPr>
          <w:rFonts w:ascii="Garamond" w:hAnsi="Garamond" w:cs="Times New Roman"/>
        </w:rPr>
      </w:pPr>
    </w:p>
    <w:p w14:paraId="30A20B8A" w14:textId="7692B7E0" w:rsidR="00E87973" w:rsidRPr="00FF34F0" w:rsidRDefault="000D674B" w:rsidP="006C51C5">
      <w:pPr>
        <w:rPr>
          <w:rFonts w:ascii="Garamond" w:eastAsia="Times New Roman" w:hAnsi="Garamond" w:cs="Times New Roman"/>
          <w:color w:val="222222"/>
          <w:shd w:val="clear" w:color="auto" w:fill="FFFFFF"/>
        </w:rPr>
      </w:pPr>
      <w:r w:rsidRPr="00FF34F0">
        <w:rPr>
          <w:rFonts w:ascii="Garamond" w:eastAsia="Times New Roman" w:hAnsi="Garamond" w:cs="Times New Roman"/>
          <w:color w:val="222222"/>
          <w:shd w:val="clear" w:color="auto" w:fill="FFFFFF"/>
        </w:rPr>
        <w:t xml:space="preserve">Moon, G., and </w:t>
      </w:r>
      <w:r w:rsidR="009E1546" w:rsidRPr="00FF34F0">
        <w:rPr>
          <w:rFonts w:ascii="Garamond" w:eastAsia="Times New Roman" w:hAnsi="Garamond" w:cs="Times New Roman"/>
          <w:color w:val="222222"/>
          <w:shd w:val="clear" w:color="auto" w:fill="FFFFFF"/>
        </w:rPr>
        <w:t>Brown</w:t>
      </w:r>
      <w:r w:rsidRPr="00FF34F0">
        <w:rPr>
          <w:rFonts w:ascii="Garamond" w:eastAsia="Times New Roman" w:hAnsi="Garamond" w:cs="Times New Roman"/>
          <w:color w:val="222222"/>
          <w:shd w:val="clear" w:color="auto" w:fill="FFFFFF"/>
        </w:rPr>
        <w:t xml:space="preserve">, T. (2001) </w:t>
      </w:r>
      <w:r w:rsidR="009E1546" w:rsidRPr="00FF34F0">
        <w:rPr>
          <w:rFonts w:ascii="Garamond" w:eastAsia="Times New Roman" w:hAnsi="Garamond" w:cs="Times New Roman"/>
          <w:color w:val="222222"/>
          <w:shd w:val="clear" w:color="auto" w:fill="FFFFFF"/>
        </w:rPr>
        <w:t xml:space="preserve">Closing </w:t>
      </w:r>
      <w:proofErr w:type="spellStart"/>
      <w:r w:rsidR="009E1546" w:rsidRPr="00FF34F0">
        <w:rPr>
          <w:rFonts w:ascii="Garamond" w:eastAsia="Times New Roman" w:hAnsi="Garamond" w:cs="Times New Roman"/>
          <w:color w:val="222222"/>
          <w:shd w:val="clear" w:color="auto" w:fill="FFFFFF"/>
        </w:rPr>
        <w:t>Barts</w:t>
      </w:r>
      <w:proofErr w:type="spellEnd"/>
      <w:r w:rsidR="009E1546" w:rsidRPr="00FF34F0">
        <w:rPr>
          <w:rFonts w:ascii="Garamond" w:eastAsia="Times New Roman" w:hAnsi="Garamond" w:cs="Times New Roman"/>
          <w:color w:val="222222"/>
          <w:shd w:val="clear" w:color="auto" w:fill="FFFFFF"/>
        </w:rPr>
        <w:t>: community and resistance in co</w:t>
      </w:r>
      <w:r w:rsidRPr="00FF34F0">
        <w:rPr>
          <w:rFonts w:ascii="Garamond" w:eastAsia="Times New Roman" w:hAnsi="Garamond" w:cs="Times New Roman"/>
          <w:color w:val="222222"/>
          <w:shd w:val="clear" w:color="auto" w:fill="FFFFFF"/>
        </w:rPr>
        <w:t xml:space="preserve">ntemporary UK hospital policy. </w:t>
      </w:r>
      <w:r w:rsidR="009E1546" w:rsidRPr="00FF34F0">
        <w:rPr>
          <w:rFonts w:ascii="Garamond" w:eastAsia="Times New Roman" w:hAnsi="Garamond" w:cs="Times New Roman"/>
          <w:iCs/>
          <w:color w:val="222222"/>
        </w:rPr>
        <w:t>Environment and Planning D: Society and Space</w:t>
      </w:r>
      <w:r w:rsidRPr="00FF34F0">
        <w:rPr>
          <w:rFonts w:ascii="Garamond" w:eastAsia="Times New Roman" w:hAnsi="Garamond" w:cs="Times New Roman"/>
          <w:color w:val="222222"/>
          <w:shd w:val="clear" w:color="auto" w:fill="FFFFFF"/>
        </w:rPr>
        <w:t> 19,1,</w:t>
      </w:r>
      <w:r w:rsidR="009E1546" w:rsidRPr="00FF34F0">
        <w:rPr>
          <w:rFonts w:ascii="Garamond" w:eastAsia="Times New Roman" w:hAnsi="Garamond" w:cs="Times New Roman"/>
          <w:color w:val="222222"/>
          <w:shd w:val="clear" w:color="auto" w:fill="FFFFFF"/>
        </w:rPr>
        <w:t>43-59.</w:t>
      </w:r>
    </w:p>
    <w:p w14:paraId="26FBD3B7" w14:textId="77777777" w:rsidR="000F1648" w:rsidRPr="00FF34F0" w:rsidRDefault="000F1648" w:rsidP="006C51C5">
      <w:pPr>
        <w:rPr>
          <w:rFonts w:ascii="Garamond" w:eastAsia="Times New Roman" w:hAnsi="Garamond" w:cs="Times New Roman"/>
          <w:color w:val="222222"/>
          <w:shd w:val="clear" w:color="auto" w:fill="FFFFFF"/>
        </w:rPr>
      </w:pPr>
    </w:p>
    <w:p w14:paraId="7018C428" w14:textId="4FCAAAAD" w:rsidR="000F1648" w:rsidRPr="00FF34F0" w:rsidRDefault="00C63DE3" w:rsidP="006C51C5">
      <w:pPr>
        <w:rPr>
          <w:rFonts w:ascii="Garamond" w:eastAsia="Times New Roman" w:hAnsi="Garamond" w:cs="Times New Roman"/>
          <w:color w:val="222222"/>
          <w:shd w:val="clear" w:color="auto" w:fill="FFFFFF"/>
        </w:rPr>
      </w:pPr>
      <w:proofErr w:type="spellStart"/>
      <w:r w:rsidRPr="00FF34F0">
        <w:rPr>
          <w:rFonts w:ascii="Garamond" w:eastAsia="Times New Roman" w:hAnsi="Garamond" w:cs="Times New Roman"/>
          <w:color w:val="222222"/>
          <w:shd w:val="clear" w:color="auto" w:fill="FFFFFF"/>
        </w:rPr>
        <w:t>Nyström</w:t>
      </w:r>
      <w:proofErr w:type="spellEnd"/>
      <w:r w:rsidRPr="00FF34F0">
        <w:rPr>
          <w:rFonts w:ascii="Garamond" w:eastAsia="Times New Roman" w:hAnsi="Garamond" w:cs="Times New Roman"/>
          <w:color w:val="222222"/>
          <w:shd w:val="clear" w:color="auto" w:fill="FFFFFF"/>
        </w:rPr>
        <w:t xml:space="preserve">, M., </w:t>
      </w:r>
      <w:proofErr w:type="spellStart"/>
      <w:r w:rsidRPr="00FF34F0">
        <w:rPr>
          <w:rFonts w:ascii="Garamond" w:eastAsia="Times New Roman" w:hAnsi="Garamond" w:cs="Times New Roman"/>
          <w:color w:val="222222"/>
          <w:shd w:val="clear" w:color="auto" w:fill="FFFFFF"/>
        </w:rPr>
        <w:t>Strehlenert</w:t>
      </w:r>
      <w:proofErr w:type="spellEnd"/>
      <w:r w:rsidRPr="00FF34F0">
        <w:rPr>
          <w:rFonts w:ascii="Garamond" w:eastAsia="Times New Roman" w:hAnsi="Garamond" w:cs="Times New Roman"/>
          <w:color w:val="222222"/>
          <w:shd w:val="clear" w:color="auto" w:fill="FFFFFF"/>
        </w:rPr>
        <w:t>, H., Hansson, J., and Hasson, H. (2014). Strategies to facilitate implementation and sustainability of large system transformations: a case study of a national program for improving quality of care for elderly people. BMC Health Services Research, 14(1), 401.</w:t>
      </w:r>
    </w:p>
    <w:p w14:paraId="046C3704" w14:textId="40B02C0A" w:rsidR="008C0256" w:rsidRPr="00FF34F0" w:rsidRDefault="008C0256" w:rsidP="006C51C5">
      <w:pPr>
        <w:rPr>
          <w:rFonts w:ascii="Garamond" w:hAnsi="Garamond" w:cs="Times New Roman"/>
        </w:rPr>
      </w:pPr>
    </w:p>
    <w:p w14:paraId="419643A4" w14:textId="78C89876" w:rsidR="008C0256" w:rsidRPr="00FF34F0" w:rsidRDefault="008C0256" w:rsidP="006C51C5">
      <w:pPr>
        <w:rPr>
          <w:rFonts w:ascii="Garamond" w:hAnsi="Garamond" w:cs="Times New Roman"/>
        </w:rPr>
      </w:pPr>
      <w:r w:rsidRPr="00FF34F0">
        <w:rPr>
          <w:rFonts w:ascii="Garamond" w:hAnsi="Garamond" w:cs="Times New Roman"/>
        </w:rPr>
        <w:t>O’</w:t>
      </w:r>
      <w:r w:rsidR="009C530B" w:rsidRPr="00FF34F0">
        <w:rPr>
          <w:rFonts w:ascii="Garamond" w:hAnsi="Garamond" w:cs="Times New Roman"/>
        </w:rPr>
        <w:t>Reilly, D.,</w:t>
      </w:r>
      <w:r w:rsidRPr="00FF34F0">
        <w:rPr>
          <w:rFonts w:ascii="Garamond" w:hAnsi="Garamond" w:cs="Times New Roman"/>
        </w:rPr>
        <w:t xml:space="preserve"> and Reed, M. (2010). ‘</w:t>
      </w:r>
      <w:proofErr w:type="spellStart"/>
      <w:r w:rsidRPr="00FF34F0">
        <w:rPr>
          <w:rFonts w:ascii="Garamond" w:hAnsi="Garamond" w:cs="Times New Roman"/>
        </w:rPr>
        <w:t>Leaderism</w:t>
      </w:r>
      <w:proofErr w:type="spellEnd"/>
      <w:r w:rsidRPr="00FF34F0">
        <w:rPr>
          <w:rFonts w:ascii="Garamond" w:hAnsi="Garamond" w:cs="Times New Roman"/>
        </w:rPr>
        <w:t>’: An evolution of managerialism in UK public service reform. Public Administration, 88(4), 960-978.</w:t>
      </w:r>
    </w:p>
    <w:p w14:paraId="6C240319" w14:textId="31AFBEA3" w:rsidR="009C530B" w:rsidRPr="00FF34F0" w:rsidRDefault="009C530B" w:rsidP="006C51C5">
      <w:pPr>
        <w:rPr>
          <w:rFonts w:ascii="Garamond" w:hAnsi="Garamond" w:cs="Times New Roman"/>
        </w:rPr>
      </w:pPr>
    </w:p>
    <w:p w14:paraId="3E3135D4" w14:textId="234062CB" w:rsidR="009C530B" w:rsidRPr="00FF34F0" w:rsidRDefault="009C530B" w:rsidP="006C51C5">
      <w:pPr>
        <w:rPr>
          <w:rFonts w:ascii="Garamond" w:hAnsi="Garamond" w:cs="Times New Roman"/>
        </w:rPr>
      </w:pPr>
      <w:r w:rsidRPr="00FF34F0">
        <w:rPr>
          <w:rFonts w:ascii="Garamond" w:hAnsi="Garamond" w:cs="Times New Roman"/>
        </w:rPr>
        <w:t xml:space="preserve">O’Reilly, D., and Reed, M. (2011). The grit in the oyster: Professionalism, managerialism and </w:t>
      </w:r>
      <w:proofErr w:type="spellStart"/>
      <w:r w:rsidRPr="00FF34F0">
        <w:rPr>
          <w:rFonts w:ascii="Garamond" w:hAnsi="Garamond" w:cs="Times New Roman"/>
        </w:rPr>
        <w:t>leaderism</w:t>
      </w:r>
      <w:proofErr w:type="spellEnd"/>
      <w:r w:rsidRPr="00FF34F0">
        <w:rPr>
          <w:rFonts w:ascii="Garamond" w:hAnsi="Garamond" w:cs="Times New Roman"/>
        </w:rPr>
        <w:t xml:space="preserve"> as discourses of UK public services modernization. Organization Studies, 32(8), 1079-1101.</w:t>
      </w:r>
    </w:p>
    <w:p w14:paraId="781AC429" w14:textId="4572CF38" w:rsidR="00BC70EF" w:rsidRPr="00FF34F0" w:rsidRDefault="00BC70EF" w:rsidP="006C51C5">
      <w:pPr>
        <w:rPr>
          <w:rFonts w:ascii="Garamond" w:hAnsi="Garamond" w:cs="Times New Roman"/>
        </w:rPr>
      </w:pPr>
    </w:p>
    <w:p w14:paraId="6084717B" w14:textId="64B307E7" w:rsidR="00BC70EF" w:rsidRPr="00FF34F0" w:rsidRDefault="00BC70EF" w:rsidP="006C51C5">
      <w:pPr>
        <w:rPr>
          <w:rFonts w:ascii="Garamond" w:hAnsi="Garamond" w:cs="Times New Roman"/>
        </w:rPr>
      </w:pPr>
      <w:r w:rsidRPr="00FF34F0">
        <w:rPr>
          <w:rFonts w:ascii="Garamond" w:hAnsi="Garamond" w:cs="Times New Roman"/>
        </w:rPr>
        <w:t>Perla, R., Bradbury, E., and Gunther</w:t>
      </w:r>
      <w:r w:rsidRPr="00FF34F0">
        <w:rPr>
          <w:rFonts w:ascii="Calibri" w:eastAsia="Calibri" w:hAnsi="Calibri" w:cs="Calibri"/>
        </w:rPr>
        <w:t>‐</w:t>
      </w:r>
      <w:r w:rsidRPr="00FF34F0">
        <w:rPr>
          <w:rFonts w:ascii="Garamond" w:hAnsi="Garamond" w:cs="Times New Roman"/>
        </w:rPr>
        <w:t>Murphy, C. (2013). Large</w:t>
      </w:r>
      <w:r w:rsidRPr="00FF34F0">
        <w:rPr>
          <w:rFonts w:ascii="Calibri" w:eastAsia="Calibri" w:hAnsi="Calibri" w:cs="Calibri"/>
        </w:rPr>
        <w:t>‐</w:t>
      </w:r>
      <w:r w:rsidRPr="00FF34F0">
        <w:rPr>
          <w:rFonts w:ascii="Garamond" w:hAnsi="Garamond" w:cs="Times New Roman"/>
        </w:rPr>
        <w:t>scale improvement initiatives in healthcare: a scan of the literature. Journal for Healthcare Quality, 35(1), 30-40.</w:t>
      </w:r>
    </w:p>
    <w:p w14:paraId="516D2EAB" w14:textId="77777777" w:rsidR="001F1A8D" w:rsidRPr="00FF34F0" w:rsidRDefault="001F1A8D" w:rsidP="006C51C5">
      <w:pPr>
        <w:rPr>
          <w:rFonts w:ascii="Garamond" w:hAnsi="Garamond" w:cs="Times New Roman"/>
        </w:rPr>
      </w:pPr>
    </w:p>
    <w:p w14:paraId="64A44550" w14:textId="7D30F95A" w:rsidR="001F1A8D" w:rsidRPr="00FF34F0" w:rsidRDefault="001F1A8D" w:rsidP="006C51C5">
      <w:pPr>
        <w:rPr>
          <w:rFonts w:ascii="Garamond" w:hAnsi="Garamond" w:cs="Times New Roman"/>
        </w:rPr>
      </w:pPr>
      <w:r w:rsidRPr="00FF34F0">
        <w:rPr>
          <w:rFonts w:ascii="Garamond" w:hAnsi="Garamond" w:cs="Times New Roman"/>
        </w:rPr>
        <w:t xml:space="preserve">Rein, M., and </w:t>
      </w:r>
      <w:proofErr w:type="spellStart"/>
      <w:r w:rsidRPr="00FF34F0">
        <w:rPr>
          <w:rFonts w:ascii="Garamond" w:hAnsi="Garamond" w:cs="Times New Roman"/>
        </w:rPr>
        <w:t>Schön</w:t>
      </w:r>
      <w:proofErr w:type="spellEnd"/>
      <w:r w:rsidRPr="00FF34F0">
        <w:rPr>
          <w:rFonts w:ascii="Garamond" w:hAnsi="Garamond" w:cs="Times New Roman"/>
        </w:rPr>
        <w:t xml:space="preserve">, D. (1993) Reframing policy discourse. </w:t>
      </w:r>
      <w:r w:rsidR="00A84210" w:rsidRPr="00FF34F0">
        <w:rPr>
          <w:rFonts w:ascii="Garamond" w:hAnsi="Garamond" w:cs="Times New Roman"/>
        </w:rPr>
        <w:t>In F. Fischer and J. Forester (</w:t>
      </w:r>
      <w:proofErr w:type="spellStart"/>
      <w:r w:rsidR="00A84210" w:rsidRPr="00FF34F0">
        <w:rPr>
          <w:rFonts w:ascii="Garamond" w:hAnsi="Garamond" w:cs="Times New Roman"/>
        </w:rPr>
        <w:t>e</w:t>
      </w:r>
      <w:r w:rsidRPr="00FF34F0">
        <w:rPr>
          <w:rFonts w:ascii="Garamond" w:hAnsi="Garamond" w:cs="Times New Roman"/>
        </w:rPr>
        <w:t>ds</w:t>
      </w:r>
      <w:proofErr w:type="spellEnd"/>
      <w:r w:rsidRPr="00FF34F0">
        <w:rPr>
          <w:rFonts w:ascii="Garamond" w:hAnsi="Garamond" w:cs="Times New Roman"/>
        </w:rPr>
        <w:t>), The argumentative turn in policy analysis. London: Duke University Press.</w:t>
      </w:r>
    </w:p>
    <w:p w14:paraId="52DF31C2" w14:textId="77777777" w:rsidR="00E2753B" w:rsidRPr="00FF34F0" w:rsidRDefault="00E2753B" w:rsidP="006C51C5">
      <w:pPr>
        <w:rPr>
          <w:rFonts w:ascii="Garamond" w:eastAsia="Times New Roman" w:hAnsi="Garamond" w:cs="Times New Roman"/>
          <w:lang w:eastAsia="en-GB"/>
        </w:rPr>
      </w:pPr>
    </w:p>
    <w:p w14:paraId="06399CC2" w14:textId="0694EECD" w:rsidR="001C21F1" w:rsidRPr="00FF34F0" w:rsidRDefault="00060F79" w:rsidP="006C51C5">
      <w:pPr>
        <w:rPr>
          <w:rFonts w:ascii="Garamond" w:hAnsi="Garamond" w:cs="Times New Roman"/>
          <w:color w:val="222222"/>
          <w:shd w:val="clear" w:color="auto" w:fill="FFFFFF"/>
        </w:rPr>
      </w:pPr>
      <w:proofErr w:type="spellStart"/>
      <w:r w:rsidRPr="00FF34F0">
        <w:rPr>
          <w:rFonts w:ascii="Garamond" w:hAnsi="Garamond" w:cs="Times New Roman"/>
          <w:color w:val="222222"/>
          <w:shd w:val="clear" w:color="auto" w:fill="FFFFFF"/>
        </w:rPr>
        <w:t>Scambler</w:t>
      </w:r>
      <w:proofErr w:type="spellEnd"/>
      <w:r w:rsidRPr="00FF34F0">
        <w:rPr>
          <w:rFonts w:ascii="Garamond" w:hAnsi="Garamond" w:cs="Times New Roman"/>
          <w:color w:val="222222"/>
          <w:shd w:val="clear" w:color="auto" w:fill="FFFFFF"/>
        </w:rPr>
        <w:t>, G. (1996)</w:t>
      </w:r>
      <w:r w:rsidR="00C70E31" w:rsidRPr="00FF34F0">
        <w:rPr>
          <w:rFonts w:ascii="Garamond" w:hAnsi="Garamond" w:cs="Times New Roman"/>
          <w:color w:val="222222"/>
          <w:shd w:val="clear" w:color="auto" w:fill="FFFFFF"/>
        </w:rPr>
        <w:t xml:space="preserve"> The ‘project of modernity' and the parameters for a critical sociology: An argument with illustrations from Medical Sociology.</w:t>
      </w:r>
      <w:r w:rsidR="00C70E31" w:rsidRPr="00FF34F0">
        <w:rPr>
          <w:rStyle w:val="apple-converted-space"/>
          <w:rFonts w:ascii="Garamond" w:hAnsi="Garamond" w:cs="Times New Roman"/>
          <w:color w:val="222222"/>
          <w:shd w:val="clear" w:color="auto" w:fill="FFFFFF"/>
        </w:rPr>
        <w:t> </w:t>
      </w:r>
      <w:r w:rsidR="00C70E31" w:rsidRPr="00FF34F0">
        <w:rPr>
          <w:rFonts w:ascii="Garamond" w:hAnsi="Garamond" w:cs="Times New Roman"/>
          <w:iCs/>
          <w:color w:val="222222"/>
          <w:shd w:val="clear" w:color="auto" w:fill="FFFFFF"/>
        </w:rPr>
        <w:t>Sociology</w:t>
      </w:r>
      <w:r w:rsidR="00C70E31" w:rsidRPr="00FF34F0">
        <w:rPr>
          <w:rFonts w:ascii="Garamond" w:hAnsi="Garamond" w:cs="Times New Roman"/>
          <w:color w:val="222222"/>
          <w:shd w:val="clear" w:color="auto" w:fill="FFFFFF"/>
        </w:rPr>
        <w:t>,</w:t>
      </w:r>
      <w:r w:rsidR="00C70E31" w:rsidRPr="00FF34F0">
        <w:rPr>
          <w:rStyle w:val="apple-converted-space"/>
          <w:rFonts w:ascii="Garamond" w:hAnsi="Garamond" w:cs="Times New Roman"/>
          <w:color w:val="222222"/>
          <w:shd w:val="clear" w:color="auto" w:fill="FFFFFF"/>
        </w:rPr>
        <w:t> </w:t>
      </w:r>
      <w:r w:rsidR="00C70E31" w:rsidRPr="00FF34F0">
        <w:rPr>
          <w:rFonts w:ascii="Garamond" w:hAnsi="Garamond" w:cs="Times New Roman"/>
          <w:iCs/>
          <w:color w:val="222222"/>
          <w:shd w:val="clear" w:color="auto" w:fill="FFFFFF"/>
        </w:rPr>
        <w:t>30</w:t>
      </w:r>
      <w:r w:rsidR="00C70E31" w:rsidRPr="00FF34F0">
        <w:rPr>
          <w:rFonts w:ascii="Garamond" w:hAnsi="Garamond" w:cs="Times New Roman"/>
          <w:color w:val="222222"/>
          <w:shd w:val="clear" w:color="auto" w:fill="FFFFFF"/>
        </w:rPr>
        <w:t>(3), 567-581.</w:t>
      </w:r>
    </w:p>
    <w:p w14:paraId="4B67799A" w14:textId="77777777" w:rsidR="00DD1422" w:rsidRPr="00FF34F0" w:rsidRDefault="00DD1422" w:rsidP="006C51C5">
      <w:pPr>
        <w:rPr>
          <w:rFonts w:ascii="Garamond" w:hAnsi="Garamond" w:cs="Times New Roman"/>
          <w:color w:val="222222"/>
          <w:shd w:val="clear" w:color="auto" w:fill="FFFFFF"/>
        </w:rPr>
      </w:pPr>
    </w:p>
    <w:p w14:paraId="2F83AE97" w14:textId="6DFB841E" w:rsidR="00DD1422" w:rsidRPr="00FF34F0" w:rsidRDefault="00DD1422" w:rsidP="006C51C5">
      <w:pPr>
        <w:rPr>
          <w:rFonts w:ascii="Garamond" w:hAnsi="Garamond" w:cs="Times New Roman"/>
          <w:color w:val="222222"/>
          <w:shd w:val="clear" w:color="auto" w:fill="FFFFFF"/>
        </w:rPr>
      </w:pPr>
      <w:r w:rsidRPr="00FF34F0">
        <w:rPr>
          <w:rFonts w:ascii="Garamond" w:hAnsi="Garamond" w:cs="Times New Roman"/>
          <w:color w:val="222222"/>
          <w:shd w:val="clear" w:color="auto" w:fill="FFFFFF"/>
        </w:rPr>
        <w:t xml:space="preserve">Schneider, H., English, R., </w:t>
      </w:r>
      <w:proofErr w:type="spellStart"/>
      <w:r w:rsidRPr="00FF34F0">
        <w:rPr>
          <w:rFonts w:ascii="Garamond" w:hAnsi="Garamond" w:cs="Times New Roman"/>
          <w:color w:val="222222"/>
          <w:shd w:val="clear" w:color="auto" w:fill="FFFFFF"/>
        </w:rPr>
        <w:t>Tabana</w:t>
      </w:r>
      <w:proofErr w:type="spellEnd"/>
      <w:r w:rsidRPr="00FF34F0">
        <w:rPr>
          <w:rFonts w:ascii="Garamond" w:hAnsi="Garamond" w:cs="Times New Roman"/>
          <w:color w:val="222222"/>
          <w:shd w:val="clear" w:color="auto" w:fill="FFFFFF"/>
        </w:rPr>
        <w:t>, H., et al (2014). Whole-system change: case study of factors facilitating early implementation of a primary health care reform in a South African province. BMC Health Services Research, 14(1), 609.</w:t>
      </w:r>
    </w:p>
    <w:p w14:paraId="03E49D9F" w14:textId="0A5A1840" w:rsidR="00E87973" w:rsidRPr="00FF34F0" w:rsidRDefault="00E87973" w:rsidP="006C51C5">
      <w:pPr>
        <w:rPr>
          <w:rFonts w:ascii="Garamond" w:hAnsi="Garamond" w:cs="Times New Roman"/>
        </w:rPr>
      </w:pPr>
    </w:p>
    <w:p w14:paraId="7B844CAA" w14:textId="17D2F092" w:rsidR="00563260" w:rsidRPr="00FF34F0" w:rsidRDefault="001C21F1" w:rsidP="006C51C5">
      <w:pPr>
        <w:rPr>
          <w:rFonts w:ascii="Garamond" w:hAnsi="Garamond" w:cs="Times New Roman"/>
        </w:rPr>
      </w:pPr>
      <w:r w:rsidRPr="00FF34F0">
        <w:rPr>
          <w:rFonts w:ascii="Garamond" w:hAnsi="Garamond" w:cs="Times New Roman"/>
        </w:rPr>
        <w:t>Scott,</w:t>
      </w:r>
      <w:r w:rsidR="00E112BC" w:rsidRPr="00FF34F0">
        <w:rPr>
          <w:rFonts w:ascii="Garamond" w:hAnsi="Garamond" w:cs="Times New Roman"/>
        </w:rPr>
        <w:t xml:space="preserve"> K., and </w:t>
      </w:r>
      <w:proofErr w:type="spellStart"/>
      <w:r w:rsidR="00E112BC" w:rsidRPr="00FF34F0">
        <w:rPr>
          <w:rFonts w:ascii="Garamond" w:hAnsi="Garamond" w:cs="Times New Roman"/>
        </w:rPr>
        <w:t>Steinbinder</w:t>
      </w:r>
      <w:proofErr w:type="spellEnd"/>
      <w:r w:rsidR="00E112BC" w:rsidRPr="00FF34F0">
        <w:rPr>
          <w:rFonts w:ascii="Garamond" w:hAnsi="Garamond" w:cs="Times New Roman"/>
        </w:rPr>
        <w:t>, A. (2009)</w:t>
      </w:r>
      <w:r w:rsidRPr="00FF34F0">
        <w:rPr>
          <w:rFonts w:ascii="Garamond" w:hAnsi="Garamond" w:cs="Times New Roman"/>
        </w:rPr>
        <w:t xml:space="preserve"> Innovation cycle for small- and </w:t>
      </w:r>
      <w:r w:rsidR="00AF2B02" w:rsidRPr="00FF34F0">
        <w:rPr>
          <w:rFonts w:ascii="Garamond" w:hAnsi="Garamond" w:cs="Times New Roman"/>
        </w:rPr>
        <w:t>major system</w:t>
      </w:r>
      <w:r w:rsidR="008B010C" w:rsidRPr="00FF34F0">
        <w:rPr>
          <w:rFonts w:ascii="Garamond" w:hAnsi="Garamond" w:cs="Times New Roman"/>
        </w:rPr>
        <w:t xml:space="preserve"> healthcare change</w:t>
      </w:r>
      <w:r w:rsidRPr="00FF34F0">
        <w:rPr>
          <w:rFonts w:ascii="Garamond" w:hAnsi="Garamond" w:cs="Times New Roman"/>
        </w:rPr>
        <w:t>.</w:t>
      </w:r>
      <w:r w:rsidR="009E1546" w:rsidRPr="00FF34F0">
        <w:rPr>
          <w:rFonts w:ascii="Garamond" w:hAnsi="Garamond" w:cs="Times New Roman"/>
        </w:rPr>
        <w:t xml:space="preserve"> Nurs</w:t>
      </w:r>
      <w:r w:rsidR="00E112BC" w:rsidRPr="00FF34F0">
        <w:rPr>
          <w:rFonts w:ascii="Garamond" w:hAnsi="Garamond" w:cs="Times New Roman"/>
        </w:rPr>
        <w:t>ing</w:t>
      </w:r>
      <w:r w:rsidR="009E1546" w:rsidRPr="00FF34F0">
        <w:rPr>
          <w:rFonts w:ascii="Garamond" w:hAnsi="Garamond" w:cs="Times New Roman"/>
        </w:rPr>
        <w:t xml:space="preserve"> Adm</w:t>
      </w:r>
      <w:r w:rsidR="00E112BC" w:rsidRPr="00FF34F0">
        <w:rPr>
          <w:rFonts w:ascii="Garamond" w:hAnsi="Garamond" w:cs="Times New Roman"/>
        </w:rPr>
        <w:t>inistration Quarterly</w:t>
      </w:r>
      <w:r w:rsidR="009E1546" w:rsidRPr="00FF34F0">
        <w:rPr>
          <w:rFonts w:ascii="Garamond" w:hAnsi="Garamond" w:cs="Times New Roman"/>
        </w:rPr>
        <w:t xml:space="preserve"> 33(4):335-41. </w:t>
      </w:r>
    </w:p>
    <w:p w14:paraId="34DE7C24" w14:textId="77777777" w:rsidR="00060F79" w:rsidRPr="00FF34F0" w:rsidRDefault="00060F79" w:rsidP="006C51C5">
      <w:pPr>
        <w:rPr>
          <w:rFonts w:ascii="Garamond" w:hAnsi="Garamond" w:cs="Times New Roman"/>
        </w:rPr>
      </w:pPr>
    </w:p>
    <w:p w14:paraId="0AE48EEF" w14:textId="76B098E0" w:rsidR="00E112BC" w:rsidRPr="00FF34F0" w:rsidRDefault="00E112BC" w:rsidP="006C51C5">
      <w:pPr>
        <w:rPr>
          <w:rFonts w:ascii="Garamond" w:hAnsi="Garamond" w:cs="Times New Roman"/>
        </w:rPr>
      </w:pPr>
      <w:r w:rsidRPr="00FF34F0">
        <w:rPr>
          <w:rFonts w:ascii="Garamond" w:hAnsi="Garamond" w:cs="Times New Roman"/>
        </w:rPr>
        <w:lastRenderedPageBreak/>
        <w:t>S</w:t>
      </w:r>
      <w:r w:rsidR="00060F79" w:rsidRPr="00FF34F0">
        <w:rPr>
          <w:rFonts w:ascii="Garamond" w:hAnsi="Garamond" w:cs="Times New Roman"/>
        </w:rPr>
        <w:t>hore, C., and Wright, S. (1997)</w:t>
      </w:r>
      <w:r w:rsidRPr="00FF34F0">
        <w:rPr>
          <w:rFonts w:ascii="Garamond" w:hAnsi="Garamond" w:cs="Times New Roman"/>
        </w:rPr>
        <w:t xml:space="preserve"> Policy: A new field of anthropolo</w:t>
      </w:r>
      <w:r w:rsidR="00060F79" w:rsidRPr="00FF34F0">
        <w:rPr>
          <w:rFonts w:ascii="Garamond" w:hAnsi="Garamond" w:cs="Times New Roman"/>
        </w:rPr>
        <w:t>gy. In C. Shore and S. Wright (</w:t>
      </w:r>
      <w:proofErr w:type="spellStart"/>
      <w:r w:rsidR="00060F79" w:rsidRPr="00FF34F0">
        <w:rPr>
          <w:rFonts w:ascii="Garamond" w:hAnsi="Garamond" w:cs="Times New Roman"/>
        </w:rPr>
        <w:t>e</w:t>
      </w:r>
      <w:r w:rsidRPr="00FF34F0">
        <w:rPr>
          <w:rFonts w:ascii="Garamond" w:hAnsi="Garamond" w:cs="Times New Roman"/>
        </w:rPr>
        <w:t>ds</w:t>
      </w:r>
      <w:proofErr w:type="spellEnd"/>
      <w:r w:rsidRPr="00FF34F0">
        <w:rPr>
          <w:rFonts w:ascii="Garamond" w:hAnsi="Garamond" w:cs="Times New Roman"/>
        </w:rPr>
        <w:t>), Anthropology of Policy. Oxon: Routledge.</w:t>
      </w:r>
    </w:p>
    <w:p w14:paraId="747F8A9D" w14:textId="7E6DAFD2" w:rsidR="00E87973" w:rsidRPr="00FF34F0" w:rsidRDefault="00E87973" w:rsidP="006C51C5">
      <w:pPr>
        <w:rPr>
          <w:rFonts w:ascii="Garamond" w:hAnsi="Garamond" w:cs="Times New Roman"/>
        </w:rPr>
      </w:pPr>
    </w:p>
    <w:p w14:paraId="50FEF743" w14:textId="336A9F9E" w:rsidR="00B10656" w:rsidRPr="00FF34F0" w:rsidRDefault="00B10656" w:rsidP="006C51C5">
      <w:pPr>
        <w:rPr>
          <w:rFonts w:ascii="Garamond" w:hAnsi="Garamond" w:cs="Times New Roman"/>
        </w:rPr>
      </w:pPr>
      <w:r w:rsidRPr="00FF34F0">
        <w:rPr>
          <w:rFonts w:ascii="Garamond" w:hAnsi="Garamond" w:cs="Times New Roman"/>
        </w:rPr>
        <w:t>Sorokin, P. (2017) Making global sociology in the context of neoliberal domination: challenges, ideology and possible strategies. Sociological Research Online. https://doi.org/10.1177/1360780417743873</w:t>
      </w:r>
    </w:p>
    <w:p w14:paraId="73A32B8D" w14:textId="77777777" w:rsidR="00B10656" w:rsidRPr="00FF34F0" w:rsidRDefault="00B10656" w:rsidP="006C51C5">
      <w:pPr>
        <w:rPr>
          <w:rFonts w:ascii="Garamond" w:hAnsi="Garamond" w:cs="Times New Roman"/>
        </w:rPr>
      </w:pPr>
    </w:p>
    <w:p w14:paraId="6DD2FE0B" w14:textId="14EAF0C6" w:rsidR="003F40D9" w:rsidRPr="00FF34F0" w:rsidRDefault="003F40D9" w:rsidP="006C51C5">
      <w:pPr>
        <w:rPr>
          <w:rFonts w:ascii="Garamond" w:hAnsi="Garamond" w:cs="Times New Roman"/>
        </w:rPr>
      </w:pPr>
      <w:r w:rsidRPr="00FF34F0">
        <w:rPr>
          <w:rFonts w:ascii="Garamond" w:hAnsi="Garamond" w:cs="Times New Roman"/>
        </w:rPr>
        <w:t>Spurgeon, P., Cook</w:t>
      </w:r>
      <w:r w:rsidR="00060F79" w:rsidRPr="00FF34F0">
        <w:rPr>
          <w:rFonts w:ascii="Garamond" w:hAnsi="Garamond" w:cs="Times New Roman"/>
        </w:rPr>
        <w:t xml:space="preserve">e, M., </w:t>
      </w:r>
      <w:proofErr w:type="spellStart"/>
      <w:r w:rsidR="00060F79" w:rsidRPr="00FF34F0">
        <w:rPr>
          <w:rFonts w:ascii="Garamond" w:hAnsi="Garamond" w:cs="Times New Roman"/>
        </w:rPr>
        <w:t>Fulop</w:t>
      </w:r>
      <w:proofErr w:type="spellEnd"/>
      <w:r w:rsidR="00060F79" w:rsidRPr="00FF34F0">
        <w:rPr>
          <w:rFonts w:ascii="Garamond" w:hAnsi="Garamond" w:cs="Times New Roman"/>
        </w:rPr>
        <w:t>, N., et al. (2010)</w:t>
      </w:r>
      <w:r w:rsidRPr="00FF34F0">
        <w:rPr>
          <w:rFonts w:ascii="Garamond" w:hAnsi="Garamond" w:cs="Times New Roman"/>
        </w:rPr>
        <w:t xml:space="preserve"> Evaluating models of service delivery: Reconfiguration principles. Final report produced for the National Institute for Health Research Service Delivery and </w:t>
      </w:r>
      <w:proofErr w:type="spellStart"/>
      <w:r w:rsidRPr="00FF34F0">
        <w:rPr>
          <w:rFonts w:ascii="Garamond" w:hAnsi="Garamond" w:cs="Times New Roman"/>
        </w:rPr>
        <w:t>Organisation</w:t>
      </w:r>
      <w:proofErr w:type="spellEnd"/>
      <w:r w:rsidRPr="00FF34F0">
        <w:rPr>
          <w:rFonts w:ascii="Garamond" w:hAnsi="Garamond" w:cs="Times New Roman"/>
        </w:rPr>
        <w:t xml:space="preserve"> </w:t>
      </w:r>
      <w:proofErr w:type="spellStart"/>
      <w:r w:rsidRPr="00FF34F0">
        <w:rPr>
          <w:rFonts w:ascii="Garamond" w:hAnsi="Garamond" w:cs="Times New Roman"/>
        </w:rPr>
        <w:t>Programme</w:t>
      </w:r>
      <w:proofErr w:type="spellEnd"/>
      <w:r w:rsidRPr="00FF34F0">
        <w:rPr>
          <w:rFonts w:ascii="Garamond" w:hAnsi="Garamond" w:cs="Times New Roman"/>
        </w:rPr>
        <w:t>.</w:t>
      </w:r>
    </w:p>
    <w:p w14:paraId="5BF5AF88" w14:textId="77777777" w:rsidR="00E87973" w:rsidRPr="00FF34F0" w:rsidRDefault="00E87973" w:rsidP="006C51C5">
      <w:pPr>
        <w:rPr>
          <w:rFonts w:ascii="Garamond" w:hAnsi="Garamond" w:cs="Times New Roman"/>
          <w:color w:val="1A1A1A"/>
          <w:lang w:val="en-GB"/>
        </w:rPr>
      </w:pPr>
    </w:p>
    <w:p w14:paraId="7D4C1FB1" w14:textId="254352DA" w:rsidR="00E112BC" w:rsidRPr="00FF34F0" w:rsidRDefault="00992081" w:rsidP="006C51C5">
      <w:pPr>
        <w:rPr>
          <w:rFonts w:ascii="Garamond" w:hAnsi="Garamond" w:cs="Times New Roman"/>
          <w:color w:val="1A1A1A"/>
          <w:lang w:val="en-GB"/>
        </w:rPr>
      </w:pPr>
      <w:r w:rsidRPr="00FF34F0">
        <w:rPr>
          <w:rFonts w:ascii="Garamond" w:hAnsi="Garamond" w:cs="Times New Roman"/>
          <w:color w:val="1A1A1A"/>
          <w:lang w:val="en-GB"/>
        </w:rPr>
        <w:t xml:space="preserve">Stewart, E., and Aitken, M. (2015) Beyond NIMBYs and NOOMBYs: what can wind farm controversies teach us about public involvement in hospital closures? </w:t>
      </w:r>
      <w:r w:rsidRPr="00FF34F0">
        <w:rPr>
          <w:rFonts w:ascii="Garamond" w:hAnsi="Garamond" w:cs="Times New Roman"/>
          <w:iCs/>
          <w:color w:val="1A1A1A"/>
          <w:lang w:val="en-GB"/>
        </w:rPr>
        <w:t>BMC Health Services Research</w:t>
      </w:r>
      <w:r w:rsidRPr="00FF34F0">
        <w:rPr>
          <w:rFonts w:ascii="Garamond" w:hAnsi="Garamond" w:cs="Times New Roman"/>
          <w:color w:val="1A1A1A"/>
          <w:lang w:val="en-GB"/>
        </w:rPr>
        <w:t xml:space="preserve">, </w:t>
      </w:r>
      <w:r w:rsidRPr="00FF34F0">
        <w:rPr>
          <w:rFonts w:ascii="Garamond" w:hAnsi="Garamond" w:cs="Times New Roman"/>
          <w:iCs/>
          <w:color w:val="1A1A1A"/>
          <w:lang w:val="en-GB"/>
        </w:rPr>
        <w:t>15</w:t>
      </w:r>
      <w:r w:rsidRPr="00FF34F0">
        <w:rPr>
          <w:rFonts w:ascii="Garamond" w:hAnsi="Garamond" w:cs="Times New Roman"/>
          <w:color w:val="1A1A1A"/>
          <w:lang w:val="en-GB"/>
        </w:rPr>
        <w:t>(1), 530.</w:t>
      </w:r>
    </w:p>
    <w:p w14:paraId="22CE4645" w14:textId="23ED2A54" w:rsidR="00BC70EF" w:rsidRPr="00FF34F0" w:rsidRDefault="00BC70EF" w:rsidP="006C51C5">
      <w:pPr>
        <w:rPr>
          <w:rFonts w:ascii="Garamond" w:hAnsi="Garamond" w:cs="Times New Roman"/>
          <w:color w:val="1A1A1A"/>
          <w:lang w:val="en-GB"/>
        </w:rPr>
      </w:pPr>
    </w:p>
    <w:p w14:paraId="5C7DA82A" w14:textId="39401D2C" w:rsidR="00BC70EF" w:rsidRPr="00FF34F0" w:rsidRDefault="00BC70EF" w:rsidP="006C51C5">
      <w:pPr>
        <w:rPr>
          <w:rFonts w:ascii="Garamond" w:hAnsi="Garamond" w:cs="Times New Roman"/>
          <w:color w:val="1A1A1A"/>
          <w:lang w:val="en-GB"/>
        </w:rPr>
      </w:pPr>
      <w:proofErr w:type="spellStart"/>
      <w:r w:rsidRPr="00FF34F0">
        <w:rPr>
          <w:rFonts w:ascii="Garamond" w:hAnsi="Garamond" w:cs="Times New Roman"/>
          <w:color w:val="1A1A1A"/>
          <w:lang w:val="en-GB"/>
        </w:rPr>
        <w:t>Tatman</w:t>
      </w:r>
      <w:proofErr w:type="spellEnd"/>
      <w:r w:rsidRPr="00FF34F0">
        <w:rPr>
          <w:rFonts w:ascii="Garamond" w:hAnsi="Garamond" w:cs="Times New Roman"/>
          <w:color w:val="1A1A1A"/>
          <w:lang w:val="en-GB"/>
        </w:rPr>
        <w:t xml:space="preserve">, J., and </w:t>
      </w:r>
      <w:proofErr w:type="spellStart"/>
      <w:r w:rsidRPr="00FF34F0">
        <w:rPr>
          <w:rFonts w:ascii="Garamond" w:hAnsi="Garamond" w:cs="Times New Roman"/>
          <w:color w:val="1A1A1A"/>
          <w:lang w:val="en-GB"/>
        </w:rPr>
        <w:t>Zauner</w:t>
      </w:r>
      <w:proofErr w:type="spellEnd"/>
      <w:r w:rsidRPr="00FF34F0">
        <w:rPr>
          <w:rFonts w:ascii="Garamond" w:hAnsi="Garamond" w:cs="Times New Roman"/>
          <w:color w:val="1A1A1A"/>
          <w:lang w:val="en-GB"/>
        </w:rPr>
        <w:t>, J. (2014). Large-System Acute Care Transformation. Nursing Administration Quarterly, 38(1), 62-68.</w:t>
      </w:r>
    </w:p>
    <w:p w14:paraId="17DE0964" w14:textId="77777777" w:rsidR="002B3269" w:rsidRPr="00FF34F0" w:rsidRDefault="002B3269" w:rsidP="006C51C5">
      <w:pPr>
        <w:rPr>
          <w:rFonts w:ascii="Garamond" w:hAnsi="Garamond" w:cs="Times New Roman"/>
          <w:color w:val="1A1A1A"/>
          <w:lang w:val="en-GB"/>
        </w:rPr>
      </w:pPr>
    </w:p>
    <w:p w14:paraId="20CFB831" w14:textId="1AEDFD0F" w:rsidR="002B3269" w:rsidRPr="00FF34F0" w:rsidRDefault="002B3269" w:rsidP="006C51C5">
      <w:pPr>
        <w:rPr>
          <w:rFonts w:ascii="Garamond" w:hAnsi="Garamond" w:cs="Times New Roman"/>
          <w:color w:val="1A1A1A"/>
          <w:lang w:val="en-GB"/>
        </w:rPr>
      </w:pPr>
      <w:r w:rsidRPr="00FF34F0">
        <w:rPr>
          <w:rFonts w:ascii="Garamond" w:hAnsi="Garamond" w:cs="Times New Roman"/>
          <w:color w:val="1A1A1A"/>
          <w:lang w:val="en-GB"/>
        </w:rPr>
        <w:t>Turner, S., Ramsay, A., Perry, C., et al (2016). Lessons for major system change: centralization of stroke services in two metropolitan areas of England. Journal of Health Services Research &amp; Policy, 21(3), 156-165.</w:t>
      </w:r>
    </w:p>
    <w:p w14:paraId="7B5BD00A" w14:textId="65AAD558" w:rsidR="00E87973" w:rsidRPr="00FF34F0" w:rsidRDefault="00E87973" w:rsidP="006C51C5">
      <w:pPr>
        <w:rPr>
          <w:rFonts w:ascii="Garamond" w:hAnsi="Garamond" w:cs="Times New Roman"/>
          <w:color w:val="1A1A1A"/>
          <w:lang w:val="en-GB"/>
        </w:rPr>
      </w:pPr>
    </w:p>
    <w:p w14:paraId="65C779A4" w14:textId="629A59CC" w:rsidR="0011679F" w:rsidRPr="00FF34F0" w:rsidRDefault="00B10656" w:rsidP="006C51C5">
      <w:pPr>
        <w:rPr>
          <w:rFonts w:ascii="Garamond" w:hAnsi="Garamond" w:cs="Times New Roman"/>
          <w:color w:val="1A1A1A"/>
          <w:lang w:val="en-GB"/>
        </w:rPr>
      </w:pPr>
      <w:r w:rsidRPr="00FF34F0">
        <w:rPr>
          <w:rFonts w:ascii="Garamond" w:hAnsi="Garamond" w:cs="Times New Roman"/>
          <w:color w:val="1A1A1A"/>
          <w:lang w:val="en-GB"/>
        </w:rPr>
        <w:t>Waring, J. (2014)</w:t>
      </w:r>
      <w:r w:rsidR="0011679F" w:rsidRPr="00FF34F0">
        <w:rPr>
          <w:rFonts w:ascii="Garamond" w:hAnsi="Garamond" w:cs="Times New Roman"/>
          <w:color w:val="1A1A1A"/>
          <w:lang w:val="en-GB"/>
        </w:rPr>
        <w:t xml:space="preserve"> </w:t>
      </w:r>
      <w:proofErr w:type="spellStart"/>
      <w:r w:rsidR="0011679F" w:rsidRPr="00FF34F0">
        <w:rPr>
          <w:rFonts w:ascii="Garamond" w:hAnsi="Garamond" w:cs="Times New Roman"/>
          <w:color w:val="1A1A1A"/>
          <w:lang w:val="en-GB"/>
        </w:rPr>
        <w:t>Restratification</w:t>
      </w:r>
      <w:proofErr w:type="spellEnd"/>
      <w:r w:rsidR="0011679F" w:rsidRPr="00FF34F0">
        <w:rPr>
          <w:rFonts w:ascii="Garamond" w:hAnsi="Garamond" w:cs="Times New Roman"/>
          <w:color w:val="1A1A1A"/>
          <w:lang w:val="en-GB"/>
        </w:rPr>
        <w:t>, hybridity and professional elites: questions of power, identity and relational contingency at the points of ‘professional–organisational intersection’. Sociology Compass, 8(6), 688-704.</w:t>
      </w:r>
    </w:p>
    <w:p w14:paraId="37046FD0" w14:textId="55D0928F" w:rsidR="0011679F" w:rsidRPr="00FF34F0" w:rsidRDefault="0011679F" w:rsidP="006C51C5">
      <w:pPr>
        <w:rPr>
          <w:rFonts w:ascii="Garamond" w:hAnsi="Garamond" w:cs="Times New Roman"/>
          <w:color w:val="1A1A1A"/>
          <w:lang w:val="en-GB"/>
        </w:rPr>
      </w:pPr>
    </w:p>
    <w:p w14:paraId="3D936A5D" w14:textId="1C70B587" w:rsidR="0011679F" w:rsidRPr="00FF34F0" w:rsidRDefault="0011679F" w:rsidP="006C51C5">
      <w:pPr>
        <w:rPr>
          <w:rFonts w:ascii="Garamond" w:hAnsi="Garamond" w:cs="Times New Roman"/>
          <w:color w:val="1A1A1A"/>
          <w:lang w:val="en-GB"/>
        </w:rPr>
      </w:pPr>
      <w:r w:rsidRPr="00FF34F0">
        <w:rPr>
          <w:rFonts w:ascii="Garamond" w:hAnsi="Garamond" w:cs="Times New Roman"/>
          <w:color w:val="1A1A1A"/>
          <w:lang w:val="en-GB"/>
        </w:rPr>
        <w:t>Waring, J., Allen, D., Braithwaite, J., and</w:t>
      </w:r>
      <w:r w:rsidR="00B10656" w:rsidRPr="00FF34F0">
        <w:rPr>
          <w:rFonts w:ascii="Garamond" w:hAnsi="Garamond" w:cs="Times New Roman"/>
          <w:color w:val="1A1A1A"/>
          <w:lang w:val="en-GB"/>
        </w:rPr>
        <w:t xml:space="preserve"> </w:t>
      </w:r>
      <w:proofErr w:type="spellStart"/>
      <w:r w:rsidR="00B10656" w:rsidRPr="00FF34F0">
        <w:rPr>
          <w:rFonts w:ascii="Garamond" w:hAnsi="Garamond" w:cs="Times New Roman"/>
          <w:color w:val="1A1A1A"/>
          <w:lang w:val="en-GB"/>
        </w:rPr>
        <w:t>Sandall</w:t>
      </w:r>
      <w:proofErr w:type="spellEnd"/>
      <w:r w:rsidR="00B10656" w:rsidRPr="00FF34F0">
        <w:rPr>
          <w:rFonts w:ascii="Garamond" w:hAnsi="Garamond" w:cs="Times New Roman"/>
          <w:color w:val="1A1A1A"/>
          <w:lang w:val="en-GB"/>
        </w:rPr>
        <w:t>, J. (2016)</w:t>
      </w:r>
      <w:r w:rsidRPr="00FF34F0">
        <w:rPr>
          <w:rFonts w:ascii="Garamond" w:hAnsi="Garamond" w:cs="Times New Roman"/>
          <w:color w:val="1A1A1A"/>
          <w:lang w:val="en-GB"/>
        </w:rPr>
        <w:t xml:space="preserve"> Healthcare quality and safety: a review of policy, practice and research. Sociology of Health &amp; Illness, 38(2), 198-215.</w:t>
      </w:r>
    </w:p>
    <w:p w14:paraId="419D9E15" w14:textId="27E133AB" w:rsidR="00AD7DBA" w:rsidRPr="00FF34F0" w:rsidRDefault="00AD7DBA" w:rsidP="006C51C5">
      <w:pPr>
        <w:rPr>
          <w:rFonts w:ascii="Garamond" w:hAnsi="Garamond" w:cs="Times New Roman"/>
          <w:color w:val="1A1A1A"/>
          <w:lang w:val="en-GB"/>
        </w:rPr>
      </w:pPr>
    </w:p>
    <w:p w14:paraId="0587DEF2" w14:textId="6081F266" w:rsidR="00AD7DBA" w:rsidRPr="00FF34F0" w:rsidRDefault="00AD7DBA" w:rsidP="006C51C5">
      <w:pPr>
        <w:rPr>
          <w:rFonts w:ascii="Garamond" w:hAnsi="Garamond" w:cs="Times New Roman"/>
          <w:color w:val="1A1A1A"/>
          <w:lang w:val="en-GB"/>
        </w:rPr>
      </w:pPr>
      <w:r w:rsidRPr="00FF34F0">
        <w:rPr>
          <w:rFonts w:ascii="Garamond" w:hAnsi="Garamond" w:cs="Times New Roman"/>
          <w:color w:val="1A1A1A"/>
          <w:lang w:val="en-GB"/>
        </w:rPr>
        <w:t>Wedel, J. R., Shore, C., Fe</w:t>
      </w:r>
      <w:r w:rsidR="00B10656" w:rsidRPr="00FF34F0">
        <w:rPr>
          <w:rFonts w:ascii="Garamond" w:hAnsi="Garamond" w:cs="Times New Roman"/>
          <w:color w:val="1A1A1A"/>
          <w:lang w:val="en-GB"/>
        </w:rPr>
        <w:t>ldman, G., &amp; Lathrop, S. (2005)</w:t>
      </w:r>
      <w:r w:rsidRPr="00FF34F0">
        <w:rPr>
          <w:rFonts w:ascii="Garamond" w:hAnsi="Garamond" w:cs="Times New Roman"/>
          <w:color w:val="1A1A1A"/>
          <w:lang w:val="en-GB"/>
        </w:rPr>
        <w:t xml:space="preserve"> Toward an anthropology of public policy. The ANNALS of the American Academy of Political and Social Science, 600(1), 30-51.</w:t>
      </w:r>
    </w:p>
    <w:p w14:paraId="6AC8ECDD" w14:textId="77777777" w:rsidR="00E87973" w:rsidRPr="00FF34F0" w:rsidRDefault="00E87973" w:rsidP="006C51C5">
      <w:pPr>
        <w:rPr>
          <w:rFonts w:ascii="Garamond" w:hAnsi="Garamond" w:cs="Times New Roman"/>
        </w:rPr>
      </w:pPr>
    </w:p>
    <w:p w14:paraId="6CD34EF6" w14:textId="4890364A" w:rsidR="003121BD" w:rsidRPr="00FF34F0" w:rsidRDefault="004D7FCE" w:rsidP="006C51C5">
      <w:pPr>
        <w:rPr>
          <w:rFonts w:ascii="Garamond" w:hAnsi="Garamond" w:cs="Times New Roman"/>
        </w:rPr>
      </w:pPr>
      <w:r w:rsidRPr="00FF34F0">
        <w:rPr>
          <w:rFonts w:ascii="Garamond" w:hAnsi="Garamond" w:cs="Times New Roman"/>
          <w:color w:val="1A1A1A"/>
          <w:lang w:val="en-GB"/>
        </w:rPr>
        <w:t xml:space="preserve">Willmott, H. (2015) Why institutional theory cannot be critical. </w:t>
      </w:r>
      <w:r w:rsidRPr="00FF34F0">
        <w:rPr>
          <w:rFonts w:ascii="Garamond" w:hAnsi="Garamond" w:cs="Times New Roman"/>
          <w:iCs/>
          <w:color w:val="1A1A1A"/>
          <w:lang w:val="en-GB"/>
        </w:rPr>
        <w:t>Journal of Management Inquiry</w:t>
      </w:r>
      <w:r w:rsidRPr="00FF34F0">
        <w:rPr>
          <w:rFonts w:ascii="Garamond" w:hAnsi="Garamond" w:cs="Times New Roman"/>
          <w:color w:val="1A1A1A"/>
          <w:lang w:val="en-GB"/>
        </w:rPr>
        <w:t xml:space="preserve">, </w:t>
      </w:r>
      <w:r w:rsidRPr="00FF34F0">
        <w:rPr>
          <w:rFonts w:ascii="Garamond" w:hAnsi="Garamond" w:cs="Times New Roman"/>
          <w:iCs/>
          <w:color w:val="1A1A1A"/>
          <w:lang w:val="en-GB"/>
        </w:rPr>
        <w:t>24</w:t>
      </w:r>
      <w:r w:rsidRPr="00FF34F0">
        <w:rPr>
          <w:rFonts w:ascii="Garamond" w:hAnsi="Garamond" w:cs="Times New Roman"/>
          <w:color w:val="1A1A1A"/>
          <w:lang w:val="en-GB"/>
        </w:rPr>
        <w:t>(1), 105-111.</w:t>
      </w:r>
    </w:p>
    <w:p w14:paraId="0B66AA17" w14:textId="77777777" w:rsidR="003121BD" w:rsidRPr="00FF34F0" w:rsidRDefault="003121BD" w:rsidP="006C51C5">
      <w:pPr>
        <w:rPr>
          <w:rFonts w:ascii="Garamond" w:hAnsi="Garamond" w:cs="Times New Roman"/>
        </w:rPr>
      </w:pPr>
    </w:p>
    <w:p w14:paraId="76B6319B" w14:textId="25711357" w:rsidR="000D554B" w:rsidRPr="00FF34F0" w:rsidRDefault="00273295" w:rsidP="006C51C5">
      <w:pPr>
        <w:rPr>
          <w:rFonts w:ascii="Garamond" w:hAnsi="Garamond" w:cs="Times New Roman"/>
          <w:lang w:val="en-GB"/>
        </w:rPr>
      </w:pPr>
      <w:proofErr w:type="spellStart"/>
      <w:r w:rsidRPr="00FF34F0">
        <w:rPr>
          <w:rFonts w:ascii="Garamond" w:hAnsi="Garamond" w:cs="Times New Roman"/>
          <w:lang w:val="en-GB"/>
        </w:rPr>
        <w:t>Wistow</w:t>
      </w:r>
      <w:proofErr w:type="spellEnd"/>
      <w:r w:rsidRPr="00FF34F0">
        <w:rPr>
          <w:rFonts w:ascii="Garamond" w:hAnsi="Garamond" w:cs="Times New Roman"/>
          <w:lang w:val="en-GB"/>
        </w:rPr>
        <w:t xml:space="preserve"> G, Gaskins M, Holder H, et al. (2015) Putting integrated care into practice: The North </w:t>
      </w:r>
      <w:r w:rsidR="00060F79" w:rsidRPr="00FF34F0">
        <w:rPr>
          <w:rFonts w:ascii="Garamond" w:hAnsi="Garamond" w:cs="Times New Roman"/>
          <w:lang w:val="en-GB"/>
        </w:rPr>
        <w:t>West London experience. London, The Nuffield Trust.</w:t>
      </w:r>
    </w:p>
    <w:p w14:paraId="0204F8CF" w14:textId="77777777" w:rsidR="00072913" w:rsidRPr="00FF34F0" w:rsidRDefault="00072913" w:rsidP="006C51C5">
      <w:pPr>
        <w:rPr>
          <w:rFonts w:ascii="Garamond" w:hAnsi="Garamond" w:cs="Times New Roman"/>
          <w:lang w:val="en-GB"/>
        </w:rPr>
      </w:pPr>
    </w:p>
    <w:p w14:paraId="13162843" w14:textId="77777777" w:rsidR="00072913" w:rsidRPr="00FF34F0" w:rsidRDefault="00072913" w:rsidP="006C51C5">
      <w:pPr>
        <w:rPr>
          <w:rFonts w:ascii="Garamond" w:hAnsi="Garamond" w:cs="Times New Roman"/>
          <w:lang w:val="en-GB"/>
        </w:rPr>
      </w:pPr>
      <w:proofErr w:type="spellStart"/>
      <w:r w:rsidRPr="00FF34F0">
        <w:rPr>
          <w:rFonts w:ascii="Garamond" w:hAnsi="Garamond" w:cs="Times New Roman"/>
          <w:lang w:val="en-GB"/>
        </w:rPr>
        <w:t>Yanow</w:t>
      </w:r>
      <w:proofErr w:type="spellEnd"/>
      <w:r w:rsidRPr="00FF34F0">
        <w:rPr>
          <w:rFonts w:ascii="Garamond" w:hAnsi="Garamond" w:cs="Times New Roman"/>
          <w:lang w:val="en-GB"/>
        </w:rPr>
        <w:t xml:space="preserve">, D., </w:t>
      </w:r>
      <w:proofErr w:type="spellStart"/>
      <w:r w:rsidRPr="00FF34F0">
        <w:rPr>
          <w:rFonts w:ascii="Garamond" w:hAnsi="Garamond" w:cs="Times New Roman"/>
          <w:lang w:val="en-GB"/>
        </w:rPr>
        <w:t>Ybema</w:t>
      </w:r>
      <w:proofErr w:type="spellEnd"/>
      <w:r w:rsidRPr="00FF34F0">
        <w:rPr>
          <w:rFonts w:ascii="Garamond" w:hAnsi="Garamond" w:cs="Times New Roman"/>
          <w:lang w:val="en-GB"/>
        </w:rPr>
        <w:t xml:space="preserve">, S., and van </w:t>
      </w:r>
      <w:proofErr w:type="spellStart"/>
      <w:r w:rsidRPr="00FF34F0">
        <w:rPr>
          <w:rFonts w:ascii="Garamond" w:hAnsi="Garamond" w:cs="Times New Roman"/>
          <w:lang w:val="en-GB"/>
        </w:rPr>
        <w:t>Hulst</w:t>
      </w:r>
      <w:proofErr w:type="spellEnd"/>
      <w:r w:rsidRPr="00FF34F0">
        <w:rPr>
          <w:rFonts w:ascii="Garamond" w:hAnsi="Garamond" w:cs="Times New Roman"/>
          <w:lang w:val="en-GB"/>
        </w:rPr>
        <w:t xml:space="preserve">, M. (2012). Practicing organizational ethnography. In G. Symon and C. </w:t>
      </w:r>
      <w:proofErr w:type="spellStart"/>
      <w:r w:rsidRPr="00FF34F0">
        <w:rPr>
          <w:rFonts w:ascii="Garamond" w:hAnsi="Garamond" w:cs="Times New Roman"/>
          <w:lang w:val="en-GB"/>
        </w:rPr>
        <w:t>Cassell</w:t>
      </w:r>
      <w:proofErr w:type="spellEnd"/>
      <w:r w:rsidRPr="00FF34F0">
        <w:rPr>
          <w:rFonts w:ascii="Garamond" w:hAnsi="Garamond" w:cs="Times New Roman"/>
          <w:lang w:val="en-GB"/>
        </w:rPr>
        <w:t xml:space="preserve"> (</w:t>
      </w:r>
      <w:proofErr w:type="spellStart"/>
      <w:r w:rsidRPr="00FF34F0">
        <w:rPr>
          <w:rFonts w:ascii="Garamond" w:hAnsi="Garamond" w:cs="Times New Roman"/>
          <w:lang w:val="en-GB"/>
        </w:rPr>
        <w:t>Eds</w:t>
      </w:r>
      <w:proofErr w:type="spellEnd"/>
      <w:r w:rsidRPr="00FF34F0">
        <w:rPr>
          <w:rFonts w:ascii="Garamond" w:hAnsi="Garamond" w:cs="Times New Roman"/>
          <w:lang w:val="en-GB"/>
        </w:rPr>
        <w:t>), Qualitative organizational research: Core methods and current challenges. London: Sage.</w:t>
      </w:r>
    </w:p>
    <w:p w14:paraId="07EAB3A5" w14:textId="77777777" w:rsidR="00072913" w:rsidRPr="00FF34F0" w:rsidRDefault="00072913" w:rsidP="006C51C5">
      <w:pPr>
        <w:rPr>
          <w:rFonts w:ascii="Garamond" w:hAnsi="Garamond" w:cs="Times New Roman"/>
          <w:lang w:val="en-GB"/>
        </w:rPr>
      </w:pPr>
    </w:p>
    <w:p w14:paraId="5E17E67A" w14:textId="77777777" w:rsidR="00E2562A" w:rsidRPr="00FF34F0" w:rsidRDefault="00E2562A" w:rsidP="006C51C5">
      <w:pPr>
        <w:rPr>
          <w:rFonts w:ascii="Garamond" w:hAnsi="Garamond" w:cs="Times New Roman"/>
          <w:lang w:val="en-GB"/>
        </w:rPr>
      </w:pPr>
    </w:p>
    <w:p w14:paraId="3831BBC5" w14:textId="25FC458B" w:rsidR="00650BC6" w:rsidRPr="00FF34F0" w:rsidRDefault="00650BC6" w:rsidP="006C51C5">
      <w:pPr>
        <w:rPr>
          <w:rFonts w:ascii="Garamond" w:hAnsi="Garamond" w:cs="Times New Roman"/>
          <w:lang w:val="en-GB"/>
        </w:rPr>
      </w:pPr>
    </w:p>
    <w:sectPr w:rsidR="00650BC6" w:rsidRPr="00FF34F0" w:rsidSect="005E4202">
      <w:footerReference w:type="even" r:id="rId9"/>
      <w:footerReference w:type="default" r:id="rId10"/>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8B587" w14:textId="77777777" w:rsidR="002867C2" w:rsidRDefault="002867C2" w:rsidP="00F612F9">
      <w:r>
        <w:separator/>
      </w:r>
    </w:p>
  </w:endnote>
  <w:endnote w:type="continuationSeparator" w:id="0">
    <w:p w14:paraId="608484D1" w14:textId="77777777" w:rsidR="002867C2" w:rsidRDefault="002867C2" w:rsidP="00F6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510D3" w14:textId="77777777" w:rsidR="005E4202" w:rsidRDefault="005E4202" w:rsidP="004772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C1EFB0" w14:textId="77777777" w:rsidR="005E4202" w:rsidRDefault="005E4202" w:rsidP="005E42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53C16" w14:textId="77777777" w:rsidR="005E4202" w:rsidRDefault="005E4202" w:rsidP="004772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3859">
      <w:rPr>
        <w:rStyle w:val="PageNumber"/>
        <w:noProof/>
      </w:rPr>
      <w:t>3</w:t>
    </w:r>
    <w:r>
      <w:rPr>
        <w:rStyle w:val="PageNumber"/>
      </w:rPr>
      <w:fldChar w:fldCharType="end"/>
    </w:r>
  </w:p>
  <w:p w14:paraId="51630397" w14:textId="4427111E" w:rsidR="004141FF" w:rsidRDefault="004141FF" w:rsidP="005E4202">
    <w:pPr>
      <w:pStyle w:val="Footer"/>
      <w:ind w:right="360"/>
      <w:jc w:val="right"/>
    </w:pPr>
  </w:p>
  <w:p w14:paraId="37BA091C" w14:textId="77777777" w:rsidR="004141FF" w:rsidRDefault="004141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BF456" w14:textId="77777777" w:rsidR="002867C2" w:rsidRDefault="002867C2" w:rsidP="00F612F9">
      <w:r>
        <w:separator/>
      </w:r>
    </w:p>
  </w:footnote>
  <w:footnote w:type="continuationSeparator" w:id="0">
    <w:p w14:paraId="4BB72AEF" w14:textId="77777777" w:rsidR="002867C2" w:rsidRDefault="002867C2" w:rsidP="00F612F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C250F"/>
    <w:multiLevelType w:val="hybridMultilevel"/>
    <w:tmpl w:val="DA28AE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15232E"/>
    <w:multiLevelType w:val="hybridMultilevel"/>
    <w:tmpl w:val="BCE671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20D0361"/>
    <w:multiLevelType w:val="hybridMultilevel"/>
    <w:tmpl w:val="A7A888BA"/>
    <w:lvl w:ilvl="0" w:tplc="AFB8BF2C">
      <w:start w:val="1"/>
      <w:numFmt w:val="bullet"/>
      <w:lvlText w:val="•"/>
      <w:lvlJc w:val="left"/>
      <w:pPr>
        <w:tabs>
          <w:tab w:val="num" w:pos="720"/>
        </w:tabs>
        <w:ind w:left="720" w:hanging="360"/>
      </w:pPr>
      <w:rPr>
        <w:rFonts w:ascii="Arial" w:hAnsi="Arial" w:hint="default"/>
      </w:rPr>
    </w:lvl>
    <w:lvl w:ilvl="1" w:tplc="767CFA78">
      <w:start w:val="30"/>
      <w:numFmt w:val="bullet"/>
      <w:lvlText w:val="•"/>
      <w:lvlJc w:val="left"/>
      <w:pPr>
        <w:tabs>
          <w:tab w:val="num" w:pos="1440"/>
        </w:tabs>
        <w:ind w:left="1440" w:hanging="360"/>
      </w:pPr>
      <w:rPr>
        <w:rFonts w:ascii="Arial" w:hAnsi="Arial" w:hint="default"/>
      </w:rPr>
    </w:lvl>
    <w:lvl w:ilvl="2" w:tplc="8B40B052" w:tentative="1">
      <w:start w:val="1"/>
      <w:numFmt w:val="bullet"/>
      <w:lvlText w:val="•"/>
      <w:lvlJc w:val="left"/>
      <w:pPr>
        <w:tabs>
          <w:tab w:val="num" w:pos="2160"/>
        </w:tabs>
        <w:ind w:left="2160" w:hanging="360"/>
      </w:pPr>
      <w:rPr>
        <w:rFonts w:ascii="Arial" w:hAnsi="Arial" w:hint="default"/>
      </w:rPr>
    </w:lvl>
    <w:lvl w:ilvl="3" w:tplc="D8F271A0" w:tentative="1">
      <w:start w:val="1"/>
      <w:numFmt w:val="bullet"/>
      <w:lvlText w:val="•"/>
      <w:lvlJc w:val="left"/>
      <w:pPr>
        <w:tabs>
          <w:tab w:val="num" w:pos="2880"/>
        </w:tabs>
        <w:ind w:left="2880" w:hanging="360"/>
      </w:pPr>
      <w:rPr>
        <w:rFonts w:ascii="Arial" w:hAnsi="Arial" w:hint="default"/>
      </w:rPr>
    </w:lvl>
    <w:lvl w:ilvl="4" w:tplc="9612C33C" w:tentative="1">
      <w:start w:val="1"/>
      <w:numFmt w:val="bullet"/>
      <w:lvlText w:val="•"/>
      <w:lvlJc w:val="left"/>
      <w:pPr>
        <w:tabs>
          <w:tab w:val="num" w:pos="3600"/>
        </w:tabs>
        <w:ind w:left="3600" w:hanging="360"/>
      </w:pPr>
      <w:rPr>
        <w:rFonts w:ascii="Arial" w:hAnsi="Arial" w:hint="default"/>
      </w:rPr>
    </w:lvl>
    <w:lvl w:ilvl="5" w:tplc="58784FC6" w:tentative="1">
      <w:start w:val="1"/>
      <w:numFmt w:val="bullet"/>
      <w:lvlText w:val="•"/>
      <w:lvlJc w:val="left"/>
      <w:pPr>
        <w:tabs>
          <w:tab w:val="num" w:pos="4320"/>
        </w:tabs>
        <w:ind w:left="4320" w:hanging="360"/>
      </w:pPr>
      <w:rPr>
        <w:rFonts w:ascii="Arial" w:hAnsi="Arial" w:hint="default"/>
      </w:rPr>
    </w:lvl>
    <w:lvl w:ilvl="6" w:tplc="C2F6D69C" w:tentative="1">
      <w:start w:val="1"/>
      <w:numFmt w:val="bullet"/>
      <w:lvlText w:val="•"/>
      <w:lvlJc w:val="left"/>
      <w:pPr>
        <w:tabs>
          <w:tab w:val="num" w:pos="5040"/>
        </w:tabs>
        <w:ind w:left="5040" w:hanging="360"/>
      </w:pPr>
      <w:rPr>
        <w:rFonts w:ascii="Arial" w:hAnsi="Arial" w:hint="default"/>
      </w:rPr>
    </w:lvl>
    <w:lvl w:ilvl="7" w:tplc="954ABC1A" w:tentative="1">
      <w:start w:val="1"/>
      <w:numFmt w:val="bullet"/>
      <w:lvlText w:val="•"/>
      <w:lvlJc w:val="left"/>
      <w:pPr>
        <w:tabs>
          <w:tab w:val="num" w:pos="5760"/>
        </w:tabs>
        <w:ind w:left="5760" w:hanging="360"/>
      </w:pPr>
      <w:rPr>
        <w:rFonts w:ascii="Arial" w:hAnsi="Arial" w:hint="default"/>
      </w:rPr>
    </w:lvl>
    <w:lvl w:ilvl="8" w:tplc="CE12249E" w:tentative="1">
      <w:start w:val="1"/>
      <w:numFmt w:val="bullet"/>
      <w:lvlText w:val="•"/>
      <w:lvlJc w:val="left"/>
      <w:pPr>
        <w:tabs>
          <w:tab w:val="num" w:pos="6480"/>
        </w:tabs>
        <w:ind w:left="6480" w:hanging="360"/>
      </w:pPr>
      <w:rPr>
        <w:rFonts w:ascii="Arial" w:hAnsi="Arial" w:hint="default"/>
      </w:rPr>
    </w:lvl>
  </w:abstractNum>
  <w:abstractNum w:abstractNumId="3">
    <w:nsid w:val="5C404676"/>
    <w:multiLevelType w:val="hybridMultilevel"/>
    <w:tmpl w:val="E69CA022"/>
    <w:lvl w:ilvl="0" w:tplc="D0B8BD88">
      <w:start w:val="1"/>
      <w:numFmt w:val="bullet"/>
      <w:lvlText w:val="•"/>
      <w:lvlJc w:val="left"/>
      <w:pPr>
        <w:tabs>
          <w:tab w:val="num" w:pos="720"/>
        </w:tabs>
        <w:ind w:left="720" w:hanging="360"/>
      </w:pPr>
      <w:rPr>
        <w:rFonts w:ascii="Arial" w:hAnsi="Arial" w:hint="default"/>
      </w:rPr>
    </w:lvl>
    <w:lvl w:ilvl="1" w:tplc="A2C622A4" w:tentative="1">
      <w:start w:val="1"/>
      <w:numFmt w:val="bullet"/>
      <w:lvlText w:val="•"/>
      <w:lvlJc w:val="left"/>
      <w:pPr>
        <w:tabs>
          <w:tab w:val="num" w:pos="1440"/>
        </w:tabs>
        <w:ind w:left="1440" w:hanging="360"/>
      </w:pPr>
      <w:rPr>
        <w:rFonts w:ascii="Arial" w:hAnsi="Arial" w:hint="default"/>
      </w:rPr>
    </w:lvl>
    <w:lvl w:ilvl="2" w:tplc="6F487E92" w:tentative="1">
      <w:start w:val="1"/>
      <w:numFmt w:val="bullet"/>
      <w:lvlText w:val="•"/>
      <w:lvlJc w:val="left"/>
      <w:pPr>
        <w:tabs>
          <w:tab w:val="num" w:pos="2160"/>
        </w:tabs>
        <w:ind w:left="2160" w:hanging="360"/>
      </w:pPr>
      <w:rPr>
        <w:rFonts w:ascii="Arial" w:hAnsi="Arial" w:hint="default"/>
      </w:rPr>
    </w:lvl>
    <w:lvl w:ilvl="3" w:tplc="37CE2570" w:tentative="1">
      <w:start w:val="1"/>
      <w:numFmt w:val="bullet"/>
      <w:lvlText w:val="•"/>
      <w:lvlJc w:val="left"/>
      <w:pPr>
        <w:tabs>
          <w:tab w:val="num" w:pos="2880"/>
        </w:tabs>
        <w:ind w:left="2880" w:hanging="360"/>
      </w:pPr>
      <w:rPr>
        <w:rFonts w:ascii="Arial" w:hAnsi="Arial" w:hint="default"/>
      </w:rPr>
    </w:lvl>
    <w:lvl w:ilvl="4" w:tplc="A5C2799C" w:tentative="1">
      <w:start w:val="1"/>
      <w:numFmt w:val="bullet"/>
      <w:lvlText w:val="•"/>
      <w:lvlJc w:val="left"/>
      <w:pPr>
        <w:tabs>
          <w:tab w:val="num" w:pos="3600"/>
        </w:tabs>
        <w:ind w:left="3600" w:hanging="360"/>
      </w:pPr>
      <w:rPr>
        <w:rFonts w:ascii="Arial" w:hAnsi="Arial" w:hint="default"/>
      </w:rPr>
    </w:lvl>
    <w:lvl w:ilvl="5" w:tplc="B1E090FC" w:tentative="1">
      <w:start w:val="1"/>
      <w:numFmt w:val="bullet"/>
      <w:lvlText w:val="•"/>
      <w:lvlJc w:val="left"/>
      <w:pPr>
        <w:tabs>
          <w:tab w:val="num" w:pos="4320"/>
        </w:tabs>
        <w:ind w:left="4320" w:hanging="360"/>
      </w:pPr>
      <w:rPr>
        <w:rFonts w:ascii="Arial" w:hAnsi="Arial" w:hint="default"/>
      </w:rPr>
    </w:lvl>
    <w:lvl w:ilvl="6" w:tplc="B3BA62CE" w:tentative="1">
      <w:start w:val="1"/>
      <w:numFmt w:val="bullet"/>
      <w:lvlText w:val="•"/>
      <w:lvlJc w:val="left"/>
      <w:pPr>
        <w:tabs>
          <w:tab w:val="num" w:pos="5040"/>
        </w:tabs>
        <w:ind w:left="5040" w:hanging="360"/>
      </w:pPr>
      <w:rPr>
        <w:rFonts w:ascii="Arial" w:hAnsi="Arial" w:hint="default"/>
      </w:rPr>
    </w:lvl>
    <w:lvl w:ilvl="7" w:tplc="D30C02E0" w:tentative="1">
      <w:start w:val="1"/>
      <w:numFmt w:val="bullet"/>
      <w:lvlText w:val="•"/>
      <w:lvlJc w:val="left"/>
      <w:pPr>
        <w:tabs>
          <w:tab w:val="num" w:pos="5760"/>
        </w:tabs>
        <w:ind w:left="5760" w:hanging="360"/>
      </w:pPr>
      <w:rPr>
        <w:rFonts w:ascii="Arial" w:hAnsi="Arial" w:hint="default"/>
      </w:rPr>
    </w:lvl>
    <w:lvl w:ilvl="8" w:tplc="BEEC13C0" w:tentative="1">
      <w:start w:val="1"/>
      <w:numFmt w:val="bullet"/>
      <w:lvlText w:val="•"/>
      <w:lvlJc w:val="left"/>
      <w:pPr>
        <w:tabs>
          <w:tab w:val="num" w:pos="6480"/>
        </w:tabs>
        <w:ind w:left="6480" w:hanging="360"/>
      </w:pPr>
      <w:rPr>
        <w:rFonts w:ascii="Arial" w:hAnsi="Arial" w:hint="default"/>
      </w:rPr>
    </w:lvl>
  </w:abstractNum>
  <w:abstractNum w:abstractNumId="4">
    <w:nsid w:val="653571F8"/>
    <w:multiLevelType w:val="hybridMultilevel"/>
    <w:tmpl w:val="EED4F2EC"/>
    <w:lvl w:ilvl="0" w:tplc="01EC15A2">
      <w:start w:val="1"/>
      <w:numFmt w:val="bullet"/>
      <w:lvlText w:val="•"/>
      <w:lvlJc w:val="left"/>
      <w:pPr>
        <w:tabs>
          <w:tab w:val="num" w:pos="720"/>
        </w:tabs>
        <w:ind w:left="720" w:hanging="360"/>
      </w:pPr>
      <w:rPr>
        <w:rFonts w:ascii="Arial" w:hAnsi="Arial" w:hint="default"/>
      </w:rPr>
    </w:lvl>
    <w:lvl w:ilvl="1" w:tplc="282098C4" w:tentative="1">
      <w:start w:val="1"/>
      <w:numFmt w:val="bullet"/>
      <w:lvlText w:val="•"/>
      <w:lvlJc w:val="left"/>
      <w:pPr>
        <w:tabs>
          <w:tab w:val="num" w:pos="1440"/>
        </w:tabs>
        <w:ind w:left="1440" w:hanging="360"/>
      </w:pPr>
      <w:rPr>
        <w:rFonts w:ascii="Arial" w:hAnsi="Arial" w:hint="default"/>
      </w:rPr>
    </w:lvl>
    <w:lvl w:ilvl="2" w:tplc="16121FFA" w:tentative="1">
      <w:start w:val="1"/>
      <w:numFmt w:val="bullet"/>
      <w:lvlText w:val="•"/>
      <w:lvlJc w:val="left"/>
      <w:pPr>
        <w:tabs>
          <w:tab w:val="num" w:pos="2160"/>
        </w:tabs>
        <w:ind w:left="2160" w:hanging="360"/>
      </w:pPr>
      <w:rPr>
        <w:rFonts w:ascii="Arial" w:hAnsi="Arial" w:hint="default"/>
      </w:rPr>
    </w:lvl>
    <w:lvl w:ilvl="3" w:tplc="438A76DA" w:tentative="1">
      <w:start w:val="1"/>
      <w:numFmt w:val="bullet"/>
      <w:lvlText w:val="•"/>
      <w:lvlJc w:val="left"/>
      <w:pPr>
        <w:tabs>
          <w:tab w:val="num" w:pos="2880"/>
        </w:tabs>
        <w:ind w:left="2880" w:hanging="360"/>
      </w:pPr>
      <w:rPr>
        <w:rFonts w:ascii="Arial" w:hAnsi="Arial" w:hint="default"/>
      </w:rPr>
    </w:lvl>
    <w:lvl w:ilvl="4" w:tplc="1AE2A19C" w:tentative="1">
      <w:start w:val="1"/>
      <w:numFmt w:val="bullet"/>
      <w:lvlText w:val="•"/>
      <w:lvlJc w:val="left"/>
      <w:pPr>
        <w:tabs>
          <w:tab w:val="num" w:pos="3600"/>
        </w:tabs>
        <w:ind w:left="3600" w:hanging="360"/>
      </w:pPr>
      <w:rPr>
        <w:rFonts w:ascii="Arial" w:hAnsi="Arial" w:hint="default"/>
      </w:rPr>
    </w:lvl>
    <w:lvl w:ilvl="5" w:tplc="6C3EDF9C" w:tentative="1">
      <w:start w:val="1"/>
      <w:numFmt w:val="bullet"/>
      <w:lvlText w:val="•"/>
      <w:lvlJc w:val="left"/>
      <w:pPr>
        <w:tabs>
          <w:tab w:val="num" w:pos="4320"/>
        </w:tabs>
        <w:ind w:left="4320" w:hanging="360"/>
      </w:pPr>
      <w:rPr>
        <w:rFonts w:ascii="Arial" w:hAnsi="Arial" w:hint="default"/>
      </w:rPr>
    </w:lvl>
    <w:lvl w:ilvl="6" w:tplc="058C2CA4" w:tentative="1">
      <w:start w:val="1"/>
      <w:numFmt w:val="bullet"/>
      <w:lvlText w:val="•"/>
      <w:lvlJc w:val="left"/>
      <w:pPr>
        <w:tabs>
          <w:tab w:val="num" w:pos="5040"/>
        </w:tabs>
        <w:ind w:left="5040" w:hanging="360"/>
      </w:pPr>
      <w:rPr>
        <w:rFonts w:ascii="Arial" w:hAnsi="Arial" w:hint="default"/>
      </w:rPr>
    </w:lvl>
    <w:lvl w:ilvl="7" w:tplc="160C3596" w:tentative="1">
      <w:start w:val="1"/>
      <w:numFmt w:val="bullet"/>
      <w:lvlText w:val="•"/>
      <w:lvlJc w:val="left"/>
      <w:pPr>
        <w:tabs>
          <w:tab w:val="num" w:pos="5760"/>
        </w:tabs>
        <w:ind w:left="5760" w:hanging="360"/>
      </w:pPr>
      <w:rPr>
        <w:rFonts w:ascii="Arial" w:hAnsi="Arial" w:hint="default"/>
      </w:rPr>
    </w:lvl>
    <w:lvl w:ilvl="8" w:tplc="306879C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54"/>
    <w:rsid w:val="00000B4E"/>
    <w:rsid w:val="00001AF6"/>
    <w:rsid w:val="00002ED8"/>
    <w:rsid w:val="000071DD"/>
    <w:rsid w:val="000073CB"/>
    <w:rsid w:val="00007AD4"/>
    <w:rsid w:val="00012282"/>
    <w:rsid w:val="00013199"/>
    <w:rsid w:val="00013BC2"/>
    <w:rsid w:val="00013FFA"/>
    <w:rsid w:val="000168E2"/>
    <w:rsid w:val="00020C70"/>
    <w:rsid w:val="00022390"/>
    <w:rsid w:val="00024904"/>
    <w:rsid w:val="00030B07"/>
    <w:rsid w:val="00035949"/>
    <w:rsid w:val="00035E4D"/>
    <w:rsid w:val="00036EA8"/>
    <w:rsid w:val="00037170"/>
    <w:rsid w:val="00046122"/>
    <w:rsid w:val="00046A76"/>
    <w:rsid w:val="0005300E"/>
    <w:rsid w:val="00053E48"/>
    <w:rsid w:val="00057CFE"/>
    <w:rsid w:val="00060F79"/>
    <w:rsid w:val="000621C4"/>
    <w:rsid w:val="000634C7"/>
    <w:rsid w:val="00064712"/>
    <w:rsid w:val="00064BA3"/>
    <w:rsid w:val="00064CCE"/>
    <w:rsid w:val="0006733E"/>
    <w:rsid w:val="0007192E"/>
    <w:rsid w:val="00072913"/>
    <w:rsid w:val="00072BFE"/>
    <w:rsid w:val="00073B43"/>
    <w:rsid w:val="00076079"/>
    <w:rsid w:val="000778BD"/>
    <w:rsid w:val="0008358D"/>
    <w:rsid w:val="0008514D"/>
    <w:rsid w:val="00086F8E"/>
    <w:rsid w:val="00087C62"/>
    <w:rsid w:val="00092BA5"/>
    <w:rsid w:val="00093DD9"/>
    <w:rsid w:val="000A1C7F"/>
    <w:rsid w:val="000A2599"/>
    <w:rsid w:val="000A3EB1"/>
    <w:rsid w:val="000B2476"/>
    <w:rsid w:val="000B2C83"/>
    <w:rsid w:val="000B402D"/>
    <w:rsid w:val="000B5B88"/>
    <w:rsid w:val="000C2866"/>
    <w:rsid w:val="000C2C04"/>
    <w:rsid w:val="000C3295"/>
    <w:rsid w:val="000C5064"/>
    <w:rsid w:val="000D0BE8"/>
    <w:rsid w:val="000D1959"/>
    <w:rsid w:val="000D1B85"/>
    <w:rsid w:val="000D40ED"/>
    <w:rsid w:val="000D554B"/>
    <w:rsid w:val="000D5FAF"/>
    <w:rsid w:val="000D674B"/>
    <w:rsid w:val="000D7075"/>
    <w:rsid w:val="000E32B3"/>
    <w:rsid w:val="000E5FF4"/>
    <w:rsid w:val="000E6E26"/>
    <w:rsid w:val="000E7ED4"/>
    <w:rsid w:val="000F0684"/>
    <w:rsid w:val="000F0D91"/>
    <w:rsid w:val="000F1648"/>
    <w:rsid w:val="000F70C8"/>
    <w:rsid w:val="00103321"/>
    <w:rsid w:val="00104AFE"/>
    <w:rsid w:val="00104D07"/>
    <w:rsid w:val="00104DEF"/>
    <w:rsid w:val="0010518E"/>
    <w:rsid w:val="00106DF5"/>
    <w:rsid w:val="00107EA8"/>
    <w:rsid w:val="001118F4"/>
    <w:rsid w:val="001119DA"/>
    <w:rsid w:val="00112165"/>
    <w:rsid w:val="001134C6"/>
    <w:rsid w:val="0011387B"/>
    <w:rsid w:val="001149A8"/>
    <w:rsid w:val="0011679F"/>
    <w:rsid w:val="001176F3"/>
    <w:rsid w:val="00124144"/>
    <w:rsid w:val="001301E4"/>
    <w:rsid w:val="0013061B"/>
    <w:rsid w:val="00131E51"/>
    <w:rsid w:val="001336E7"/>
    <w:rsid w:val="00137C25"/>
    <w:rsid w:val="001433CA"/>
    <w:rsid w:val="0014509B"/>
    <w:rsid w:val="00152A04"/>
    <w:rsid w:val="001557C9"/>
    <w:rsid w:val="001561BE"/>
    <w:rsid w:val="001565A6"/>
    <w:rsid w:val="00156E33"/>
    <w:rsid w:val="00160459"/>
    <w:rsid w:val="00160D16"/>
    <w:rsid w:val="00162FA8"/>
    <w:rsid w:val="00163A0A"/>
    <w:rsid w:val="00165333"/>
    <w:rsid w:val="00165466"/>
    <w:rsid w:val="001655C0"/>
    <w:rsid w:val="00174DF5"/>
    <w:rsid w:val="0017658F"/>
    <w:rsid w:val="00177B5F"/>
    <w:rsid w:val="00180ADA"/>
    <w:rsid w:val="00185410"/>
    <w:rsid w:val="001858E2"/>
    <w:rsid w:val="00194579"/>
    <w:rsid w:val="00195ADE"/>
    <w:rsid w:val="00197B74"/>
    <w:rsid w:val="001A1F19"/>
    <w:rsid w:val="001A6C5F"/>
    <w:rsid w:val="001A747E"/>
    <w:rsid w:val="001B15CA"/>
    <w:rsid w:val="001B2DBC"/>
    <w:rsid w:val="001B3AA0"/>
    <w:rsid w:val="001B7509"/>
    <w:rsid w:val="001C119A"/>
    <w:rsid w:val="001C21F1"/>
    <w:rsid w:val="001C3317"/>
    <w:rsid w:val="001C390F"/>
    <w:rsid w:val="001C762C"/>
    <w:rsid w:val="001D12DB"/>
    <w:rsid w:val="001D2F63"/>
    <w:rsid w:val="001D43D2"/>
    <w:rsid w:val="001D55B4"/>
    <w:rsid w:val="001D5C51"/>
    <w:rsid w:val="001E0CB1"/>
    <w:rsid w:val="001E2041"/>
    <w:rsid w:val="001E2125"/>
    <w:rsid w:val="001E260E"/>
    <w:rsid w:val="001E3CDC"/>
    <w:rsid w:val="001E5467"/>
    <w:rsid w:val="001E5B2C"/>
    <w:rsid w:val="001F099D"/>
    <w:rsid w:val="001F0B07"/>
    <w:rsid w:val="001F1A8D"/>
    <w:rsid w:val="001F334A"/>
    <w:rsid w:val="001F755C"/>
    <w:rsid w:val="001F7CC7"/>
    <w:rsid w:val="00200284"/>
    <w:rsid w:val="0020143D"/>
    <w:rsid w:val="002028B3"/>
    <w:rsid w:val="00204548"/>
    <w:rsid w:val="0020666B"/>
    <w:rsid w:val="0021014F"/>
    <w:rsid w:val="002111FF"/>
    <w:rsid w:val="00211A62"/>
    <w:rsid w:val="00214B99"/>
    <w:rsid w:val="00214E34"/>
    <w:rsid w:val="0021753D"/>
    <w:rsid w:val="002218F9"/>
    <w:rsid w:val="00221967"/>
    <w:rsid w:val="00222C9F"/>
    <w:rsid w:val="00224AF2"/>
    <w:rsid w:val="002267A4"/>
    <w:rsid w:val="002274CC"/>
    <w:rsid w:val="0023187D"/>
    <w:rsid w:val="00232B86"/>
    <w:rsid w:val="00234A89"/>
    <w:rsid w:val="00235371"/>
    <w:rsid w:val="002365AB"/>
    <w:rsid w:val="00240839"/>
    <w:rsid w:val="00241394"/>
    <w:rsid w:val="00243075"/>
    <w:rsid w:val="00243D4B"/>
    <w:rsid w:val="00244238"/>
    <w:rsid w:val="00250ED3"/>
    <w:rsid w:val="0025522E"/>
    <w:rsid w:val="00255D59"/>
    <w:rsid w:val="00257350"/>
    <w:rsid w:val="00262ABE"/>
    <w:rsid w:val="00264702"/>
    <w:rsid w:val="002653B5"/>
    <w:rsid w:val="002700DF"/>
    <w:rsid w:val="002701A5"/>
    <w:rsid w:val="00270A77"/>
    <w:rsid w:val="00271490"/>
    <w:rsid w:val="00272CC2"/>
    <w:rsid w:val="00273295"/>
    <w:rsid w:val="00276003"/>
    <w:rsid w:val="0027761E"/>
    <w:rsid w:val="00285A8D"/>
    <w:rsid w:val="002867C2"/>
    <w:rsid w:val="00287A24"/>
    <w:rsid w:val="00290E79"/>
    <w:rsid w:val="00292E4B"/>
    <w:rsid w:val="00295135"/>
    <w:rsid w:val="002952DD"/>
    <w:rsid w:val="00295E4C"/>
    <w:rsid w:val="00296836"/>
    <w:rsid w:val="002979B5"/>
    <w:rsid w:val="002A144A"/>
    <w:rsid w:val="002A16B1"/>
    <w:rsid w:val="002A41F0"/>
    <w:rsid w:val="002A61E9"/>
    <w:rsid w:val="002A6B91"/>
    <w:rsid w:val="002A7F4A"/>
    <w:rsid w:val="002B139B"/>
    <w:rsid w:val="002B3269"/>
    <w:rsid w:val="002B379C"/>
    <w:rsid w:val="002B5EEE"/>
    <w:rsid w:val="002B681C"/>
    <w:rsid w:val="002B68CF"/>
    <w:rsid w:val="002B79ED"/>
    <w:rsid w:val="002B7A50"/>
    <w:rsid w:val="002C37D9"/>
    <w:rsid w:val="002D230E"/>
    <w:rsid w:val="002D2753"/>
    <w:rsid w:val="002D4626"/>
    <w:rsid w:val="002D5864"/>
    <w:rsid w:val="002E0C75"/>
    <w:rsid w:val="002E581A"/>
    <w:rsid w:val="002E6019"/>
    <w:rsid w:val="002E6FE0"/>
    <w:rsid w:val="002E731E"/>
    <w:rsid w:val="002E7420"/>
    <w:rsid w:val="002E7A24"/>
    <w:rsid w:val="002E7FD7"/>
    <w:rsid w:val="002F135F"/>
    <w:rsid w:val="002F61E7"/>
    <w:rsid w:val="00300BDB"/>
    <w:rsid w:val="00302615"/>
    <w:rsid w:val="00302BE8"/>
    <w:rsid w:val="00311B8D"/>
    <w:rsid w:val="003121BD"/>
    <w:rsid w:val="00314462"/>
    <w:rsid w:val="00314EFA"/>
    <w:rsid w:val="00316D65"/>
    <w:rsid w:val="00316FDE"/>
    <w:rsid w:val="00320545"/>
    <w:rsid w:val="00322DDD"/>
    <w:rsid w:val="003253C7"/>
    <w:rsid w:val="00330AB9"/>
    <w:rsid w:val="00332817"/>
    <w:rsid w:val="00335082"/>
    <w:rsid w:val="00336EA3"/>
    <w:rsid w:val="003372E7"/>
    <w:rsid w:val="003444ED"/>
    <w:rsid w:val="003452CE"/>
    <w:rsid w:val="00346533"/>
    <w:rsid w:val="00351309"/>
    <w:rsid w:val="00352248"/>
    <w:rsid w:val="00353F84"/>
    <w:rsid w:val="00355853"/>
    <w:rsid w:val="00355A12"/>
    <w:rsid w:val="003561A7"/>
    <w:rsid w:val="00362C34"/>
    <w:rsid w:val="003636B1"/>
    <w:rsid w:val="00370072"/>
    <w:rsid w:val="003708A0"/>
    <w:rsid w:val="00372A56"/>
    <w:rsid w:val="00372FE0"/>
    <w:rsid w:val="003757C9"/>
    <w:rsid w:val="0037646F"/>
    <w:rsid w:val="00376CDE"/>
    <w:rsid w:val="0037752E"/>
    <w:rsid w:val="00377C81"/>
    <w:rsid w:val="00380FBC"/>
    <w:rsid w:val="003824D7"/>
    <w:rsid w:val="003824FD"/>
    <w:rsid w:val="003828F7"/>
    <w:rsid w:val="00383E6A"/>
    <w:rsid w:val="00384B5B"/>
    <w:rsid w:val="0038750B"/>
    <w:rsid w:val="0038791F"/>
    <w:rsid w:val="00390F65"/>
    <w:rsid w:val="00393BF9"/>
    <w:rsid w:val="00394086"/>
    <w:rsid w:val="0039426C"/>
    <w:rsid w:val="003A15C8"/>
    <w:rsid w:val="003A386B"/>
    <w:rsid w:val="003A6724"/>
    <w:rsid w:val="003A6D92"/>
    <w:rsid w:val="003B0200"/>
    <w:rsid w:val="003B0683"/>
    <w:rsid w:val="003B0ED6"/>
    <w:rsid w:val="003B595D"/>
    <w:rsid w:val="003B673D"/>
    <w:rsid w:val="003C0A60"/>
    <w:rsid w:val="003C297B"/>
    <w:rsid w:val="003C4B16"/>
    <w:rsid w:val="003C6155"/>
    <w:rsid w:val="003C67A6"/>
    <w:rsid w:val="003C7883"/>
    <w:rsid w:val="003D0959"/>
    <w:rsid w:val="003D1F69"/>
    <w:rsid w:val="003D3B92"/>
    <w:rsid w:val="003D3CDB"/>
    <w:rsid w:val="003D3EB3"/>
    <w:rsid w:val="003E01CC"/>
    <w:rsid w:val="003E03EF"/>
    <w:rsid w:val="003E13FA"/>
    <w:rsid w:val="003E22C3"/>
    <w:rsid w:val="003E5FF7"/>
    <w:rsid w:val="003F0DD8"/>
    <w:rsid w:val="003F21C3"/>
    <w:rsid w:val="003F2429"/>
    <w:rsid w:val="003F298B"/>
    <w:rsid w:val="003F3C26"/>
    <w:rsid w:val="003F40D9"/>
    <w:rsid w:val="003F4254"/>
    <w:rsid w:val="003F51DD"/>
    <w:rsid w:val="003F5594"/>
    <w:rsid w:val="0040270D"/>
    <w:rsid w:val="00402B48"/>
    <w:rsid w:val="004044CF"/>
    <w:rsid w:val="00406713"/>
    <w:rsid w:val="00407A86"/>
    <w:rsid w:val="00407D20"/>
    <w:rsid w:val="00411076"/>
    <w:rsid w:val="004141FF"/>
    <w:rsid w:val="00414C66"/>
    <w:rsid w:val="0041524F"/>
    <w:rsid w:val="00422554"/>
    <w:rsid w:val="00423677"/>
    <w:rsid w:val="00423D19"/>
    <w:rsid w:val="00423DF6"/>
    <w:rsid w:val="004308AF"/>
    <w:rsid w:val="00431E98"/>
    <w:rsid w:val="0043230A"/>
    <w:rsid w:val="00432B99"/>
    <w:rsid w:val="00433AFB"/>
    <w:rsid w:val="00437F9E"/>
    <w:rsid w:val="00440421"/>
    <w:rsid w:val="004414EE"/>
    <w:rsid w:val="00441C5F"/>
    <w:rsid w:val="00446F5C"/>
    <w:rsid w:val="0045147F"/>
    <w:rsid w:val="00451BC4"/>
    <w:rsid w:val="00452FBB"/>
    <w:rsid w:val="00453490"/>
    <w:rsid w:val="004546AF"/>
    <w:rsid w:val="00454BEF"/>
    <w:rsid w:val="00455161"/>
    <w:rsid w:val="00457DFB"/>
    <w:rsid w:val="004603B2"/>
    <w:rsid w:val="00460C5E"/>
    <w:rsid w:val="0046100E"/>
    <w:rsid w:val="00462E2D"/>
    <w:rsid w:val="00467694"/>
    <w:rsid w:val="00467DB5"/>
    <w:rsid w:val="00471ADE"/>
    <w:rsid w:val="00471F0B"/>
    <w:rsid w:val="00472291"/>
    <w:rsid w:val="00473262"/>
    <w:rsid w:val="004736E2"/>
    <w:rsid w:val="0047431C"/>
    <w:rsid w:val="00475B77"/>
    <w:rsid w:val="00475C32"/>
    <w:rsid w:val="00476669"/>
    <w:rsid w:val="004814AF"/>
    <w:rsid w:val="00481D3E"/>
    <w:rsid w:val="00481E88"/>
    <w:rsid w:val="004852BE"/>
    <w:rsid w:val="004864FF"/>
    <w:rsid w:val="00487710"/>
    <w:rsid w:val="00492326"/>
    <w:rsid w:val="004960AA"/>
    <w:rsid w:val="0049637E"/>
    <w:rsid w:val="00496BA3"/>
    <w:rsid w:val="004A0291"/>
    <w:rsid w:val="004A1080"/>
    <w:rsid w:val="004A127F"/>
    <w:rsid w:val="004A16B4"/>
    <w:rsid w:val="004A2F3C"/>
    <w:rsid w:val="004A4114"/>
    <w:rsid w:val="004B055E"/>
    <w:rsid w:val="004B0C8E"/>
    <w:rsid w:val="004B27EA"/>
    <w:rsid w:val="004B3A65"/>
    <w:rsid w:val="004B3F2E"/>
    <w:rsid w:val="004B4C55"/>
    <w:rsid w:val="004B5D2F"/>
    <w:rsid w:val="004B6EDA"/>
    <w:rsid w:val="004C0BBF"/>
    <w:rsid w:val="004C51A5"/>
    <w:rsid w:val="004C5A9D"/>
    <w:rsid w:val="004C65D8"/>
    <w:rsid w:val="004D57A2"/>
    <w:rsid w:val="004D5DC2"/>
    <w:rsid w:val="004D6A6D"/>
    <w:rsid w:val="004D7FCE"/>
    <w:rsid w:val="004E12EB"/>
    <w:rsid w:val="004E17BF"/>
    <w:rsid w:val="004E6C75"/>
    <w:rsid w:val="004E7E01"/>
    <w:rsid w:val="004F0F86"/>
    <w:rsid w:val="004F2269"/>
    <w:rsid w:val="004F4F0A"/>
    <w:rsid w:val="004F66E1"/>
    <w:rsid w:val="005008C1"/>
    <w:rsid w:val="00502090"/>
    <w:rsid w:val="00503228"/>
    <w:rsid w:val="0050665A"/>
    <w:rsid w:val="00506FA8"/>
    <w:rsid w:val="00512688"/>
    <w:rsid w:val="00512FD9"/>
    <w:rsid w:val="00513A24"/>
    <w:rsid w:val="00514715"/>
    <w:rsid w:val="00515555"/>
    <w:rsid w:val="005163A0"/>
    <w:rsid w:val="005164DA"/>
    <w:rsid w:val="00523D80"/>
    <w:rsid w:val="00524D55"/>
    <w:rsid w:val="00531C39"/>
    <w:rsid w:val="00533B87"/>
    <w:rsid w:val="005344A2"/>
    <w:rsid w:val="00534519"/>
    <w:rsid w:val="00535F6E"/>
    <w:rsid w:val="00537CB5"/>
    <w:rsid w:val="00540A0B"/>
    <w:rsid w:val="005416D4"/>
    <w:rsid w:val="00543004"/>
    <w:rsid w:val="005449A4"/>
    <w:rsid w:val="0055061A"/>
    <w:rsid w:val="005514C3"/>
    <w:rsid w:val="00552F65"/>
    <w:rsid w:val="00553377"/>
    <w:rsid w:val="00553AAF"/>
    <w:rsid w:val="005608BF"/>
    <w:rsid w:val="0056100F"/>
    <w:rsid w:val="005614B8"/>
    <w:rsid w:val="00563260"/>
    <w:rsid w:val="005636C2"/>
    <w:rsid w:val="005652B7"/>
    <w:rsid w:val="005672B0"/>
    <w:rsid w:val="0057031A"/>
    <w:rsid w:val="00570B0B"/>
    <w:rsid w:val="00571035"/>
    <w:rsid w:val="00571CAE"/>
    <w:rsid w:val="00580CFE"/>
    <w:rsid w:val="005813FE"/>
    <w:rsid w:val="00581716"/>
    <w:rsid w:val="005832CE"/>
    <w:rsid w:val="005834C9"/>
    <w:rsid w:val="00585BBC"/>
    <w:rsid w:val="00586A62"/>
    <w:rsid w:val="0059035E"/>
    <w:rsid w:val="005904A8"/>
    <w:rsid w:val="00591396"/>
    <w:rsid w:val="005915BE"/>
    <w:rsid w:val="005945A6"/>
    <w:rsid w:val="005970A9"/>
    <w:rsid w:val="005A13C4"/>
    <w:rsid w:val="005A2735"/>
    <w:rsid w:val="005A72BE"/>
    <w:rsid w:val="005A77A0"/>
    <w:rsid w:val="005B018F"/>
    <w:rsid w:val="005B1064"/>
    <w:rsid w:val="005B1DD1"/>
    <w:rsid w:val="005B46FC"/>
    <w:rsid w:val="005B551D"/>
    <w:rsid w:val="005B6059"/>
    <w:rsid w:val="005B6BB6"/>
    <w:rsid w:val="005C68DE"/>
    <w:rsid w:val="005D5489"/>
    <w:rsid w:val="005D5B77"/>
    <w:rsid w:val="005E1082"/>
    <w:rsid w:val="005E4202"/>
    <w:rsid w:val="005E59F0"/>
    <w:rsid w:val="005F11D2"/>
    <w:rsid w:val="005F3564"/>
    <w:rsid w:val="005F4167"/>
    <w:rsid w:val="005F4BE7"/>
    <w:rsid w:val="005F4D68"/>
    <w:rsid w:val="005F57AE"/>
    <w:rsid w:val="005F7E14"/>
    <w:rsid w:val="00600244"/>
    <w:rsid w:val="00600992"/>
    <w:rsid w:val="00601B84"/>
    <w:rsid w:val="00602C89"/>
    <w:rsid w:val="00604564"/>
    <w:rsid w:val="00605572"/>
    <w:rsid w:val="00605721"/>
    <w:rsid w:val="00605AC4"/>
    <w:rsid w:val="006068AC"/>
    <w:rsid w:val="00606D54"/>
    <w:rsid w:val="0060762F"/>
    <w:rsid w:val="006127D5"/>
    <w:rsid w:val="00613D32"/>
    <w:rsid w:val="0061405D"/>
    <w:rsid w:val="00614887"/>
    <w:rsid w:val="00614C73"/>
    <w:rsid w:val="00616559"/>
    <w:rsid w:val="006172B4"/>
    <w:rsid w:val="00617804"/>
    <w:rsid w:val="00620D7C"/>
    <w:rsid w:val="00621E8C"/>
    <w:rsid w:val="00623014"/>
    <w:rsid w:val="006264FD"/>
    <w:rsid w:val="00627C91"/>
    <w:rsid w:val="00630B59"/>
    <w:rsid w:val="006344D6"/>
    <w:rsid w:val="006347AF"/>
    <w:rsid w:val="00634FD7"/>
    <w:rsid w:val="006350EE"/>
    <w:rsid w:val="00642FFE"/>
    <w:rsid w:val="0064508D"/>
    <w:rsid w:val="00645340"/>
    <w:rsid w:val="00645FBB"/>
    <w:rsid w:val="006500B4"/>
    <w:rsid w:val="00650121"/>
    <w:rsid w:val="00650BC6"/>
    <w:rsid w:val="00654DD5"/>
    <w:rsid w:val="0065635D"/>
    <w:rsid w:val="00657D5A"/>
    <w:rsid w:val="00660CAE"/>
    <w:rsid w:val="006641D1"/>
    <w:rsid w:val="00667FFC"/>
    <w:rsid w:val="00670EF9"/>
    <w:rsid w:val="00671DB5"/>
    <w:rsid w:val="00674255"/>
    <w:rsid w:val="006771F5"/>
    <w:rsid w:val="00681F57"/>
    <w:rsid w:val="00682102"/>
    <w:rsid w:val="0068378A"/>
    <w:rsid w:val="006842C2"/>
    <w:rsid w:val="00684F74"/>
    <w:rsid w:val="00695479"/>
    <w:rsid w:val="00696465"/>
    <w:rsid w:val="00696678"/>
    <w:rsid w:val="006A0778"/>
    <w:rsid w:val="006A5087"/>
    <w:rsid w:val="006A5820"/>
    <w:rsid w:val="006A6361"/>
    <w:rsid w:val="006A6E4D"/>
    <w:rsid w:val="006B0CE6"/>
    <w:rsid w:val="006B1B70"/>
    <w:rsid w:val="006B2BEE"/>
    <w:rsid w:val="006B6B21"/>
    <w:rsid w:val="006C0572"/>
    <w:rsid w:val="006C09F9"/>
    <w:rsid w:val="006C232C"/>
    <w:rsid w:val="006C3FBB"/>
    <w:rsid w:val="006C4942"/>
    <w:rsid w:val="006C4C93"/>
    <w:rsid w:val="006C51C5"/>
    <w:rsid w:val="006C6378"/>
    <w:rsid w:val="006C7C10"/>
    <w:rsid w:val="006D4577"/>
    <w:rsid w:val="006D636E"/>
    <w:rsid w:val="006D6598"/>
    <w:rsid w:val="006D7435"/>
    <w:rsid w:val="006D7B97"/>
    <w:rsid w:val="006E15A9"/>
    <w:rsid w:val="006E16EC"/>
    <w:rsid w:val="006E2262"/>
    <w:rsid w:val="006E2D15"/>
    <w:rsid w:val="006E395F"/>
    <w:rsid w:val="006E6DA4"/>
    <w:rsid w:val="006F5874"/>
    <w:rsid w:val="007005E6"/>
    <w:rsid w:val="00701257"/>
    <w:rsid w:val="007019B8"/>
    <w:rsid w:val="00701A17"/>
    <w:rsid w:val="00702CF9"/>
    <w:rsid w:val="007056CD"/>
    <w:rsid w:val="0070632A"/>
    <w:rsid w:val="00706BB8"/>
    <w:rsid w:val="007101A5"/>
    <w:rsid w:val="00711E67"/>
    <w:rsid w:val="00713CE9"/>
    <w:rsid w:val="007157AA"/>
    <w:rsid w:val="0071752E"/>
    <w:rsid w:val="00721C71"/>
    <w:rsid w:val="007227D2"/>
    <w:rsid w:val="00724076"/>
    <w:rsid w:val="007263A2"/>
    <w:rsid w:val="00727AAE"/>
    <w:rsid w:val="007304CD"/>
    <w:rsid w:val="007330A1"/>
    <w:rsid w:val="00735D41"/>
    <w:rsid w:val="007377C7"/>
    <w:rsid w:val="007400EF"/>
    <w:rsid w:val="007423A9"/>
    <w:rsid w:val="00742A8B"/>
    <w:rsid w:val="00747288"/>
    <w:rsid w:val="007476A3"/>
    <w:rsid w:val="00752449"/>
    <w:rsid w:val="00753534"/>
    <w:rsid w:val="00757E86"/>
    <w:rsid w:val="00760188"/>
    <w:rsid w:val="00764CFF"/>
    <w:rsid w:val="0076508B"/>
    <w:rsid w:val="00770451"/>
    <w:rsid w:val="00770BD5"/>
    <w:rsid w:val="00770D85"/>
    <w:rsid w:val="007724F2"/>
    <w:rsid w:val="007740A8"/>
    <w:rsid w:val="007740F5"/>
    <w:rsid w:val="00774393"/>
    <w:rsid w:val="00774C3F"/>
    <w:rsid w:val="00775221"/>
    <w:rsid w:val="00775584"/>
    <w:rsid w:val="00776E54"/>
    <w:rsid w:val="0077764F"/>
    <w:rsid w:val="007809A2"/>
    <w:rsid w:val="007831F1"/>
    <w:rsid w:val="00784CB5"/>
    <w:rsid w:val="00786593"/>
    <w:rsid w:val="007865EE"/>
    <w:rsid w:val="00787656"/>
    <w:rsid w:val="007876BE"/>
    <w:rsid w:val="00792851"/>
    <w:rsid w:val="00793721"/>
    <w:rsid w:val="00793AF6"/>
    <w:rsid w:val="007A0BDC"/>
    <w:rsid w:val="007A3436"/>
    <w:rsid w:val="007A34EB"/>
    <w:rsid w:val="007A5CE6"/>
    <w:rsid w:val="007A5FDD"/>
    <w:rsid w:val="007A66ED"/>
    <w:rsid w:val="007A6A9B"/>
    <w:rsid w:val="007A7FBB"/>
    <w:rsid w:val="007B0BED"/>
    <w:rsid w:val="007B104F"/>
    <w:rsid w:val="007B1FD4"/>
    <w:rsid w:val="007B2CFB"/>
    <w:rsid w:val="007B6A32"/>
    <w:rsid w:val="007B6DAF"/>
    <w:rsid w:val="007C2BCE"/>
    <w:rsid w:val="007C5073"/>
    <w:rsid w:val="007C64DB"/>
    <w:rsid w:val="007C7A0F"/>
    <w:rsid w:val="007D13E2"/>
    <w:rsid w:val="007D1E55"/>
    <w:rsid w:val="007D299B"/>
    <w:rsid w:val="007D5EB0"/>
    <w:rsid w:val="007D70D1"/>
    <w:rsid w:val="007E0230"/>
    <w:rsid w:val="007E1F13"/>
    <w:rsid w:val="007E486B"/>
    <w:rsid w:val="007E5186"/>
    <w:rsid w:val="007F0392"/>
    <w:rsid w:val="007F0D90"/>
    <w:rsid w:val="007F50D8"/>
    <w:rsid w:val="008021AD"/>
    <w:rsid w:val="00804220"/>
    <w:rsid w:val="00807AEE"/>
    <w:rsid w:val="00813674"/>
    <w:rsid w:val="00813E4C"/>
    <w:rsid w:val="00822BB1"/>
    <w:rsid w:val="00822CC1"/>
    <w:rsid w:val="00827DBF"/>
    <w:rsid w:val="008323FE"/>
    <w:rsid w:val="00832696"/>
    <w:rsid w:val="00833AD7"/>
    <w:rsid w:val="008375C4"/>
    <w:rsid w:val="00840191"/>
    <w:rsid w:val="008407A6"/>
    <w:rsid w:val="0084394B"/>
    <w:rsid w:val="00844DCD"/>
    <w:rsid w:val="00845F4D"/>
    <w:rsid w:val="008549A0"/>
    <w:rsid w:val="00855742"/>
    <w:rsid w:val="008558BB"/>
    <w:rsid w:val="00856C71"/>
    <w:rsid w:val="00857178"/>
    <w:rsid w:val="008620FD"/>
    <w:rsid w:val="00863AFA"/>
    <w:rsid w:val="0086679B"/>
    <w:rsid w:val="00867060"/>
    <w:rsid w:val="00867652"/>
    <w:rsid w:val="00871F3F"/>
    <w:rsid w:val="00873167"/>
    <w:rsid w:val="00874F36"/>
    <w:rsid w:val="008756ED"/>
    <w:rsid w:val="00875DF9"/>
    <w:rsid w:val="008766D2"/>
    <w:rsid w:val="00876E3B"/>
    <w:rsid w:val="00877416"/>
    <w:rsid w:val="00877FE2"/>
    <w:rsid w:val="00881D4C"/>
    <w:rsid w:val="00882124"/>
    <w:rsid w:val="0088266F"/>
    <w:rsid w:val="0088620F"/>
    <w:rsid w:val="00887CCC"/>
    <w:rsid w:val="008900A5"/>
    <w:rsid w:val="00892519"/>
    <w:rsid w:val="00892A0D"/>
    <w:rsid w:val="00893E67"/>
    <w:rsid w:val="00894AFF"/>
    <w:rsid w:val="008954D5"/>
    <w:rsid w:val="00896966"/>
    <w:rsid w:val="008A0A5D"/>
    <w:rsid w:val="008A2AE6"/>
    <w:rsid w:val="008A5B0D"/>
    <w:rsid w:val="008A6F39"/>
    <w:rsid w:val="008A7CAF"/>
    <w:rsid w:val="008B010C"/>
    <w:rsid w:val="008B0DDE"/>
    <w:rsid w:val="008B0E4F"/>
    <w:rsid w:val="008B2CD6"/>
    <w:rsid w:val="008B4783"/>
    <w:rsid w:val="008B7228"/>
    <w:rsid w:val="008C0256"/>
    <w:rsid w:val="008C11AA"/>
    <w:rsid w:val="008C1D77"/>
    <w:rsid w:val="008C31DE"/>
    <w:rsid w:val="008C5FAD"/>
    <w:rsid w:val="008C7E2E"/>
    <w:rsid w:val="008D035F"/>
    <w:rsid w:val="008D151B"/>
    <w:rsid w:val="008D2CBF"/>
    <w:rsid w:val="008D46EF"/>
    <w:rsid w:val="008D641D"/>
    <w:rsid w:val="008D7417"/>
    <w:rsid w:val="008D7913"/>
    <w:rsid w:val="008E03D4"/>
    <w:rsid w:val="008E05ED"/>
    <w:rsid w:val="008E2C58"/>
    <w:rsid w:val="008E2E83"/>
    <w:rsid w:val="008E38F6"/>
    <w:rsid w:val="008E50BF"/>
    <w:rsid w:val="008F241C"/>
    <w:rsid w:val="008F3490"/>
    <w:rsid w:val="008F4CE9"/>
    <w:rsid w:val="008F4D72"/>
    <w:rsid w:val="008F51E3"/>
    <w:rsid w:val="00900154"/>
    <w:rsid w:val="00900EC0"/>
    <w:rsid w:val="0090144F"/>
    <w:rsid w:val="00901FC5"/>
    <w:rsid w:val="00902B4A"/>
    <w:rsid w:val="009042C5"/>
    <w:rsid w:val="00913373"/>
    <w:rsid w:val="00914C8F"/>
    <w:rsid w:val="009167AA"/>
    <w:rsid w:val="009170B9"/>
    <w:rsid w:val="00920CE4"/>
    <w:rsid w:val="00922476"/>
    <w:rsid w:val="00930FBA"/>
    <w:rsid w:val="00931F0A"/>
    <w:rsid w:val="009335F4"/>
    <w:rsid w:val="00944F02"/>
    <w:rsid w:val="009466C7"/>
    <w:rsid w:val="00950854"/>
    <w:rsid w:val="009522DE"/>
    <w:rsid w:val="0095317A"/>
    <w:rsid w:val="00955FAE"/>
    <w:rsid w:val="00956BDB"/>
    <w:rsid w:val="0096019F"/>
    <w:rsid w:val="0096765E"/>
    <w:rsid w:val="00967A7C"/>
    <w:rsid w:val="00970858"/>
    <w:rsid w:val="00971989"/>
    <w:rsid w:val="00973278"/>
    <w:rsid w:val="00974147"/>
    <w:rsid w:val="00974B91"/>
    <w:rsid w:val="009763CF"/>
    <w:rsid w:val="00976B07"/>
    <w:rsid w:val="00977470"/>
    <w:rsid w:val="00980893"/>
    <w:rsid w:val="00985F19"/>
    <w:rsid w:val="0098669F"/>
    <w:rsid w:val="00986D83"/>
    <w:rsid w:val="0099118B"/>
    <w:rsid w:val="00992081"/>
    <w:rsid w:val="00992163"/>
    <w:rsid w:val="009924BD"/>
    <w:rsid w:val="009929B5"/>
    <w:rsid w:val="00993664"/>
    <w:rsid w:val="00993A3D"/>
    <w:rsid w:val="009940BC"/>
    <w:rsid w:val="009958DE"/>
    <w:rsid w:val="00996478"/>
    <w:rsid w:val="00996E3D"/>
    <w:rsid w:val="009A18CF"/>
    <w:rsid w:val="009A4E92"/>
    <w:rsid w:val="009A516F"/>
    <w:rsid w:val="009A6CAE"/>
    <w:rsid w:val="009B0790"/>
    <w:rsid w:val="009B1DB3"/>
    <w:rsid w:val="009B384C"/>
    <w:rsid w:val="009B3A0B"/>
    <w:rsid w:val="009B3BAD"/>
    <w:rsid w:val="009B4590"/>
    <w:rsid w:val="009B5386"/>
    <w:rsid w:val="009B58B0"/>
    <w:rsid w:val="009B7061"/>
    <w:rsid w:val="009B736D"/>
    <w:rsid w:val="009C168C"/>
    <w:rsid w:val="009C2DAE"/>
    <w:rsid w:val="009C530B"/>
    <w:rsid w:val="009C73AD"/>
    <w:rsid w:val="009C7AD3"/>
    <w:rsid w:val="009D010B"/>
    <w:rsid w:val="009D0C77"/>
    <w:rsid w:val="009D28CA"/>
    <w:rsid w:val="009D2A70"/>
    <w:rsid w:val="009D2E25"/>
    <w:rsid w:val="009D75EC"/>
    <w:rsid w:val="009D75F1"/>
    <w:rsid w:val="009E1546"/>
    <w:rsid w:val="009E58F3"/>
    <w:rsid w:val="009E689E"/>
    <w:rsid w:val="009E6D16"/>
    <w:rsid w:val="009F05EF"/>
    <w:rsid w:val="009F081A"/>
    <w:rsid w:val="009F1B93"/>
    <w:rsid w:val="009F1EC0"/>
    <w:rsid w:val="009F231C"/>
    <w:rsid w:val="009F2D69"/>
    <w:rsid w:val="009F555C"/>
    <w:rsid w:val="009F6AA8"/>
    <w:rsid w:val="00A00243"/>
    <w:rsid w:val="00A0033B"/>
    <w:rsid w:val="00A0278F"/>
    <w:rsid w:val="00A03368"/>
    <w:rsid w:val="00A04B38"/>
    <w:rsid w:val="00A0781C"/>
    <w:rsid w:val="00A07A92"/>
    <w:rsid w:val="00A07F16"/>
    <w:rsid w:val="00A10CE9"/>
    <w:rsid w:val="00A125A3"/>
    <w:rsid w:val="00A1747E"/>
    <w:rsid w:val="00A20968"/>
    <w:rsid w:val="00A20D60"/>
    <w:rsid w:val="00A22345"/>
    <w:rsid w:val="00A25A0F"/>
    <w:rsid w:val="00A2764E"/>
    <w:rsid w:val="00A36029"/>
    <w:rsid w:val="00A4058C"/>
    <w:rsid w:val="00A41312"/>
    <w:rsid w:val="00A4136C"/>
    <w:rsid w:val="00A423ED"/>
    <w:rsid w:val="00A42C91"/>
    <w:rsid w:val="00A4481B"/>
    <w:rsid w:val="00A44FD3"/>
    <w:rsid w:val="00A46986"/>
    <w:rsid w:val="00A47BEC"/>
    <w:rsid w:val="00A5646C"/>
    <w:rsid w:val="00A62355"/>
    <w:rsid w:val="00A62EF1"/>
    <w:rsid w:val="00A65EAF"/>
    <w:rsid w:val="00A67A31"/>
    <w:rsid w:val="00A67F29"/>
    <w:rsid w:val="00A735D5"/>
    <w:rsid w:val="00A735FB"/>
    <w:rsid w:val="00A74121"/>
    <w:rsid w:val="00A77282"/>
    <w:rsid w:val="00A81C80"/>
    <w:rsid w:val="00A8348D"/>
    <w:rsid w:val="00A84210"/>
    <w:rsid w:val="00A85083"/>
    <w:rsid w:val="00A852FB"/>
    <w:rsid w:val="00A85B3E"/>
    <w:rsid w:val="00A864F7"/>
    <w:rsid w:val="00A86F76"/>
    <w:rsid w:val="00A93BB3"/>
    <w:rsid w:val="00A94827"/>
    <w:rsid w:val="00A9769E"/>
    <w:rsid w:val="00AA119E"/>
    <w:rsid w:val="00AA240C"/>
    <w:rsid w:val="00AA34DD"/>
    <w:rsid w:val="00AA3AEB"/>
    <w:rsid w:val="00AA451C"/>
    <w:rsid w:val="00AA4698"/>
    <w:rsid w:val="00AA6E83"/>
    <w:rsid w:val="00AB055A"/>
    <w:rsid w:val="00AB1151"/>
    <w:rsid w:val="00AB19B7"/>
    <w:rsid w:val="00AB296C"/>
    <w:rsid w:val="00AB41F2"/>
    <w:rsid w:val="00AB44FC"/>
    <w:rsid w:val="00AB59AF"/>
    <w:rsid w:val="00AC0402"/>
    <w:rsid w:val="00AC0876"/>
    <w:rsid w:val="00AC5FB2"/>
    <w:rsid w:val="00AC65C3"/>
    <w:rsid w:val="00AD16DB"/>
    <w:rsid w:val="00AD2841"/>
    <w:rsid w:val="00AD3537"/>
    <w:rsid w:val="00AD36F2"/>
    <w:rsid w:val="00AD5224"/>
    <w:rsid w:val="00AD64A6"/>
    <w:rsid w:val="00AD7DBA"/>
    <w:rsid w:val="00AD7F9C"/>
    <w:rsid w:val="00AE010D"/>
    <w:rsid w:val="00AE0E93"/>
    <w:rsid w:val="00AE1726"/>
    <w:rsid w:val="00AE1A7C"/>
    <w:rsid w:val="00AE2C32"/>
    <w:rsid w:val="00AE748C"/>
    <w:rsid w:val="00AE7C5C"/>
    <w:rsid w:val="00AF1903"/>
    <w:rsid w:val="00AF214E"/>
    <w:rsid w:val="00AF25E6"/>
    <w:rsid w:val="00AF2B02"/>
    <w:rsid w:val="00AF3831"/>
    <w:rsid w:val="00AF4B4C"/>
    <w:rsid w:val="00AF4B59"/>
    <w:rsid w:val="00AF5556"/>
    <w:rsid w:val="00AF74CC"/>
    <w:rsid w:val="00B02376"/>
    <w:rsid w:val="00B02479"/>
    <w:rsid w:val="00B033A8"/>
    <w:rsid w:val="00B06AB6"/>
    <w:rsid w:val="00B06E03"/>
    <w:rsid w:val="00B071A2"/>
    <w:rsid w:val="00B07922"/>
    <w:rsid w:val="00B07F1F"/>
    <w:rsid w:val="00B10656"/>
    <w:rsid w:val="00B176DD"/>
    <w:rsid w:val="00B17F63"/>
    <w:rsid w:val="00B2004B"/>
    <w:rsid w:val="00B25E25"/>
    <w:rsid w:val="00B275A8"/>
    <w:rsid w:val="00B32837"/>
    <w:rsid w:val="00B34D25"/>
    <w:rsid w:val="00B3513E"/>
    <w:rsid w:val="00B36D4D"/>
    <w:rsid w:val="00B40F09"/>
    <w:rsid w:val="00B41858"/>
    <w:rsid w:val="00B421DD"/>
    <w:rsid w:val="00B428E2"/>
    <w:rsid w:val="00B43392"/>
    <w:rsid w:val="00B4619B"/>
    <w:rsid w:val="00B50507"/>
    <w:rsid w:val="00B5082E"/>
    <w:rsid w:val="00B50CF5"/>
    <w:rsid w:val="00B512EE"/>
    <w:rsid w:val="00B51720"/>
    <w:rsid w:val="00B51C6C"/>
    <w:rsid w:val="00B52D13"/>
    <w:rsid w:val="00B557BD"/>
    <w:rsid w:val="00B6022D"/>
    <w:rsid w:val="00B65692"/>
    <w:rsid w:val="00B67179"/>
    <w:rsid w:val="00B7143D"/>
    <w:rsid w:val="00B722A7"/>
    <w:rsid w:val="00B7261B"/>
    <w:rsid w:val="00B749D9"/>
    <w:rsid w:val="00B76B21"/>
    <w:rsid w:val="00B77638"/>
    <w:rsid w:val="00B80A8D"/>
    <w:rsid w:val="00B8171C"/>
    <w:rsid w:val="00B81875"/>
    <w:rsid w:val="00B8348E"/>
    <w:rsid w:val="00B83B23"/>
    <w:rsid w:val="00B83DE1"/>
    <w:rsid w:val="00B843AC"/>
    <w:rsid w:val="00B86D92"/>
    <w:rsid w:val="00B9034C"/>
    <w:rsid w:val="00B9222C"/>
    <w:rsid w:val="00B949FD"/>
    <w:rsid w:val="00B95194"/>
    <w:rsid w:val="00B95F7D"/>
    <w:rsid w:val="00B96F42"/>
    <w:rsid w:val="00BA1D45"/>
    <w:rsid w:val="00BA26DE"/>
    <w:rsid w:val="00BA3DEF"/>
    <w:rsid w:val="00BB1051"/>
    <w:rsid w:val="00BB10C5"/>
    <w:rsid w:val="00BB1264"/>
    <w:rsid w:val="00BB299B"/>
    <w:rsid w:val="00BB4B28"/>
    <w:rsid w:val="00BB4D71"/>
    <w:rsid w:val="00BB60E4"/>
    <w:rsid w:val="00BB7492"/>
    <w:rsid w:val="00BB7A73"/>
    <w:rsid w:val="00BC1DD4"/>
    <w:rsid w:val="00BC5A7F"/>
    <w:rsid w:val="00BC6BA8"/>
    <w:rsid w:val="00BC70EF"/>
    <w:rsid w:val="00BD0737"/>
    <w:rsid w:val="00BD2BAC"/>
    <w:rsid w:val="00BD3535"/>
    <w:rsid w:val="00BD72FA"/>
    <w:rsid w:val="00BE10DD"/>
    <w:rsid w:val="00BE524A"/>
    <w:rsid w:val="00BE5627"/>
    <w:rsid w:val="00BE6784"/>
    <w:rsid w:val="00BF01E9"/>
    <w:rsid w:val="00BF16BF"/>
    <w:rsid w:val="00BF1B9C"/>
    <w:rsid w:val="00BF2347"/>
    <w:rsid w:val="00C005C9"/>
    <w:rsid w:val="00C01E08"/>
    <w:rsid w:val="00C02946"/>
    <w:rsid w:val="00C0445C"/>
    <w:rsid w:val="00C050A6"/>
    <w:rsid w:val="00C07BA3"/>
    <w:rsid w:val="00C1166D"/>
    <w:rsid w:val="00C120B6"/>
    <w:rsid w:val="00C133A9"/>
    <w:rsid w:val="00C14E2F"/>
    <w:rsid w:val="00C1672D"/>
    <w:rsid w:val="00C16FFA"/>
    <w:rsid w:val="00C20259"/>
    <w:rsid w:val="00C20AB4"/>
    <w:rsid w:val="00C20DEB"/>
    <w:rsid w:val="00C239A1"/>
    <w:rsid w:val="00C23BFC"/>
    <w:rsid w:val="00C24825"/>
    <w:rsid w:val="00C27699"/>
    <w:rsid w:val="00C31C16"/>
    <w:rsid w:val="00C3427B"/>
    <w:rsid w:val="00C35C15"/>
    <w:rsid w:val="00C3798E"/>
    <w:rsid w:val="00C40770"/>
    <w:rsid w:val="00C41070"/>
    <w:rsid w:val="00C4443B"/>
    <w:rsid w:val="00C52A81"/>
    <w:rsid w:val="00C52E5D"/>
    <w:rsid w:val="00C52FAA"/>
    <w:rsid w:val="00C53661"/>
    <w:rsid w:val="00C548C7"/>
    <w:rsid w:val="00C54EAE"/>
    <w:rsid w:val="00C56C17"/>
    <w:rsid w:val="00C57880"/>
    <w:rsid w:val="00C6118F"/>
    <w:rsid w:val="00C61920"/>
    <w:rsid w:val="00C63DE3"/>
    <w:rsid w:val="00C65B5E"/>
    <w:rsid w:val="00C661FF"/>
    <w:rsid w:val="00C70E31"/>
    <w:rsid w:val="00C73055"/>
    <w:rsid w:val="00C742A8"/>
    <w:rsid w:val="00C74559"/>
    <w:rsid w:val="00C80F57"/>
    <w:rsid w:val="00C81B07"/>
    <w:rsid w:val="00C81C8F"/>
    <w:rsid w:val="00C824FD"/>
    <w:rsid w:val="00C83541"/>
    <w:rsid w:val="00C83F5F"/>
    <w:rsid w:val="00C84D0F"/>
    <w:rsid w:val="00C85148"/>
    <w:rsid w:val="00C86914"/>
    <w:rsid w:val="00C86CD7"/>
    <w:rsid w:val="00C90461"/>
    <w:rsid w:val="00C93EC4"/>
    <w:rsid w:val="00C9556A"/>
    <w:rsid w:val="00CA098D"/>
    <w:rsid w:val="00CA23C3"/>
    <w:rsid w:val="00CA2A1B"/>
    <w:rsid w:val="00CA32C4"/>
    <w:rsid w:val="00CA4CB2"/>
    <w:rsid w:val="00CA5D80"/>
    <w:rsid w:val="00CA6D2B"/>
    <w:rsid w:val="00CB49A9"/>
    <w:rsid w:val="00CB4D56"/>
    <w:rsid w:val="00CB5647"/>
    <w:rsid w:val="00CB65C3"/>
    <w:rsid w:val="00CB6AAB"/>
    <w:rsid w:val="00CB7A89"/>
    <w:rsid w:val="00CC01EF"/>
    <w:rsid w:val="00CC09FB"/>
    <w:rsid w:val="00CC0AE5"/>
    <w:rsid w:val="00CC0C1F"/>
    <w:rsid w:val="00CC2816"/>
    <w:rsid w:val="00CC29E8"/>
    <w:rsid w:val="00CC347A"/>
    <w:rsid w:val="00CC3859"/>
    <w:rsid w:val="00CC5E53"/>
    <w:rsid w:val="00CC65DD"/>
    <w:rsid w:val="00CC7E6C"/>
    <w:rsid w:val="00CC7FF1"/>
    <w:rsid w:val="00CD3A41"/>
    <w:rsid w:val="00CD5799"/>
    <w:rsid w:val="00CD6CFE"/>
    <w:rsid w:val="00CD7E9E"/>
    <w:rsid w:val="00CE287C"/>
    <w:rsid w:val="00CE447C"/>
    <w:rsid w:val="00CE4E33"/>
    <w:rsid w:val="00CE5A2C"/>
    <w:rsid w:val="00CF2516"/>
    <w:rsid w:val="00CF5853"/>
    <w:rsid w:val="00CF7CF1"/>
    <w:rsid w:val="00D01A20"/>
    <w:rsid w:val="00D02639"/>
    <w:rsid w:val="00D034D7"/>
    <w:rsid w:val="00D03836"/>
    <w:rsid w:val="00D062B3"/>
    <w:rsid w:val="00D072E1"/>
    <w:rsid w:val="00D0783E"/>
    <w:rsid w:val="00D12742"/>
    <w:rsid w:val="00D217E5"/>
    <w:rsid w:val="00D21BEA"/>
    <w:rsid w:val="00D22038"/>
    <w:rsid w:val="00D2434B"/>
    <w:rsid w:val="00D253D2"/>
    <w:rsid w:val="00D2562E"/>
    <w:rsid w:val="00D30B18"/>
    <w:rsid w:val="00D350FB"/>
    <w:rsid w:val="00D35F8C"/>
    <w:rsid w:val="00D3654E"/>
    <w:rsid w:val="00D36B72"/>
    <w:rsid w:val="00D36DE1"/>
    <w:rsid w:val="00D37F35"/>
    <w:rsid w:val="00D40436"/>
    <w:rsid w:val="00D42175"/>
    <w:rsid w:val="00D44989"/>
    <w:rsid w:val="00D44C0F"/>
    <w:rsid w:val="00D4591E"/>
    <w:rsid w:val="00D45B25"/>
    <w:rsid w:val="00D45D40"/>
    <w:rsid w:val="00D46680"/>
    <w:rsid w:val="00D46ECD"/>
    <w:rsid w:val="00D47E99"/>
    <w:rsid w:val="00D51986"/>
    <w:rsid w:val="00D51DD8"/>
    <w:rsid w:val="00D5422E"/>
    <w:rsid w:val="00D55911"/>
    <w:rsid w:val="00D55AB9"/>
    <w:rsid w:val="00D55E9D"/>
    <w:rsid w:val="00D56748"/>
    <w:rsid w:val="00D569F0"/>
    <w:rsid w:val="00D573E8"/>
    <w:rsid w:val="00D602A3"/>
    <w:rsid w:val="00D60F73"/>
    <w:rsid w:val="00D61545"/>
    <w:rsid w:val="00D6231D"/>
    <w:rsid w:val="00D62A8C"/>
    <w:rsid w:val="00D65C69"/>
    <w:rsid w:val="00D66338"/>
    <w:rsid w:val="00D6661C"/>
    <w:rsid w:val="00D674DA"/>
    <w:rsid w:val="00D67C22"/>
    <w:rsid w:val="00D709CF"/>
    <w:rsid w:val="00D709FA"/>
    <w:rsid w:val="00D724D5"/>
    <w:rsid w:val="00D73A39"/>
    <w:rsid w:val="00D763E5"/>
    <w:rsid w:val="00D80B2A"/>
    <w:rsid w:val="00D82A1C"/>
    <w:rsid w:val="00D8314B"/>
    <w:rsid w:val="00D8333E"/>
    <w:rsid w:val="00D83EFA"/>
    <w:rsid w:val="00D8670D"/>
    <w:rsid w:val="00D87CB5"/>
    <w:rsid w:val="00D904AA"/>
    <w:rsid w:val="00D9149D"/>
    <w:rsid w:val="00D92536"/>
    <w:rsid w:val="00D9441C"/>
    <w:rsid w:val="00D94C5F"/>
    <w:rsid w:val="00D95403"/>
    <w:rsid w:val="00D96106"/>
    <w:rsid w:val="00D9653A"/>
    <w:rsid w:val="00D96B82"/>
    <w:rsid w:val="00D97AC1"/>
    <w:rsid w:val="00DA0B70"/>
    <w:rsid w:val="00DA2B09"/>
    <w:rsid w:val="00DA3846"/>
    <w:rsid w:val="00DA3F25"/>
    <w:rsid w:val="00DA53AB"/>
    <w:rsid w:val="00DB1D02"/>
    <w:rsid w:val="00DB32B3"/>
    <w:rsid w:val="00DB4B41"/>
    <w:rsid w:val="00DB51DC"/>
    <w:rsid w:val="00DB5310"/>
    <w:rsid w:val="00DB57F8"/>
    <w:rsid w:val="00DC1302"/>
    <w:rsid w:val="00DC467A"/>
    <w:rsid w:val="00DD1422"/>
    <w:rsid w:val="00DD1582"/>
    <w:rsid w:val="00DD24BC"/>
    <w:rsid w:val="00DE043F"/>
    <w:rsid w:val="00DE2DA8"/>
    <w:rsid w:val="00DE44A8"/>
    <w:rsid w:val="00DE4D86"/>
    <w:rsid w:val="00DE595A"/>
    <w:rsid w:val="00DE73F5"/>
    <w:rsid w:val="00DF1011"/>
    <w:rsid w:val="00DF14BF"/>
    <w:rsid w:val="00DF1970"/>
    <w:rsid w:val="00DF1B07"/>
    <w:rsid w:val="00DF2001"/>
    <w:rsid w:val="00DF2ABA"/>
    <w:rsid w:val="00DF2D16"/>
    <w:rsid w:val="00DF3CF1"/>
    <w:rsid w:val="00DF75A5"/>
    <w:rsid w:val="00DF7632"/>
    <w:rsid w:val="00E010F1"/>
    <w:rsid w:val="00E0183F"/>
    <w:rsid w:val="00E02D9C"/>
    <w:rsid w:val="00E03A73"/>
    <w:rsid w:val="00E046AA"/>
    <w:rsid w:val="00E04CB4"/>
    <w:rsid w:val="00E06984"/>
    <w:rsid w:val="00E0785F"/>
    <w:rsid w:val="00E10304"/>
    <w:rsid w:val="00E10F56"/>
    <w:rsid w:val="00E112BC"/>
    <w:rsid w:val="00E11E4D"/>
    <w:rsid w:val="00E12842"/>
    <w:rsid w:val="00E1360F"/>
    <w:rsid w:val="00E13F25"/>
    <w:rsid w:val="00E1425B"/>
    <w:rsid w:val="00E144D1"/>
    <w:rsid w:val="00E14ECA"/>
    <w:rsid w:val="00E15770"/>
    <w:rsid w:val="00E16562"/>
    <w:rsid w:val="00E23477"/>
    <w:rsid w:val="00E2562A"/>
    <w:rsid w:val="00E25793"/>
    <w:rsid w:val="00E257A2"/>
    <w:rsid w:val="00E2753B"/>
    <w:rsid w:val="00E3214F"/>
    <w:rsid w:val="00E3286F"/>
    <w:rsid w:val="00E3417F"/>
    <w:rsid w:val="00E3733D"/>
    <w:rsid w:val="00E451A7"/>
    <w:rsid w:val="00E457D9"/>
    <w:rsid w:val="00E4627E"/>
    <w:rsid w:val="00E51EEF"/>
    <w:rsid w:val="00E52174"/>
    <w:rsid w:val="00E52B29"/>
    <w:rsid w:val="00E56D13"/>
    <w:rsid w:val="00E5735A"/>
    <w:rsid w:val="00E603B9"/>
    <w:rsid w:val="00E60A16"/>
    <w:rsid w:val="00E60CFF"/>
    <w:rsid w:val="00E64B51"/>
    <w:rsid w:val="00E657EB"/>
    <w:rsid w:val="00E65B96"/>
    <w:rsid w:val="00E66173"/>
    <w:rsid w:val="00E67B01"/>
    <w:rsid w:val="00E731E4"/>
    <w:rsid w:val="00E7322A"/>
    <w:rsid w:val="00E753A9"/>
    <w:rsid w:val="00E7588D"/>
    <w:rsid w:val="00E7757C"/>
    <w:rsid w:val="00E8195E"/>
    <w:rsid w:val="00E84D58"/>
    <w:rsid w:val="00E869F4"/>
    <w:rsid w:val="00E87973"/>
    <w:rsid w:val="00E900F0"/>
    <w:rsid w:val="00E90AF3"/>
    <w:rsid w:val="00E91879"/>
    <w:rsid w:val="00E92E4D"/>
    <w:rsid w:val="00E937F4"/>
    <w:rsid w:val="00E93DFC"/>
    <w:rsid w:val="00E96650"/>
    <w:rsid w:val="00E96CA0"/>
    <w:rsid w:val="00E9756D"/>
    <w:rsid w:val="00EA0945"/>
    <w:rsid w:val="00EA31CA"/>
    <w:rsid w:val="00EA3CC8"/>
    <w:rsid w:val="00EA76B8"/>
    <w:rsid w:val="00EB5A8C"/>
    <w:rsid w:val="00EB6E28"/>
    <w:rsid w:val="00EC00CC"/>
    <w:rsid w:val="00EC21B8"/>
    <w:rsid w:val="00EC5456"/>
    <w:rsid w:val="00EC6E75"/>
    <w:rsid w:val="00EC75C0"/>
    <w:rsid w:val="00EC7C7E"/>
    <w:rsid w:val="00ED0CD2"/>
    <w:rsid w:val="00ED3611"/>
    <w:rsid w:val="00ED61CD"/>
    <w:rsid w:val="00ED71C2"/>
    <w:rsid w:val="00EE089F"/>
    <w:rsid w:val="00EE0A85"/>
    <w:rsid w:val="00EE0F5F"/>
    <w:rsid w:val="00EE1DB5"/>
    <w:rsid w:val="00EE254B"/>
    <w:rsid w:val="00EE2B27"/>
    <w:rsid w:val="00EE4331"/>
    <w:rsid w:val="00EE4709"/>
    <w:rsid w:val="00EE728F"/>
    <w:rsid w:val="00EF0FC7"/>
    <w:rsid w:val="00EF1108"/>
    <w:rsid w:val="00EF235B"/>
    <w:rsid w:val="00EF31E2"/>
    <w:rsid w:val="00EF469C"/>
    <w:rsid w:val="00EF4948"/>
    <w:rsid w:val="00EF52B0"/>
    <w:rsid w:val="00EF5A7F"/>
    <w:rsid w:val="00F001F9"/>
    <w:rsid w:val="00F00546"/>
    <w:rsid w:val="00F005CE"/>
    <w:rsid w:val="00F00A28"/>
    <w:rsid w:val="00F023D8"/>
    <w:rsid w:val="00F03FEF"/>
    <w:rsid w:val="00F05054"/>
    <w:rsid w:val="00F05172"/>
    <w:rsid w:val="00F05436"/>
    <w:rsid w:val="00F058C2"/>
    <w:rsid w:val="00F06395"/>
    <w:rsid w:val="00F12A18"/>
    <w:rsid w:val="00F13B90"/>
    <w:rsid w:val="00F148FF"/>
    <w:rsid w:val="00F1513B"/>
    <w:rsid w:val="00F16996"/>
    <w:rsid w:val="00F16EBC"/>
    <w:rsid w:val="00F22CFB"/>
    <w:rsid w:val="00F27444"/>
    <w:rsid w:val="00F30F43"/>
    <w:rsid w:val="00F33280"/>
    <w:rsid w:val="00F35DFC"/>
    <w:rsid w:val="00F36930"/>
    <w:rsid w:val="00F42CC9"/>
    <w:rsid w:val="00F43609"/>
    <w:rsid w:val="00F4695A"/>
    <w:rsid w:val="00F52EC5"/>
    <w:rsid w:val="00F576FF"/>
    <w:rsid w:val="00F57971"/>
    <w:rsid w:val="00F6021C"/>
    <w:rsid w:val="00F61276"/>
    <w:rsid w:val="00F612F9"/>
    <w:rsid w:val="00F633A7"/>
    <w:rsid w:val="00F6475A"/>
    <w:rsid w:val="00F64B5E"/>
    <w:rsid w:val="00F66961"/>
    <w:rsid w:val="00F67E61"/>
    <w:rsid w:val="00F7363A"/>
    <w:rsid w:val="00F76794"/>
    <w:rsid w:val="00F76D8A"/>
    <w:rsid w:val="00F80E2C"/>
    <w:rsid w:val="00F8273E"/>
    <w:rsid w:val="00F8474A"/>
    <w:rsid w:val="00F8492B"/>
    <w:rsid w:val="00F861C0"/>
    <w:rsid w:val="00F8658E"/>
    <w:rsid w:val="00F86EBD"/>
    <w:rsid w:val="00F86FAF"/>
    <w:rsid w:val="00F877AD"/>
    <w:rsid w:val="00F904CD"/>
    <w:rsid w:val="00F90CC6"/>
    <w:rsid w:val="00F916E6"/>
    <w:rsid w:val="00F91C55"/>
    <w:rsid w:val="00F9201B"/>
    <w:rsid w:val="00F93E7E"/>
    <w:rsid w:val="00F952C3"/>
    <w:rsid w:val="00F968A7"/>
    <w:rsid w:val="00F97898"/>
    <w:rsid w:val="00FA07E2"/>
    <w:rsid w:val="00FA2BDC"/>
    <w:rsid w:val="00FA373B"/>
    <w:rsid w:val="00FA6693"/>
    <w:rsid w:val="00FA7BF4"/>
    <w:rsid w:val="00FB2A79"/>
    <w:rsid w:val="00FB3AA1"/>
    <w:rsid w:val="00FB5403"/>
    <w:rsid w:val="00FB6192"/>
    <w:rsid w:val="00FC6C18"/>
    <w:rsid w:val="00FC757C"/>
    <w:rsid w:val="00FD16A0"/>
    <w:rsid w:val="00FD3847"/>
    <w:rsid w:val="00FD4089"/>
    <w:rsid w:val="00FD4A18"/>
    <w:rsid w:val="00FD594D"/>
    <w:rsid w:val="00FD66DE"/>
    <w:rsid w:val="00FE04AB"/>
    <w:rsid w:val="00FE5133"/>
    <w:rsid w:val="00FF05C8"/>
    <w:rsid w:val="00FF3424"/>
    <w:rsid w:val="00FF34F0"/>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5152"/>
  <w14:defaultImageDpi w14:val="32767"/>
  <w15:docId w15:val="{1D330EFD-5DCB-4FB3-BF0B-959DA313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AB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35FB"/>
  </w:style>
  <w:style w:type="table" w:styleId="TableGrid">
    <w:name w:val="Table Grid"/>
    <w:basedOn w:val="TableNormal"/>
    <w:uiPriority w:val="39"/>
    <w:rsid w:val="00C24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3534"/>
    <w:rPr>
      <w:rFonts w:ascii="Tahoma" w:hAnsi="Tahoma" w:cs="Tahoma"/>
      <w:sz w:val="16"/>
      <w:szCs w:val="16"/>
    </w:rPr>
  </w:style>
  <w:style w:type="character" w:customStyle="1" w:styleId="BalloonTextChar">
    <w:name w:val="Balloon Text Char"/>
    <w:basedOn w:val="DefaultParagraphFont"/>
    <w:link w:val="BalloonText"/>
    <w:uiPriority w:val="99"/>
    <w:semiHidden/>
    <w:rsid w:val="00753534"/>
    <w:rPr>
      <w:rFonts w:ascii="Tahoma" w:hAnsi="Tahoma" w:cs="Tahoma"/>
      <w:sz w:val="16"/>
      <w:szCs w:val="16"/>
    </w:rPr>
  </w:style>
  <w:style w:type="paragraph" w:styleId="Header">
    <w:name w:val="header"/>
    <w:basedOn w:val="Normal"/>
    <w:link w:val="HeaderChar"/>
    <w:uiPriority w:val="99"/>
    <w:unhideWhenUsed/>
    <w:rsid w:val="00F612F9"/>
    <w:pPr>
      <w:tabs>
        <w:tab w:val="center" w:pos="4680"/>
        <w:tab w:val="right" w:pos="9360"/>
      </w:tabs>
    </w:pPr>
  </w:style>
  <w:style w:type="character" w:customStyle="1" w:styleId="HeaderChar">
    <w:name w:val="Header Char"/>
    <w:basedOn w:val="DefaultParagraphFont"/>
    <w:link w:val="Header"/>
    <w:uiPriority w:val="99"/>
    <w:rsid w:val="00F612F9"/>
  </w:style>
  <w:style w:type="paragraph" w:styleId="Footer">
    <w:name w:val="footer"/>
    <w:basedOn w:val="Normal"/>
    <w:link w:val="FooterChar"/>
    <w:uiPriority w:val="99"/>
    <w:unhideWhenUsed/>
    <w:rsid w:val="00F612F9"/>
    <w:pPr>
      <w:tabs>
        <w:tab w:val="center" w:pos="4680"/>
        <w:tab w:val="right" w:pos="9360"/>
      </w:tabs>
    </w:pPr>
  </w:style>
  <w:style w:type="character" w:customStyle="1" w:styleId="FooterChar">
    <w:name w:val="Footer Char"/>
    <w:basedOn w:val="DefaultParagraphFont"/>
    <w:link w:val="Footer"/>
    <w:uiPriority w:val="99"/>
    <w:rsid w:val="00F612F9"/>
  </w:style>
  <w:style w:type="paragraph" w:styleId="NormalWeb">
    <w:name w:val="Normal (Web)"/>
    <w:basedOn w:val="Normal"/>
    <w:uiPriority w:val="99"/>
    <w:semiHidden/>
    <w:unhideWhenUsed/>
    <w:rsid w:val="00C1166D"/>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2D2753"/>
    <w:rPr>
      <w:sz w:val="18"/>
      <w:szCs w:val="18"/>
    </w:rPr>
  </w:style>
  <w:style w:type="paragraph" w:styleId="CommentText">
    <w:name w:val="annotation text"/>
    <w:basedOn w:val="Normal"/>
    <w:link w:val="CommentTextChar"/>
    <w:uiPriority w:val="99"/>
    <w:semiHidden/>
    <w:unhideWhenUsed/>
    <w:rsid w:val="002D2753"/>
  </w:style>
  <w:style w:type="character" w:customStyle="1" w:styleId="CommentTextChar">
    <w:name w:val="Comment Text Char"/>
    <w:basedOn w:val="DefaultParagraphFont"/>
    <w:link w:val="CommentText"/>
    <w:uiPriority w:val="99"/>
    <w:semiHidden/>
    <w:rsid w:val="002D2753"/>
  </w:style>
  <w:style w:type="paragraph" w:styleId="ListParagraph">
    <w:name w:val="List Paragraph"/>
    <w:basedOn w:val="Normal"/>
    <w:uiPriority w:val="34"/>
    <w:qFormat/>
    <w:rsid w:val="003A15C8"/>
    <w:pPr>
      <w:ind w:left="720"/>
      <w:contextualSpacing/>
    </w:pPr>
    <w:rPr>
      <w:rFonts w:ascii="Times New Roman" w:eastAsia="Times New Roman" w:hAnsi="Times New Roman" w:cs="Times New Roman"/>
      <w:lang w:val="en-GB" w:eastAsia="en-GB"/>
    </w:rPr>
  </w:style>
  <w:style w:type="character" w:customStyle="1" w:styleId="ls1">
    <w:name w:val="ls1"/>
    <w:basedOn w:val="DefaultParagraphFont"/>
    <w:rsid w:val="008021AD"/>
  </w:style>
  <w:style w:type="character" w:customStyle="1" w:styleId="current-selection">
    <w:name w:val="current-selection"/>
    <w:basedOn w:val="DefaultParagraphFont"/>
    <w:rsid w:val="008021AD"/>
  </w:style>
  <w:style w:type="character" w:styleId="LineNumber">
    <w:name w:val="line number"/>
    <w:basedOn w:val="DefaultParagraphFont"/>
    <w:uiPriority w:val="99"/>
    <w:semiHidden/>
    <w:unhideWhenUsed/>
    <w:rsid w:val="00FB6192"/>
  </w:style>
  <w:style w:type="character" w:customStyle="1" w:styleId="Heading1Char">
    <w:name w:val="Heading 1 Char"/>
    <w:basedOn w:val="DefaultParagraphFont"/>
    <w:link w:val="Heading1"/>
    <w:uiPriority w:val="9"/>
    <w:rsid w:val="00DF2AB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4591E"/>
    <w:rPr>
      <w:color w:val="0563C1" w:themeColor="hyperlink"/>
      <w:u w:val="single"/>
    </w:rPr>
  </w:style>
  <w:style w:type="character" w:styleId="FollowedHyperlink">
    <w:name w:val="FollowedHyperlink"/>
    <w:basedOn w:val="DefaultParagraphFont"/>
    <w:uiPriority w:val="99"/>
    <w:semiHidden/>
    <w:unhideWhenUsed/>
    <w:rsid w:val="00AA119E"/>
    <w:rPr>
      <w:color w:val="954F72" w:themeColor="followedHyperlink"/>
      <w:u w:val="single"/>
    </w:rPr>
  </w:style>
  <w:style w:type="character" w:styleId="PageNumber">
    <w:name w:val="page number"/>
    <w:basedOn w:val="DefaultParagraphFont"/>
    <w:uiPriority w:val="99"/>
    <w:semiHidden/>
    <w:unhideWhenUsed/>
    <w:rsid w:val="005E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7171">
      <w:bodyDiv w:val="1"/>
      <w:marLeft w:val="0"/>
      <w:marRight w:val="0"/>
      <w:marTop w:val="0"/>
      <w:marBottom w:val="0"/>
      <w:divBdr>
        <w:top w:val="none" w:sz="0" w:space="0" w:color="auto"/>
        <w:left w:val="none" w:sz="0" w:space="0" w:color="auto"/>
        <w:bottom w:val="none" w:sz="0" w:space="0" w:color="auto"/>
        <w:right w:val="none" w:sz="0" w:space="0" w:color="auto"/>
      </w:divBdr>
    </w:div>
    <w:div w:id="63798344">
      <w:bodyDiv w:val="1"/>
      <w:marLeft w:val="0"/>
      <w:marRight w:val="0"/>
      <w:marTop w:val="0"/>
      <w:marBottom w:val="0"/>
      <w:divBdr>
        <w:top w:val="none" w:sz="0" w:space="0" w:color="auto"/>
        <w:left w:val="none" w:sz="0" w:space="0" w:color="auto"/>
        <w:bottom w:val="none" w:sz="0" w:space="0" w:color="auto"/>
        <w:right w:val="none" w:sz="0" w:space="0" w:color="auto"/>
      </w:divBdr>
      <w:divsChild>
        <w:div w:id="375353699">
          <w:marLeft w:val="0"/>
          <w:marRight w:val="0"/>
          <w:marTop w:val="0"/>
          <w:marBottom w:val="0"/>
          <w:divBdr>
            <w:top w:val="none" w:sz="0" w:space="0" w:color="auto"/>
            <w:left w:val="none" w:sz="0" w:space="0" w:color="auto"/>
            <w:bottom w:val="none" w:sz="0" w:space="0" w:color="auto"/>
            <w:right w:val="none" w:sz="0" w:space="0" w:color="auto"/>
          </w:divBdr>
          <w:divsChild>
            <w:div w:id="302079070">
              <w:marLeft w:val="0"/>
              <w:marRight w:val="0"/>
              <w:marTop w:val="0"/>
              <w:marBottom w:val="0"/>
              <w:divBdr>
                <w:top w:val="none" w:sz="0" w:space="0" w:color="auto"/>
                <w:left w:val="none" w:sz="0" w:space="0" w:color="auto"/>
                <w:bottom w:val="none" w:sz="0" w:space="0" w:color="auto"/>
                <w:right w:val="none" w:sz="0" w:space="0" w:color="auto"/>
              </w:divBdr>
              <w:divsChild>
                <w:div w:id="880165032">
                  <w:marLeft w:val="0"/>
                  <w:marRight w:val="0"/>
                  <w:marTop w:val="0"/>
                  <w:marBottom w:val="0"/>
                  <w:divBdr>
                    <w:top w:val="none" w:sz="0" w:space="0" w:color="auto"/>
                    <w:left w:val="none" w:sz="0" w:space="0" w:color="auto"/>
                    <w:bottom w:val="none" w:sz="0" w:space="0" w:color="auto"/>
                    <w:right w:val="none" w:sz="0" w:space="0" w:color="auto"/>
                  </w:divBdr>
                  <w:divsChild>
                    <w:div w:id="10991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2945">
      <w:bodyDiv w:val="1"/>
      <w:marLeft w:val="0"/>
      <w:marRight w:val="0"/>
      <w:marTop w:val="0"/>
      <w:marBottom w:val="0"/>
      <w:divBdr>
        <w:top w:val="none" w:sz="0" w:space="0" w:color="auto"/>
        <w:left w:val="none" w:sz="0" w:space="0" w:color="auto"/>
        <w:bottom w:val="none" w:sz="0" w:space="0" w:color="auto"/>
        <w:right w:val="none" w:sz="0" w:space="0" w:color="auto"/>
      </w:divBdr>
    </w:div>
    <w:div w:id="246378517">
      <w:bodyDiv w:val="1"/>
      <w:marLeft w:val="0"/>
      <w:marRight w:val="0"/>
      <w:marTop w:val="0"/>
      <w:marBottom w:val="0"/>
      <w:divBdr>
        <w:top w:val="none" w:sz="0" w:space="0" w:color="auto"/>
        <w:left w:val="none" w:sz="0" w:space="0" w:color="auto"/>
        <w:bottom w:val="none" w:sz="0" w:space="0" w:color="auto"/>
        <w:right w:val="none" w:sz="0" w:space="0" w:color="auto"/>
      </w:divBdr>
      <w:divsChild>
        <w:div w:id="1930459105">
          <w:marLeft w:val="360"/>
          <w:marRight w:val="0"/>
          <w:marTop w:val="0"/>
          <w:marBottom w:val="0"/>
          <w:divBdr>
            <w:top w:val="none" w:sz="0" w:space="0" w:color="auto"/>
            <w:left w:val="none" w:sz="0" w:space="0" w:color="auto"/>
            <w:bottom w:val="none" w:sz="0" w:space="0" w:color="auto"/>
            <w:right w:val="none" w:sz="0" w:space="0" w:color="auto"/>
          </w:divBdr>
        </w:div>
        <w:div w:id="1849978937">
          <w:marLeft w:val="360"/>
          <w:marRight w:val="0"/>
          <w:marTop w:val="0"/>
          <w:marBottom w:val="0"/>
          <w:divBdr>
            <w:top w:val="none" w:sz="0" w:space="0" w:color="auto"/>
            <w:left w:val="none" w:sz="0" w:space="0" w:color="auto"/>
            <w:bottom w:val="none" w:sz="0" w:space="0" w:color="auto"/>
            <w:right w:val="none" w:sz="0" w:space="0" w:color="auto"/>
          </w:divBdr>
        </w:div>
        <w:div w:id="1265990668">
          <w:marLeft w:val="360"/>
          <w:marRight w:val="0"/>
          <w:marTop w:val="0"/>
          <w:marBottom w:val="0"/>
          <w:divBdr>
            <w:top w:val="none" w:sz="0" w:space="0" w:color="auto"/>
            <w:left w:val="none" w:sz="0" w:space="0" w:color="auto"/>
            <w:bottom w:val="none" w:sz="0" w:space="0" w:color="auto"/>
            <w:right w:val="none" w:sz="0" w:space="0" w:color="auto"/>
          </w:divBdr>
        </w:div>
        <w:div w:id="913121699">
          <w:marLeft w:val="360"/>
          <w:marRight w:val="0"/>
          <w:marTop w:val="0"/>
          <w:marBottom w:val="0"/>
          <w:divBdr>
            <w:top w:val="none" w:sz="0" w:space="0" w:color="auto"/>
            <w:left w:val="none" w:sz="0" w:space="0" w:color="auto"/>
            <w:bottom w:val="none" w:sz="0" w:space="0" w:color="auto"/>
            <w:right w:val="none" w:sz="0" w:space="0" w:color="auto"/>
          </w:divBdr>
        </w:div>
        <w:div w:id="984965818">
          <w:marLeft w:val="360"/>
          <w:marRight w:val="0"/>
          <w:marTop w:val="0"/>
          <w:marBottom w:val="0"/>
          <w:divBdr>
            <w:top w:val="none" w:sz="0" w:space="0" w:color="auto"/>
            <w:left w:val="none" w:sz="0" w:space="0" w:color="auto"/>
            <w:bottom w:val="none" w:sz="0" w:space="0" w:color="auto"/>
            <w:right w:val="none" w:sz="0" w:space="0" w:color="auto"/>
          </w:divBdr>
        </w:div>
        <w:div w:id="317001362">
          <w:marLeft w:val="360"/>
          <w:marRight w:val="0"/>
          <w:marTop w:val="0"/>
          <w:marBottom w:val="0"/>
          <w:divBdr>
            <w:top w:val="none" w:sz="0" w:space="0" w:color="auto"/>
            <w:left w:val="none" w:sz="0" w:space="0" w:color="auto"/>
            <w:bottom w:val="none" w:sz="0" w:space="0" w:color="auto"/>
            <w:right w:val="none" w:sz="0" w:space="0" w:color="auto"/>
          </w:divBdr>
        </w:div>
      </w:divsChild>
    </w:div>
    <w:div w:id="387850766">
      <w:bodyDiv w:val="1"/>
      <w:marLeft w:val="0"/>
      <w:marRight w:val="0"/>
      <w:marTop w:val="0"/>
      <w:marBottom w:val="0"/>
      <w:divBdr>
        <w:top w:val="none" w:sz="0" w:space="0" w:color="auto"/>
        <w:left w:val="none" w:sz="0" w:space="0" w:color="auto"/>
        <w:bottom w:val="none" w:sz="0" w:space="0" w:color="auto"/>
        <w:right w:val="none" w:sz="0" w:space="0" w:color="auto"/>
      </w:divBdr>
    </w:div>
    <w:div w:id="393506867">
      <w:bodyDiv w:val="1"/>
      <w:marLeft w:val="0"/>
      <w:marRight w:val="0"/>
      <w:marTop w:val="0"/>
      <w:marBottom w:val="0"/>
      <w:divBdr>
        <w:top w:val="none" w:sz="0" w:space="0" w:color="auto"/>
        <w:left w:val="none" w:sz="0" w:space="0" w:color="auto"/>
        <w:bottom w:val="none" w:sz="0" w:space="0" w:color="auto"/>
        <w:right w:val="none" w:sz="0" w:space="0" w:color="auto"/>
      </w:divBdr>
    </w:div>
    <w:div w:id="416361600">
      <w:bodyDiv w:val="1"/>
      <w:marLeft w:val="0"/>
      <w:marRight w:val="0"/>
      <w:marTop w:val="0"/>
      <w:marBottom w:val="0"/>
      <w:divBdr>
        <w:top w:val="none" w:sz="0" w:space="0" w:color="auto"/>
        <w:left w:val="none" w:sz="0" w:space="0" w:color="auto"/>
        <w:bottom w:val="none" w:sz="0" w:space="0" w:color="auto"/>
        <w:right w:val="none" w:sz="0" w:space="0" w:color="auto"/>
      </w:divBdr>
    </w:div>
    <w:div w:id="438718458">
      <w:bodyDiv w:val="1"/>
      <w:marLeft w:val="0"/>
      <w:marRight w:val="0"/>
      <w:marTop w:val="0"/>
      <w:marBottom w:val="0"/>
      <w:divBdr>
        <w:top w:val="none" w:sz="0" w:space="0" w:color="auto"/>
        <w:left w:val="none" w:sz="0" w:space="0" w:color="auto"/>
        <w:bottom w:val="none" w:sz="0" w:space="0" w:color="auto"/>
        <w:right w:val="none" w:sz="0" w:space="0" w:color="auto"/>
      </w:divBdr>
      <w:divsChild>
        <w:div w:id="728115594">
          <w:marLeft w:val="0"/>
          <w:marRight w:val="0"/>
          <w:marTop w:val="0"/>
          <w:marBottom w:val="0"/>
          <w:divBdr>
            <w:top w:val="none" w:sz="0" w:space="0" w:color="auto"/>
            <w:left w:val="none" w:sz="0" w:space="0" w:color="auto"/>
            <w:bottom w:val="none" w:sz="0" w:space="0" w:color="auto"/>
            <w:right w:val="none" w:sz="0" w:space="0" w:color="auto"/>
          </w:divBdr>
          <w:divsChild>
            <w:div w:id="1167987140">
              <w:marLeft w:val="0"/>
              <w:marRight w:val="0"/>
              <w:marTop w:val="0"/>
              <w:marBottom w:val="0"/>
              <w:divBdr>
                <w:top w:val="none" w:sz="0" w:space="0" w:color="auto"/>
                <w:left w:val="none" w:sz="0" w:space="0" w:color="auto"/>
                <w:bottom w:val="none" w:sz="0" w:space="0" w:color="auto"/>
                <w:right w:val="none" w:sz="0" w:space="0" w:color="auto"/>
              </w:divBdr>
              <w:divsChild>
                <w:div w:id="13623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7664">
      <w:bodyDiv w:val="1"/>
      <w:marLeft w:val="0"/>
      <w:marRight w:val="0"/>
      <w:marTop w:val="0"/>
      <w:marBottom w:val="0"/>
      <w:divBdr>
        <w:top w:val="none" w:sz="0" w:space="0" w:color="auto"/>
        <w:left w:val="none" w:sz="0" w:space="0" w:color="auto"/>
        <w:bottom w:val="none" w:sz="0" w:space="0" w:color="auto"/>
        <w:right w:val="none" w:sz="0" w:space="0" w:color="auto"/>
      </w:divBdr>
    </w:div>
    <w:div w:id="497499309">
      <w:bodyDiv w:val="1"/>
      <w:marLeft w:val="0"/>
      <w:marRight w:val="0"/>
      <w:marTop w:val="0"/>
      <w:marBottom w:val="0"/>
      <w:divBdr>
        <w:top w:val="none" w:sz="0" w:space="0" w:color="auto"/>
        <w:left w:val="none" w:sz="0" w:space="0" w:color="auto"/>
        <w:bottom w:val="none" w:sz="0" w:space="0" w:color="auto"/>
        <w:right w:val="none" w:sz="0" w:space="0" w:color="auto"/>
      </w:divBdr>
    </w:div>
    <w:div w:id="504902183">
      <w:bodyDiv w:val="1"/>
      <w:marLeft w:val="0"/>
      <w:marRight w:val="0"/>
      <w:marTop w:val="0"/>
      <w:marBottom w:val="0"/>
      <w:divBdr>
        <w:top w:val="none" w:sz="0" w:space="0" w:color="auto"/>
        <w:left w:val="none" w:sz="0" w:space="0" w:color="auto"/>
        <w:bottom w:val="none" w:sz="0" w:space="0" w:color="auto"/>
        <w:right w:val="none" w:sz="0" w:space="0" w:color="auto"/>
      </w:divBdr>
    </w:div>
    <w:div w:id="516817913">
      <w:bodyDiv w:val="1"/>
      <w:marLeft w:val="0"/>
      <w:marRight w:val="0"/>
      <w:marTop w:val="0"/>
      <w:marBottom w:val="0"/>
      <w:divBdr>
        <w:top w:val="none" w:sz="0" w:space="0" w:color="auto"/>
        <w:left w:val="none" w:sz="0" w:space="0" w:color="auto"/>
        <w:bottom w:val="none" w:sz="0" w:space="0" w:color="auto"/>
        <w:right w:val="none" w:sz="0" w:space="0" w:color="auto"/>
      </w:divBdr>
    </w:div>
    <w:div w:id="543711891">
      <w:bodyDiv w:val="1"/>
      <w:marLeft w:val="0"/>
      <w:marRight w:val="0"/>
      <w:marTop w:val="0"/>
      <w:marBottom w:val="0"/>
      <w:divBdr>
        <w:top w:val="none" w:sz="0" w:space="0" w:color="auto"/>
        <w:left w:val="none" w:sz="0" w:space="0" w:color="auto"/>
        <w:bottom w:val="none" w:sz="0" w:space="0" w:color="auto"/>
        <w:right w:val="none" w:sz="0" w:space="0" w:color="auto"/>
      </w:divBdr>
    </w:div>
    <w:div w:id="604121142">
      <w:bodyDiv w:val="1"/>
      <w:marLeft w:val="0"/>
      <w:marRight w:val="0"/>
      <w:marTop w:val="0"/>
      <w:marBottom w:val="0"/>
      <w:divBdr>
        <w:top w:val="none" w:sz="0" w:space="0" w:color="auto"/>
        <w:left w:val="none" w:sz="0" w:space="0" w:color="auto"/>
        <w:bottom w:val="none" w:sz="0" w:space="0" w:color="auto"/>
        <w:right w:val="none" w:sz="0" w:space="0" w:color="auto"/>
      </w:divBdr>
    </w:div>
    <w:div w:id="660737800">
      <w:bodyDiv w:val="1"/>
      <w:marLeft w:val="0"/>
      <w:marRight w:val="0"/>
      <w:marTop w:val="0"/>
      <w:marBottom w:val="0"/>
      <w:divBdr>
        <w:top w:val="none" w:sz="0" w:space="0" w:color="auto"/>
        <w:left w:val="none" w:sz="0" w:space="0" w:color="auto"/>
        <w:bottom w:val="none" w:sz="0" w:space="0" w:color="auto"/>
        <w:right w:val="none" w:sz="0" w:space="0" w:color="auto"/>
      </w:divBdr>
      <w:divsChild>
        <w:div w:id="946930536">
          <w:marLeft w:val="0"/>
          <w:marRight w:val="0"/>
          <w:marTop w:val="0"/>
          <w:marBottom w:val="0"/>
          <w:divBdr>
            <w:top w:val="none" w:sz="0" w:space="0" w:color="auto"/>
            <w:left w:val="none" w:sz="0" w:space="0" w:color="auto"/>
            <w:bottom w:val="none" w:sz="0" w:space="0" w:color="auto"/>
            <w:right w:val="none" w:sz="0" w:space="0" w:color="auto"/>
          </w:divBdr>
        </w:div>
        <w:div w:id="958144884">
          <w:marLeft w:val="0"/>
          <w:marRight w:val="0"/>
          <w:marTop w:val="0"/>
          <w:marBottom w:val="0"/>
          <w:divBdr>
            <w:top w:val="none" w:sz="0" w:space="0" w:color="auto"/>
            <w:left w:val="none" w:sz="0" w:space="0" w:color="auto"/>
            <w:bottom w:val="none" w:sz="0" w:space="0" w:color="auto"/>
            <w:right w:val="none" w:sz="0" w:space="0" w:color="auto"/>
          </w:divBdr>
        </w:div>
        <w:div w:id="2039772359">
          <w:marLeft w:val="0"/>
          <w:marRight w:val="0"/>
          <w:marTop w:val="0"/>
          <w:marBottom w:val="0"/>
          <w:divBdr>
            <w:top w:val="none" w:sz="0" w:space="0" w:color="auto"/>
            <w:left w:val="none" w:sz="0" w:space="0" w:color="auto"/>
            <w:bottom w:val="none" w:sz="0" w:space="0" w:color="auto"/>
            <w:right w:val="none" w:sz="0" w:space="0" w:color="auto"/>
          </w:divBdr>
        </w:div>
        <w:div w:id="529924728">
          <w:marLeft w:val="0"/>
          <w:marRight w:val="0"/>
          <w:marTop w:val="0"/>
          <w:marBottom w:val="0"/>
          <w:divBdr>
            <w:top w:val="none" w:sz="0" w:space="0" w:color="auto"/>
            <w:left w:val="none" w:sz="0" w:space="0" w:color="auto"/>
            <w:bottom w:val="none" w:sz="0" w:space="0" w:color="auto"/>
            <w:right w:val="none" w:sz="0" w:space="0" w:color="auto"/>
          </w:divBdr>
        </w:div>
        <w:div w:id="1190727873">
          <w:marLeft w:val="0"/>
          <w:marRight w:val="0"/>
          <w:marTop w:val="0"/>
          <w:marBottom w:val="0"/>
          <w:divBdr>
            <w:top w:val="none" w:sz="0" w:space="0" w:color="auto"/>
            <w:left w:val="none" w:sz="0" w:space="0" w:color="auto"/>
            <w:bottom w:val="none" w:sz="0" w:space="0" w:color="auto"/>
            <w:right w:val="none" w:sz="0" w:space="0" w:color="auto"/>
          </w:divBdr>
        </w:div>
        <w:div w:id="1344362303">
          <w:marLeft w:val="0"/>
          <w:marRight w:val="0"/>
          <w:marTop w:val="0"/>
          <w:marBottom w:val="0"/>
          <w:divBdr>
            <w:top w:val="none" w:sz="0" w:space="0" w:color="auto"/>
            <w:left w:val="none" w:sz="0" w:space="0" w:color="auto"/>
            <w:bottom w:val="none" w:sz="0" w:space="0" w:color="auto"/>
            <w:right w:val="none" w:sz="0" w:space="0" w:color="auto"/>
          </w:divBdr>
        </w:div>
      </w:divsChild>
    </w:div>
    <w:div w:id="684867913">
      <w:bodyDiv w:val="1"/>
      <w:marLeft w:val="0"/>
      <w:marRight w:val="0"/>
      <w:marTop w:val="0"/>
      <w:marBottom w:val="0"/>
      <w:divBdr>
        <w:top w:val="none" w:sz="0" w:space="0" w:color="auto"/>
        <w:left w:val="none" w:sz="0" w:space="0" w:color="auto"/>
        <w:bottom w:val="none" w:sz="0" w:space="0" w:color="auto"/>
        <w:right w:val="none" w:sz="0" w:space="0" w:color="auto"/>
      </w:divBdr>
    </w:div>
    <w:div w:id="716901676">
      <w:bodyDiv w:val="1"/>
      <w:marLeft w:val="0"/>
      <w:marRight w:val="0"/>
      <w:marTop w:val="0"/>
      <w:marBottom w:val="0"/>
      <w:divBdr>
        <w:top w:val="none" w:sz="0" w:space="0" w:color="auto"/>
        <w:left w:val="none" w:sz="0" w:space="0" w:color="auto"/>
        <w:bottom w:val="none" w:sz="0" w:space="0" w:color="auto"/>
        <w:right w:val="none" w:sz="0" w:space="0" w:color="auto"/>
      </w:divBdr>
      <w:divsChild>
        <w:div w:id="536890784">
          <w:marLeft w:val="360"/>
          <w:marRight w:val="0"/>
          <w:marTop w:val="200"/>
          <w:marBottom w:val="0"/>
          <w:divBdr>
            <w:top w:val="none" w:sz="0" w:space="0" w:color="auto"/>
            <w:left w:val="none" w:sz="0" w:space="0" w:color="auto"/>
            <w:bottom w:val="none" w:sz="0" w:space="0" w:color="auto"/>
            <w:right w:val="none" w:sz="0" w:space="0" w:color="auto"/>
          </w:divBdr>
        </w:div>
        <w:div w:id="2080318949">
          <w:marLeft w:val="1080"/>
          <w:marRight w:val="0"/>
          <w:marTop w:val="100"/>
          <w:marBottom w:val="0"/>
          <w:divBdr>
            <w:top w:val="none" w:sz="0" w:space="0" w:color="auto"/>
            <w:left w:val="none" w:sz="0" w:space="0" w:color="auto"/>
            <w:bottom w:val="none" w:sz="0" w:space="0" w:color="auto"/>
            <w:right w:val="none" w:sz="0" w:space="0" w:color="auto"/>
          </w:divBdr>
        </w:div>
        <w:div w:id="1919168007">
          <w:marLeft w:val="1080"/>
          <w:marRight w:val="0"/>
          <w:marTop w:val="100"/>
          <w:marBottom w:val="0"/>
          <w:divBdr>
            <w:top w:val="none" w:sz="0" w:space="0" w:color="auto"/>
            <w:left w:val="none" w:sz="0" w:space="0" w:color="auto"/>
            <w:bottom w:val="none" w:sz="0" w:space="0" w:color="auto"/>
            <w:right w:val="none" w:sz="0" w:space="0" w:color="auto"/>
          </w:divBdr>
        </w:div>
        <w:div w:id="928738951">
          <w:marLeft w:val="360"/>
          <w:marRight w:val="0"/>
          <w:marTop w:val="200"/>
          <w:marBottom w:val="0"/>
          <w:divBdr>
            <w:top w:val="none" w:sz="0" w:space="0" w:color="auto"/>
            <w:left w:val="none" w:sz="0" w:space="0" w:color="auto"/>
            <w:bottom w:val="none" w:sz="0" w:space="0" w:color="auto"/>
            <w:right w:val="none" w:sz="0" w:space="0" w:color="auto"/>
          </w:divBdr>
        </w:div>
        <w:div w:id="203954395">
          <w:marLeft w:val="360"/>
          <w:marRight w:val="0"/>
          <w:marTop w:val="200"/>
          <w:marBottom w:val="0"/>
          <w:divBdr>
            <w:top w:val="none" w:sz="0" w:space="0" w:color="auto"/>
            <w:left w:val="none" w:sz="0" w:space="0" w:color="auto"/>
            <w:bottom w:val="none" w:sz="0" w:space="0" w:color="auto"/>
            <w:right w:val="none" w:sz="0" w:space="0" w:color="auto"/>
          </w:divBdr>
        </w:div>
      </w:divsChild>
    </w:div>
    <w:div w:id="790444521">
      <w:bodyDiv w:val="1"/>
      <w:marLeft w:val="0"/>
      <w:marRight w:val="0"/>
      <w:marTop w:val="0"/>
      <w:marBottom w:val="0"/>
      <w:divBdr>
        <w:top w:val="none" w:sz="0" w:space="0" w:color="auto"/>
        <w:left w:val="none" w:sz="0" w:space="0" w:color="auto"/>
        <w:bottom w:val="none" w:sz="0" w:space="0" w:color="auto"/>
        <w:right w:val="none" w:sz="0" w:space="0" w:color="auto"/>
      </w:divBdr>
      <w:divsChild>
        <w:div w:id="1184585862">
          <w:marLeft w:val="0"/>
          <w:marRight w:val="0"/>
          <w:marTop w:val="0"/>
          <w:marBottom w:val="0"/>
          <w:divBdr>
            <w:top w:val="none" w:sz="0" w:space="0" w:color="auto"/>
            <w:left w:val="none" w:sz="0" w:space="0" w:color="auto"/>
            <w:bottom w:val="none" w:sz="0" w:space="0" w:color="auto"/>
            <w:right w:val="none" w:sz="0" w:space="0" w:color="auto"/>
          </w:divBdr>
          <w:divsChild>
            <w:div w:id="495921023">
              <w:marLeft w:val="0"/>
              <w:marRight w:val="0"/>
              <w:marTop w:val="0"/>
              <w:marBottom w:val="0"/>
              <w:divBdr>
                <w:top w:val="none" w:sz="0" w:space="0" w:color="auto"/>
                <w:left w:val="none" w:sz="0" w:space="0" w:color="auto"/>
                <w:bottom w:val="none" w:sz="0" w:space="0" w:color="auto"/>
                <w:right w:val="none" w:sz="0" w:space="0" w:color="auto"/>
              </w:divBdr>
              <w:divsChild>
                <w:div w:id="14555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754324">
      <w:bodyDiv w:val="1"/>
      <w:marLeft w:val="0"/>
      <w:marRight w:val="0"/>
      <w:marTop w:val="0"/>
      <w:marBottom w:val="0"/>
      <w:divBdr>
        <w:top w:val="none" w:sz="0" w:space="0" w:color="auto"/>
        <w:left w:val="none" w:sz="0" w:space="0" w:color="auto"/>
        <w:bottom w:val="none" w:sz="0" w:space="0" w:color="auto"/>
        <w:right w:val="none" w:sz="0" w:space="0" w:color="auto"/>
      </w:divBdr>
    </w:div>
    <w:div w:id="831750022">
      <w:bodyDiv w:val="1"/>
      <w:marLeft w:val="0"/>
      <w:marRight w:val="0"/>
      <w:marTop w:val="0"/>
      <w:marBottom w:val="0"/>
      <w:divBdr>
        <w:top w:val="none" w:sz="0" w:space="0" w:color="auto"/>
        <w:left w:val="none" w:sz="0" w:space="0" w:color="auto"/>
        <w:bottom w:val="none" w:sz="0" w:space="0" w:color="auto"/>
        <w:right w:val="none" w:sz="0" w:space="0" w:color="auto"/>
      </w:divBdr>
    </w:div>
    <w:div w:id="868034840">
      <w:bodyDiv w:val="1"/>
      <w:marLeft w:val="0"/>
      <w:marRight w:val="0"/>
      <w:marTop w:val="0"/>
      <w:marBottom w:val="0"/>
      <w:divBdr>
        <w:top w:val="none" w:sz="0" w:space="0" w:color="auto"/>
        <w:left w:val="none" w:sz="0" w:space="0" w:color="auto"/>
        <w:bottom w:val="none" w:sz="0" w:space="0" w:color="auto"/>
        <w:right w:val="none" w:sz="0" w:space="0" w:color="auto"/>
      </w:divBdr>
      <w:divsChild>
        <w:div w:id="132450556">
          <w:marLeft w:val="0"/>
          <w:marRight w:val="0"/>
          <w:marTop w:val="0"/>
          <w:marBottom w:val="0"/>
          <w:divBdr>
            <w:top w:val="none" w:sz="0" w:space="0" w:color="auto"/>
            <w:left w:val="none" w:sz="0" w:space="0" w:color="auto"/>
            <w:bottom w:val="none" w:sz="0" w:space="0" w:color="auto"/>
            <w:right w:val="none" w:sz="0" w:space="0" w:color="auto"/>
          </w:divBdr>
          <w:divsChild>
            <w:div w:id="1301304309">
              <w:marLeft w:val="0"/>
              <w:marRight w:val="0"/>
              <w:marTop w:val="0"/>
              <w:marBottom w:val="0"/>
              <w:divBdr>
                <w:top w:val="none" w:sz="0" w:space="0" w:color="auto"/>
                <w:left w:val="none" w:sz="0" w:space="0" w:color="auto"/>
                <w:bottom w:val="none" w:sz="0" w:space="0" w:color="auto"/>
                <w:right w:val="none" w:sz="0" w:space="0" w:color="auto"/>
              </w:divBdr>
              <w:divsChild>
                <w:div w:id="20685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438944">
      <w:bodyDiv w:val="1"/>
      <w:marLeft w:val="0"/>
      <w:marRight w:val="0"/>
      <w:marTop w:val="0"/>
      <w:marBottom w:val="0"/>
      <w:divBdr>
        <w:top w:val="none" w:sz="0" w:space="0" w:color="auto"/>
        <w:left w:val="none" w:sz="0" w:space="0" w:color="auto"/>
        <w:bottom w:val="none" w:sz="0" w:space="0" w:color="auto"/>
        <w:right w:val="none" w:sz="0" w:space="0" w:color="auto"/>
      </w:divBdr>
    </w:div>
    <w:div w:id="992413600">
      <w:bodyDiv w:val="1"/>
      <w:marLeft w:val="0"/>
      <w:marRight w:val="0"/>
      <w:marTop w:val="0"/>
      <w:marBottom w:val="0"/>
      <w:divBdr>
        <w:top w:val="none" w:sz="0" w:space="0" w:color="auto"/>
        <w:left w:val="none" w:sz="0" w:space="0" w:color="auto"/>
        <w:bottom w:val="none" w:sz="0" w:space="0" w:color="auto"/>
        <w:right w:val="none" w:sz="0" w:space="0" w:color="auto"/>
      </w:divBdr>
    </w:div>
    <w:div w:id="1016032688">
      <w:bodyDiv w:val="1"/>
      <w:marLeft w:val="0"/>
      <w:marRight w:val="0"/>
      <w:marTop w:val="0"/>
      <w:marBottom w:val="0"/>
      <w:divBdr>
        <w:top w:val="none" w:sz="0" w:space="0" w:color="auto"/>
        <w:left w:val="none" w:sz="0" w:space="0" w:color="auto"/>
        <w:bottom w:val="none" w:sz="0" w:space="0" w:color="auto"/>
        <w:right w:val="none" w:sz="0" w:space="0" w:color="auto"/>
      </w:divBdr>
      <w:divsChild>
        <w:div w:id="202179948">
          <w:marLeft w:val="0"/>
          <w:marRight w:val="0"/>
          <w:marTop w:val="0"/>
          <w:marBottom w:val="0"/>
          <w:divBdr>
            <w:top w:val="none" w:sz="0" w:space="0" w:color="auto"/>
            <w:left w:val="none" w:sz="0" w:space="0" w:color="auto"/>
            <w:bottom w:val="none" w:sz="0" w:space="0" w:color="auto"/>
            <w:right w:val="none" w:sz="0" w:space="0" w:color="auto"/>
          </w:divBdr>
        </w:div>
        <w:div w:id="437068841">
          <w:marLeft w:val="0"/>
          <w:marRight w:val="0"/>
          <w:marTop w:val="0"/>
          <w:marBottom w:val="0"/>
          <w:divBdr>
            <w:top w:val="none" w:sz="0" w:space="0" w:color="auto"/>
            <w:left w:val="none" w:sz="0" w:space="0" w:color="auto"/>
            <w:bottom w:val="none" w:sz="0" w:space="0" w:color="auto"/>
            <w:right w:val="none" w:sz="0" w:space="0" w:color="auto"/>
          </w:divBdr>
        </w:div>
      </w:divsChild>
    </w:div>
    <w:div w:id="1017737587">
      <w:bodyDiv w:val="1"/>
      <w:marLeft w:val="0"/>
      <w:marRight w:val="0"/>
      <w:marTop w:val="0"/>
      <w:marBottom w:val="0"/>
      <w:divBdr>
        <w:top w:val="none" w:sz="0" w:space="0" w:color="auto"/>
        <w:left w:val="none" w:sz="0" w:space="0" w:color="auto"/>
        <w:bottom w:val="none" w:sz="0" w:space="0" w:color="auto"/>
        <w:right w:val="none" w:sz="0" w:space="0" w:color="auto"/>
      </w:divBdr>
    </w:div>
    <w:div w:id="1279293579">
      <w:bodyDiv w:val="1"/>
      <w:marLeft w:val="0"/>
      <w:marRight w:val="0"/>
      <w:marTop w:val="0"/>
      <w:marBottom w:val="0"/>
      <w:divBdr>
        <w:top w:val="none" w:sz="0" w:space="0" w:color="auto"/>
        <w:left w:val="none" w:sz="0" w:space="0" w:color="auto"/>
        <w:bottom w:val="none" w:sz="0" w:space="0" w:color="auto"/>
        <w:right w:val="none" w:sz="0" w:space="0" w:color="auto"/>
      </w:divBdr>
    </w:div>
    <w:div w:id="1279411992">
      <w:bodyDiv w:val="1"/>
      <w:marLeft w:val="0"/>
      <w:marRight w:val="0"/>
      <w:marTop w:val="0"/>
      <w:marBottom w:val="0"/>
      <w:divBdr>
        <w:top w:val="none" w:sz="0" w:space="0" w:color="auto"/>
        <w:left w:val="none" w:sz="0" w:space="0" w:color="auto"/>
        <w:bottom w:val="none" w:sz="0" w:space="0" w:color="auto"/>
        <w:right w:val="none" w:sz="0" w:space="0" w:color="auto"/>
      </w:divBdr>
    </w:div>
    <w:div w:id="1301612938">
      <w:bodyDiv w:val="1"/>
      <w:marLeft w:val="0"/>
      <w:marRight w:val="0"/>
      <w:marTop w:val="0"/>
      <w:marBottom w:val="0"/>
      <w:divBdr>
        <w:top w:val="none" w:sz="0" w:space="0" w:color="auto"/>
        <w:left w:val="none" w:sz="0" w:space="0" w:color="auto"/>
        <w:bottom w:val="none" w:sz="0" w:space="0" w:color="auto"/>
        <w:right w:val="none" w:sz="0" w:space="0" w:color="auto"/>
      </w:divBdr>
    </w:div>
    <w:div w:id="1321695272">
      <w:bodyDiv w:val="1"/>
      <w:marLeft w:val="0"/>
      <w:marRight w:val="0"/>
      <w:marTop w:val="0"/>
      <w:marBottom w:val="0"/>
      <w:divBdr>
        <w:top w:val="none" w:sz="0" w:space="0" w:color="auto"/>
        <w:left w:val="none" w:sz="0" w:space="0" w:color="auto"/>
        <w:bottom w:val="none" w:sz="0" w:space="0" w:color="auto"/>
        <w:right w:val="none" w:sz="0" w:space="0" w:color="auto"/>
      </w:divBdr>
    </w:div>
    <w:div w:id="1327396077">
      <w:bodyDiv w:val="1"/>
      <w:marLeft w:val="0"/>
      <w:marRight w:val="0"/>
      <w:marTop w:val="0"/>
      <w:marBottom w:val="0"/>
      <w:divBdr>
        <w:top w:val="none" w:sz="0" w:space="0" w:color="auto"/>
        <w:left w:val="none" w:sz="0" w:space="0" w:color="auto"/>
        <w:bottom w:val="none" w:sz="0" w:space="0" w:color="auto"/>
        <w:right w:val="none" w:sz="0" w:space="0" w:color="auto"/>
      </w:divBdr>
    </w:div>
    <w:div w:id="1495298499">
      <w:bodyDiv w:val="1"/>
      <w:marLeft w:val="0"/>
      <w:marRight w:val="0"/>
      <w:marTop w:val="0"/>
      <w:marBottom w:val="0"/>
      <w:divBdr>
        <w:top w:val="none" w:sz="0" w:space="0" w:color="auto"/>
        <w:left w:val="none" w:sz="0" w:space="0" w:color="auto"/>
        <w:bottom w:val="none" w:sz="0" w:space="0" w:color="auto"/>
        <w:right w:val="none" w:sz="0" w:space="0" w:color="auto"/>
      </w:divBdr>
    </w:div>
    <w:div w:id="1612280254">
      <w:bodyDiv w:val="1"/>
      <w:marLeft w:val="0"/>
      <w:marRight w:val="0"/>
      <w:marTop w:val="0"/>
      <w:marBottom w:val="0"/>
      <w:divBdr>
        <w:top w:val="none" w:sz="0" w:space="0" w:color="auto"/>
        <w:left w:val="none" w:sz="0" w:space="0" w:color="auto"/>
        <w:bottom w:val="none" w:sz="0" w:space="0" w:color="auto"/>
        <w:right w:val="none" w:sz="0" w:space="0" w:color="auto"/>
      </w:divBdr>
    </w:div>
    <w:div w:id="1699038063">
      <w:bodyDiv w:val="1"/>
      <w:marLeft w:val="0"/>
      <w:marRight w:val="0"/>
      <w:marTop w:val="0"/>
      <w:marBottom w:val="0"/>
      <w:divBdr>
        <w:top w:val="none" w:sz="0" w:space="0" w:color="auto"/>
        <w:left w:val="none" w:sz="0" w:space="0" w:color="auto"/>
        <w:bottom w:val="none" w:sz="0" w:space="0" w:color="auto"/>
        <w:right w:val="none" w:sz="0" w:space="0" w:color="auto"/>
      </w:divBdr>
    </w:div>
    <w:div w:id="1707028281">
      <w:bodyDiv w:val="1"/>
      <w:marLeft w:val="0"/>
      <w:marRight w:val="0"/>
      <w:marTop w:val="0"/>
      <w:marBottom w:val="0"/>
      <w:divBdr>
        <w:top w:val="none" w:sz="0" w:space="0" w:color="auto"/>
        <w:left w:val="none" w:sz="0" w:space="0" w:color="auto"/>
        <w:bottom w:val="none" w:sz="0" w:space="0" w:color="auto"/>
        <w:right w:val="none" w:sz="0" w:space="0" w:color="auto"/>
      </w:divBdr>
      <w:divsChild>
        <w:div w:id="2057662811">
          <w:marLeft w:val="0"/>
          <w:marRight w:val="0"/>
          <w:marTop w:val="0"/>
          <w:marBottom w:val="0"/>
          <w:divBdr>
            <w:top w:val="none" w:sz="0" w:space="0" w:color="auto"/>
            <w:left w:val="none" w:sz="0" w:space="0" w:color="auto"/>
            <w:bottom w:val="none" w:sz="0" w:space="0" w:color="auto"/>
            <w:right w:val="none" w:sz="0" w:space="0" w:color="auto"/>
          </w:divBdr>
          <w:divsChild>
            <w:div w:id="365714301">
              <w:marLeft w:val="0"/>
              <w:marRight w:val="0"/>
              <w:marTop w:val="0"/>
              <w:marBottom w:val="0"/>
              <w:divBdr>
                <w:top w:val="none" w:sz="0" w:space="0" w:color="auto"/>
                <w:left w:val="none" w:sz="0" w:space="0" w:color="auto"/>
                <w:bottom w:val="none" w:sz="0" w:space="0" w:color="auto"/>
                <w:right w:val="none" w:sz="0" w:space="0" w:color="auto"/>
              </w:divBdr>
              <w:divsChild>
                <w:div w:id="12983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81698">
      <w:bodyDiv w:val="1"/>
      <w:marLeft w:val="0"/>
      <w:marRight w:val="0"/>
      <w:marTop w:val="0"/>
      <w:marBottom w:val="0"/>
      <w:divBdr>
        <w:top w:val="none" w:sz="0" w:space="0" w:color="auto"/>
        <w:left w:val="none" w:sz="0" w:space="0" w:color="auto"/>
        <w:bottom w:val="none" w:sz="0" w:space="0" w:color="auto"/>
        <w:right w:val="none" w:sz="0" w:space="0" w:color="auto"/>
      </w:divBdr>
    </w:div>
    <w:div w:id="1738548261">
      <w:bodyDiv w:val="1"/>
      <w:marLeft w:val="0"/>
      <w:marRight w:val="0"/>
      <w:marTop w:val="0"/>
      <w:marBottom w:val="0"/>
      <w:divBdr>
        <w:top w:val="none" w:sz="0" w:space="0" w:color="auto"/>
        <w:left w:val="none" w:sz="0" w:space="0" w:color="auto"/>
        <w:bottom w:val="none" w:sz="0" w:space="0" w:color="auto"/>
        <w:right w:val="none" w:sz="0" w:space="0" w:color="auto"/>
      </w:divBdr>
      <w:divsChild>
        <w:div w:id="462163968">
          <w:marLeft w:val="0"/>
          <w:marRight w:val="0"/>
          <w:marTop w:val="0"/>
          <w:marBottom w:val="0"/>
          <w:divBdr>
            <w:top w:val="none" w:sz="0" w:space="0" w:color="auto"/>
            <w:left w:val="none" w:sz="0" w:space="0" w:color="auto"/>
            <w:bottom w:val="none" w:sz="0" w:space="0" w:color="auto"/>
            <w:right w:val="none" w:sz="0" w:space="0" w:color="auto"/>
          </w:divBdr>
          <w:divsChild>
            <w:div w:id="1337153059">
              <w:marLeft w:val="0"/>
              <w:marRight w:val="0"/>
              <w:marTop w:val="0"/>
              <w:marBottom w:val="0"/>
              <w:divBdr>
                <w:top w:val="none" w:sz="0" w:space="0" w:color="auto"/>
                <w:left w:val="none" w:sz="0" w:space="0" w:color="auto"/>
                <w:bottom w:val="none" w:sz="0" w:space="0" w:color="auto"/>
                <w:right w:val="none" w:sz="0" w:space="0" w:color="auto"/>
              </w:divBdr>
              <w:divsChild>
                <w:div w:id="2790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87633">
      <w:bodyDiv w:val="1"/>
      <w:marLeft w:val="0"/>
      <w:marRight w:val="0"/>
      <w:marTop w:val="0"/>
      <w:marBottom w:val="0"/>
      <w:divBdr>
        <w:top w:val="none" w:sz="0" w:space="0" w:color="auto"/>
        <w:left w:val="none" w:sz="0" w:space="0" w:color="auto"/>
        <w:bottom w:val="none" w:sz="0" w:space="0" w:color="auto"/>
        <w:right w:val="none" w:sz="0" w:space="0" w:color="auto"/>
      </w:divBdr>
    </w:div>
    <w:div w:id="1801223037">
      <w:bodyDiv w:val="1"/>
      <w:marLeft w:val="0"/>
      <w:marRight w:val="0"/>
      <w:marTop w:val="0"/>
      <w:marBottom w:val="0"/>
      <w:divBdr>
        <w:top w:val="none" w:sz="0" w:space="0" w:color="auto"/>
        <w:left w:val="none" w:sz="0" w:space="0" w:color="auto"/>
        <w:bottom w:val="none" w:sz="0" w:space="0" w:color="auto"/>
        <w:right w:val="none" w:sz="0" w:space="0" w:color="auto"/>
      </w:divBdr>
    </w:div>
    <w:div w:id="1852259666">
      <w:bodyDiv w:val="1"/>
      <w:marLeft w:val="0"/>
      <w:marRight w:val="0"/>
      <w:marTop w:val="0"/>
      <w:marBottom w:val="0"/>
      <w:divBdr>
        <w:top w:val="none" w:sz="0" w:space="0" w:color="auto"/>
        <w:left w:val="none" w:sz="0" w:space="0" w:color="auto"/>
        <w:bottom w:val="none" w:sz="0" w:space="0" w:color="auto"/>
        <w:right w:val="none" w:sz="0" w:space="0" w:color="auto"/>
      </w:divBdr>
    </w:div>
    <w:div w:id="1999380229">
      <w:bodyDiv w:val="1"/>
      <w:marLeft w:val="0"/>
      <w:marRight w:val="0"/>
      <w:marTop w:val="0"/>
      <w:marBottom w:val="0"/>
      <w:divBdr>
        <w:top w:val="none" w:sz="0" w:space="0" w:color="auto"/>
        <w:left w:val="none" w:sz="0" w:space="0" w:color="auto"/>
        <w:bottom w:val="none" w:sz="0" w:space="0" w:color="auto"/>
        <w:right w:val="none" w:sz="0" w:space="0" w:color="auto"/>
      </w:divBdr>
    </w:div>
    <w:div w:id="2024625128">
      <w:bodyDiv w:val="1"/>
      <w:marLeft w:val="0"/>
      <w:marRight w:val="0"/>
      <w:marTop w:val="0"/>
      <w:marBottom w:val="0"/>
      <w:divBdr>
        <w:top w:val="none" w:sz="0" w:space="0" w:color="auto"/>
        <w:left w:val="none" w:sz="0" w:space="0" w:color="auto"/>
        <w:bottom w:val="none" w:sz="0" w:space="0" w:color="auto"/>
        <w:right w:val="none" w:sz="0" w:space="0" w:color="auto"/>
      </w:divBdr>
    </w:div>
    <w:div w:id="2024941122">
      <w:bodyDiv w:val="1"/>
      <w:marLeft w:val="0"/>
      <w:marRight w:val="0"/>
      <w:marTop w:val="0"/>
      <w:marBottom w:val="0"/>
      <w:divBdr>
        <w:top w:val="none" w:sz="0" w:space="0" w:color="auto"/>
        <w:left w:val="none" w:sz="0" w:space="0" w:color="auto"/>
        <w:bottom w:val="none" w:sz="0" w:space="0" w:color="auto"/>
        <w:right w:val="none" w:sz="0" w:space="0" w:color="auto"/>
      </w:divBdr>
    </w:div>
    <w:div w:id="2032993188">
      <w:bodyDiv w:val="1"/>
      <w:marLeft w:val="0"/>
      <w:marRight w:val="0"/>
      <w:marTop w:val="0"/>
      <w:marBottom w:val="0"/>
      <w:divBdr>
        <w:top w:val="none" w:sz="0" w:space="0" w:color="auto"/>
        <w:left w:val="none" w:sz="0" w:space="0" w:color="auto"/>
        <w:bottom w:val="none" w:sz="0" w:space="0" w:color="auto"/>
        <w:right w:val="none" w:sz="0" w:space="0" w:color="auto"/>
      </w:divBdr>
    </w:div>
    <w:div w:id="2037734681">
      <w:bodyDiv w:val="1"/>
      <w:marLeft w:val="0"/>
      <w:marRight w:val="0"/>
      <w:marTop w:val="0"/>
      <w:marBottom w:val="0"/>
      <w:divBdr>
        <w:top w:val="none" w:sz="0" w:space="0" w:color="auto"/>
        <w:left w:val="none" w:sz="0" w:space="0" w:color="auto"/>
        <w:bottom w:val="none" w:sz="0" w:space="0" w:color="auto"/>
        <w:right w:val="none" w:sz="0" w:space="0" w:color="auto"/>
      </w:divBdr>
    </w:div>
    <w:div w:id="2042704577">
      <w:bodyDiv w:val="1"/>
      <w:marLeft w:val="0"/>
      <w:marRight w:val="0"/>
      <w:marTop w:val="0"/>
      <w:marBottom w:val="0"/>
      <w:divBdr>
        <w:top w:val="none" w:sz="0" w:space="0" w:color="auto"/>
        <w:left w:val="none" w:sz="0" w:space="0" w:color="auto"/>
        <w:bottom w:val="none" w:sz="0" w:space="0" w:color="auto"/>
        <w:right w:val="none" w:sz="0" w:space="0" w:color="auto"/>
      </w:divBdr>
      <w:divsChild>
        <w:div w:id="1406490550">
          <w:marLeft w:val="0"/>
          <w:marRight w:val="0"/>
          <w:marTop w:val="0"/>
          <w:marBottom w:val="0"/>
          <w:divBdr>
            <w:top w:val="none" w:sz="0" w:space="0" w:color="auto"/>
            <w:left w:val="none" w:sz="0" w:space="0" w:color="auto"/>
            <w:bottom w:val="none" w:sz="0" w:space="0" w:color="auto"/>
            <w:right w:val="none" w:sz="0" w:space="0" w:color="auto"/>
          </w:divBdr>
          <w:divsChild>
            <w:div w:id="1912999278">
              <w:marLeft w:val="0"/>
              <w:marRight w:val="0"/>
              <w:marTop w:val="0"/>
              <w:marBottom w:val="0"/>
              <w:divBdr>
                <w:top w:val="none" w:sz="0" w:space="0" w:color="auto"/>
                <w:left w:val="none" w:sz="0" w:space="0" w:color="auto"/>
                <w:bottom w:val="none" w:sz="0" w:space="0" w:color="auto"/>
                <w:right w:val="none" w:sz="0" w:space="0" w:color="auto"/>
              </w:divBdr>
              <w:divsChild>
                <w:div w:id="4971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66230">
      <w:bodyDiv w:val="1"/>
      <w:marLeft w:val="0"/>
      <w:marRight w:val="0"/>
      <w:marTop w:val="0"/>
      <w:marBottom w:val="0"/>
      <w:divBdr>
        <w:top w:val="none" w:sz="0" w:space="0" w:color="auto"/>
        <w:left w:val="none" w:sz="0" w:space="0" w:color="auto"/>
        <w:bottom w:val="none" w:sz="0" w:space="0" w:color="auto"/>
        <w:right w:val="none" w:sz="0" w:space="0" w:color="auto"/>
      </w:divBdr>
    </w:div>
    <w:div w:id="2071732698">
      <w:bodyDiv w:val="1"/>
      <w:marLeft w:val="0"/>
      <w:marRight w:val="0"/>
      <w:marTop w:val="0"/>
      <w:marBottom w:val="0"/>
      <w:divBdr>
        <w:top w:val="none" w:sz="0" w:space="0" w:color="auto"/>
        <w:left w:val="none" w:sz="0" w:space="0" w:color="auto"/>
        <w:bottom w:val="none" w:sz="0" w:space="0" w:color="auto"/>
        <w:right w:val="none" w:sz="0" w:space="0" w:color="auto"/>
      </w:divBdr>
    </w:div>
    <w:div w:id="2084570570">
      <w:bodyDiv w:val="1"/>
      <w:marLeft w:val="0"/>
      <w:marRight w:val="0"/>
      <w:marTop w:val="0"/>
      <w:marBottom w:val="0"/>
      <w:divBdr>
        <w:top w:val="none" w:sz="0" w:space="0" w:color="auto"/>
        <w:left w:val="none" w:sz="0" w:space="0" w:color="auto"/>
        <w:bottom w:val="none" w:sz="0" w:space="0" w:color="auto"/>
        <w:right w:val="none" w:sz="0" w:space="0" w:color="auto"/>
      </w:divBdr>
    </w:div>
    <w:div w:id="2110352078">
      <w:bodyDiv w:val="1"/>
      <w:marLeft w:val="0"/>
      <w:marRight w:val="0"/>
      <w:marTop w:val="0"/>
      <w:marBottom w:val="0"/>
      <w:divBdr>
        <w:top w:val="none" w:sz="0" w:space="0" w:color="auto"/>
        <w:left w:val="none" w:sz="0" w:space="0" w:color="auto"/>
        <w:bottom w:val="none" w:sz="0" w:space="0" w:color="auto"/>
        <w:right w:val="none" w:sz="0" w:space="0" w:color="auto"/>
      </w:divBdr>
    </w:div>
    <w:div w:id="2122917966">
      <w:bodyDiv w:val="1"/>
      <w:marLeft w:val="0"/>
      <w:marRight w:val="0"/>
      <w:marTop w:val="0"/>
      <w:marBottom w:val="0"/>
      <w:divBdr>
        <w:top w:val="none" w:sz="0" w:space="0" w:color="auto"/>
        <w:left w:val="none" w:sz="0" w:space="0" w:color="auto"/>
        <w:bottom w:val="none" w:sz="0" w:space="0" w:color="auto"/>
        <w:right w:val="none" w:sz="0" w:space="0" w:color="auto"/>
      </w:divBdr>
      <w:divsChild>
        <w:div w:id="2072194284">
          <w:marLeft w:val="0"/>
          <w:marRight w:val="0"/>
          <w:marTop w:val="0"/>
          <w:marBottom w:val="0"/>
          <w:divBdr>
            <w:top w:val="none" w:sz="0" w:space="0" w:color="auto"/>
            <w:left w:val="none" w:sz="0" w:space="0" w:color="auto"/>
            <w:bottom w:val="none" w:sz="0" w:space="0" w:color="auto"/>
            <w:right w:val="none" w:sz="0" w:space="0" w:color="auto"/>
          </w:divBdr>
        </w:div>
        <w:div w:id="1897618665">
          <w:marLeft w:val="0"/>
          <w:marRight w:val="0"/>
          <w:marTop w:val="0"/>
          <w:marBottom w:val="0"/>
          <w:divBdr>
            <w:top w:val="none" w:sz="0" w:space="0" w:color="auto"/>
            <w:left w:val="none" w:sz="0" w:space="0" w:color="auto"/>
            <w:bottom w:val="none" w:sz="0" w:space="0" w:color="auto"/>
            <w:right w:val="none" w:sz="0" w:space="0" w:color="auto"/>
          </w:divBdr>
        </w:div>
        <w:div w:id="180555239">
          <w:marLeft w:val="0"/>
          <w:marRight w:val="0"/>
          <w:marTop w:val="0"/>
          <w:marBottom w:val="0"/>
          <w:divBdr>
            <w:top w:val="none" w:sz="0" w:space="0" w:color="auto"/>
            <w:left w:val="none" w:sz="0" w:space="0" w:color="auto"/>
            <w:bottom w:val="none" w:sz="0" w:space="0" w:color="auto"/>
            <w:right w:val="none" w:sz="0" w:space="0" w:color="auto"/>
          </w:divBdr>
        </w:div>
        <w:div w:id="1474832646">
          <w:marLeft w:val="0"/>
          <w:marRight w:val="0"/>
          <w:marTop w:val="0"/>
          <w:marBottom w:val="0"/>
          <w:divBdr>
            <w:top w:val="none" w:sz="0" w:space="0" w:color="auto"/>
            <w:left w:val="none" w:sz="0" w:space="0" w:color="auto"/>
            <w:bottom w:val="none" w:sz="0" w:space="0" w:color="auto"/>
            <w:right w:val="none" w:sz="0" w:space="0" w:color="auto"/>
          </w:divBdr>
        </w:div>
        <w:div w:id="1459569541">
          <w:marLeft w:val="0"/>
          <w:marRight w:val="0"/>
          <w:marTop w:val="0"/>
          <w:marBottom w:val="0"/>
          <w:divBdr>
            <w:top w:val="none" w:sz="0" w:space="0" w:color="auto"/>
            <w:left w:val="none" w:sz="0" w:space="0" w:color="auto"/>
            <w:bottom w:val="none" w:sz="0" w:space="0" w:color="auto"/>
            <w:right w:val="none" w:sz="0" w:space="0" w:color="auto"/>
          </w:divBdr>
        </w:div>
        <w:div w:id="139959864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i.org/10.1111/1467-9566.12923"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D9C292C-C1DB-6542-9DC0-FF26AD08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18</Pages>
  <Words>8522</Words>
  <Characters>47812</Characters>
  <Application>Microsoft Macintosh Word</Application>
  <DocSecurity>0</DocSecurity>
  <Lines>771</Lines>
  <Paragraphs>156</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56178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Lorelei</dc:creator>
  <cp:lastModifiedBy>Jones, Lorelei</cp:lastModifiedBy>
  <cp:revision>27</cp:revision>
  <cp:lastPrinted>2019-02-27T14:42:00Z</cp:lastPrinted>
  <dcterms:created xsi:type="dcterms:W3CDTF">2019-03-21T10:00:00Z</dcterms:created>
  <dcterms:modified xsi:type="dcterms:W3CDTF">2019-05-18T09:55:00Z</dcterms:modified>
</cp:coreProperties>
</file>