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E0E0" w14:textId="77777777" w:rsidR="002C0176" w:rsidRPr="008A7E14" w:rsidRDefault="002C0176" w:rsidP="002C0176">
      <w:pPr>
        <w:tabs>
          <w:tab w:val="left" w:pos="284"/>
          <w:tab w:val="left" w:pos="567"/>
        </w:tabs>
        <w:spacing w:line="480" w:lineRule="auto"/>
        <w:rPr>
          <w:b/>
          <w:bCs/>
          <w:sz w:val="28"/>
          <w:szCs w:val="28"/>
        </w:rPr>
      </w:pPr>
      <w:r w:rsidRPr="008A7E14">
        <w:rPr>
          <w:b/>
          <w:bCs/>
          <w:sz w:val="28"/>
          <w:szCs w:val="28"/>
        </w:rPr>
        <w:t xml:space="preserve">The </w:t>
      </w:r>
      <w:r>
        <w:rPr>
          <w:b/>
          <w:bCs/>
          <w:sz w:val="28"/>
          <w:szCs w:val="28"/>
        </w:rPr>
        <w:t>i</w:t>
      </w:r>
      <w:r w:rsidRPr="008A7E14">
        <w:rPr>
          <w:b/>
          <w:bCs/>
          <w:sz w:val="28"/>
          <w:szCs w:val="28"/>
        </w:rPr>
        <w:t xml:space="preserve">mpact of ESMA </w:t>
      </w:r>
      <w:r>
        <w:rPr>
          <w:b/>
          <w:bCs/>
          <w:sz w:val="28"/>
          <w:szCs w:val="28"/>
        </w:rPr>
        <w:t>r</w:t>
      </w:r>
      <w:r w:rsidRPr="008A7E14">
        <w:rPr>
          <w:b/>
          <w:bCs/>
          <w:sz w:val="28"/>
          <w:szCs w:val="28"/>
        </w:rPr>
        <w:t xml:space="preserve">egulatory </w:t>
      </w:r>
      <w:bookmarkStart w:id="0" w:name="_GoBack"/>
      <w:bookmarkEnd w:id="0"/>
      <w:r>
        <w:rPr>
          <w:b/>
          <w:bCs/>
          <w:sz w:val="28"/>
          <w:szCs w:val="28"/>
        </w:rPr>
        <w:t>i</w:t>
      </w:r>
      <w:r w:rsidRPr="008A7E14">
        <w:rPr>
          <w:b/>
          <w:bCs/>
          <w:sz w:val="28"/>
          <w:szCs w:val="28"/>
        </w:rPr>
        <w:t xml:space="preserve">dentifiers on the </w:t>
      </w:r>
      <w:r>
        <w:rPr>
          <w:b/>
          <w:bCs/>
          <w:sz w:val="28"/>
          <w:szCs w:val="28"/>
        </w:rPr>
        <w:t>q</w:t>
      </w:r>
      <w:r w:rsidRPr="008A7E14">
        <w:rPr>
          <w:b/>
          <w:bCs/>
          <w:sz w:val="28"/>
          <w:szCs w:val="28"/>
        </w:rPr>
        <w:t xml:space="preserve">uality of </w:t>
      </w:r>
      <w:r>
        <w:rPr>
          <w:b/>
          <w:bCs/>
          <w:sz w:val="28"/>
          <w:szCs w:val="28"/>
        </w:rPr>
        <w:t>r</w:t>
      </w:r>
      <w:r w:rsidRPr="008A7E14">
        <w:rPr>
          <w:b/>
          <w:bCs/>
          <w:sz w:val="28"/>
          <w:szCs w:val="28"/>
        </w:rPr>
        <w:t>atings</w:t>
      </w:r>
    </w:p>
    <w:p w14:paraId="4015D27B" w14:textId="77777777" w:rsidR="002C0176" w:rsidRPr="00093817" w:rsidRDefault="002C0176" w:rsidP="002C0176">
      <w:pPr>
        <w:autoSpaceDE w:val="0"/>
        <w:autoSpaceDN w:val="0"/>
        <w:adjustRightInd w:val="0"/>
        <w:spacing w:line="600" w:lineRule="auto"/>
      </w:pPr>
      <w:r w:rsidRPr="00093817">
        <w:rPr>
          <w:color w:val="000000"/>
        </w:rPr>
        <w:t xml:space="preserve">Patrycja </w:t>
      </w:r>
      <w:proofErr w:type="spellStart"/>
      <w:r w:rsidRPr="00093817">
        <w:rPr>
          <w:color w:val="000000"/>
        </w:rPr>
        <w:t>Klusak</w:t>
      </w:r>
      <w:proofErr w:type="spellEnd"/>
      <w:r w:rsidRPr="00093817">
        <w:rPr>
          <w:vertAlign w:val="superscript"/>
        </w:rPr>
        <w:t xml:space="preserve"> a</w:t>
      </w:r>
      <w:r w:rsidRPr="00093817">
        <w:t xml:space="preserve">, </w:t>
      </w:r>
      <w:proofErr w:type="spellStart"/>
      <w:r w:rsidRPr="00093817">
        <w:t>Rasha</w:t>
      </w:r>
      <w:proofErr w:type="spellEnd"/>
      <w:r w:rsidRPr="00093817">
        <w:t xml:space="preserve"> </w:t>
      </w:r>
      <w:proofErr w:type="spellStart"/>
      <w:proofErr w:type="gramStart"/>
      <w:r w:rsidRPr="00093817">
        <w:t>Alsakka</w:t>
      </w:r>
      <w:r>
        <w:rPr>
          <w:vertAlign w:val="superscript"/>
        </w:rPr>
        <w:t>b</w:t>
      </w:r>
      <w:proofErr w:type="spellEnd"/>
      <w:r w:rsidRPr="00093817">
        <w:rPr>
          <w:vertAlign w:val="superscript"/>
        </w:rPr>
        <w:t>,</w:t>
      </w:r>
      <w:r w:rsidRPr="00093817">
        <w:t>*</w:t>
      </w:r>
      <w:proofErr w:type="gramEnd"/>
      <w:r w:rsidRPr="00093817">
        <w:t xml:space="preserve">, Owain ap </w:t>
      </w:r>
      <w:proofErr w:type="spellStart"/>
      <w:r w:rsidRPr="00093817">
        <w:t>Gwilym</w:t>
      </w:r>
      <w:r>
        <w:rPr>
          <w:vertAlign w:val="superscript"/>
        </w:rPr>
        <w:t>b</w:t>
      </w:r>
      <w:proofErr w:type="spellEnd"/>
      <w:r w:rsidRPr="00093817">
        <w:t xml:space="preserve">, </w:t>
      </w:r>
    </w:p>
    <w:p w14:paraId="2038A21C" w14:textId="77777777" w:rsidR="002C0176" w:rsidRPr="006F22F7" w:rsidRDefault="002C0176" w:rsidP="002C0176">
      <w:pPr>
        <w:rPr>
          <w:i/>
          <w:vertAlign w:val="superscript"/>
        </w:rPr>
      </w:pPr>
      <w:r w:rsidRPr="00093817">
        <w:rPr>
          <w:vertAlign w:val="superscript"/>
        </w:rPr>
        <w:t>a</w:t>
      </w:r>
      <w:r w:rsidRPr="00093817">
        <w:rPr>
          <w:color w:val="000000"/>
        </w:rPr>
        <w:t xml:space="preserve"> </w:t>
      </w:r>
      <w:r w:rsidRPr="006F22F7">
        <w:rPr>
          <w:i/>
          <w:color w:val="000000"/>
        </w:rPr>
        <w:t>Norwich Business School, University of East Anglia, NR4 7TJ, UK.</w:t>
      </w:r>
    </w:p>
    <w:p w14:paraId="37AFD574" w14:textId="77777777" w:rsidR="002C0176" w:rsidRPr="00093817" w:rsidRDefault="002C0176" w:rsidP="002C0176">
      <w:pPr>
        <w:rPr>
          <w:b/>
          <w:bCs/>
        </w:rPr>
      </w:pPr>
      <w:r w:rsidRPr="00093817">
        <w:rPr>
          <w:vertAlign w:val="superscript"/>
        </w:rPr>
        <w:t xml:space="preserve">b </w:t>
      </w:r>
      <w:r w:rsidRPr="00093817">
        <w:rPr>
          <w:i/>
          <w:iCs/>
        </w:rPr>
        <w:t>Bangor Business School, Bangor University, LL57 2DG, UK</w:t>
      </w:r>
    </w:p>
    <w:p w14:paraId="6F9C8F57" w14:textId="77777777" w:rsidR="002C0176" w:rsidRDefault="002C0176" w:rsidP="002C0176">
      <w:pPr>
        <w:tabs>
          <w:tab w:val="left" w:pos="284"/>
          <w:tab w:val="left" w:pos="567"/>
        </w:tabs>
        <w:spacing w:line="480" w:lineRule="auto"/>
        <w:rPr>
          <w:i/>
          <w:vertAlign w:val="superscript"/>
        </w:rPr>
      </w:pPr>
    </w:p>
    <w:p w14:paraId="6433F264" w14:textId="77777777" w:rsidR="002C0176" w:rsidRPr="00FC40AB" w:rsidRDefault="002C0176" w:rsidP="002C0176">
      <w:pPr>
        <w:tabs>
          <w:tab w:val="left" w:pos="284"/>
          <w:tab w:val="left" w:pos="567"/>
        </w:tabs>
        <w:spacing w:line="480" w:lineRule="auto"/>
        <w:rPr>
          <w:sz w:val="10"/>
          <w:szCs w:val="10"/>
        </w:rPr>
      </w:pPr>
    </w:p>
    <w:p w14:paraId="37E6D4D9" w14:textId="77777777" w:rsidR="002C0176" w:rsidRPr="003A41B3" w:rsidRDefault="002C0176" w:rsidP="002C0176">
      <w:pPr>
        <w:tabs>
          <w:tab w:val="left" w:pos="284"/>
        </w:tabs>
        <w:spacing w:line="360" w:lineRule="auto"/>
        <w:jc w:val="center"/>
      </w:pPr>
      <w:r w:rsidRPr="003A41B3">
        <w:t>This version: 11</w:t>
      </w:r>
      <w:r w:rsidRPr="003A41B3">
        <w:rPr>
          <w:vertAlign w:val="superscript"/>
        </w:rPr>
        <w:t>th</w:t>
      </w:r>
      <w:r w:rsidRPr="003A41B3">
        <w:t xml:space="preserve"> April 2019</w:t>
      </w:r>
    </w:p>
    <w:p w14:paraId="2D805F9A" w14:textId="77777777" w:rsidR="002C0176" w:rsidRPr="00904906" w:rsidRDefault="002C0176" w:rsidP="002C0176">
      <w:pPr>
        <w:tabs>
          <w:tab w:val="left" w:pos="284"/>
          <w:tab w:val="left" w:pos="567"/>
        </w:tabs>
        <w:spacing w:line="480" w:lineRule="auto"/>
      </w:pPr>
    </w:p>
    <w:p w14:paraId="30E05776" w14:textId="77777777" w:rsidR="002C0176" w:rsidRPr="003A41B3" w:rsidRDefault="002C0176" w:rsidP="002C0176">
      <w:pPr>
        <w:tabs>
          <w:tab w:val="left" w:pos="284"/>
          <w:tab w:val="left" w:pos="567"/>
        </w:tabs>
        <w:spacing w:line="480" w:lineRule="auto"/>
        <w:rPr>
          <w:sz w:val="12"/>
          <w:szCs w:val="12"/>
        </w:rPr>
      </w:pPr>
    </w:p>
    <w:p w14:paraId="29880C68" w14:textId="77777777" w:rsidR="002C0176" w:rsidRPr="003A41B3" w:rsidRDefault="002C0176" w:rsidP="002C0176">
      <w:pPr>
        <w:tabs>
          <w:tab w:val="left" w:pos="284"/>
        </w:tabs>
        <w:spacing w:line="480" w:lineRule="auto"/>
        <w:jc w:val="center"/>
        <w:rPr>
          <w:b/>
          <w:bCs/>
        </w:rPr>
      </w:pPr>
      <w:r w:rsidRPr="003A41B3">
        <w:rPr>
          <w:b/>
          <w:bCs/>
        </w:rPr>
        <w:t>Abstract</w:t>
      </w:r>
    </w:p>
    <w:p w14:paraId="6350B0A5" w14:textId="77777777" w:rsidR="002C0176" w:rsidRPr="003A41B3" w:rsidRDefault="002C0176" w:rsidP="002C0176">
      <w:pPr>
        <w:tabs>
          <w:tab w:val="left" w:pos="284"/>
        </w:tabs>
        <w:spacing w:line="480" w:lineRule="auto"/>
        <w:jc w:val="both"/>
      </w:pPr>
      <w:r w:rsidRPr="003A41B3">
        <w:t>This paper investigates the impact of the introduction of ESMA credit rating identifiers on the quality of ratings. These identifiers form part of the disclosure requirements placed upon credit rating agencies (CRAs) since 2012 under a new EU regulatory regime and have not featured in any prior empirical literature. Rating informativeness is gauged from bond market data. Using a rich dataset of sovereign rating actions by the three major CRAs for 70 countries during the period 2006-2016, we find that the ESMA requirement for identifiers yields varying outcomes across downgrades and upgrades. The rating quality associated with downgrades by Moody’s improves, whereas upgrades by S&amp;P, Moody’s and Fitch are of lower quality. These results are consistent with greater conservatism in rating policies after the regulatory reforms. ESMA’s additional focus on analyst location does not reveal any consistent difference in the quality of ratings.</w:t>
      </w:r>
    </w:p>
    <w:p w14:paraId="299592FE" w14:textId="77777777" w:rsidR="002C0176" w:rsidRPr="003A41B3" w:rsidRDefault="002C0176" w:rsidP="002C0176">
      <w:pPr>
        <w:tabs>
          <w:tab w:val="left" w:pos="284"/>
        </w:tabs>
        <w:spacing w:line="480" w:lineRule="auto"/>
        <w:jc w:val="both"/>
      </w:pPr>
    </w:p>
    <w:p w14:paraId="6A34E713" w14:textId="77777777" w:rsidR="002C0176" w:rsidRPr="003A41B3" w:rsidRDefault="002C0176" w:rsidP="002C0176">
      <w:pPr>
        <w:pStyle w:val="Caption"/>
        <w:keepNext/>
        <w:tabs>
          <w:tab w:val="left" w:pos="284"/>
          <w:tab w:val="left" w:pos="567"/>
        </w:tabs>
        <w:spacing w:line="480" w:lineRule="auto"/>
        <w:rPr>
          <w:rFonts w:cs="Times New Roman"/>
          <w:i w:val="0"/>
          <w:iCs w:val="0"/>
          <w:color w:val="auto"/>
          <w:sz w:val="24"/>
          <w:szCs w:val="24"/>
        </w:rPr>
      </w:pPr>
      <w:r w:rsidRPr="003A41B3">
        <w:rPr>
          <w:rFonts w:cs="Times New Roman"/>
          <w:color w:val="auto"/>
          <w:sz w:val="24"/>
          <w:szCs w:val="24"/>
        </w:rPr>
        <w:t xml:space="preserve">Keywords: </w:t>
      </w:r>
      <w:r w:rsidRPr="003A41B3">
        <w:rPr>
          <w:rFonts w:cs="Times New Roman"/>
          <w:i w:val="0"/>
          <w:iCs w:val="0"/>
          <w:color w:val="auto"/>
          <w:sz w:val="24"/>
          <w:szCs w:val="24"/>
        </w:rPr>
        <w:t>Rating agency regulation; ESMA identifiers; Quality of ratings; Analyst location.</w:t>
      </w:r>
    </w:p>
    <w:p w14:paraId="0A91A4B7" w14:textId="77777777" w:rsidR="002C0176" w:rsidRPr="003A41B3" w:rsidRDefault="002C0176" w:rsidP="002C0176">
      <w:pPr>
        <w:spacing w:line="480" w:lineRule="auto"/>
        <w:jc w:val="both"/>
        <w:rPr>
          <w:b/>
          <w:sz w:val="23"/>
          <w:szCs w:val="23"/>
          <w:lang w:val="en-GB"/>
        </w:rPr>
      </w:pPr>
      <w:r w:rsidRPr="003A41B3">
        <w:rPr>
          <w:i/>
          <w:sz w:val="23"/>
          <w:szCs w:val="23"/>
        </w:rPr>
        <w:t>JEL classification:</w:t>
      </w:r>
      <w:r w:rsidRPr="003A41B3">
        <w:rPr>
          <w:b/>
          <w:sz w:val="23"/>
          <w:szCs w:val="23"/>
        </w:rPr>
        <w:t xml:space="preserve"> </w:t>
      </w:r>
      <w:r w:rsidRPr="003A41B3">
        <w:rPr>
          <w:sz w:val="23"/>
          <w:szCs w:val="23"/>
        </w:rPr>
        <w:t xml:space="preserve">G15; G24. </w:t>
      </w:r>
      <w:r w:rsidRPr="003A41B3">
        <w:rPr>
          <w:b/>
          <w:sz w:val="23"/>
          <w:szCs w:val="23"/>
        </w:rPr>
        <w:t xml:space="preserve"> </w:t>
      </w:r>
    </w:p>
    <w:p w14:paraId="1068A7AC" w14:textId="77777777" w:rsidR="002C0176" w:rsidRPr="00904906" w:rsidRDefault="002C0176" w:rsidP="002C0176">
      <w:pPr>
        <w:spacing w:line="480" w:lineRule="auto"/>
        <w:jc w:val="both"/>
        <w:rPr>
          <w:b/>
          <w:sz w:val="20"/>
          <w:szCs w:val="20"/>
          <w:lang w:val="en-GB"/>
        </w:rPr>
      </w:pPr>
    </w:p>
    <w:p w14:paraId="19F524E3" w14:textId="77777777" w:rsidR="002C0176" w:rsidRPr="00C26B85" w:rsidRDefault="002C0176" w:rsidP="002C0176">
      <w:pPr>
        <w:spacing w:line="276" w:lineRule="auto"/>
        <w:contextualSpacing/>
      </w:pPr>
      <w:r w:rsidRPr="00C26B85">
        <w:rPr>
          <w:noProof/>
          <w:sz w:val="22"/>
          <w:lang w:val="en-GB" w:eastAsia="en-GB"/>
        </w:rPr>
        <mc:AlternateContent>
          <mc:Choice Requires="wps">
            <w:drawing>
              <wp:anchor distT="4294967291" distB="4294967291" distL="114300" distR="114300" simplePos="0" relativeHeight="251659264" behindDoc="0" locked="0" layoutInCell="1" allowOverlap="1" wp14:anchorId="584CD433" wp14:editId="16759E2B">
                <wp:simplePos x="0" y="0"/>
                <wp:positionH relativeFrom="column">
                  <wp:posOffset>0</wp:posOffset>
                </wp:positionH>
                <wp:positionV relativeFrom="paragraph">
                  <wp:posOffset>113029</wp:posOffset>
                </wp:positionV>
                <wp:extent cx="57054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CC004" id="_x0000_t32" coordsize="21600,21600" o:spt="32" o:oned="t" path="m,l21600,21600e" filled="f">
                <v:path arrowok="t" fillok="f" o:connecttype="none"/>
                <o:lock v:ext="edit" shapetype="t"/>
              </v:shapetype>
              <v:shape id="Straight Arrow Connector 1" o:spid="_x0000_s1026" type="#_x0000_t32" style="position:absolute;margin-left:0;margin-top:8.9pt;width:449.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"/>
            </w:pict>
          </mc:Fallback>
        </mc:AlternateContent>
      </w:r>
    </w:p>
    <w:p w14:paraId="6C94E32A" w14:textId="77777777" w:rsidR="002C0176" w:rsidRDefault="002C0176" w:rsidP="002C0176">
      <w:pPr>
        <w:spacing w:line="276" w:lineRule="auto"/>
        <w:rPr>
          <w:sz w:val="23"/>
          <w:szCs w:val="23"/>
        </w:rPr>
      </w:pPr>
      <w:r w:rsidRPr="00C26B85">
        <w:rPr>
          <w:sz w:val="23"/>
          <w:szCs w:val="23"/>
        </w:rPr>
        <w:t xml:space="preserve">* Corresponding author. </w:t>
      </w:r>
      <w:r w:rsidRPr="00C26B85">
        <w:rPr>
          <w:bCs/>
          <w:sz w:val="23"/>
          <w:szCs w:val="23"/>
        </w:rPr>
        <w:t xml:space="preserve">Tel.: +44 (0) 1248 383571. </w:t>
      </w:r>
    </w:p>
    <w:p w14:paraId="2B4023BD" w14:textId="376472AA" w:rsidR="003D6FC6" w:rsidRPr="002C0176" w:rsidRDefault="002C0176" w:rsidP="002C0176">
      <w:pPr>
        <w:autoSpaceDE w:val="0"/>
        <w:autoSpaceDN w:val="0"/>
        <w:adjustRightInd w:val="0"/>
        <w:jc w:val="both"/>
        <w:rPr>
          <w:b/>
          <w:bCs/>
          <w:sz w:val="23"/>
          <w:szCs w:val="23"/>
        </w:rPr>
      </w:pPr>
      <w:r w:rsidRPr="00093817">
        <w:rPr>
          <w:i/>
          <w:iCs/>
          <w:sz w:val="20"/>
          <w:szCs w:val="20"/>
        </w:rPr>
        <w:t xml:space="preserve">E-mail addresses: </w:t>
      </w:r>
      <w:r w:rsidRPr="00093817">
        <w:rPr>
          <w:color w:val="000000"/>
          <w:sz w:val="20"/>
          <w:szCs w:val="20"/>
        </w:rPr>
        <w:t xml:space="preserve">p.klusak@uea.ac.uk (P. </w:t>
      </w:r>
      <w:proofErr w:type="spellStart"/>
      <w:r w:rsidRPr="00093817">
        <w:rPr>
          <w:color w:val="000000"/>
          <w:sz w:val="20"/>
          <w:szCs w:val="20"/>
        </w:rPr>
        <w:t>Klusak</w:t>
      </w:r>
      <w:proofErr w:type="spellEnd"/>
      <w:r w:rsidRPr="00093817">
        <w:rPr>
          <w:color w:val="000000"/>
          <w:sz w:val="20"/>
          <w:szCs w:val="20"/>
        </w:rPr>
        <w:t xml:space="preserve">), </w:t>
      </w:r>
      <w:r w:rsidRPr="00093817">
        <w:rPr>
          <w:sz w:val="20"/>
          <w:szCs w:val="20"/>
        </w:rPr>
        <w:t xml:space="preserve">r.alsakka@bangor.ac.uk (R. </w:t>
      </w:r>
      <w:proofErr w:type="spellStart"/>
      <w:r w:rsidRPr="00093817">
        <w:rPr>
          <w:sz w:val="20"/>
          <w:szCs w:val="20"/>
        </w:rPr>
        <w:t>Alsakka</w:t>
      </w:r>
      <w:proofErr w:type="spellEnd"/>
      <w:r w:rsidRPr="00093817">
        <w:rPr>
          <w:sz w:val="20"/>
          <w:szCs w:val="20"/>
        </w:rPr>
        <w:t xml:space="preserve">), </w:t>
      </w:r>
      <w:r w:rsidRPr="0001491B">
        <w:rPr>
          <w:sz w:val="20"/>
          <w:szCs w:val="20"/>
        </w:rPr>
        <w:t>owain.apgwilym@bangor.ac.uk (</w:t>
      </w:r>
      <w:proofErr w:type="spellStart"/>
      <w:proofErr w:type="gramStart"/>
      <w:r w:rsidRPr="0001491B">
        <w:rPr>
          <w:sz w:val="20"/>
          <w:szCs w:val="20"/>
        </w:rPr>
        <w:t>O.ap</w:t>
      </w:r>
      <w:proofErr w:type="spellEnd"/>
      <w:proofErr w:type="gramEnd"/>
      <w:r w:rsidRPr="0001491B">
        <w:rPr>
          <w:sz w:val="20"/>
          <w:szCs w:val="20"/>
        </w:rPr>
        <w:t xml:space="preserve"> Gwilym).</w:t>
      </w:r>
      <w:r>
        <w:rPr>
          <w:b/>
          <w:bCs/>
          <w:sz w:val="23"/>
          <w:szCs w:val="23"/>
        </w:rPr>
        <w:t xml:space="preserve"> </w:t>
      </w:r>
    </w:p>
    <w:p w14:paraId="56A7E4C6" w14:textId="77777777" w:rsidR="003D6FC6" w:rsidRPr="003A41B3" w:rsidRDefault="003D6FC6" w:rsidP="003D6FC6">
      <w:pPr>
        <w:pStyle w:val="Heading1"/>
        <w:numPr>
          <w:ilvl w:val="0"/>
          <w:numId w:val="1"/>
        </w:numPr>
        <w:spacing w:line="480" w:lineRule="auto"/>
        <w:ind w:left="284" w:hanging="284"/>
        <w:rPr>
          <w:rFonts w:eastAsia="Times New Roman" w:cs="Times New Roman"/>
          <w:color w:val="auto"/>
        </w:rPr>
      </w:pPr>
      <w:r w:rsidRPr="003A41B3">
        <w:rPr>
          <w:rFonts w:cs="Times New Roman"/>
          <w:color w:val="auto"/>
        </w:rPr>
        <w:lastRenderedPageBreak/>
        <w:t xml:space="preserve">Introduction </w:t>
      </w:r>
    </w:p>
    <w:p w14:paraId="020054FA" w14:textId="77777777" w:rsidR="003D6FC6" w:rsidRPr="003A41B3" w:rsidRDefault="003D6FC6" w:rsidP="003D6FC6">
      <w:pPr>
        <w:shd w:val="clear" w:color="auto" w:fill="FFFFFF" w:themeFill="background1"/>
        <w:tabs>
          <w:tab w:val="left" w:pos="142"/>
          <w:tab w:val="left" w:pos="284"/>
          <w:tab w:val="left" w:pos="426"/>
        </w:tabs>
        <w:spacing w:line="480" w:lineRule="auto"/>
        <w:jc w:val="both"/>
        <w:rPr>
          <w:rFonts w:eastAsiaTheme="majorEastAsia"/>
        </w:rPr>
      </w:pPr>
      <w:r w:rsidRPr="003A41B3">
        <w:tab/>
      </w:r>
      <w:r w:rsidRPr="003A41B3">
        <w:tab/>
        <w:t xml:space="preserve">    A growing body of literature investigates US regulatory reforms relating to credit rating agencies (CRAs) and the effects of these changes on rating quality (e.g. Behr et al., 2018). Rating quality is important for international financial stability, because ratings are strongly embedded in many banking and investment regulations and therefore affect the welfare of both borrowers and investors (e.g. Bae et al., 2015).</w:t>
      </w:r>
      <w:r w:rsidRPr="003A41B3">
        <w:rPr>
          <w:rFonts w:eastAsiaTheme="majorEastAsia"/>
        </w:rPr>
        <w:t xml:space="preserve"> We focus on a unique European regulatory aspect which does not arise in the US regime. </w:t>
      </w:r>
      <w:r w:rsidRPr="003A41B3">
        <w:t>In 2012, the European Securities and Markets Authority (ESMA) introduced new regulations, stipulating that credit ratings must be accompanied by identifiers distinguishing between ratings issued by analysts within the EU, versus those issued in countries that qualify as endorsed jurisdictions. For the ratings to be classed as ‘endorsed’, the analyst must be located in a jurisdiction which has a comparably stringent regulatory regime to that of the EU (EC, 2011). Further, only ratings accompanied by these identifiers can be used for regulatory purposes after April 2012.</w:t>
      </w:r>
      <w:r w:rsidRPr="003A41B3">
        <w:rPr>
          <w:rStyle w:val="FootnoteReference"/>
        </w:rPr>
        <w:footnoteReference w:id="1"/>
      </w:r>
    </w:p>
    <w:p w14:paraId="61C8B483" w14:textId="77777777" w:rsidR="003D6FC6" w:rsidRPr="003A41B3" w:rsidRDefault="003D6FC6" w:rsidP="003D6FC6">
      <w:pPr>
        <w:shd w:val="clear" w:color="auto" w:fill="FFFFFF" w:themeFill="background1"/>
        <w:tabs>
          <w:tab w:val="left" w:pos="142"/>
          <w:tab w:val="left" w:pos="284"/>
          <w:tab w:val="left" w:pos="426"/>
        </w:tabs>
        <w:spacing w:line="480" w:lineRule="auto"/>
        <w:jc w:val="both"/>
      </w:pPr>
      <w:r w:rsidRPr="003A41B3">
        <w:tab/>
      </w:r>
      <w:r w:rsidRPr="003A41B3">
        <w:tab/>
        <w:t xml:space="preserve">    ESMA (2011a) anticipates that using identifiers should assist in dissemination of information amongst investors and support supervisory integration of CRAs. This in turn should benefit the functioning of financial markets and their stability, and protect EU investors through equivalence in the quality of ratings across countries. A strict legal and supervisory framework aims “to ensure that ratings are independent, objective, and of adequate quality” in order to underpin the confidence of financial markets and investors (ESMA, 2017b). ESMA’s belief is that compliance with these rules will have improved the quality of ratings used within Europe. To date, there is no published evidence on this. We assess the impact of these identifier rules on the quality of ratings, using a dataset of sovereign ratings assigned by Moody’s, S&amp;P and Fitch for 70 countries from 2006-2016. </w:t>
      </w:r>
    </w:p>
    <w:p w14:paraId="6BC2008C" w14:textId="77777777" w:rsidR="003D6FC6" w:rsidRPr="003A41B3" w:rsidRDefault="003D6FC6" w:rsidP="003D6FC6">
      <w:pPr>
        <w:tabs>
          <w:tab w:val="left" w:pos="284"/>
        </w:tabs>
        <w:spacing w:line="480" w:lineRule="auto"/>
        <w:jc w:val="both"/>
      </w:pPr>
      <w:r w:rsidRPr="003A41B3">
        <w:lastRenderedPageBreak/>
        <w:tab/>
        <w:t xml:space="preserve">    It is an open question whether the introduction of rating identifiers could have any consistent or meaningful impact on rating quality. It is important to investigate such a substantial policy initiative, especially with no prior evidence being available on this question. </w:t>
      </w:r>
      <w:bookmarkStart w:id="1" w:name="_Hlk5116744"/>
      <w:r w:rsidRPr="003A41B3">
        <w:t>We also specifically examine whether the location of rating analysts (in the EU versus outside the EU) has any significant impact on changes in rating quality.</w:t>
      </w:r>
      <w:bookmarkEnd w:id="1"/>
      <w:r w:rsidRPr="003A41B3">
        <w:t xml:space="preserve"> Investigation of the effects of ESMA’s endorsement rules is important because such rules could potentially signal enhanced credibility of CRAs’ opinions. Studying the impact of these rules informs future policies and regulations and identifies whether their effect is contradictory or unanticipated. </w:t>
      </w:r>
    </w:p>
    <w:p w14:paraId="0C9BEE7A" w14:textId="1C9F6D1D" w:rsidR="003D6FC6" w:rsidRPr="003A41B3" w:rsidRDefault="003D6FC6" w:rsidP="003D6FC6">
      <w:pPr>
        <w:tabs>
          <w:tab w:val="left" w:pos="284"/>
        </w:tabs>
        <w:spacing w:line="480" w:lineRule="auto"/>
        <w:jc w:val="both"/>
      </w:pPr>
      <w:r w:rsidRPr="003A41B3">
        <w:tab/>
        <w:t>Furthermore,</w:t>
      </w:r>
      <w:r w:rsidRPr="003A41B3">
        <w:rPr>
          <w:vertAlign w:val="superscript"/>
        </w:rPr>
        <w:t xml:space="preserve"> </w:t>
      </w:r>
      <w:r w:rsidRPr="003A41B3">
        <w:t>our paper utilizes sovereign ratings, offering a significant contribution to the literature because the quality of sovereign ratings is highly important for practitioners and governments alike. Sovereign ratings have greater impact and influence in comparison with the corporate and structured ratings investigated by some recent literature on CRA regulation (e.g. Bae et al., 2015; Behr et al., 2018; Bolton et al., 2012; Dimitrov et al., 2015; Flynn and Ghent, 2018</w:t>
      </w:r>
      <w:r w:rsidR="004B1128" w:rsidRPr="003A41B3">
        <w:t>;</w:t>
      </w:r>
      <w:r w:rsidRPr="003A41B3">
        <w:t xml:space="preserve"> Hill et al., 2018). Sovereign ratings reflect a country’s willingness and ability to pay its obligations (e.g. Baum et al., 2016</w:t>
      </w:r>
      <w:r w:rsidR="004B1128" w:rsidRPr="003A41B3">
        <w:t>;</w:t>
      </w:r>
      <w:r w:rsidRPr="003A41B3">
        <w:t xml:space="preserve"> Cai et al.</w:t>
      </w:r>
      <w:r w:rsidR="004B1128" w:rsidRPr="003A41B3">
        <w:t>,</w:t>
      </w:r>
      <w:r w:rsidRPr="003A41B3">
        <w:t xml:space="preserve"> 2019). They directly affect a country’s cost of borrowing and foreign direct investment flows (e.g. Cai et </w:t>
      </w:r>
      <w:r w:rsidR="004B1128" w:rsidRPr="003A41B3">
        <w:t>a</w:t>
      </w:r>
      <w:r w:rsidRPr="003A41B3">
        <w:t xml:space="preserve">l., 2019), and indirectly affect the cost of firms’ credit via the sovereign ceiling on bank and corporate ratings (Almeida at al., 2017; </w:t>
      </w:r>
      <w:proofErr w:type="spellStart"/>
      <w:r w:rsidRPr="003A41B3">
        <w:t>Arezki</w:t>
      </w:r>
      <w:proofErr w:type="spellEnd"/>
      <w:r w:rsidRPr="003A41B3">
        <w:t xml:space="preserve"> et al., 2011; </w:t>
      </w:r>
      <w:proofErr w:type="spellStart"/>
      <w:r w:rsidRPr="003A41B3">
        <w:t>Borensztein</w:t>
      </w:r>
      <w:proofErr w:type="spellEnd"/>
      <w:r w:rsidRPr="003A41B3">
        <w:t xml:space="preserve"> et al., 2013; Chen et al., 2016). The recent sovereign debt crisis in Europe has emphasized the consequences of spillovers of sovereign rating actions across countries and asset classes (e.g. Baum et al., 2016; Hill et al., 2018), which further strengthens the importance of this study.  </w:t>
      </w:r>
    </w:p>
    <w:p w14:paraId="55187C49" w14:textId="77777777" w:rsidR="003D6FC6" w:rsidRPr="003A41B3" w:rsidRDefault="003D6FC6" w:rsidP="003D6FC6">
      <w:pPr>
        <w:tabs>
          <w:tab w:val="left" w:pos="284"/>
        </w:tabs>
        <w:spacing w:line="480" w:lineRule="auto"/>
        <w:jc w:val="both"/>
      </w:pPr>
      <w:r w:rsidRPr="003A41B3">
        <w:tab/>
        <w:t xml:space="preserve">      The existing empirical evidence on the effects of regulation on CRAs considers non-sovereign ratings and takes the perspective of changing competition between CRAs (Bae et al., 2015; Behr et al., 2018). We offer a different approach focusing on the direct effect of regulation on rating quality, more in line with a theoretical paper by </w:t>
      </w:r>
      <w:proofErr w:type="spellStart"/>
      <w:r w:rsidRPr="003A41B3">
        <w:t>Opp</w:t>
      </w:r>
      <w:proofErr w:type="spellEnd"/>
      <w:r w:rsidRPr="003A41B3">
        <w:t xml:space="preserve"> et al. (2013). Although </w:t>
      </w:r>
      <w:r w:rsidRPr="003A41B3">
        <w:lastRenderedPageBreak/>
        <w:t xml:space="preserve">sovereign ratings represent the highest proportion of the total outstanding ratings across all rating segments, the competition level between CRAs for sovereign ratings is the lowest across these segments (ESMA, 2016). </w:t>
      </w:r>
    </w:p>
    <w:p w14:paraId="2764DEAD" w14:textId="2B29BBCA" w:rsidR="003D6FC6" w:rsidRPr="003A41B3" w:rsidRDefault="003D6FC6" w:rsidP="003D6FC6">
      <w:pPr>
        <w:tabs>
          <w:tab w:val="left" w:pos="284"/>
        </w:tabs>
        <w:spacing w:line="480" w:lineRule="auto"/>
        <w:jc w:val="both"/>
      </w:pPr>
      <w:r w:rsidRPr="003A41B3">
        <w:tab/>
        <w:t xml:space="preserve">    Most previous studies assessing the impact of regulatory initiatives on the quality of ratings focus on US regulations (see Behr et al., 2018; </w:t>
      </w:r>
      <w:proofErr w:type="spellStart"/>
      <w:r w:rsidRPr="003A41B3">
        <w:t>Bongaerts</w:t>
      </w:r>
      <w:proofErr w:type="spellEnd"/>
      <w:r w:rsidRPr="003A41B3">
        <w:t xml:space="preserve"> et al., 2012; Dimitrov et al., 2015; Doherty et al., 2012). In addition, most prior research addresses time periods before the EU regulatory regime was introduced.</w:t>
      </w:r>
      <w:r w:rsidRPr="003A41B3">
        <w:rPr>
          <w:vertAlign w:val="superscript"/>
        </w:rPr>
        <w:t xml:space="preserve"> </w:t>
      </w:r>
      <w:r w:rsidRPr="003A41B3">
        <w:t xml:space="preserve">For instance, Behr et al. (2018) use a </w:t>
      </w:r>
      <w:r w:rsidR="000A7F88" w:rsidRPr="003A41B3">
        <w:t xml:space="preserve">data </w:t>
      </w:r>
      <w:r w:rsidRPr="003A41B3">
        <w:t xml:space="preserve">sample between 1973 and 1982, </w:t>
      </w:r>
      <w:proofErr w:type="spellStart"/>
      <w:r w:rsidRPr="003A41B3">
        <w:t>Bongaerts</w:t>
      </w:r>
      <w:proofErr w:type="spellEnd"/>
      <w:r w:rsidRPr="003A41B3">
        <w:t xml:space="preserve"> et al. (2012) utilize a sample for 2002 to 2008, and Doherty et al.’s (2012) sample is from1989 to 2000. Becker and Milbourn (2011) apply a sample from 1995 to 2006 whereas </w:t>
      </w:r>
      <w:proofErr w:type="spellStart"/>
      <w:r w:rsidRPr="003A41B3">
        <w:t>Kisgen</w:t>
      </w:r>
      <w:proofErr w:type="spellEnd"/>
      <w:r w:rsidRPr="003A41B3">
        <w:t xml:space="preserve"> and Strahan (2010) use the period between 2001 and 2005. Moreover, our paper examines the direct feedback of regulatory authorization on ratings quality in contrast with previous studies assessing the price impact of regulation (e.g. </w:t>
      </w:r>
      <w:proofErr w:type="spellStart"/>
      <w:r w:rsidRPr="003A41B3">
        <w:t>Kisgen</w:t>
      </w:r>
      <w:proofErr w:type="spellEnd"/>
      <w:r w:rsidRPr="003A41B3">
        <w:t xml:space="preserve"> and Strahan, 2010). </w:t>
      </w:r>
    </w:p>
    <w:p w14:paraId="63BF6ABD" w14:textId="183511FE" w:rsidR="003D6FC6" w:rsidRPr="003A41B3" w:rsidRDefault="003D6FC6" w:rsidP="003D6FC6">
      <w:pPr>
        <w:tabs>
          <w:tab w:val="left" w:pos="284"/>
        </w:tabs>
        <w:spacing w:line="480" w:lineRule="auto"/>
        <w:jc w:val="both"/>
      </w:pPr>
      <w:r w:rsidRPr="003A41B3">
        <w:tab/>
        <w:t xml:space="preserve">    Attaining information and measuring creditworthiness is costly and time consuming for investors, therefore many entrust this task to the CRAs. According to Becker and Milbourn (2011), inter alia the quality of ratings rests on their ability to communicate information to market participants by maintaining a stable meaning of risk classification. Low quality ratings might harm the information diffusion of ratings unless all market participants are well informed. If investors are not able to extract reliable information from ratings, this lessens their value and reduces the benefits for the financial system (Bolton et al., 2012). Additionally, low quality ratings complicate regulations and make contracting with ratings more difficult. Finally, ratings quality is at the </w:t>
      </w:r>
      <w:proofErr w:type="spellStart"/>
      <w:r w:rsidRPr="003A41B3">
        <w:t>centre</w:t>
      </w:r>
      <w:proofErr w:type="spellEnd"/>
      <w:r w:rsidRPr="003A41B3">
        <w:t xml:space="preserve"> of the policy agenda because it is closely related to banking regulation (capital adequacy requirements in particular).</w:t>
      </w:r>
    </w:p>
    <w:p w14:paraId="416EB0F9" w14:textId="52F4FBC0" w:rsidR="003D6FC6" w:rsidRPr="003A41B3" w:rsidRDefault="003D6FC6" w:rsidP="003D6FC6">
      <w:pPr>
        <w:tabs>
          <w:tab w:val="left" w:pos="284"/>
        </w:tabs>
        <w:spacing w:line="480" w:lineRule="auto"/>
        <w:jc w:val="both"/>
        <w:rPr>
          <w:i/>
          <w:iCs/>
        </w:rPr>
      </w:pPr>
      <w:r w:rsidRPr="003A41B3">
        <w:tab/>
        <w:t xml:space="preserve">   </w:t>
      </w:r>
      <w:bookmarkStart w:id="2" w:name="_Hlk5116900"/>
      <w:r w:rsidRPr="003A41B3">
        <w:t xml:space="preserve">In this study, following Bae et al. (2015), Becker and Milbourn (2011), Behr et al. (2018) and Dimitrov et al. (2015), the quality of ratings is captured by the information content which </w:t>
      </w:r>
      <w:r w:rsidRPr="003A41B3">
        <w:lastRenderedPageBreak/>
        <w:t>surfaces through the ability of ratings to explain bond yields.</w:t>
      </w:r>
      <w:bookmarkEnd w:id="2"/>
      <w:r w:rsidRPr="003A41B3">
        <w:t xml:space="preserve"> The market functions more effectively when ratings are more aligned with bond yields. For instance, when ratings accurately reflect the risk of an issuer, and therefore correlate highly with its bond yields, they have the power to protect investor</w:t>
      </w:r>
      <w:r w:rsidR="009132EB" w:rsidRPr="003A41B3">
        <w:t>s</w:t>
      </w:r>
      <w:r w:rsidRPr="003A41B3">
        <w:t xml:space="preserve"> by reducing information asymmetries (Flynn and Ghent, 2018). Therefore, </w:t>
      </w:r>
      <w:bookmarkStart w:id="3" w:name="_Hlk5116986"/>
      <w:r w:rsidRPr="003A41B3">
        <w:t>our research questions are: (</w:t>
      </w:r>
      <w:proofErr w:type="spellStart"/>
      <w:r w:rsidRPr="003A41B3">
        <w:t>i</w:t>
      </w:r>
      <w:proofErr w:type="spellEnd"/>
      <w:r w:rsidRPr="003A41B3">
        <w:t xml:space="preserve">) </w:t>
      </w:r>
      <w:r w:rsidRPr="003A41B3">
        <w:rPr>
          <w:i/>
          <w:iCs/>
        </w:rPr>
        <w:t>Does the quality of ratings (captured by their informativeness) change after the introduction of ESMA identifiers?</w:t>
      </w:r>
      <w:r w:rsidRPr="003A41B3">
        <w:rPr>
          <w:iCs/>
        </w:rPr>
        <w:t xml:space="preserve">, and (ii) </w:t>
      </w:r>
      <w:r w:rsidRPr="003A41B3">
        <w:rPr>
          <w:i/>
          <w:iCs/>
        </w:rPr>
        <w:t xml:space="preserve"> </w:t>
      </w:r>
      <w:r w:rsidRPr="003A41B3">
        <w:t xml:space="preserve"> </w:t>
      </w:r>
      <w:bookmarkStart w:id="4" w:name="_Hlk5048278"/>
      <w:r w:rsidRPr="003A41B3">
        <w:rPr>
          <w:i/>
        </w:rPr>
        <w:t>Does the location of rating analysts (in the EU versus outside the EU) have an impact on any changes in the quality of ratings?</w:t>
      </w:r>
      <w:bookmarkEnd w:id="3"/>
      <w:bookmarkEnd w:id="4"/>
    </w:p>
    <w:p w14:paraId="4E8811E7" w14:textId="78A3F8AE" w:rsidR="003D6FC6" w:rsidRPr="003A41B3" w:rsidRDefault="003D6FC6" w:rsidP="003D6FC6">
      <w:pPr>
        <w:tabs>
          <w:tab w:val="left" w:pos="284"/>
        </w:tabs>
        <w:spacing w:line="480" w:lineRule="auto"/>
        <w:jc w:val="both"/>
        <w:rPr>
          <w:lang w:eastAsia="en-GB"/>
        </w:rPr>
      </w:pPr>
      <w:r w:rsidRPr="003A41B3">
        <w:tab/>
        <w:t xml:space="preserve">   </w:t>
      </w:r>
      <w:bookmarkStart w:id="5" w:name="_Hlk5083312"/>
      <w:bookmarkStart w:id="6" w:name="_Hlk5117121"/>
      <w:r w:rsidRPr="003A41B3">
        <w:t>To preview the findings,</w:t>
      </w:r>
      <w:bookmarkEnd w:id="5"/>
      <w:r w:rsidRPr="003A41B3">
        <w:t xml:space="preserve"> </w:t>
      </w:r>
      <w:bookmarkStart w:id="7" w:name="_Hlk5083286"/>
      <w:r w:rsidRPr="003A41B3">
        <w:t>ESMA’s identifier disclosure rules have not fully succeeded in achieving the aim of improved quality of ratings.</w:t>
      </w:r>
      <w:bookmarkEnd w:id="6"/>
      <w:bookmarkEnd w:id="7"/>
      <w:r w:rsidRPr="003A41B3">
        <w:t xml:space="preserve"> There are differences in the quality of ratings in the period after the endorsement regime was introduced. </w:t>
      </w:r>
      <w:r w:rsidRPr="003A41B3">
        <w:rPr>
          <w:lang w:eastAsia="en-GB"/>
        </w:rPr>
        <w:t>We find poorer rating quality (less informative ratings) for positive rating actions by all CRAs after the introduction of the identifiers</w:t>
      </w:r>
      <w:r w:rsidRPr="003A41B3">
        <w:rPr>
          <w:rFonts w:eastAsia="Times New Roman"/>
          <w:szCs w:val="18"/>
          <w:lang w:eastAsia="en-GB"/>
        </w:rPr>
        <w:t xml:space="preserve">, while better quality (more informative) ratings are reported for Moody’s negative actions. </w:t>
      </w:r>
      <w:bookmarkStart w:id="8" w:name="_Hlk5117159"/>
      <w:bookmarkStart w:id="9" w:name="_Hlk4770171"/>
      <w:r w:rsidRPr="003A41B3">
        <w:rPr>
          <w:lang w:eastAsia="en-GB"/>
        </w:rPr>
        <w:t xml:space="preserve">However, there are mixed findings on the impact of the specific location of rating analysts on the informativeness of sovereign ratings. This </w:t>
      </w:r>
      <w:r w:rsidR="00AC6173" w:rsidRPr="003A41B3">
        <w:rPr>
          <w:lang w:eastAsia="en-GB"/>
        </w:rPr>
        <w:t xml:space="preserve">outcome </w:t>
      </w:r>
      <w:r w:rsidRPr="003A41B3">
        <w:rPr>
          <w:lang w:eastAsia="en-GB"/>
        </w:rPr>
        <w:t xml:space="preserve">is not unexpected </w:t>
      </w:r>
      <w:r w:rsidR="00AC6173" w:rsidRPr="003A41B3">
        <w:rPr>
          <w:lang w:eastAsia="en-GB"/>
        </w:rPr>
        <w:t>because</w:t>
      </w:r>
      <w:r w:rsidRPr="003A41B3">
        <w:rPr>
          <w:lang w:eastAsia="en-GB"/>
        </w:rPr>
        <w:t xml:space="preserve"> </w:t>
      </w:r>
      <w:r w:rsidRPr="003A41B3">
        <w:t xml:space="preserve">ratings should only reflect factors related to the expected </w:t>
      </w:r>
      <w:r w:rsidR="00AC6173" w:rsidRPr="003A41B3">
        <w:t xml:space="preserve">debt servicing </w:t>
      </w:r>
      <w:r w:rsidRPr="003A41B3">
        <w:t>by the issuer, and not to be strongly affected by the location of rating analysts. Specifically,</w:t>
      </w:r>
      <w:r w:rsidRPr="003A41B3">
        <w:rPr>
          <w:lang w:eastAsia="en-GB"/>
        </w:rPr>
        <w:t xml:space="preserve"> there is limited evidence that positive events by</w:t>
      </w:r>
      <w:r w:rsidRPr="003A41B3">
        <w:t xml:space="preserve"> </w:t>
      </w:r>
      <w:r w:rsidRPr="003A41B3">
        <w:rPr>
          <w:lang w:eastAsia="en-GB"/>
        </w:rPr>
        <w:t>Fitch and Moody’s are less informative when the relevant analysts are located outside the EU (with EE identifiers), whereas S&amp;P positive events are of lower quality when their rating analysts are based in the EU</w:t>
      </w:r>
      <w:r w:rsidRPr="003A41B3">
        <w:rPr>
          <w:rFonts w:eastAsia="Times New Roman"/>
          <w:lang w:eastAsia="en-GB"/>
        </w:rPr>
        <w:t>.</w:t>
      </w:r>
      <w:r w:rsidRPr="003A41B3">
        <w:t xml:space="preserve"> </w:t>
      </w:r>
      <w:r w:rsidRPr="003A41B3">
        <w:rPr>
          <w:lang w:eastAsia="en-GB"/>
        </w:rPr>
        <w:t>In contrast, there is some evidence of better quality ratings for Fitch negative events when their analysts are located outside the EU.</w:t>
      </w:r>
      <w:bookmarkEnd w:id="8"/>
      <w:r w:rsidRPr="003A41B3">
        <w:rPr>
          <w:lang w:eastAsia="en-GB"/>
        </w:rPr>
        <w:t xml:space="preserve"> </w:t>
      </w:r>
      <w:bookmarkEnd w:id="9"/>
    </w:p>
    <w:p w14:paraId="5523B5C4" w14:textId="77777777" w:rsidR="003D6FC6" w:rsidRPr="003A41B3" w:rsidRDefault="003D6FC6" w:rsidP="003D6FC6">
      <w:pPr>
        <w:tabs>
          <w:tab w:val="left" w:pos="284"/>
        </w:tabs>
        <w:spacing w:line="480" w:lineRule="auto"/>
        <w:jc w:val="both"/>
        <w:rPr>
          <w:lang w:eastAsia="en-GB"/>
        </w:rPr>
      </w:pPr>
      <w:r w:rsidRPr="003A41B3">
        <w:rPr>
          <w:lang w:eastAsia="en-GB"/>
        </w:rPr>
        <w:tab/>
      </w:r>
      <w:r w:rsidRPr="003A41B3">
        <w:t>Such differences across CRAs are consistent with the unequal market impacts of rating signals by different CRAs reported in previous literature (</w:t>
      </w:r>
      <w:r w:rsidRPr="003A41B3">
        <w:rPr>
          <w:rFonts w:eastAsia="Times New Roman"/>
          <w:szCs w:val="18"/>
          <w:lang w:eastAsia="en-GB"/>
        </w:rPr>
        <w:t xml:space="preserve">Afonso et al., 2012; </w:t>
      </w:r>
      <w:proofErr w:type="spellStart"/>
      <w:r w:rsidRPr="003A41B3">
        <w:rPr>
          <w:szCs w:val="20"/>
        </w:rPr>
        <w:t>Arezki</w:t>
      </w:r>
      <w:proofErr w:type="spellEnd"/>
      <w:r w:rsidRPr="003A41B3">
        <w:rPr>
          <w:szCs w:val="20"/>
        </w:rPr>
        <w:t xml:space="preserve"> et al., 2011; Baum et al., 2016; </w:t>
      </w:r>
      <w:proofErr w:type="spellStart"/>
      <w:r w:rsidRPr="003A41B3">
        <w:rPr>
          <w:lang w:val="en-GB"/>
        </w:rPr>
        <w:t>Bedendo</w:t>
      </w:r>
      <w:proofErr w:type="spellEnd"/>
      <w:r w:rsidRPr="003A41B3">
        <w:rPr>
          <w:lang w:val="en-GB"/>
        </w:rPr>
        <w:t xml:space="preserve"> et al., 2018; Livingston et al., 2010). </w:t>
      </w:r>
      <w:r w:rsidRPr="003A41B3">
        <w:t xml:space="preserve">Our results, to a large extent, support those of Behr et al. (2018) and Dimitrov et al. (2015), in terms of unintended </w:t>
      </w:r>
      <w:r w:rsidRPr="003A41B3">
        <w:lastRenderedPageBreak/>
        <w:t xml:space="preserve">consequences of CRA regulation in the US, and are in line with the theoretical predictions of </w:t>
      </w:r>
      <w:proofErr w:type="spellStart"/>
      <w:r w:rsidRPr="003A41B3">
        <w:t>Opp</w:t>
      </w:r>
      <w:proofErr w:type="spellEnd"/>
      <w:r w:rsidRPr="003A41B3">
        <w:t xml:space="preserve"> et al. (2013).</w:t>
      </w:r>
    </w:p>
    <w:p w14:paraId="5600FACA" w14:textId="77777777" w:rsidR="003D6FC6" w:rsidRPr="003A41B3" w:rsidRDefault="003D6FC6" w:rsidP="003D6FC6">
      <w:pPr>
        <w:tabs>
          <w:tab w:val="left" w:pos="284"/>
        </w:tabs>
        <w:spacing w:line="480" w:lineRule="auto"/>
        <w:jc w:val="both"/>
      </w:pPr>
      <w:r w:rsidRPr="003A41B3">
        <w:tab/>
        <w:t xml:space="preserve">   Despite many studies of CRA regulations (e.g. Becker and Milbourn, 2011; Behr et al., 2018; </w:t>
      </w:r>
      <w:proofErr w:type="spellStart"/>
      <w:r w:rsidRPr="003A41B3">
        <w:t>Bongaerts</w:t>
      </w:r>
      <w:proofErr w:type="spellEnd"/>
      <w:r w:rsidRPr="003A41B3">
        <w:t xml:space="preserve"> et al., 2012; Dimitrov et al., 2015), no previous study has investigated the impact of ESMA rating identifiers and the location of rating analysts on rating quality. This paper is therefore able to offer many important contributions to the literature.</w:t>
      </w:r>
    </w:p>
    <w:p w14:paraId="2928216B" w14:textId="4DF2C591" w:rsidR="003D6FC6" w:rsidRPr="003A41B3" w:rsidRDefault="003D6FC6" w:rsidP="003D6FC6">
      <w:pPr>
        <w:tabs>
          <w:tab w:val="left" w:pos="284"/>
        </w:tabs>
        <w:spacing w:line="480" w:lineRule="auto"/>
        <w:jc w:val="both"/>
      </w:pPr>
      <w:r w:rsidRPr="003A41B3">
        <w:tab/>
        <w:t>The structure of this paper is as follows. Sections 2 and 3 introduce the background of the EU CRA regulatory regime along with a summary of the relevant academic literature. Section 4 presents the data and descriptive statistics then Section 5 describes the methodology. Section 6 reports empirical results and Section 7 concludes the study.</w:t>
      </w:r>
    </w:p>
    <w:p w14:paraId="0396D7EC" w14:textId="52771BB0" w:rsidR="003D6FC6" w:rsidRPr="003A41B3" w:rsidRDefault="003D6FC6" w:rsidP="003D6FC6">
      <w:pPr>
        <w:tabs>
          <w:tab w:val="left" w:pos="284"/>
        </w:tabs>
        <w:spacing w:line="480" w:lineRule="auto"/>
        <w:jc w:val="both"/>
      </w:pPr>
    </w:p>
    <w:p w14:paraId="3E6E13B7" w14:textId="77777777" w:rsidR="009279CA" w:rsidRPr="003A41B3" w:rsidRDefault="009279CA" w:rsidP="003D6FC6">
      <w:pPr>
        <w:tabs>
          <w:tab w:val="left" w:pos="284"/>
        </w:tabs>
        <w:spacing w:line="480" w:lineRule="auto"/>
        <w:jc w:val="both"/>
      </w:pPr>
    </w:p>
    <w:p w14:paraId="4CE6283D" w14:textId="77777777" w:rsidR="003D6FC6" w:rsidRPr="003A41B3" w:rsidRDefault="003D6FC6" w:rsidP="003D6FC6">
      <w:pPr>
        <w:pStyle w:val="Heading1"/>
        <w:tabs>
          <w:tab w:val="left" w:pos="0"/>
        </w:tabs>
        <w:spacing w:before="0" w:line="480" w:lineRule="auto"/>
        <w:rPr>
          <w:rFonts w:eastAsia="Times New Roman" w:cs="Times New Roman"/>
          <w:color w:val="auto"/>
        </w:rPr>
      </w:pPr>
      <w:r w:rsidRPr="003A41B3">
        <w:rPr>
          <w:rFonts w:cs="Times New Roman"/>
          <w:color w:val="auto"/>
        </w:rPr>
        <w:t>2. Regulatory developments</w:t>
      </w:r>
    </w:p>
    <w:p w14:paraId="34A28C25" w14:textId="77777777" w:rsidR="003D6FC6" w:rsidRPr="003A41B3" w:rsidRDefault="003D6FC6" w:rsidP="003D6FC6">
      <w:pPr>
        <w:pStyle w:val="Heading2"/>
        <w:tabs>
          <w:tab w:val="left" w:pos="0"/>
        </w:tabs>
        <w:spacing w:before="0" w:line="480" w:lineRule="auto"/>
        <w:rPr>
          <w:rFonts w:cs="Times New Roman"/>
        </w:rPr>
      </w:pPr>
      <w:r w:rsidRPr="003A41B3">
        <w:rPr>
          <w:rFonts w:cs="Times New Roman"/>
        </w:rPr>
        <w:t>2.1. European CRA regulation</w:t>
      </w:r>
    </w:p>
    <w:p w14:paraId="5AE73511" w14:textId="5E6CE5F2" w:rsidR="003D6FC6" w:rsidRPr="003A41B3" w:rsidRDefault="003D6FC6" w:rsidP="003D6FC6">
      <w:pPr>
        <w:tabs>
          <w:tab w:val="left" w:pos="284"/>
        </w:tabs>
        <w:spacing w:line="480" w:lineRule="auto"/>
        <w:jc w:val="both"/>
      </w:pPr>
      <w:r w:rsidRPr="003A41B3">
        <w:tab/>
        <w:t xml:space="preserve">EU CRA regulatory initiatives aim at reducing conflicts of interest, overreliance on ratings and spillover effects, while increasing independence and soundness of rating processes and improving quality of rating methodologies and ratings (ECB, 2012). ESMA believe that endorsing ratings from non-EU countries enables supervisory integration of the CRAs. Greater co-operation between outside supervisors benefits the functioning of financial markets and protects investors in the EU (ESMA, 2011a). According to the EC, a CRA operating in a non-EU country needs to conform to the EU level of supervisory expectations. The usage of rating identifiers differentiates between ratings assigned inside/outside the EU. The regulators try to ensure that, in the current framework, “users of ratings in the EU would benefit from equivalent protections in terms of a CRA’s integrity, transparency, good governance and reliability” (ESMA, 2017a). The recent financial crisis showed that there is a need for stronger and more </w:t>
      </w:r>
      <w:r w:rsidRPr="003A41B3">
        <w:lastRenderedPageBreak/>
        <w:t>stable markets and</w:t>
      </w:r>
      <w:r w:rsidR="002904A2" w:rsidRPr="003A41B3">
        <w:t xml:space="preserve"> for</w:t>
      </w:r>
      <w:r w:rsidRPr="003A41B3">
        <w:t xml:space="preserve"> investor protection </w:t>
      </w:r>
      <w:r w:rsidR="002904A2" w:rsidRPr="003A41B3">
        <w:t xml:space="preserve">that </w:t>
      </w:r>
      <w:r w:rsidRPr="003A41B3">
        <w:t>is transferable across states (ESMA, 2012). When assessing the equivalence of non-EU countries, the rules incorporate all provisions of the EU CRA Regulation.</w:t>
      </w:r>
      <w:r w:rsidRPr="003A41B3">
        <w:rPr>
          <w:vertAlign w:val="superscript"/>
        </w:rPr>
        <w:footnoteReference w:id="2"/>
      </w:r>
      <w:r w:rsidRPr="003A41B3">
        <w:rPr>
          <w:vertAlign w:val="superscript"/>
        </w:rPr>
        <w:t xml:space="preserve"> </w:t>
      </w:r>
      <w:r w:rsidRPr="003A41B3">
        <w:t xml:space="preserve">The equivalence in quality of ratings and methodologies (supported by the identifiers) should help to protect financial market stability. High quality ratings lead to improved efficiency of capital markets and improve transparency and competition (ESMA, 2011b). </w:t>
      </w:r>
    </w:p>
    <w:p w14:paraId="72EBADE8" w14:textId="3A0E4875" w:rsidR="003D6FC6" w:rsidRPr="003A41B3" w:rsidRDefault="003D6FC6" w:rsidP="003D6FC6">
      <w:pPr>
        <w:tabs>
          <w:tab w:val="left" w:pos="284"/>
        </w:tabs>
        <w:spacing w:line="480" w:lineRule="auto"/>
        <w:jc w:val="both"/>
      </w:pPr>
      <w:r w:rsidRPr="003A41B3">
        <w:tab/>
      </w:r>
      <w:r w:rsidR="002904A2" w:rsidRPr="003A41B3">
        <w:t>In seeking t</w:t>
      </w:r>
      <w:r w:rsidRPr="003A41B3">
        <w:t>o influence the quality of ratings, ESMA requires CRAs to be registered as a regulated CRA in the EU to be able to endorse ratings (into the EU) which are originated outside the EU. Initially, the equivalence regime required endorsed ratings to be assigned in a jurisdiction which operates a regulatory regime for CRAs which is “at least as stringent as the relevant EU rules” (EC, 2011). The endorsement permits CRAs which operate and are registered in the EU to authorize ratings of entities which are part of their own groups and which operate outside the EU. Both the ratings assigned in the EU as well as ratings from non-EU countries but endorsed based on the equivalence regime can be used for regulatory purposes (e.g., by banks).</w:t>
      </w:r>
      <w:r w:rsidRPr="003A41B3">
        <w:rPr>
          <w:rStyle w:val="FootnoteReference"/>
        </w:rPr>
        <w:footnoteReference w:id="3"/>
      </w:r>
    </w:p>
    <w:p w14:paraId="567B8A3A" w14:textId="77777777" w:rsidR="003D6FC6" w:rsidRPr="003A41B3" w:rsidRDefault="003D6FC6" w:rsidP="003D6FC6">
      <w:pPr>
        <w:tabs>
          <w:tab w:val="left" w:pos="284"/>
          <w:tab w:val="left" w:pos="567"/>
        </w:tabs>
        <w:spacing w:line="480" w:lineRule="auto"/>
        <w:contextualSpacing/>
        <w:jc w:val="both"/>
      </w:pPr>
      <w:r w:rsidRPr="003A41B3">
        <w:tab/>
        <w:t xml:space="preserve">ESMA (2017b) provides an update of the initial Guidelines on Endorsement, which are a reflection of issues arising with the regime. It provides an updated methodological framework to evaluate the non-EU countries’ legal and regulatory frameworks. The main changes relate to obligations of the endorsing CRA, ESMA’s supervisory powers and objective reasons for using endorsed ratings. From 2018, the responsibility for ensuring that a CRA’s internal </w:t>
      </w:r>
      <w:r w:rsidRPr="003A41B3">
        <w:lastRenderedPageBreak/>
        <w:t xml:space="preserve">operations in a non-EU country are as stringent as those outlined by EU requirements lies with the endorsing CRA. It is no longer the case that the rating issued in the country meeting equivalence tests (e.g., Argentina) automatically meets this criterion. In addition, “ESMA clarifies that it has the power to request periodical information directly from the endorsing EU CRA regarding endorsed credit ratings and the conduct of the third country CRA”. </w:t>
      </w:r>
    </w:p>
    <w:p w14:paraId="5C72B11B" w14:textId="77777777" w:rsidR="003D6FC6" w:rsidRPr="003A41B3" w:rsidRDefault="003D6FC6" w:rsidP="003D6FC6">
      <w:pPr>
        <w:tabs>
          <w:tab w:val="left" w:pos="284"/>
          <w:tab w:val="left" w:pos="567"/>
        </w:tabs>
        <w:spacing w:line="480" w:lineRule="auto"/>
        <w:contextualSpacing/>
        <w:jc w:val="both"/>
      </w:pPr>
    </w:p>
    <w:p w14:paraId="37013113" w14:textId="77777777" w:rsidR="003D6FC6" w:rsidRPr="003A41B3" w:rsidRDefault="003D6FC6" w:rsidP="003D6FC6">
      <w:pPr>
        <w:pStyle w:val="Heading2"/>
        <w:spacing w:line="480" w:lineRule="auto"/>
        <w:rPr>
          <w:rFonts w:cs="Times New Roman"/>
        </w:rPr>
      </w:pPr>
      <w:r w:rsidRPr="003A41B3">
        <w:rPr>
          <w:rFonts w:cs="Times New Roman"/>
        </w:rPr>
        <w:t>2.2. US versus EU regulatory reforms</w:t>
      </w:r>
    </w:p>
    <w:p w14:paraId="43C47EB1" w14:textId="2151E4A0" w:rsidR="003D6FC6" w:rsidRPr="003A41B3" w:rsidRDefault="003D6FC6" w:rsidP="003D6FC6">
      <w:pPr>
        <w:spacing w:line="480" w:lineRule="auto"/>
        <w:ind w:firstLine="284"/>
        <w:jc w:val="both"/>
        <w:rPr>
          <w:lang w:val="en-GB"/>
        </w:rPr>
      </w:pPr>
      <w:r w:rsidRPr="003A41B3">
        <w:rPr>
          <w:lang w:val="en-GB"/>
        </w:rPr>
        <w:t xml:space="preserve">One could be concerned about a possibility </w:t>
      </w:r>
      <w:r w:rsidRPr="003A41B3">
        <w:t xml:space="preserve">that the changes in quality of ratings, attributed to ESMA identifiers, might be influenced by </w:t>
      </w:r>
      <w:r w:rsidR="002904A2" w:rsidRPr="003A41B3">
        <w:t xml:space="preserve">elements of </w:t>
      </w:r>
      <w:r w:rsidRPr="003A41B3">
        <w:t>the Dodd-Frank Act (DFA) which affect CRAs in the US from July 2010. In this section, we discuss the differences between the US and EU regulatory regimes for CRAs, to further strengthen the motivation of this study. Importantly, the DFA does not make any reference to the location of analyst</w:t>
      </w:r>
      <w:r w:rsidR="002904A2" w:rsidRPr="003A41B3">
        <w:t>s</w:t>
      </w:r>
      <w:r w:rsidRPr="003A41B3">
        <w:t xml:space="preserve">. The section of </w:t>
      </w:r>
      <w:r w:rsidR="002904A2" w:rsidRPr="003A41B3">
        <w:t xml:space="preserve">the </w:t>
      </w:r>
      <w:r w:rsidRPr="003A41B3">
        <w:t xml:space="preserve">DFA </w:t>
      </w:r>
      <w:r w:rsidR="002904A2" w:rsidRPr="003A41B3">
        <w:t>relating to CRA</w:t>
      </w:r>
      <w:r w:rsidRPr="003A41B3">
        <w:t xml:space="preserve"> analysts only considers the knowledge and qualification standards that the analysts </w:t>
      </w:r>
      <w:r w:rsidR="002904A2" w:rsidRPr="003A41B3">
        <w:t>are required to</w:t>
      </w:r>
      <w:r w:rsidRPr="003A41B3">
        <w:t xml:space="preserve"> meet, e.g. training, experience, and competence for the rating segment (Dodd-Frank Act 936, 2010).</w:t>
      </w:r>
      <w:r w:rsidRPr="003A41B3">
        <w:rPr>
          <w:vertAlign w:val="superscript"/>
        </w:rPr>
        <w:t xml:space="preserve"> </w:t>
      </w:r>
    </w:p>
    <w:p w14:paraId="643D2F81" w14:textId="77777777" w:rsidR="003D6FC6" w:rsidRPr="003A41B3" w:rsidRDefault="003D6FC6" w:rsidP="003D6FC6">
      <w:pPr>
        <w:spacing w:line="480" w:lineRule="auto"/>
        <w:ind w:firstLine="284"/>
        <w:jc w:val="both"/>
      </w:pPr>
      <w:r w:rsidRPr="003A41B3">
        <w:t>Although the rules aiming at CRAs in Europe and the US are similar, the European regulation is more pronounced with respect to sovereign ratings. CRAs were accused of worsening the European debt crisis by downgrading the ratings of Eurozone sovereigns too far and too fast. EU regulations aim for increased transparency and completeness of sovereign rating methodologies, and to address the timing of rating actions. For example, sovereign debt ratings are to be assessed every six months and with detailed explanations for the rationale behind the rating actions. The CRAs are permitted to issue unsolicited ratings for sovereigns up to three times per year with their timing specified in advance. Sovereign ratings are required to be published after the close of business (Friday) and minimum one hour before markets open again (Monday) (OJEU, 2013</w:t>
      </w:r>
      <w:r w:rsidRPr="003A41B3">
        <w:rPr>
          <w:rFonts w:eastAsia="Calibri"/>
        </w:rPr>
        <w:t>).</w:t>
      </w:r>
      <w:r w:rsidRPr="003A41B3">
        <w:t xml:space="preserve"> US regulation does not require CRAs to announce when </w:t>
      </w:r>
      <w:r w:rsidRPr="003A41B3">
        <w:lastRenderedPageBreak/>
        <w:t>releasing sovereign ratings and there is no provision requesting their solicitation status (ESMA, 2017c). As of May 2013, CRAs in the EU are forbidden from making policy recommendations, prescriptions or guidelines when releasing sovereign ratings and/or outlooks (OJEU, 2013</w:t>
      </w:r>
      <w:r w:rsidRPr="003A41B3">
        <w:rPr>
          <w:rFonts w:eastAsia="Calibri"/>
        </w:rPr>
        <w:t xml:space="preserve">). </w:t>
      </w:r>
      <w:r w:rsidRPr="003A41B3">
        <w:t>Another difference between the two regimes is the effort towards tackling overreliance on ratings by market participants, which is attributed to strong hardwiring of CRA actions in investment rules and regulations (</w:t>
      </w:r>
      <w:proofErr w:type="spellStart"/>
      <w:r w:rsidRPr="003A41B3">
        <w:t>Kisgen</w:t>
      </w:r>
      <w:proofErr w:type="spellEnd"/>
      <w:r w:rsidRPr="003A41B3">
        <w:t xml:space="preserve"> and Strahan, 2010). US regulators took significant steps to decrease reference to ratings (</w:t>
      </w:r>
      <w:proofErr w:type="spellStart"/>
      <w:r w:rsidRPr="003A41B3">
        <w:t>Bedendo</w:t>
      </w:r>
      <w:proofErr w:type="spellEnd"/>
      <w:r w:rsidRPr="003A41B3">
        <w:t xml:space="preserve"> et al., 2018). Although the BIS (2014) proposal to revise the </w:t>
      </w:r>
      <w:proofErr w:type="spellStart"/>
      <w:r w:rsidRPr="003A41B3">
        <w:t>standardised</w:t>
      </w:r>
      <w:proofErr w:type="spellEnd"/>
      <w:r w:rsidRPr="003A41B3">
        <w:t xml:space="preserve"> approach for credit risk aimed to erase the references to external credit ratings, it later restored and allowed the use of external ratings in Basel III post-crisis regulatory reforms (BIS, 2017). </w:t>
      </w:r>
    </w:p>
    <w:p w14:paraId="1A545496" w14:textId="77777777" w:rsidR="003D6FC6" w:rsidRPr="003A41B3" w:rsidRDefault="003D6FC6" w:rsidP="003D6FC6">
      <w:pPr>
        <w:spacing w:line="480" w:lineRule="auto"/>
        <w:ind w:firstLine="284"/>
        <w:jc w:val="both"/>
      </w:pPr>
      <w:r w:rsidRPr="003A41B3">
        <w:t>Another area of major differences between the two regimes involves quality of methodologies and of credit ratings (ESMA, 2017c). For instance, the US framework does not require CRAs to provide the credit rating information to the rated entity prior to publication in order to identify possible errors, but this is a requirement in Europe.</w:t>
      </w:r>
    </w:p>
    <w:p w14:paraId="303DC779" w14:textId="77777777" w:rsidR="003D6FC6" w:rsidRPr="003A41B3" w:rsidRDefault="003D6FC6" w:rsidP="003D6FC6">
      <w:pPr>
        <w:spacing w:line="480" w:lineRule="auto"/>
        <w:ind w:firstLine="284"/>
        <w:jc w:val="both"/>
      </w:pPr>
      <w:r w:rsidRPr="003A41B3">
        <w:t xml:space="preserve">Additional differences can be found with respect to disclosure rules (ESMA, 2017c). US regulation does not require the solicitation status of the rating released to be identified, which is the case in European regulation. Moreover, the EU (not the US) regulation requires CRAs to disclose, on their websites and to the supervisor, information about all entities or debt instruments submitted for their initial review or preliminary rating. Furthermore, CRAs in the EU (not in the US) are required to provide details of rating fees. </w:t>
      </w:r>
    </w:p>
    <w:p w14:paraId="1494158A" w14:textId="61D7A331" w:rsidR="003D6FC6" w:rsidRPr="003A41B3" w:rsidRDefault="003D6FC6" w:rsidP="00857227">
      <w:pPr>
        <w:spacing w:line="480" w:lineRule="auto"/>
        <w:ind w:firstLine="284"/>
        <w:jc w:val="both"/>
      </w:pPr>
      <w:r w:rsidRPr="003A41B3">
        <w:t xml:space="preserve">The above comparison of the regulatory rules </w:t>
      </w:r>
      <w:r w:rsidR="00A11382" w:rsidRPr="003A41B3">
        <w:t>provides</w:t>
      </w:r>
      <w:r w:rsidRPr="003A41B3">
        <w:t xml:space="preserve"> confidence that the ESMA identifiers introduced in 2012 were not foreseen/captured by changes in the US regulation.</w:t>
      </w:r>
    </w:p>
    <w:p w14:paraId="289C7707" w14:textId="2E7E8FF3" w:rsidR="00100AA5" w:rsidRPr="003A41B3" w:rsidRDefault="00100AA5" w:rsidP="00857227">
      <w:pPr>
        <w:spacing w:line="480" w:lineRule="auto"/>
        <w:ind w:firstLine="284"/>
        <w:jc w:val="both"/>
      </w:pPr>
    </w:p>
    <w:p w14:paraId="48651985" w14:textId="77777777" w:rsidR="00100AA5" w:rsidRPr="003A41B3" w:rsidRDefault="00100AA5" w:rsidP="00857227">
      <w:pPr>
        <w:spacing w:line="480" w:lineRule="auto"/>
        <w:ind w:firstLine="284"/>
        <w:jc w:val="both"/>
      </w:pPr>
    </w:p>
    <w:p w14:paraId="100AFF9D" w14:textId="77777777" w:rsidR="003D6FC6" w:rsidRPr="003A41B3" w:rsidRDefault="003D6FC6" w:rsidP="003D6FC6">
      <w:pPr>
        <w:pStyle w:val="Heading1"/>
        <w:tabs>
          <w:tab w:val="left" w:pos="284"/>
        </w:tabs>
        <w:spacing w:before="0" w:line="480" w:lineRule="auto"/>
        <w:rPr>
          <w:rFonts w:eastAsia="Times New Roman" w:cs="Times New Roman"/>
          <w:color w:val="auto"/>
        </w:rPr>
      </w:pPr>
      <w:r w:rsidRPr="003A41B3">
        <w:rPr>
          <w:rFonts w:cs="Times New Roman"/>
          <w:color w:val="auto"/>
        </w:rPr>
        <w:lastRenderedPageBreak/>
        <w:t>3. Relevant credit rating literature</w:t>
      </w:r>
    </w:p>
    <w:p w14:paraId="10FCF185" w14:textId="77777777" w:rsidR="003D6FC6" w:rsidRPr="003A41B3" w:rsidRDefault="003D6FC6" w:rsidP="003D6FC6">
      <w:pPr>
        <w:tabs>
          <w:tab w:val="left" w:pos="284"/>
          <w:tab w:val="left" w:pos="567"/>
        </w:tabs>
        <w:spacing w:line="480" w:lineRule="auto"/>
        <w:jc w:val="both"/>
      </w:pPr>
      <w:r w:rsidRPr="003A41B3">
        <w:tab/>
        <w:t>Although credit ratings play a vital role in financial markets and the literature on credit ratings is voluminous, research which specifically investigates ratings quality is surprisingly limited. The majority of closely related prior studies concentrate on the information content of ratings, which is approached by considering the association between credit ratings (or their changes) and bond yields (or their changes). Becker and Milbourn (2011) define the quality of ratings as their ability to transmit reliable information to market participants and their ability to categorize the risk of a rated instrument. Classification is especially important for regulation due to its requirement for stable interpretations of ratings used in contracts and capital requirements. In other papers, the concept of rating accuracy is used. For example, Flynn and Ghent (2018) measure rating quality as the gap between the level of ratings of entrant versus incumbent CRAs.</w:t>
      </w:r>
    </w:p>
    <w:p w14:paraId="52CA39BB" w14:textId="77777777" w:rsidR="003D6FC6" w:rsidRPr="003A41B3" w:rsidRDefault="003D6FC6" w:rsidP="003D6FC6">
      <w:pPr>
        <w:tabs>
          <w:tab w:val="left" w:pos="284"/>
          <w:tab w:val="left" w:pos="567"/>
        </w:tabs>
        <w:spacing w:line="480" w:lineRule="auto"/>
        <w:jc w:val="both"/>
      </w:pPr>
      <w:r w:rsidRPr="003A41B3">
        <w:tab/>
        <w:t xml:space="preserve">Other studies focus on the effect of ratings on the supply of debt capital with the use of leverage as a dependent variable. </w:t>
      </w:r>
      <w:proofErr w:type="spellStart"/>
      <w:r w:rsidRPr="003A41B3">
        <w:t>Kisgen</w:t>
      </w:r>
      <w:proofErr w:type="spellEnd"/>
      <w:r w:rsidRPr="003A41B3">
        <w:t xml:space="preserve"> and Strahan (2010) investigate the regulatory influence of various levels of ratings, rather than the impact of having a rating, on bond yields. The authors establish that rating-contingent regulation influences a firm’s cost of debt capital (bond yields) asymmetrically. Only higher ratings from a newly certified CRA correspond to a decline in firms’ cost of capital. These results are corroborated by </w:t>
      </w:r>
      <w:proofErr w:type="spellStart"/>
      <w:r w:rsidRPr="003A41B3">
        <w:t>Bongaerts</w:t>
      </w:r>
      <w:proofErr w:type="spellEnd"/>
      <w:r w:rsidRPr="003A41B3">
        <w:t xml:space="preserve"> et al. (2012), who state that Fitch’s ratings are important mainly for regulatory reasons as a tie-breaker between differing ratings of Moody’s and S&amp;P. </w:t>
      </w:r>
    </w:p>
    <w:p w14:paraId="3315A08A" w14:textId="0B7EBE61" w:rsidR="003D6FC6" w:rsidRPr="003A41B3" w:rsidRDefault="003D6FC6" w:rsidP="003D6FC6">
      <w:pPr>
        <w:tabs>
          <w:tab w:val="left" w:pos="284"/>
          <w:tab w:val="left" w:pos="567"/>
        </w:tabs>
        <w:spacing w:line="480" w:lineRule="auto"/>
        <w:jc w:val="both"/>
      </w:pPr>
      <w:r w:rsidRPr="003A41B3">
        <w:t xml:space="preserve"> </w:t>
      </w:r>
      <w:r w:rsidRPr="003A41B3">
        <w:tab/>
        <w:t xml:space="preserve">The impact of regulation on the rating industry is mainly examined by </w:t>
      </w:r>
      <w:r w:rsidR="006C2A3B" w:rsidRPr="003A41B3">
        <w:t>considering</w:t>
      </w:r>
      <w:r w:rsidRPr="003A41B3">
        <w:t xml:space="preserve"> the entry of a regulated CRA and the corresponding effect of increased competition on the rest of the CRA industry. Bolton et al. (2012) and Dimitrov et al. (2015) suggest that the overall quality of ratings drops with increased competition. Bolton et al. (2012) conclude that increased competition between CRAs might lead to increased rating shopping and a consequent reduced </w:t>
      </w:r>
      <w:r w:rsidRPr="003A41B3">
        <w:lastRenderedPageBreak/>
        <w:t xml:space="preserve">wealth effect. Studying the entry of new CRAs into structured ratings, Flynn and Ghent (2018) find that entrant CRAs issue higher ratings than the incumbent firms, a strategy used to win business. This results in rating shopping on the part of issuers. </w:t>
      </w:r>
    </w:p>
    <w:p w14:paraId="5FBC8D4C" w14:textId="77777777" w:rsidR="003D6FC6" w:rsidRPr="003A41B3" w:rsidRDefault="003D6FC6" w:rsidP="003D6FC6">
      <w:pPr>
        <w:tabs>
          <w:tab w:val="left" w:pos="284"/>
          <w:tab w:val="left" w:pos="567"/>
        </w:tabs>
        <w:spacing w:line="480" w:lineRule="auto"/>
        <w:jc w:val="both"/>
      </w:pPr>
      <w:r w:rsidRPr="003A41B3">
        <w:tab/>
        <w:t xml:space="preserve">Behr et al. (2018) suggest that the restricted competition and increased importance of ratings due to their hardwiring in banking and investment regulations can have a detrimental effect on rating quality. The authors find that SEC regulation from 1975 increased the barriers to entry and captured a customer base for certified CRAs, which changed their incentives and created a tendency towards inflated bond ratings. In contrast, Doherty et al. (2012) study insurance ratings and find that the new entrant CRA chooses higher standards than the incumbent companies. They conclude that increased competition results in improved precision of default rate estimates. Similarly, Bae et al. (2015) cast doubt on the view that competition leads to inflated ratings in the corporate bond market. By revisiting the study of Becker and Milbourn (2011), these authors find that their results of rating inflation suffer from endogeneity caused by unobservable industry effects. </w:t>
      </w:r>
    </w:p>
    <w:p w14:paraId="5F857B2B" w14:textId="77777777" w:rsidR="003D6FC6" w:rsidRPr="003A41B3" w:rsidRDefault="003D6FC6" w:rsidP="003D6FC6">
      <w:pPr>
        <w:tabs>
          <w:tab w:val="left" w:pos="284"/>
          <w:tab w:val="left" w:pos="567"/>
        </w:tabs>
        <w:spacing w:line="480" w:lineRule="auto"/>
        <w:jc w:val="both"/>
      </w:pPr>
      <w:r w:rsidRPr="003A41B3">
        <w:tab/>
        <w:t xml:space="preserve">There is only very scarce literature on the effect of CRA regulation, which does not primarily </w:t>
      </w:r>
      <w:proofErr w:type="spellStart"/>
      <w:r w:rsidRPr="003A41B3">
        <w:t>emphasise</w:t>
      </w:r>
      <w:proofErr w:type="spellEnd"/>
      <w:r w:rsidRPr="003A41B3">
        <w:t xml:space="preserve"> a competition perspective. </w:t>
      </w:r>
      <w:r w:rsidRPr="003A41B3">
        <w:rPr>
          <w:lang w:val="en-GB"/>
        </w:rPr>
        <w:t xml:space="preserve">A theoretical paper by </w:t>
      </w:r>
      <w:proofErr w:type="spellStart"/>
      <w:r w:rsidRPr="003A41B3">
        <w:rPr>
          <w:lang w:val="en-GB"/>
        </w:rPr>
        <w:t>Opp</w:t>
      </w:r>
      <w:proofErr w:type="spellEnd"/>
      <w:r w:rsidRPr="003A41B3">
        <w:rPr>
          <w:lang w:val="en-GB"/>
        </w:rPr>
        <w:t xml:space="preserve"> et al. (2013) suggests that ratings-contingent regulation diminishes the incentives of CRAs in information provision. </w:t>
      </w:r>
      <w:proofErr w:type="spellStart"/>
      <w:r w:rsidRPr="003A41B3">
        <w:rPr>
          <w:lang w:val="en-GB"/>
        </w:rPr>
        <w:t>Opp</w:t>
      </w:r>
      <w:proofErr w:type="spellEnd"/>
      <w:r w:rsidRPr="003A41B3">
        <w:rPr>
          <w:lang w:val="en-GB"/>
        </w:rPr>
        <w:t xml:space="preserve"> et al. (2013) argue that there is known to exist a threshold level of regulatory gain, beyond which the regulatory arbitrage brings in the same advantage as delegated information attainment by the CRA. When issuers receive favourable rating treatment and its economic advantage is higher than that of obtaining information, regulation causes the collapse of the information provision process and leads to ratings inflation. They suggest that it might be cost-effective for CRAs to release lower-quality ratings instead of dealing with complicated asset structures (e.g. for banks). </w:t>
      </w:r>
    </w:p>
    <w:p w14:paraId="1ED3034E" w14:textId="77777777" w:rsidR="003D6FC6" w:rsidRPr="003A41B3" w:rsidRDefault="003D6FC6" w:rsidP="003D6FC6">
      <w:pPr>
        <w:tabs>
          <w:tab w:val="left" w:pos="284"/>
          <w:tab w:val="left" w:pos="567"/>
        </w:tabs>
        <w:spacing w:line="480" w:lineRule="auto"/>
        <w:jc w:val="both"/>
        <w:rPr>
          <w:highlight w:val="yellow"/>
        </w:rPr>
      </w:pPr>
    </w:p>
    <w:p w14:paraId="20328348" w14:textId="77777777" w:rsidR="003D6FC6" w:rsidRPr="003A41B3" w:rsidRDefault="003D6FC6" w:rsidP="003D6FC6">
      <w:pPr>
        <w:pStyle w:val="Heading1"/>
        <w:tabs>
          <w:tab w:val="left" w:pos="284"/>
        </w:tabs>
        <w:spacing w:before="0" w:line="480" w:lineRule="auto"/>
        <w:rPr>
          <w:rFonts w:eastAsia="Times New Roman" w:cs="Times New Roman"/>
          <w:b w:val="0"/>
          <w:bCs w:val="0"/>
          <w:color w:val="auto"/>
        </w:rPr>
      </w:pPr>
      <w:r w:rsidRPr="003A41B3">
        <w:rPr>
          <w:rFonts w:cs="Times New Roman"/>
          <w:color w:val="auto"/>
        </w:rPr>
        <w:lastRenderedPageBreak/>
        <w:t>4</w:t>
      </w:r>
      <w:r w:rsidRPr="003A41B3">
        <w:rPr>
          <w:rFonts w:eastAsia="Times New Roman" w:cs="Times New Roman"/>
          <w:color w:val="auto"/>
        </w:rPr>
        <w:t xml:space="preserve">. </w:t>
      </w:r>
      <w:r w:rsidRPr="003A41B3">
        <w:rPr>
          <w:rFonts w:cs="Times New Roman"/>
          <w:color w:val="auto"/>
        </w:rPr>
        <w:t>Data</w:t>
      </w:r>
      <w:r w:rsidRPr="003A41B3">
        <w:rPr>
          <w:rStyle w:val="FootnoteReference"/>
          <w:rFonts w:eastAsia="Times New Roman" w:cs="Times New Roman"/>
          <w:color w:val="auto"/>
        </w:rPr>
        <w:footnoteReference w:id="4"/>
      </w:r>
    </w:p>
    <w:p w14:paraId="4CE3209F" w14:textId="77777777" w:rsidR="003D6FC6" w:rsidRPr="003A41B3" w:rsidRDefault="003D6FC6" w:rsidP="003D6FC6">
      <w:pPr>
        <w:pStyle w:val="Heading2"/>
        <w:tabs>
          <w:tab w:val="left" w:pos="284"/>
        </w:tabs>
        <w:spacing w:before="0" w:line="480" w:lineRule="auto"/>
        <w:rPr>
          <w:rFonts w:eastAsia="Times New Roman" w:cs="Times New Roman"/>
        </w:rPr>
      </w:pPr>
      <w:r w:rsidRPr="003A41B3">
        <w:rPr>
          <w:rFonts w:cs="Times New Roman"/>
        </w:rPr>
        <w:t>4.1. Data sources</w:t>
      </w:r>
    </w:p>
    <w:p w14:paraId="406747D5" w14:textId="77777777" w:rsidR="003D6FC6" w:rsidRPr="003A41B3" w:rsidRDefault="003D6FC6" w:rsidP="003D6FC6">
      <w:pPr>
        <w:widowControl w:val="0"/>
        <w:tabs>
          <w:tab w:val="left" w:pos="284"/>
          <w:tab w:val="left" w:pos="567"/>
        </w:tabs>
        <w:spacing w:line="480" w:lineRule="auto"/>
        <w:contextualSpacing/>
        <w:jc w:val="both"/>
      </w:pPr>
      <w:r w:rsidRPr="003A41B3">
        <w:tab/>
        <w:t>The bond characteristics and pricing data are collected from Bloomberg L.P. The selection criteria include publicly placed, unsecured, straight sovereign bonds with fixed coupon, remaining maturity between 1 to 30 years and issued in US dollars. We exclude structured notes, inflation-linked notes, hybrid or dual-currency bonds and restructured debt. Only bonds with the pricing information available (historical data such as YTM) are retained. We match rating events with the adequate bond spread information and investigate any outliers.</w:t>
      </w:r>
      <w:r w:rsidRPr="003A41B3">
        <w:rPr>
          <w:rStyle w:val="FootnoteReference"/>
        </w:rPr>
        <w:footnoteReference w:id="5"/>
      </w:r>
      <w:r w:rsidRPr="003A41B3">
        <w:t xml:space="preserve"> The dataset comprises 823 rating events</w:t>
      </w:r>
      <w:r w:rsidRPr="003A41B3">
        <w:rPr>
          <w:rStyle w:val="FootnoteReference"/>
        </w:rPr>
        <w:footnoteReference w:id="6"/>
      </w:r>
      <w:r w:rsidRPr="003A41B3">
        <w:t xml:space="preserve"> assigned by three CRAs for 70 sovereigns.</w:t>
      </w:r>
      <w:r w:rsidRPr="003A41B3">
        <w:rPr>
          <w:rStyle w:val="FootnoteReference"/>
        </w:rPr>
        <w:footnoteReference w:id="7"/>
      </w:r>
    </w:p>
    <w:p w14:paraId="553B8893" w14:textId="77777777" w:rsidR="003D6FC6" w:rsidRPr="003A41B3" w:rsidRDefault="003D6FC6" w:rsidP="003D6FC6">
      <w:pPr>
        <w:tabs>
          <w:tab w:val="left" w:pos="284"/>
          <w:tab w:val="left" w:pos="567"/>
        </w:tabs>
        <w:spacing w:line="480" w:lineRule="auto"/>
        <w:jc w:val="both"/>
      </w:pPr>
      <w:r w:rsidRPr="003A41B3">
        <w:t xml:space="preserve">     Bond spreads, in basis points, are calculated by taking the difference between the yield to maturity of the sovereign bond subject to the rating action and the yield to maturity of the comparable US benchmark bond.  We match each sovereign bond with the benchmark bond based on the closest remaining maturity and coupon amount. The 70 sovereigns are represented by 159 individual sovereign bonds. We use 76 US bonds as benchmarks for spread calculations. The long-term foreign-currency ratings are gathered from the three CRAs’ publications. The rating actions are matched with the bond data. Data for multiple bonds is normally observable on the day of the rating action. We select the bond with the highest issue amount per sovereign on the particular rating event date. For any given rating event, only one bond is considered. </w:t>
      </w:r>
    </w:p>
    <w:p w14:paraId="67F35334" w14:textId="77777777" w:rsidR="003D6FC6" w:rsidRPr="003A41B3" w:rsidRDefault="003D6FC6" w:rsidP="003D6FC6">
      <w:pPr>
        <w:pStyle w:val="Heading3"/>
        <w:tabs>
          <w:tab w:val="left" w:pos="284"/>
        </w:tabs>
        <w:spacing w:before="0" w:line="480" w:lineRule="auto"/>
        <w:rPr>
          <w:rFonts w:eastAsia="Times New Roman" w:cs="Times New Roman"/>
        </w:rPr>
      </w:pPr>
      <w:r w:rsidRPr="003A41B3">
        <w:rPr>
          <w:rFonts w:cs="Times New Roman"/>
        </w:rPr>
        <w:lastRenderedPageBreak/>
        <w:t>4.1.1. Descriptive statistics</w:t>
      </w:r>
    </w:p>
    <w:p w14:paraId="7CCBEFFE" w14:textId="461F99E2" w:rsidR="003D6FC6" w:rsidRPr="003A41B3" w:rsidRDefault="003D6FC6" w:rsidP="003D6FC6">
      <w:pPr>
        <w:tabs>
          <w:tab w:val="left" w:pos="284"/>
          <w:tab w:val="left" w:pos="567"/>
        </w:tabs>
        <w:spacing w:line="480" w:lineRule="auto"/>
        <w:jc w:val="both"/>
      </w:pPr>
      <w:r w:rsidRPr="003A41B3">
        <w:tab/>
        <w:t xml:space="preserve">  We identify rating events using a comprehensive credit rating scale (58-CCR point) which includes ratings, watch and outlook status, as follows: AAA = 58, AA+ = 55 … CCC- = 4, C/SD/CC/D = 1. Then, for positive watch (outlook) we add +2 (+1) whereas for negative watch (outlook) we subtract 2 (1), respectively (see Appendix A). Table 1 presents statistics on the credit events in our sample. Overall, actions of one CCR point constitute the largest share among all CRAs (exceeding 22% and 19% for positive and negative events respectively). There are 152 (194), 141 (104) and 116 (116) upgrades (downgrades) by S&amp;P, Moody’s and Fitch respectively. </w:t>
      </w:r>
      <w:bookmarkStart w:id="10" w:name="_Hlk4775656"/>
      <w:r w:rsidRPr="003A41B3">
        <w:t xml:space="preserve">The highest average numerical rating, based on </w:t>
      </w:r>
      <w:r w:rsidR="008A4144" w:rsidRPr="003A41B3">
        <w:t xml:space="preserve">the </w:t>
      </w:r>
      <w:r w:rsidRPr="003A41B3">
        <w:t>58-CCR numerical rating scale, is by Fitch (29, equivalent to BB+/BBB-), followed by Moody’s (28, BB+) and S&amp;P (27, BB/BB+)</w:t>
      </w:r>
      <w:bookmarkEnd w:id="10"/>
      <w:r w:rsidRPr="003A41B3">
        <w:t>. S&amp;P releases the highest proportion of downgrades against upgrades in all time periods.</w:t>
      </w:r>
      <w:r w:rsidRPr="003A41B3">
        <w:rPr>
          <w:rStyle w:val="FootnoteReference"/>
        </w:rPr>
        <w:footnoteReference w:id="8"/>
      </w:r>
      <w:r w:rsidRPr="003A41B3">
        <w:t xml:space="preserve"> The implication that S&amp;P is the more conservative CRA corresponds with prior literature (e.g., Flynn and Ghent, 2018). S&amp;P assigned the highest proportion of 2 and above CCR-point downgrades (16%). Fitch has the highest proportion (12%) of positive actions by more than 2 CCR points. </w:t>
      </w:r>
    </w:p>
    <w:p w14:paraId="36C2D803" w14:textId="77777777" w:rsidR="003D6FC6" w:rsidRPr="003A41B3" w:rsidRDefault="003D6FC6" w:rsidP="003D6FC6">
      <w:pPr>
        <w:tabs>
          <w:tab w:val="left" w:pos="284"/>
          <w:tab w:val="left" w:pos="567"/>
        </w:tabs>
        <w:spacing w:line="480" w:lineRule="auto"/>
        <w:jc w:val="both"/>
      </w:pPr>
      <w:r w:rsidRPr="003A41B3">
        <w:tab/>
        <w:t xml:space="preserve">  We also split the sample into the pre-identifier (Jan 2006-April 2012) and post-identifier (May 2012-June 2016) periods. From the total of 823 events, 426 (397) actions occur in the pre-identifier (post-identifier) period. Positive (negative) actions in the pre-identifier period constitute 54% (46%) of events, and they amount to 46% (54%) in the post-identifier period. The average rating is higher in the pre-identifier period, although the sample size for both periods is quite balanced, indicating that ratings are less inflated after the regulation. Given that the pre-identifier period includes the outbreak of the global financial crisis and the European sovereign debt crisis, one could anticipate the reverse i.e., ratings to be higher after May 2012.</w:t>
      </w:r>
      <w:r w:rsidRPr="003A41B3">
        <w:rPr>
          <w:rStyle w:val="FootnoteReference"/>
        </w:rPr>
        <w:footnoteReference w:id="9"/>
      </w:r>
    </w:p>
    <w:p w14:paraId="6BE5C4ED" w14:textId="77777777" w:rsidR="003D6FC6" w:rsidRPr="003A41B3" w:rsidRDefault="003D6FC6" w:rsidP="003D6FC6">
      <w:pPr>
        <w:tabs>
          <w:tab w:val="left" w:pos="284"/>
          <w:tab w:val="left" w:pos="567"/>
        </w:tabs>
        <w:spacing w:line="480" w:lineRule="auto"/>
        <w:jc w:val="both"/>
      </w:pPr>
      <w:r w:rsidRPr="003A41B3">
        <w:lastRenderedPageBreak/>
        <w:t xml:space="preserve">     Table 2 illustrates statistical properties of three event samples. The variables in the three CRAs’ sub-samples have similar distributions (e.g., term to maturity, coupon rate, and issuance amount). These commonalities allow easier comparisons of the results in the multivariate analysis and support their reliability. The only exception is the number of sovereign bonds used for representing a country. S&amp;P has the highest number of 130 bonds whereas Moody’s and Fitch are represented by 96 and 92 sovereign bonds respectively. This can be justified by the highest number of events being for S&amp;P. With cumulative two-day [0, +1] mean yield spread of 0.47, S&amp;P has the lowest value for this variable. S&amp;P’s conservatism could explain this phenomenon. According to Flynn and Ghent (2018), S&amp;P received the greatest regulatory pressure in the recent years. Descriptive statistics representing the variables used in the multivariate analysis are also reported in Table 2.</w:t>
      </w:r>
    </w:p>
    <w:p w14:paraId="68C0B021" w14:textId="77777777" w:rsidR="003D6FC6" w:rsidRPr="003A41B3" w:rsidRDefault="003D6FC6" w:rsidP="003D6FC6">
      <w:pPr>
        <w:tabs>
          <w:tab w:val="left" w:pos="284"/>
          <w:tab w:val="left" w:pos="567"/>
        </w:tabs>
        <w:spacing w:line="480" w:lineRule="auto"/>
        <w:jc w:val="both"/>
      </w:pPr>
      <w:r w:rsidRPr="003A41B3">
        <w:t xml:space="preserve">     Furthermore, we construct a sample of non-events where each bond on the rating event date is matched with a randomly selected non-event date.</w:t>
      </w:r>
      <w:r w:rsidRPr="003A41B3">
        <w:rPr>
          <w:rStyle w:val="FootnoteReference"/>
        </w:rPr>
        <w:footnoteReference w:id="10"/>
      </w:r>
      <w:r w:rsidRPr="003A41B3">
        <w:t xml:space="preserve"> The non-event sample comprises the same time period but includes only clean observations. These are defined as observations where no credit event for that sovereign, by any of the three CRAs, occurred in a window of 30 days before/after the non-event date. Additionally, there must be no rating change for the US by any of the three CRAs within 30 days before/after the non-event date. Finally, the non-event date must not fall within the window of 30 days before/after the date of the introduction of identifier rules (30 April 2012). Additionally, when non-event and event observations are being matched in the pre- and post-identifier periods only, the clean observations from the relevant period are available for random selection. The total sample comprises 1646 observations with 692 for S&amp;P, 490 for Moody’s and 464 for Fitch sub-samples respectively.</w:t>
      </w:r>
      <w:r w:rsidRPr="003A41B3">
        <w:rPr>
          <w:rStyle w:val="FootnoteReference"/>
        </w:rPr>
        <w:footnoteReference w:id="11"/>
      </w:r>
    </w:p>
    <w:p w14:paraId="4331E1E4" w14:textId="77777777" w:rsidR="003D6FC6" w:rsidRPr="003A41B3" w:rsidRDefault="003D6FC6" w:rsidP="003D6FC6">
      <w:pPr>
        <w:tabs>
          <w:tab w:val="left" w:pos="284"/>
          <w:tab w:val="left" w:pos="567"/>
        </w:tabs>
        <w:spacing w:line="480" w:lineRule="auto"/>
        <w:jc w:val="both"/>
      </w:pPr>
    </w:p>
    <w:p w14:paraId="6BB3C3FD" w14:textId="77777777" w:rsidR="003D6FC6" w:rsidRPr="003A41B3" w:rsidRDefault="003D6FC6" w:rsidP="003D6FC6">
      <w:pPr>
        <w:tabs>
          <w:tab w:val="left" w:pos="284"/>
          <w:tab w:val="left" w:pos="567"/>
        </w:tabs>
        <w:spacing w:line="480" w:lineRule="auto"/>
        <w:jc w:val="both"/>
        <w:rPr>
          <w:b/>
        </w:rPr>
      </w:pPr>
      <w:r w:rsidRPr="003A41B3">
        <w:rPr>
          <w:b/>
        </w:rPr>
        <w:lastRenderedPageBreak/>
        <w:t>5. Multivariate analysis</w:t>
      </w:r>
    </w:p>
    <w:p w14:paraId="6A72AAC8" w14:textId="77777777" w:rsidR="003D6FC6" w:rsidRPr="003A41B3" w:rsidRDefault="003D6FC6" w:rsidP="003D6FC6">
      <w:pPr>
        <w:pStyle w:val="Heading2"/>
        <w:tabs>
          <w:tab w:val="left" w:pos="284"/>
        </w:tabs>
        <w:spacing w:before="0" w:line="480" w:lineRule="auto"/>
        <w:rPr>
          <w:rFonts w:cs="Times New Roman"/>
          <w:szCs w:val="24"/>
        </w:rPr>
      </w:pPr>
      <w:r w:rsidRPr="003A41B3">
        <w:rPr>
          <w:rFonts w:cs="Times New Roman"/>
          <w:szCs w:val="24"/>
        </w:rPr>
        <w:t xml:space="preserve">5.1. Main methods </w:t>
      </w:r>
    </w:p>
    <w:p w14:paraId="4C0EADD2" w14:textId="77777777" w:rsidR="003D6FC6" w:rsidRPr="003A41B3" w:rsidRDefault="003D6FC6" w:rsidP="003D6FC6">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rPr>
        <w:tab/>
        <w:t xml:space="preserve">In the empirical investigation, we focus solely on the impact of the introduction of regulation on the quality of sovereign ratings, not the interaction between changes in regulation and competition. </w:t>
      </w:r>
      <w:proofErr w:type="spellStart"/>
      <w:r w:rsidRPr="003A41B3">
        <w:rPr>
          <w:rFonts w:ascii="Times New Roman" w:hAnsi="Times New Roman" w:cs="Times New Roman"/>
        </w:rPr>
        <w:t>Opp</w:t>
      </w:r>
      <w:proofErr w:type="spellEnd"/>
      <w:r w:rsidRPr="003A41B3">
        <w:rPr>
          <w:rFonts w:ascii="Times New Roman" w:hAnsi="Times New Roman" w:cs="Times New Roman"/>
        </w:rPr>
        <w:t xml:space="preserve"> et al. (2013) argue that isolating the effect of changes in regulation is important. CRA competition plays a central role in rating quality of highly competitive non-sovereign rating markets.</w:t>
      </w:r>
      <w:r w:rsidRPr="003A41B3">
        <w:rPr>
          <w:rStyle w:val="FootnoteReference"/>
          <w:rFonts w:ascii="Times New Roman" w:hAnsi="Times New Roman" w:cs="Times New Roman"/>
        </w:rPr>
        <w:footnoteReference w:id="12"/>
      </w:r>
      <w:r w:rsidRPr="003A41B3">
        <w:rPr>
          <w:rFonts w:ascii="Times New Roman" w:hAnsi="Times New Roman" w:cs="Times New Roman"/>
        </w:rPr>
        <w:t xml:space="preserve"> However, the role of competition is less intensive in our setting, </w:t>
      </w:r>
      <w:r w:rsidRPr="003A41B3">
        <w:rPr>
          <w:rFonts w:ascii="Times New Roman" w:hAnsi="Times New Roman" w:cs="Times New Roman"/>
          <w:szCs w:val="24"/>
        </w:rPr>
        <w:t xml:space="preserve">given that the big three CRAs assign the vast majority of sovereign ratings. </w:t>
      </w:r>
    </w:p>
    <w:p w14:paraId="6A2F3218" w14:textId="087DB540" w:rsidR="003D6FC6" w:rsidRPr="003A41B3" w:rsidRDefault="003D6FC6" w:rsidP="003D6FC6">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rPr>
        <w:tab/>
      </w:r>
      <w:bookmarkStart w:id="11" w:name="_Hlk5117678"/>
      <w:r w:rsidR="002A576F" w:rsidRPr="003A41B3">
        <w:rPr>
          <w:rFonts w:ascii="Times New Roman" w:hAnsi="Times New Roman" w:cs="Times New Roman"/>
        </w:rPr>
        <w:t>Following the empirical literature (see Section 3), the quality of ratings is captured by the information content of ratings (Bae et al., 2015; Becker and Milbourn, 2011; Behr et al., 2018; Dimitrov et al.</w:t>
      </w:r>
      <w:r w:rsidR="002A0DC0" w:rsidRPr="003A41B3">
        <w:rPr>
          <w:rFonts w:ascii="Times New Roman" w:hAnsi="Times New Roman" w:cs="Times New Roman"/>
        </w:rPr>
        <w:t>,</w:t>
      </w:r>
      <w:r w:rsidR="002A576F" w:rsidRPr="003A41B3">
        <w:rPr>
          <w:rFonts w:ascii="Times New Roman" w:hAnsi="Times New Roman" w:cs="Times New Roman"/>
        </w:rPr>
        <w:t xml:space="preserve"> 2015). The quality is examined by testing whether the market is more aligned with ratings through bond yields before or after the cut-off date. When ratings accurately reflect issuer</w:t>
      </w:r>
      <w:r w:rsidR="008E2433" w:rsidRPr="003A41B3">
        <w:rPr>
          <w:rFonts w:ascii="Times New Roman" w:hAnsi="Times New Roman" w:cs="Times New Roman"/>
        </w:rPr>
        <w:t>s’ creditworthiness</w:t>
      </w:r>
      <w:r w:rsidR="002A576F" w:rsidRPr="003A41B3">
        <w:rPr>
          <w:rFonts w:ascii="Times New Roman" w:hAnsi="Times New Roman" w:cs="Times New Roman"/>
        </w:rPr>
        <w:t xml:space="preserve"> and correlate strongly with bond yields, they reduce the information asymmetries between investors (and diminish risks for less-informed investors), which is indicative of high quality (Abad et al., 2019; Flynn and Ghent, 2018). On the other hand, any evidence of a </w:t>
      </w:r>
      <w:r w:rsidR="00A979A5" w:rsidRPr="003A41B3">
        <w:rPr>
          <w:rFonts w:ascii="Times New Roman" w:hAnsi="Times New Roman" w:cs="Times New Roman"/>
        </w:rPr>
        <w:t xml:space="preserve">weak </w:t>
      </w:r>
      <w:r w:rsidR="002A576F" w:rsidRPr="003A41B3">
        <w:rPr>
          <w:rFonts w:ascii="Times New Roman" w:hAnsi="Times New Roman" w:cs="Times New Roman"/>
        </w:rPr>
        <w:t>correlation between bond yields and ratings suggests that ratings perform poorly in terms of information transmission (Becker and Milbourn, 2011). As suggested by Abad et al. (2019), low quality ratings harm the function of CRAs as information gatekeepers and make contracting with ratings more difficult.</w:t>
      </w:r>
      <w:bookmarkEnd w:id="11"/>
      <w:r w:rsidRPr="003A41B3">
        <w:rPr>
          <w:rFonts w:ascii="Times New Roman" w:hAnsi="Times New Roman" w:cs="Times New Roman"/>
        </w:rPr>
        <w:t xml:space="preserve"> </w:t>
      </w:r>
    </w:p>
    <w:p w14:paraId="2FA1B6A2" w14:textId="2756E6BC" w:rsidR="003D6FC6" w:rsidRPr="003A41B3" w:rsidRDefault="003D6FC6" w:rsidP="003D6FC6">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rPr>
        <w:tab/>
      </w:r>
      <w:bookmarkStart w:id="12" w:name="_Hlk5474469"/>
      <w:r w:rsidR="009963AD" w:rsidRPr="003A41B3">
        <w:rPr>
          <w:rFonts w:ascii="Times New Roman" w:hAnsi="Times New Roman" w:cs="Times New Roman"/>
        </w:rPr>
        <w:t>If ESMA’s aims are to be achieved, we hypothesize that the link between rating changes and bond yields should strengthen after the introduction of the identifier rules in April 2012</w:t>
      </w:r>
      <w:r w:rsidRPr="003A41B3">
        <w:rPr>
          <w:rFonts w:ascii="Times New Roman" w:hAnsi="Times New Roman" w:cs="Times New Roman"/>
        </w:rPr>
        <w:t xml:space="preserve">. </w:t>
      </w:r>
      <w:bookmarkEnd w:id="12"/>
      <w:r w:rsidRPr="003A41B3">
        <w:rPr>
          <w:rFonts w:ascii="Times New Roman" w:hAnsi="Times New Roman" w:cs="Times New Roman"/>
        </w:rPr>
        <w:t xml:space="preserve">According to ESMA (2017b), ratings issued and endorsed in Europe fulfil the equivalence in methodology and transparency standards representing their high quality. Therefore, ratings </w:t>
      </w:r>
      <w:r w:rsidRPr="003A41B3">
        <w:rPr>
          <w:rFonts w:ascii="Times New Roman" w:hAnsi="Times New Roman" w:cs="Times New Roman"/>
        </w:rPr>
        <w:lastRenderedPageBreak/>
        <w:t xml:space="preserve">should solely reflect factors related to the expected </w:t>
      </w:r>
      <w:r w:rsidR="0008253C" w:rsidRPr="003A41B3">
        <w:rPr>
          <w:rFonts w:ascii="Times New Roman" w:hAnsi="Times New Roman" w:cs="Times New Roman"/>
        </w:rPr>
        <w:t xml:space="preserve">debt servicing </w:t>
      </w:r>
      <w:r w:rsidRPr="003A41B3">
        <w:rPr>
          <w:rFonts w:ascii="Times New Roman" w:hAnsi="Times New Roman" w:cs="Times New Roman"/>
        </w:rPr>
        <w:t>by the issuer and correlate closely with the bond yields. In addition, this motivates an expectation that the location of rating analysts (in the EU or outside the EU) should not have a significant impact on the informativeness of sovereign ratings.</w:t>
      </w:r>
    </w:p>
    <w:p w14:paraId="6F98B6DB" w14:textId="5F8FB45C" w:rsidR="009F4CD6" w:rsidRPr="003A41B3" w:rsidRDefault="003D6FC6" w:rsidP="003D6FC6">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rPr>
        <w:tab/>
        <w:t xml:space="preserve">Because bond prices change far more frequently than ratings, we look at the change in informativeness (accuracy) levels rather than absolute match to market measures. Specifically, we test whether rating changes are able to explain bond yield changes (decreases or increases in bond spreads). This capability differentiates ratings into less or more informative. Separate sets of regressions for rating upgrades and downgrades are used </w:t>
      </w:r>
      <w:r w:rsidRPr="003A41B3">
        <w:rPr>
          <w:rFonts w:ascii="Times New Roman" w:hAnsi="Times New Roman" w:cs="Times New Roman"/>
          <w:szCs w:val="24"/>
        </w:rPr>
        <w:t xml:space="preserve">due to their expected different outcomes, and </w:t>
      </w:r>
      <w:r w:rsidRPr="003A41B3">
        <w:rPr>
          <w:rFonts w:ascii="Times New Roman" w:hAnsi="Times New Roman" w:cs="Times New Roman"/>
        </w:rPr>
        <w:t>for each of the three CRAs.</w:t>
      </w:r>
      <w:r w:rsidRPr="003A41B3">
        <w:rPr>
          <w:rFonts w:ascii="Times New Roman" w:hAnsi="Times New Roman" w:cs="Times New Roman"/>
          <w:szCs w:val="24"/>
        </w:rPr>
        <w:t xml:space="preserve"> We expect unequal effects across CRAs</w:t>
      </w:r>
      <w:r w:rsidRPr="003A41B3" w:rsidDel="003162F5">
        <w:rPr>
          <w:rFonts w:ascii="Times New Roman" w:hAnsi="Times New Roman" w:cs="Times New Roman"/>
        </w:rPr>
        <w:t xml:space="preserve"> </w:t>
      </w:r>
      <w:r w:rsidRPr="003A41B3">
        <w:rPr>
          <w:rFonts w:ascii="Times New Roman" w:hAnsi="Times New Roman" w:cs="Times New Roman"/>
        </w:rPr>
        <w:t>to be driven by differences in their methodologies, assumptions and performance (</w:t>
      </w:r>
      <w:proofErr w:type="spellStart"/>
      <w:r w:rsidRPr="003A41B3">
        <w:rPr>
          <w:rFonts w:ascii="Times New Roman" w:hAnsi="Times New Roman" w:cs="Times New Roman"/>
        </w:rPr>
        <w:t>Bongaerts</w:t>
      </w:r>
      <w:proofErr w:type="spellEnd"/>
      <w:r w:rsidRPr="003A41B3">
        <w:rPr>
          <w:rFonts w:ascii="Times New Roman" w:hAnsi="Times New Roman" w:cs="Times New Roman"/>
        </w:rPr>
        <w:t xml:space="preserve"> et al., 2012; Livingston et al., 2010). </w:t>
      </w:r>
      <w:bookmarkStart w:id="13" w:name="_Hlk5117824"/>
      <w:bookmarkStart w:id="14" w:name="_Hlk4674960"/>
      <w:r w:rsidRPr="003A41B3">
        <w:rPr>
          <w:rFonts w:ascii="Times New Roman" w:hAnsi="Times New Roman" w:cs="Times New Roman"/>
        </w:rPr>
        <w:t>The baseline model examines our first research question regarding the impact of the identifier</w:t>
      </w:r>
      <w:r w:rsidR="009F4CD6" w:rsidRPr="003A41B3">
        <w:rPr>
          <w:rFonts w:ascii="Times New Roman" w:hAnsi="Times New Roman" w:cs="Times New Roman"/>
        </w:rPr>
        <w:t>s</w:t>
      </w:r>
      <w:r w:rsidRPr="003A41B3">
        <w:rPr>
          <w:rFonts w:ascii="Times New Roman" w:hAnsi="Times New Roman" w:cs="Times New Roman"/>
        </w:rPr>
        <w:t xml:space="preserve"> disclosure rule on rating quality, as follows</w:t>
      </w:r>
      <w:bookmarkEnd w:id="13"/>
      <w:r w:rsidRPr="003A41B3">
        <w:rPr>
          <w:rFonts w:ascii="Times New Roman" w:hAnsi="Times New Roman" w:cs="Times New Roman"/>
        </w:rPr>
        <w:t>:</w:t>
      </w:r>
      <w:bookmarkEnd w:id="14"/>
    </w:p>
    <w:p w14:paraId="6A4876DD" w14:textId="59688A63" w:rsidR="00663FD8" w:rsidRPr="003A41B3" w:rsidRDefault="0088760E" w:rsidP="0088760E">
      <w:pPr>
        <w:spacing w:before="200" w:after="120"/>
        <w:jc w:val="center"/>
        <w:rPr>
          <w:rFonts w:eastAsia="Calibri"/>
        </w:rPr>
      </w:pPr>
      <m:oMathPara>
        <m:oMath>
          <m:r>
            <w:rPr>
              <w:rFonts w:ascii="Cambria Math" w:eastAsia="Calibri"/>
            </w:rPr>
            <m:t>Δ</m:t>
          </m:r>
          <m:r>
            <m:rPr>
              <m:nor/>
            </m:rPr>
            <w:rPr>
              <w:rFonts w:ascii="Cambria Math" w:eastAsia="Calibri"/>
            </w:rPr>
            <m:t>Yiel</m:t>
          </m:r>
          <m:sSub>
            <m:sSubPr>
              <m:ctrlPr>
                <w:rPr>
                  <w:rFonts w:ascii="Cambria Math" w:eastAsia="Calibri" w:hAnsi="Cambria Math"/>
                </w:rPr>
              </m:ctrlPr>
            </m:sSubPr>
            <m:e>
              <m:r>
                <m:rPr>
                  <m:nor/>
                </m:rPr>
                <w:rPr>
                  <w:rFonts w:ascii="Cambria Math" w:eastAsia="Calibri"/>
                </w:rPr>
                <m:t>d</m:t>
              </m:r>
            </m:e>
            <m:sub>
              <m:r>
                <w:rPr>
                  <w:rFonts w:ascii="Cambria Math" w:eastAsia="Calibri"/>
                </w:rPr>
                <m:t>i,t</m:t>
              </m:r>
              <m:ctrlPr>
                <w:rPr>
                  <w:rFonts w:ascii="Cambria Math" w:eastAsia="Calibri" w:hAnsi="Cambria Math"/>
                  <w:i/>
                </w:rPr>
              </m:ctrlPr>
            </m:sub>
          </m:sSub>
          <m:r>
            <w:rPr>
              <w:rFonts w:ascii="Cambria Math" w:eastAsia="Calibri"/>
            </w:rPr>
            <m:t>=</m:t>
          </m:r>
          <m:sSub>
            <m:sSubPr>
              <m:ctrlPr>
                <w:rPr>
                  <w:rFonts w:ascii="Cambria Math" w:eastAsia="Calibri" w:hAnsi="Cambria Math"/>
                  <w:i/>
                </w:rPr>
              </m:ctrlPr>
            </m:sSubPr>
            <m:e>
              <m:r>
                <w:rPr>
                  <w:rFonts w:ascii="Cambria Math" w:eastAsia="Calibri"/>
                </w:rPr>
                <m:t>β</m:t>
              </m:r>
            </m:e>
            <m:sub>
              <m:r>
                <w:rPr>
                  <w:rFonts w:ascii="Cambria Math" w:eastAsia="Calibri"/>
                </w:rPr>
                <m:t>1</m:t>
              </m:r>
            </m:sub>
          </m:sSub>
          <m:r>
            <w:rPr>
              <w:rFonts w:ascii="Cambria Math" w:eastAsia="Calibri"/>
            </w:rPr>
            <m:t>Δ</m:t>
          </m:r>
          <m:r>
            <m:rPr>
              <m:nor/>
            </m:rPr>
            <w:rPr>
              <w:rFonts w:ascii="Cambria Math" w:eastAsia="Calibri"/>
            </w:rPr>
            <m:t>Ratin</m:t>
          </m:r>
          <m:sSub>
            <m:sSubPr>
              <m:ctrlPr>
                <w:rPr>
                  <w:rFonts w:ascii="Cambria Math" w:eastAsia="Calibri" w:hAnsi="Cambria Math"/>
                </w:rPr>
              </m:ctrlPr>
            </m:sSubPr>
            <m:e>
              <m:r>
                <m:rPr>
                  <m:nor/>
                </m:rPr>
                <w:rPr>
                  <w:rFonts w:ascii="Cambria Math" w:eastAsia="Calibri"/>
                </w:rPr>
                <m:t>g</m:t>
              </m:r>
            </m:e>
            <m:sub>
              <m:r>
                <w:rPr>
                  <w:rFonts w:ascii="Cambria Math" w:eastAsia="Calibri"/>
                </w:rPr>
                <m:t>i,t</m:t>
              </m:r>
              <m:ctrlPr>
                <w:rPr>
                  <w:rFonts w:ascii="Cambria Math" w:eastAsia="Calibri" w:hAnsi="Cambria Math"/>
                  <w:i/>
                </w:rPr>
              </m:ctrlPr>
            </m:sub>
          </m:sSub>
          <m:r>
            <w:rPr>
              <w:rFonts w:ascii="Cambria Math" w:eastAsia="Calibri"/>
            </w:rPr>
            <m:t>+</m:t>
          </m:r>
          <m:sSub>
            <m:sSubPr>
              <m:ctrlPr>
                <w:rPr>
                  <w:rFonts w:ascii="Cambria Math" w:eastAsia="Calibri" w:hAnsi="Cambria Math"/>
                  <w:i/>
                </w:rPr>
              </m:ctrlPr>
            </m:sSubPr>
            <m:e>
              <m:r>
                <w:rPr>
                  <w:rFonts w:ascii="Cambria Math" w:eastAsia="Calibri"/>
                </w:rPr>
                <m:t>β</m:t>
              </m:r>
            </m:e>
            <m:sub>
              <m:r>
                <w:rPr>
                  <w:rFonts w:ascii="Cambria Math" w:eastAsia="Calibri"/>
                </w:rPr>
                <m:t>2</m:t>
              </m:r>
            </m:sub>
          </m:sSub>
          <m:r>
            <m:rPr>
              <m:nor/>
            </m:rPr>
            <w:rPr>
              <w:rFonts w:ascii="Cambria Math" w:eastAsia="Calibri"/>
            </w:rPr>
            <m:t>Identifie</m:t>
          </m:r>
          <m:sSub>
            <m:sSubPr>
              <m:ctrlPr>
                <w:rPr>
                  <w:rFonts w:ascii="Cambria Math" w:eastAsia="Calibri" w:hAnsi="Cambria Math"/>
                </w:rPr>
              </m:ctrlPr>
            </m:sSubPr>
            <m:e>
              <m:r>
                <m:rPr>
                  <m:nor/>
                </m:rPr>
                <w:rPr>
                  <w:rFonts w:ascii="Cambria Math" w:eastAsia="Calibri"/>
                </w:rPr>
                <m:t>r</m:t>
              </m:r>
            </m:e>
            <m:sub>
              <m:r>
                <w:rPr>
                  <w:rFonts w:ascii="Cambria Math" w:eastAsia="Calibri"/>
                </w:rPr>
                <m:t>i,t</m:t>
              </m:r>
              <m:ctrlPr>
                <w:rPr>
                  <w:rFonts w:ascii="Cambria Math" w:eastAsia="Calibri" w:hAnsi="Cambria Math"/>
                  <w:i/>
                </w:rPr>
              </m:ctrlPr>
            </m:sub>
          </m:sSub>
          <m:r>
            <w:rPr>
              <w:rFonts w:ascii="Cambria Math" w:eastAsia="Calibri"/>
            </w:rPr>
            <m:t>+</m:t>
          </m:r>
          <m:sSub>
            <m:sSubPr>
              <m:ctrlPr>
                <w:rPr>
                  <w:rFonts w:ascii="Cambria Math" w:eastAsia="Calibri" w:hAnsi="Cambria Math"/>
                  <w:i/>
                </w:rPr>
              </m:ctrlPr>
            </m:sSubPr>
            <m:e>
              <m:r>
                <w:rPr>
                  <w:rFonts w:ascii="Cambria Math" w:eastAsia="Calibri"/>
                </w:rPr>
                <m:t>β</m:t>
              </m:r>
            </m:e>
            <m:sub>
              <m:r>
                <w:rPr>
                  <w:rFonts w:ascii="Cambria Math" w:eastAsia="Calibri"/>
                </w:rPr>
                <m:t>3</m:t>
              </m:r>
            </m:sub>
          </m:sSub>
          <m:r>
            <w:rPr>
              <w:rFonts w:ascii="Cambria Math" w:eastAsia="Calibri"/>
            </w:rPr>
            <m:t>(Δ</m:t>
          </m:r>
          <m:r>
            <m:rPr>
              <m:nor/>
            </m:rPr>
            <w:rPr>
              <w:rFonts w:ascii="Cambria Math" w:eastAsia="Calibri"/>
            </w:rPr>
            <m:t>Rating*Identifier</m:t>
          </m:r>
          <m:sSub>
            <m:sSubPr>
              <m:ctrlPr>
                <w:rPr>
                  <w:rFonts w:ascii="Cambria Math" w:eastAsia="Calibri" w:hAnsi="Cambria Math"/>
                </w:rPr>
              </m:ctrlPr>
            </m:sSubPr>
            <m:e>
              <m:r>
                <m:rPr>
                  <m:sty m:val="p"/>
                </m:rPr>
                <w:rPr>
                  <w:rFonts w:ascii="Cambria Math" w:eastAsia="Calibri"/>
                </w:rPr>
                <m:t>)</m:t>
              </m:r>
            </m:e>
            <m:sub>
              <m:r>
                <w:rPr>
                  <w:rFonts w:ascii="Cambria Math" w:eastAsia="Calibri"/>
                </w:rPr>
                <m:t>i,t</m:t>
              </m:r>
              <m:ctrlPr>
                <w:rPr>
                  <w:rFonts w:ascii="Cambria Math" w:eastAsia="Calibri" w:hAnsi="Cambria Math"/>
                  <w:i/>
                </w:rPr>
              </m:ctrlPr>
            </m:sub>
          </m:sSub>
          <m:r>
            <w:rPr>
              <w:rFonts w:ascii="Cambria Math" w:eastAsia="Calibri"/>
            </w:rPr>
            <m:t>+</m:t>
          </m:r>
          <m:sSub>
            <m:sSubPr>
              <m:ctrlPr>
                <w:rPr>
                  <w:rFonts w:ascii="Cambria Math" w:eastAsia="Calibri" w:hAnsi="Cambria Math"/>
                  <w:i/>
                </w:rPr>
              </m:ctrlPr>
            </m:sSubPr>
            <m:e>
              <m:r>
                <w:rPr>
                  <w:rFonts w:ascii="Cambria Math" w:eastAsia="Calibri"/>
                </w:rPr>
                <m:t>β</m:t>
              </m:r>
            </m:e>
            <m:sub>
              <m:r>
                <w:rPr>
                  <w:rFonts w:ascii="Cambria Math" w:eastAsia="Calibri"/>
                </w:rPr>
                <m:t>4</m:t>
              </m:r>
            </m:sub>
          </m:sSub>
          <m:r>
            <m:rPr>
              <m:nor/>
            </m:rPr>
            <w:rPr>
              <w:rFonts w:ascii="Cambria Math" w:eastAsia="Calibri"/>
            </w:rPr>
            <m:t>Rating5</m:t>
          </m:r>
          <m:sSub>
            <m:sSubPr>
              <m:ctrlPr>
                <w:rPr>
                  <w:rFonts w:ascii="Cambria Math" w:eastAsia="Calibri" w:hAnsi="Cambria Math"/>
                </w:rPr>
              </m:ctrlPr>
            </m:sSubPr>
            <m:e>
              <m:r>
                <m:rPr>
                  <m:nor/>
                </m:rPr>
                <w:rPr>
                  <w:rFonts w:ascii="Cambria Math" w:eastAsia="Calibri"/>
                </w:rPr>
                <m:t>8</m:t>
              </m:r>
            </m:e>
            <m:sub>
              <m:r>
                <w:rPr>
                  <w:rFonts w:ascii="Cambria Math" w:eastAsia="Calibri"/>
                </w:rPr>
                <m:t>i,t</m:t>
              </m:r>
              <m:ctrlPr>
                <w:rPr>
                  <w:rFonts w:ascii="Cambria Math" w:eastAsia="Calibri" w:hAnsi="Cambria Math"/>
                  <w:i/>
                </w:rPr>
              </m:ctrlPr>
            </m:sub>
          </m:sSub>
          <m:r>
            <m:rPr>
              <m:sty m:val="p"/>
            </m:rPr>
            <w:rPr>
              <w:rFonts w:ascii="Cambria Math" w:eastAsia="Calibri"/>
            </w:rPr>
            <w:br/>
          </m:r>
        </m:oMath>
      </m:oMathPara>
      <w:r w:rsidRPr="003A41B3">
        <w:rPr>
          <w:rFonts w:eastAsiaTheme="minorEastAsia"/>
        </w:rPr>
        <w:t xml:space="preserve">                                     </w:t>
      </w:r>
      <m:oMath>
        <m:r>
          <w:rPr>
            <w:rFonts w:ascii="Cambria Math" w:eastAsiaTheme="minorEastAsia" w:hAnsi="Cambria Math"/>
          </w:rPr>
          <m:t xml:space="preserve">       </m:t>
        </m:r>
        <m:r>
          <w:rPr>
            <w:rFonts w:ascii="Cambria Math" w:eastAsia="Calibri"/>
          </w:rPr>
          <m:t>+</m:t>
        </m:r>
        <m:sSub>
          <m:sSubPr>
            <m:ctrlPr>
              <w:rPr>
                <w:rFonts w:ascii="Cambria Math" w:eastAsia="Calibri" w:hAnsi="Cambria Math"/>
                <w:i/>
              </w:rPr>
            </m:ctrlPr>
          </m:sSubPr>
          <m:e>
            <m:r>
              <w:rPr>
                <w:rFonts w:ascii="Cambria Math" w:eastAsia="Calibri"/>
              </w:rPr>
              <m:t>β</m:t>
            </m:r>
          </m:e>
          <m:sub>
            <m:r>
              <w:rPr>
                <w:rFonts w:ascii="Cambria Math" w:eastAsia="Calibri"/>
              </w:rPr>
              <m:t>5</m:t>
            </m:r>
          </m:sub>
        </m:sSub>
        <m:r>
          <m:rPr>
            <m:nor/>
          </m:rPr>
          <w:rPr>
            <w:rFonts w:ascii="Cambria Math" w:eastAsia="Calibri"/>
          </w:rPr>
          <m:t>Maturit</m:t>
        </m:r>
        <m:sSub>
          <m:sSubPr>
            <m:ctrlPr>
              <w:rPr>
                <w:rFonts w:ascii="Cambria Math" w:eastAsia="Calibri" w:hAnsi="Cambria Math"/>
              </w:rPr>
            </m:ctrlPr>
          </m:sSubPr>
          <m:e>
            <m:r>
              <m:rPr>
                <m:nor/>
              </m:rPr>
              <w:rPr>
                <w:rFonts w:ascii="Cambria Math" w:eastAsia="Calibri"/>
              </w:rPr>
              <m:t>y</m:t>
            </m:r>
          </m:e>
          <m:sub>
            <m:r>
              <w:rPr>
                <w:rFonts w:ascii="Cambria Math" w:eastAsia="Calibri"/>
              </w:rPr>
              <m:t>i,t</m:t>
            </m:r>
            <m:ctrlPr>
              <w:rPr>
                <w:rFonts w:ascii="Cambria Math" w:eastAsia="Calibri" w:hAnsi="Cambria Math"/>
                <w:i/>
              </w:rPr>
            </m:ctrlPr>
          </m:sub>
        </m:sSub>
        <m:r>
          <w:rPr>
            <w:rFonts w:ascii="Cambria Math" w:eastAsia="Calibri"/>
          </w:rPr>
          <m:t>+</m:t>
        </m:r>
        <m:sSub>
          <m:sSubPr>
            <m:ctrlPr>
              <w:rPr>
                <w:rFonts w:ascii="Cambria Math" w:eastAsia="Calibri" w:hAnsi="Cambria Math"/>
                <w:i/>
              </w:rPr>
            </m:ctrlPr>
          </m:sSubPr>
          <m:e>
            <m:r>
              <w:rPr>
                <w:rFonts w:ascii="Cambria Math" w:eastAsia="Calibri"/>
              </w:rPr>
              <m:t>λ</m:t>
            </m:r>
          </m:e>
          <m:sub>
            <m:r>
              <w:rPr>
                <w:rFonts w:ascii="Cambria Math" w:eastAsia="Calibri"/>
              </w:rPr>
              <m:t>1</m:t>
            </m:r>
          </m:sub>
        </m:sSub>
        <m:r>
          <m:rPr>
            <m:nor/>
          </m:rPr>
          <w:rPr>
            <w:rFonts w:ascii="Cambria Math" w:eastAsia="Calibri"/>
          </w:rPr>
          <m:t>CF</m:t>
        </m:r>
        <m:r>
          <m:rPr>
            <m:sty m:val="p"/>
          </m:rPr>
          <w:rPr>
            <w:rFonts w:ascii="Cambria Math" w:eastAsia="Calibri"/>
          </w:rPr>
          <m:t>+</m:t>
        </m:r>
        <m:sSub>
          <m:sSubPr>
            <m:ctrlPr>
              <w:rPr>
                <w:rFonts w:ascii="Cambria Math" w:eastAsia="Calibri" w:hAnsi="Cambria Math"/>
              </w:rPr>
            </m:ctrlPr>
          </m:sSubPr>
          <m:e>
            <m:r>
              <w:rPr>
                <w:rFonts w:ascii="Cambria Math" w:eastAsia="Calibri"/>
              </w:rPr>
              <m:t>ε</m:t>
            </m:r>
          </m:e>
          <m:sub>
            <m:r>
              <w:rPr>
                <w:rFonts w:ascii="Cambria Math" w:eastAsia="Calibri"/>
              </w:rPr>
              <m:t>i,t</m:t>
            </m:r>
            <m:ctrlPr>
              <w:rPr>
                <w:rFonts w:ascii="Cambria Math" w:eastAsia="Calibri" w:hAnsi="Cambria Math"/>
                <w:i/>
              </w:rPr>
            </m:ctrlPr>
          </m:sub>
        </m:sSub>
      </m:oMath>
      <w:r w:rsidRPr="003A41B3">
        <w:rPr>
          <w:rFonts w:eastAsia="Calibri"/>
        </w:rPr>
        <w:tab/>
      </w:r>
      <w:r w:rsidRPr="003A41B3">
        <w:rPr>
          <w:rFonts w:eastAsia="Calibri"/>
        </w:rPr>
        <w:tab/>
        <w:t xml:space="preserve">                               (1a)</w:t>
      </w:r>
      <w:r w:rsidR="00F95504" w:rsidRPr="003A41B3">
        <w:rPr>
          <w:rFonts w:eastAsia="Calibri"/>
        </w:rPr>
        <w:tab/>
      </w:r>
      <w:r w:rsidR="00585317" w:rsidRPr="003A41B3">
        <w:rPr>
          <w:rFonts w:eastAsia="Calibri"/>
        </w:rPr>
        <w:t xml:space="preserve">                                               </w:t>
      </w:r>
      <w:r w:rsidR="00447635" w:rsidRPr="003A41B3">
        <w:rPr>
          <w:rFonts w:eastAsia="Calibri"/>
        </w:rPr>
        <w:t xml:space="preserve">          </w:t>
      </w:r>
      <w:r w:rsidR="00F95504" w:rsidRPr="003A41B3">
        <w:rPr>
          <w:rFonts w:eastAsia="Calibri"/>
        </w:rPr>
        <w:t xml:space="preserve">                                                             </w:t>
      </w:r>
    </w:p>
    <w:p w14:paraId="7904F537" w14:textId="3C00312B" w:rsidR="006D330B" w:rsidRPr="003A41B3" w:rsidRDefault="00665BD8" w:rsidP="00665BD8">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i/>
        </w:rPr>
        <w:t>∆</w:t>
      </w:r>
      <w:proofErr w:type="spellStart"/>
      <w:r w:rsidRPr="003A41B3">
        <w:rPr>
          <w:rFonts w:ascii="Times New Roman" w:hAnsi="Times New Roman" w:cs="Times New Roman"/>
          <w:i/>
        </w:rPr>
        <w:t>Yield</w:t>
      </w:r>
      <w:r w:rsidRPr="003A41B3">
        <w:rPr>
          <w:rFonts w:ascii="Times New Roman" w:hAnsi="Times New Roman" w:cs="Times New Roman"/>
          <w:i/>
          <w:vertAlign w:val="subscript"/>
        </w:rPr>
        <w:t>i,t</w:t>
      </w:r>
      <w:proofErr w:type="spellEnd"/>
      <w:r w:rsidRPr="003A41B3">
        <w:rPr>
          <w:rFonts w:ascii="Times New Roman" w:hAnsi="Times New Roman" w:cs="Times New Roman"/>
        </w:rPr>
        <w:t xml:space="preserve"> </w:t>
      </w:r>
      <w:r w:rsidR="006D330B" w:rsidRPr="003A41B3">
        <w:rPr>
          <w:rFonts w:ascii="Times New Roman" w:hAnsi="Times New Roman" w:cs="Times New Roman"/>
        </w:rPr>
        <w:t xml:space="preserve">is the change in yield spread to the closest maturity </w:t>
      </w:r>
      <w:r w:rsidR="009F4CD6" w:rsidRPr="003A41B3">
        <w:rPr>
          <w:rFonts w:ascii="Times New Roman" w:hAnsi="Times New Roman" w:cs="Times New Roman"/>
        </w:rPr>
        <w:t xml:space="preserve">US </w:t>
      </w:r>
      <w:r w:rsidR="006D330B" w:rsidRPr="003A41B3">
        <w:rPr>
          <w:rFonts w:ascii="Times New Roman" w:hAnsi="Times New Roman" w:cs="Times New Roman"/>
        </w:rPr>
        <w:t xml:space="preserve">Treasury Bond </w:t>
      </w:r>
      <w:r w:rsidR="00A240D3" w:rsidRPr="003A41B3">
        <w:rPr>
          <w:rFonts w:ascii="Times New Roman" w:hAnsi="Times New Roman" w:cs="Times New Roman"/>
        </w:rPr>
        <w:t>for</w:t>
      </w:r>
      <w:r w:rsidR="006D330B" w:rsidRPr="003A41B3">
        <w:rPr>
          <w:rFonts w:ascii="Times New Roman" w:hAnsi="Times New Roman" w:cs="Times New Roman"/>
        </w:rPr>
        <w:t xml:space="preserve"> country</w:t>
      </w:r>
      <w:r w:rsidR="00A240D3" w:rsidRPr="003A41B3">
        <w:rPr>
          <w:rFonts w:ascii="Times New Roman" w:hAnsi="Times New Roman" w:cs="Times New Roman"/>
        </w:rPr>
        <w:t xml:space="preserve"> </w:t>
      </w:r>
      <w:proofErr w:type="spellStart"/>
      <w:r w:rsidR="00386796" w:rsidRPr="003A41B3">
        <w:rPr>
          <w:rFonts w:ascii="Times New Roman" w:hAnsi="Times New Roman" w:cs="Times New Roman"/>
          <w:i/>
        </w:rPr>
        <w:t>i</w:t>
      </w:r>
      <w:proofErr w:type="spellEnd"/>
      <w:r w:rsidR="00A240D3" w:rsidRPr="003A41B3">
        <w:rPr>
          <w:rFonts w:ascii="Times New Roman" w:hAnsi="Times New Roman" w:cs="Times New Roman"/>
        </w:rPr>
        <w:t xml:space="preserve"> on day</w:t>
      </w:r>
      <w:r w:rsidR="006D330B" w:rsidRPr="003A41B3">
        <w:rPr>
          <w:rFonts w:ascii="Times New Roman" w:hAnsi="Times New Roman" w:cs="Times New Roman"/>
        </w:rPr>
        <w:t xml:space="preserve"> </w:t>
      </w:r>
      <w:r w:rsidR="006D330B" w:rsidRPr="003A41B3">
        <w:rPr>
          <w:rFonts w:ascii="Times New Roman" w:hAnsi="Times New Roman" w:cs="Times New Roman"/>
          <w:i/>
        </w:rPr>
        <w:t>t</w:t>
      </w:r>
      <w:r w:rsidR="006D330B" w:rsidRPr="003A41B3">
        <w:rPr>
          <w:rFonts w:ascii="Times New Roman" w:hAnsi="Times New Roman" w:cs="Times New Roman"/>
        </w:rPr>
        <w:t xml:space="preserve"> in the time window [0, +1]</w:t>
      </w:r>
      <w:r w:rsidR="00B21D3C" w:rsidRPr="003A41B3">
        <w:rPr>
          <w:rFonts w:ascii="Times New Roman" w:hAnsi="Times New Roman" w:cs="Times New Roman"/>
        </w:rPr>
        <w:t>,</w:t>
      </w:r>
      <w:r w:rsidR="00C721A9" w:rsidRPr="003A41B3">
        <w:rPr>
          <w:rFonts w:ascii="Times New Roman" w:hAnsi="Times New Roman" w:cs="Times New Roman"/>
          <w:vertAlign w:val="superscript"/>
        </w:rPr>
        <w:t xml:space="preserve"> </w:t>
      </w:r>
      <w:r w:rsidR="00C721A9" w:rsidRPr="003A41B3">
        <w:rPr>
          <w:rFonts w:ascii="Times New Roman" w:hAnsi="Times New Roman" w:cs="Times New Roman"/>
        </w:rPr>
        <w:t>expressed in basis points</w:t>
      </w:r>
      <w:r w:rsidR="006D330B" w:rsidRPr="003A41B3">
        <w:rPr>
          <w:rFonts w:ascii="Times New Roman" w:hAnsi="Times New Roman" w:cs="Times New Roman"/>
        </w:rPr>
        <w:t>.</w:t>
      </w:r>
      <w:r w:rsidR="006358E7" w:rsidRPr="003A41B3" w:rsidDel="006358E7">
        <w:rPr>
          <w:rFonts w:ascii="Times New Roman" w:hAnsi="Times New Roman" w:cs="Times New Roman"/>
        </w:rPr>
        <w:t xml:space="preserve"> </w:t>
      </w:r>
    </w:p>
    <w:p w14:paraId="183D7E1E" w14:textId="6A855590" w:rsidR="00933EF7" w:rsidRPr="003A41B3" w:rsidRDefault="003D6FC6" w:rsidP="00665BD8">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i/>
        </w:rPr>
        <w:t xml:space="preserve">∆Rating </w:t>
      </w:r>
      <w:r w:rsidRPr="003A41B3">
        <w:rPr>
          <w:rFonts w:ascii="Times New Roman" w:hAnsi="Times New Roman" w:cs="Times New Roman"/>
        </w:rPr>
        <w:t>is the change in sovereign issuer CCR by one of the three CRAs coded as absolute ordinal values 1 (1-CCR), 2 (2-CCR) and 3 (&gt;2-CCR) for ease of interpretation, and 0 (no change).</w:t>
      </w:r>
      <w:r w:rsidRPr="003A41B3">
        <w:rPr>
          <w:rStyle w:val="FootnoteReference"/>
          <w:rFonts w:ascii="Times New Roman" w:hAnsi="Times New Roman" w:cs="Times New Roman"/>
        </w:rPr>
        <w:footnoteReference w:id="13"/>
      </w:r>
      <w:r w:rsidRPr="003A41B3">
        <w:rPr>
          <w:rFonts w:ascii="Times New Roman" w:hAnsi="Times New Roman" w:cs="Times New Roman"/>
        </w:rPr>
        <w:t xml:space="preserve"> The coefficient β</w:t>
      </w:r>
      <w:r w:rsidRPr="003A41B3">
        <w:rPr>
          <w:rFonts w:ascii="Times New Roman" w:hAnsi="Times New Roman" w:cs="Times New Roman"/>
          <w:vertAlign w:val="subscript"/>
        </w:rPr>
        <w:t>1</w:t>
      </w:r>
      <w:r w:rsidRPr="003A41B3">
        <w:rPr>
          <w:rFonts w:ascii="Times New Roman" w:hAnsi="Times New Roman" w:cs="Times New Roman"/>
        </w:rPr>
        <w:t xml:space="preserve"> resembles the marginal effect on yield spreads as a result of a unit change based on the CCR scale (on an event date and zero on a non-event date).</w:t>
      </w:r>
      <w:r w:rsidR="009963AD" w:rsidRPr="003A41B3">
        <w:rPr>
          <w:rFonts w:ascii="Times New Roman" w:hAnsi="Times New Roman" w:cs="Times New Roman"/>
          <w:i/>
        </w:rPr>
        <w:t xml:space="preserve"> </w:t>
      </w:r>
      <w:bookmarkStart w:id="15" w:name="_Hlk5475356"/>
      <w:r w:rsidR="009963AD" w:rsidRPr="003A41B3">
        <w:rPr>
          <w:rFonts w:ascii="Times New Roman" w:hAnsi="Times New Roman" w:cs="Times New Roman"/>
        </w:rPr>
        <w:t xml:space="preserve">Following Bae et al. (2015), Becker and Milbourn (2011) and Behr et al. (2018), we use the information content of ratings represented by </w:t>
      </w:r>
      <w:r w:rsidR="001361E3" w:rsidRPr="003A41B3">
        <w:rPr>
          <w:rFonts w:ascii="Times New Roman" w:hAnsi="Times New Roman" w:cs="Times New Roman"/>
        </w:rPr>
        <w:t xml:space="preserve">linkages </w:t>
      </w:r>
      <w:r w:rsidR="009963AD" w:rsidRPr="003A41B3">
        <w:rPr>
          <w:rFonts w:ascii="Times New Roman" w:hAnsi="Times New Roman" w:cs="Times New Roman"/>
        </w:rPr>
        <w:t>between rating</w:t>
      </w:r>
      <w:r w:rsidR="009457C1" w:rsidRPr="003A41B3">
        <w:rPr>
          <w:rFonts w:ascii="Times New Roman" w:hAnsi="Times New Roman" w:cs="Times New Roman"/>
        </w:rPr>
        <w:t xml:space="preserve"> action</w:t>
      </w:r>
      <w:r w:rsidR="009963AD" w:rsidRPr="003A41B3">
        <w:rPr>
          <w:rFonts w:ascii="Times New Roman" w:hAnsi="Times New Roman" w:cs="Times New Roman"/>
        </w:rPr>
        <w:t xml:space="preserve">s and bond yields as a measure </w:t>
      </w:r>
      <w:r w:rsidR="009963AD" w:rsidRPr="003A41B3">
        <w:rPr>
          <w:rFonts w:ascii="Times New Roman" w:hAnsi="Times New Roman" w:cs="Times New Roman"/>
        </w:rPr>
        <w:lastRenderedPageBreak/>
        <w:t>of rating quality.</w:t>
      </w:r>
      <w:bookmarkEnd w:id="15"/>
      <w:r w:rsidRPr="003A41B3">
        <w:rPr>
          <w:rFonts w:ascii="Times New Roman" w:hAnsi="Times New Roman" w:cs="Times New Roman"/>
        </w:rPr>
        <w:t xml:space="preserve"> </w:t>
      </w:r>
      <w:r w:rsidR="00933EF7" w:rsidRPr="003A41B3">
        <w:rPr>
          <w:rFonts w:ascii="Times New Roman" w:hAnsi="Times New Roman" w:cs="Times New Roman"/>
        </w:rPr>
        <w:t xml:space="preserve">Positive rating actions should imply decreased risk for investors (i.e. narrower spreads), hence we expect a negative sign for the coefficient of </w:t>
      </w:r>
      <w:proofErr w:type="spellStart"/>
      <w:r w:rsidR="00933EF7" w:rsidRPr="003A41B3">
        <w:rPr>
          <w:rFonts w:ascii="Times New Roman" w:eastAsiaTheme="minorEastAsia" w:hAnsi="Times New Roman" w:cs="Times New Roman"/>
        </w:rPr>
        <w:t>Δ</w:t>
      </w:r>
      <w:r w:rsidR="00933EF7" w:rsidRPr="003A41B3">
        <w:rPr>
          <w:rFonts w:ascii="Times New Roman" w:hAnsi="Times New Roman" w:cs="Times New Roman"/>
          <w:i/>
        </w:rPr>
        <w:t>Rating</w:t>
      </w:r>
      <w:proofErr w:type="spellEnd"/>
      <w:r w:rsidR="00933EF7" w:rsidRPr="003A41B3">
        <w:rPr>
          <w:rFonts w:ascii="Times New Roman" w:hAnsi="Times New Roman" w:cs="Times New Roman"/>
        </w:rPr>
        <w:t>. On the other hand, for the negative events, we expect a positive sign for the coefficient of</w:t>
      </w:r>
      <w:r w:rsidR="00933EF7" w:rsidRPr="003A41B3">
        <w:rPr>
          <w:rFonts w:ascii="Times New Roman" w:eastAsiaTheme="minorEastAsia" w:hAnsi="Times New Roman" w:cs="Times New Roman"/>
        </w:rPr>
        <w:t xml:space="preserve"> </w:t>
      </w:r>
      <w:proofErr w:type="spellStart"/>
      <w:r w:rsidR="00933EF7" w:rsidRPr="003A41B3">
        <w:rPr>
          <w:rFonts w:ascii="Times New Roman" w:eastAsiaTheme="minorEastAsia" w:hAnsi="Times New Roman" w:cs="Times New Roman"/>
        </w:rPr>
        <w:t>Δ</w:t>
      </w:r>
      <w:r w:rsidR="00933EF7" w:rsidRPr="003A41B3">
        <w:rPr>
          <w:rFonts w:ascii="Times New Roman" w:hAnsi="Times New Roman" w:cs="Times New Roman"/>
          <w:i/>
        </w:rPr>
        <w:t>Rating</w:t>
      </w:r>
      <w:proofErr w:type="spellEnd"/>
      <w:r w:rsidR="00933EF7" w:rsidRPr="003A41B3">
        <w:rPr>
          <w:rFonts w:ascii="Times New Roman" w:hAnsi="Times New Roman" w:cs="Times New Roman"/>
          <w:i/>
        </w:rPr>
        <w:t>,</w:t>
      </w:r>
      <w:r w:rsidR="00933EF7" w:rsidRPr="003A41B3">
        <w:rPr>
          <w:rFonts w:ascii="Times New Roman" w:hAnsi="Times New Roman" w:cs="Times New Roman"/>
        </w:rPr>
        <w:t xml:space="preserve"> as the yield spreads should increase to reflect the underlying risk on the bonds.</w:t>
      </w:r>
    </w:p>
    <w:p w14:paraId="626EB5EA" w14:textId="77777777" w:rsidR="009F0894" w:rsidRPr="003A41B3" w:rsidRDefault="00A15A41" w:rsidP="009F0894">
      <w:pPr>
        <w:pStyle w:val="ListParagraph"/>
        <w:tabs>
          <w:tab w:val="left" w:pos="284"/>
          <w:tab w:val="left" w:pos="1560"/>
        </w:tabs>
        <w:spacing w:after="0" w:line="480" w:lineRule="auto"/>
        <w:ind w:left="0"/>
        <w:rPr>
          <w:rFonts w:ascii="Times New Roman" w:eastAsiaTheme="minorEastAsia" w:hAnsi="Times New Roman" w:cs="Times New Roman"/>
        </w:rPr>
      </w:pPr>
      <w:r w:rsidRPr="003A41B3">
        <w:rPr>
          <w:rFonts w:ascii="Times New Roman" w:eastAsiaTheme="minorEastAsia" w:hAnsi="Times New Roman" w:cs="Times New Roman"/>
        </w:rPr>
        <w:t xml:space="preserve">The </w:t>
      </w:r>
      <w:r w:rsidR="00E92536" w:rsidRPr="003A41B3">
        <w:rPr>
          <w:rFonts w:ascii="Times New Roman" w:eastAsiaTheme="minorEastAsia" w:hAnsi="Times New Roman" w:cs="Times New Roman"/>
          <w:i/>
        </w:rPr>
        <w:t>Identifier</w:t>
      </w:r>
      <w:r w:rsidR="006D330B" w:rsidRPr="003A41B3">
        <w:rPr>
          <w:rFonts w:ascii="Times New Roman" w:eastAsiaTheme="minorEastAsia" w:hAnsi="Times New Roman" w:cs="Times New Roman"/>
        </w:rPr>
        <w:t xml:space="preserve"> indicator variable equals 1 after the </w:t>
      </w:r>
      <w:r w:rsidRPr="003A41B3">
        <w:rPr>
          <w:rFonts w:ascii="Times New Roman" w:eastAsiaTheme="minorEastAsia" w:hAnsi="Times New Roman" w:cs="Times New Roman"/>
        </w:rPr>
        <w:t xml:space="preserve">ESMA </w:t>
      </w:r>
      <w:r w:rsidR="006D330B" w:rsidRPr="003A41B3">
        <w:rPr>
          <w:rFonts w:ascii="Times New Roman" w:eastAsiaTheme="minorEastAsia" w:hAnsi="Times New Roman" w:cs="Times New Roman"/>
        </w:rPr>
        <w:t xml:space="preserve">endorsement rules took effect on </w:t>
      </w:r>
      <w:r w:rsidRPr="003A41B3">
        <w:rPr>
          <w:rFonts w:ascii="Times New Roman" w:eastAsiaTheme="minorEastAsia" w:hAnsi="Times New Roman" w:cs="Times New Roman"/>
        </w:rPr>
        <w:t xml:space="preserve">30 </w:t>
      </w:r>
      <w:r w:rsidR="006D330B" w:rsidRPr="003A41B3">
        <w:rPr>
          <w:rFonts w:ascii="Times New Roman" w:eastAsiaTheme="minorEastAsia" w:hAnsi="Times New Roman" w:cs="Times New Roman"/>
        </w:rPr>
        <w:t>April</w:t>
      </w:r>
      <w:r w:rsidRPr="003A41B3">
        <w:rPr>
          <w:rFonts w:ascii="Times New Roman" w:eastAsiaTheme="minorEastAsia" w:hAnsi="Times New Roman" w:cs="Times New Roman"/>
        </w:rPr>
        <w:t xml:space="preserve"> </w:t>
      </w:r>
      <w:r w:rsidR="006D330B" w:rsidRPr="003A41B3">
        <w:rPr>
          <w:rFonts w:ascii="Times New Roman" w:eastAsiaTheme="minorEastAsia" w:hAnsi="Times New Roman" w:cs="Times New Roman"/>
        </w:rPr>
        <w:t xml:space="preserve">2012, </w:t>
      </w:r>
      <w:r w:rsidR="00AE587E" w:rsidRPr="003A41B3">
        <w:rPr>
          <w:rFonts w:ascii="Times New Roman" w:eastAsiaTheme="minorEastAsia" w:hAnsi="Times New Roman" w:cs="Times New Roman"/>
        </w:rPr>
        <w:t xml:space="preserve">and </w:t>
      </w:r>
      <w:r w:rsidR="006D330B" w:rsidRPr="003A41B3">
        <w:rPr>
          <w:rFonts w:ascii="Times New Roman" w:eastAsiaTheme="minorEastAsia" w:hAnsi="Times New Roman" w:cs="Times New Roman"/>
        </w:rPr>
        <w:t>0 otherwise.</w:t>
      </w:r>
      <w:r w:rsidR="00FE3826" w:rsidRPr="003A41B3">
        <w:rPr>
          <w:rFonts w:ascii="Times New Roman" w:eastAsiaTheme="minorEastAsia" w:hAnsi="Times New Roman" w:cs="Times New Roman"/>
        </w:rPr>
        <w:t xml:space="preserve"> </w:t>
      </w:r>
    </w:p>
    <w:p w14:paraId="4FA74E3E" w14:textId="0F9C95ED" w:rsidR="006D330B" w:rsidRPr="003A41B3" w:rsidRDefault="006D330B" w:rsidP="009F0894">
      <w:pPr>
        <w:pStyle w:val="ListParagraph"/>
        <w:tabs>
          <w:tab w:val="left" w:pos="284"/>
          <w:tab w:val="left" w:pos="1560"/>
        </w:tabs>
        <w:spacing w:after="0" w:line="480" w:lineRule="auto"/>
        <w:ind w:left="0"/>
        <w:rPr>
          <w:rFonts w:ascii="Times New Roman" w:eastAsiaTheme="minorEastAsia" w:hAnsi="Times New Roman" w:cs="Times New Roman"/>
          <w:szCs w:val="24"/>
        </w:rPr>
      </w:pPr>
      <w:proofErr w:type="spellStart"/>
      <w:r w:rsidRPr="003A41B3">
        <w:rPr>
          <w:rFonts w:ascii="Times New Roman" w:eastAsiaTheme="minorEastAsia" w:hAnsi="Times New Roman" w:cs="Times New Roman"/>
          <w:szCs w:val="24"/>
        </w:rPr>
        <w:t>Δ</w:t>
      </w:r>
      <w:r w:rsidRPr="003A41B3">
        <w:rPr>
          <w:rFonts w:ascii="Times New Roman" w:hAnsi="Times New Roman" w:cs="Times New Roman"/>
          <w:i/>
          <w:szCs w:val="24"/>
        </w:rPr>
        <w:t>Rating</w:t>
      </w:r>
      <w:proofErr w:type="spellEnd"/>
      <w:r w:rsidRPr="003A41B3">
        <w:rPr>
          <w:rFonts w:ascii="Times New Roman" w:hAnsi="Times New Roman" w:cs="Times New Roman"/>
          <w:i/>
          <w:szCs w:val="24"/>
        </w:rPr>
        <w:t>*</w:t>
      </w:r>
      <w:r w:rsidR="00E92536" w:rsidRPr="003A41B3">
        <w:rPr>
          <w:rFonts w:ascii="Times New Roman" w:eastAsiaTheme="minorEastAsia" w:hAnsi="Times New Roman" w:cs="Times New Roman"/>
          <w:i/>
          <w:szCs w:val="24"/>
        </w:rPr>
        <w:t xml:space="preserve"> Identifier</w:t>
      </w:r>
      <w:r w:rsidRPr="003A41B3">
        <w:rPr>
          <w:rFonts w:ascii="Times New Roman" w:hAnsi="Times New Roman" w:cs="Times New Roman"/>
          <w:i/>
          <w:szCs w:val="24"/>
        </w:rPr>
        <w:t>,</w:t>
      </w:r>
      <w:r w:rsidRPr="003A41B3">
        <w:rPr>
          <w:rFonts w:ascii="Times New Roman" w:hAnsi="Times New Roman" w:cs="Times New Roman"/>
          <w:szCs w:val="24"/>
        </w:rPr>
        <w:t xml:space="preserve"> the key variable in this model,</w:t>
      </w:r>
      <w:r w:rsidRPr="003A41B3">
        <w:rPr>
          <w:rFonts w:ascii="Times New Roman" w:hAnsi="Times New Roman" w:cs="Times New Roman"/>
          <w:i/>
          <w:szCs w:val="24"/>
        </w:rPr>
        <w:t xml:space="preserve"> </w:t>
      </w:r>
      <w:r w:rsidRPr="003A41B3">
        <w:rPr>
          <w:rFonts w:ascii="Times New Roman" w:hAnsi="Times New Roman" w:cs="Times New Roman"/>
          <w:szCs w:val="24"/>
        </w:rPr>
        <w:t>measures</w:t>
      </w:r>
      <w:r w:rsidRPr="003A41B3">
        <w:rPr>
          <w:rFonts w:ascii="Times New Roman" w:hAnsi="Times New Roman" w:cs="Times New Roman"/>
          <w:i/>
          <w:szCs w:val="24"/>
        </w:rPr>
        <w:t xml:space="preserve"> </w:t>
      </w:r>
      <w:r w:rsidRPr="003A41B3">
        <w:rPr>
          <w:rFonts w:ascii="Times New Roman" w:hAnsi="Times New Roman" w:cs="Times New Roman"/>
          <w:szCs w:val="24"/>
        </w:rPr>
        <w:t xml:space="preserve">the linkage between quality of ratings and ESMA’s requirement for identifiers by observing </w:t>
      </w:r>
      <w:r w:rsidR="00B44A84" w:rsidRPr="003A41B3">
        <w:rPr>
          <w:rFonts w:ascii="Times New Roman" w:hAnsi="Times New Roman" w:cs="Times New Roman"/>
          <w:szCs w:val="24"/>
        </w:rPr>
        <w:t>the impact of</w:t>
      </w:r>
      <w:r w:rsidRPr="003A41B3">
        <w:rPr>
          <w:rFonts w:ascii="Times New Roman" w:hAnsi="Times New Roman" w:cs="Times New Roman"/>
          <w:szCs w:val="24"/>
        </w:rPr>
        <w:t xml:space="preserve"> rating</w:t>
      </w:r>
      <w:r w:rsidR="00B44A84" w:rsidRPr="003A41B3">
        <w:rPr>
          <w:rFonts w:ascii="Times New Roman" w:hAnsi="Times New Roman" w:cs="Times New Roman"/>
          <w:szCs w:val="24"/>
        </w:rPr>
        <w:t xml:space="preserve"> action</w:t>
      </w:r>
      <w:r w:rsidRPr="003A41B3">
        <w:rPr>
          <w:rFonts w:ascii="Times New Roman" w:hAnsi="Times New Roman" w:cs="Times New Roman"/>
          <w:szCs w:val="24"/>
        </w:rPr>
        <w:t xml:space="preserve">s </w:t>
      </w:r>
      <w:r w:rsidR="00B44A84" w:rsidRPr="003A41B3">
        <w:rPr>
          <w:rFonts w:ascii="Times New Roman" w:hAnsi="Times New Roman" w:cs="Times New Roman"/>
          <w:szCs w:val="24"/>
        </w:rPr>
        <w:t>upon</w:t>
      </w:r>
      <w:r w:rsidRPr="003A41B3">
        <w:rPr>
          <w:rFonts w:ascii="Times New Roman" w:hAnsi="Times New Roman" w:cs="Times New Roman"/>
          <w:szCs w:val="24"/>
        </w:rPr>
        <w:t xml:space="preserve"> yields in the post-intervention period.</w:t>
      </w:r>
      <w:r w:rsidR="00455418" w:rsidRPr="003A41B3">
        <w:rPr>
          <w:rFonts w:ascii="Times New Roman" w:hAnsi="Times New Roman" w:cs="Times New Roman"/>
          <w:szCs w:val="24"/>
        </w:rPr>
        <w:t xml:space="preserve"> </w:t>
      </w:r>
      <w:bookmarkStart w:id="16" w:name="_Hlk5653366"/>
      <w:bookmarkStart w:id="17" w:name="_Hlk4697315"/>
      <w:r w:rsidR="009F0894" w:rsidRPr="003A41B3">
        <w:rPr>
          <w:rFonts w:ascii="Times New Roman" w:hAnsi="Times New Roman" w:cs="Times New Roman"/>
          <w:szCs w:val="24"/>
        </w:rPr>
        <w:t xml:space="preserve">The magnitude of rating events’ impact on the bond spread in the post-identifier period is calculated by </w:t>
      </w:r>
      <w:r w:rsidR="001361E3" w:rsidRPr="003A41B3">
        <w:rPr>
          <w:rFonts w:ascii="Times New Roman" w:hAnsi="Times New Roman" w:cs="Times New Roman"/>
          <w:szCs w:val="24"/>
        </w:rPr>
        <w:t xml:space="preserve">summation of </w:t>
      </w:r>
      <w:r w:rsidR="009F0894" w:rsidRPr="003A41B3">
        <w:rPr>
          <w:rFonts w:ascii="Times New Roman" w:hAnsi="Times New Roman" w:cs="Times New Roman"/>
          <w:szCs w:val="24"/>
        </w:rPr>
        <w:t>the coefficient value</w:t>
      </w:r>
      <w:r w:rsidR="001361E3" w:rsidRPr="003A41B3">
        <w:rPr>
          <w:rFonts w:ascii="Times New Roman" w:hAnsi="Times New Roman" w:cs="Times New Roman"/>
          <w:szCs w:val="24"/>
        </w:rPr>
        <w:t>s</w:t>
      </w:r>
      <w:r w:rsidR="009F0894" w:rsidRPr="003A41B3">
        <w:rPr>
          <w:rFonts w:ascii="Times New Roman" w:hAnsi="Times New Roman" w:cs="Times New Roman"/>
          <w:szCs w:val="24"/>
        </w:rPr>
        <w:t xml:space="preserve"> of </w:t>
      </w:r>
      <w:proofErr w:type="spellStart"/>
      <w:r w:rsidR="009F0894" w:rsidRPr="003A41B3">
        <w:rPr>
          <w:rFonts w:ascii="Times New Roman" w:hAnsi="Times New Roman" w:cs="Times New Roman"/>
          <w:i/>
          <w:szCs w:val="24"/>
        </w:rPr>
        <w:t>ΔRating</w:t>
      </w:r>
      <w:proofErr w:type="spellEnd"/>
      <w:r w:rsidR="009F0894" w:rsidRPr="003A41B3">
        <w:rPr>
          <w:rFonts w:ascii="Times New Roman" w:hAnsi="Times New Roman" w:cs="Times New Roman"/>
          <w:i/>
          <w:szCs w:val="24"/>
        </w:rPr>
        <w:t xml:space="preserve">*Identifier </w:t>
      </w:r>
      <w:r w:rsidR="009F0894" w:rsidRPr="003A41B3">
        <w:rPr>
          <w:rFonts w:ascii="Times New Roman" w:hAnsi="Times New Roman" w:cs="Times New Roman"/>
          <w:szCs w:val="24"/>
        </w:rPr>
        <w:t xml:space="preserve">and </w:t>
      </w:r>
      <w:proofErr w:type="spellStart"/>
      <w:r w:rsidR="009F0894" w:rsidRPr="003A41B3">
        <w:rPr>
          <w:rFonts w:ascii="Times New Roman" w:hAnsi="Times New Roman" w:cs="Times New Roman"/>
          <w:i/>
          <w:szCs w:val="24"/>
        </w:rPr>
        <w:t>ΔRating</w:t>
      </w:r>
      <w:proofErr w:type="spellEnd"/>
      <w:r w:rsidR="009F0894" w:rsidRPr="003A41B3">
        <w:rPr>
          <w:rFonts w:ascii="Times New Roman" w:hAnsi="Times New Roman" w:cs="Times New Roman"/>
          <w:szCs w:val="24"/>
        </w:rPr>
        <w:t>.</w:t>
      </w:r>
      <w:bookmarkEnd w:id="16"/>
      <w:r w:rsidR="009F0894" w:rsidRPr="003A41B3">
        <w:rPr>
          <w:rFonts w:ascii="Times New Roman" w:hAnsi="Times New Roman" w:cs="Times New Roman"/>
          <w:szCs w:val="24"/>
        </w:rPr>
        <w:t xml:space="preserve"> In the case of positive rating changes, if the sign is negative (corresponding to the expected sign on the </w:t>
      </w:r>
      <w:proofErr w:type="spellStart"/>
      <w:r w:rsidR="009F0894" w:rsidRPr="003A41B3">
        <w:rPr>
          <w:rFonts w:ascii="Times New Roman" w:eastAsiaTheme="minorEastAsia" w:hAnsi="Times New Roman" w:cs="Times New Roman"/>
          <w:szCs w:val="24"/>
        </w:rPr>
        <w:t>Δ</w:t>
      </w:r>
      <w:r w:rsidR="009F0894" w:rsidRPr="003A41B3">
        <w:rPr>
          <w:rFonts w:ascii="Times New Roman" w:hAnsi="Times New Roman" w:cs="Times New Roman"/>
          <w:i/>
          <w:szCs w:val="24"/>
        </w:rPr>
        <w:t>Rating</w:t>
      </w:r>
      <w:proofErr w:type="spellEnd"/>
      <w:r w:rsidR="009F0894" w:rsidRPr="003A41B3">
        <w:rPr>
          <w:rFonts w:ascii="Times New Roman" w:eastAsiaTheme="minorEastAsia" w:hAnsi="Times New Roman" w:cs="Times New Roman"/>
          <w:szCs w:val="24"/>
        </w:rPr>
        <w:t xml:space="preserve"> variable) </w:t>
      </w:r>
      <w:r w:rsidR="009F0894" w:rsidRPr="003A41B3">
        <w:rPr>
          <w:rFonts w:ascii="Times New Roman" w:hAnsi="Times New Roman" w:cs="Times New Roman"/>
          <w:szCs w:val="24"/>
        </w:rPr>
        <w:t xml:space="preserve">and significant, </w:t>
      </w:r>
      <w:bookmarkStart w:id="18" w:name="_Hlk5087476"/>
      <w:r w:rsidR="009F0894" w:rsidRPr="003A41B3">
        <w:rPr>
          <w:rFonts w:ascii="Times New Roman" w:eastAsiaTheme="minorEastAsia" w:hAnsi="Times New Roman" w:cs="Times New Roman"/>
          <w:szCs w:val="24"/>
        </w:rPr>
        <w:t xml:space="preserve">positive rating events are informative as they are associated with narrowing bond yields in the post-identifier period. </w:t>
      </w:r>
      <w:bookmarkEnd w:id="18"/>
      <w:r w:rsidR="009F0894" w:rsidRPr="003A41B3">
        <w:rPr>
          <w:rFonts w:ascii="Times New Roman" w:eastAsiaTheme="minorEastAsia" w:hAnsi="Times New Roman" w:cs="Times New Roman"/>
          <w:szCs w:val="24"/>
        </w:rPr>
        <w:t>This corresponds to a high quality of ratings. On the other hand, if the interaction produces a positive significant coefficient, positive rating events widen (rather than narrow) bond yields in the post-identifier period, implying that ratings are of lower quality.</w:t>
      </w:r>
      <w:r w:rsidR="009F0894" w:rsidRPr="003A41B3">
        <w:rPr>
          <w:rFonts w:ascii="Times New Roman" w:hAnsi="Times New Roman" w:cs="Times New Roman"/>
          <w:szCs w:val="24"/>
        </w:rPr>
        <w:t xml:space="preserve"> Similarly, in the case of negative events, if the interaction has a positive significant coefficient, we detect stronger links between rating changes and spreads after the regulation </w:t>
      </w:r>
      <w:r w:rsidR="00FF6549" w:rsidRPr="003A41B3">
        <w:rPr>
          <w:rFonts w:ascii="Times New Roman" w:hAnsi="Times New Roman" w:cs="Times New Roman"/>
          <w:szCs w:val="24"/>
        </w:rPr>
        <w:t>was enacted</w:t>
      </w:r>
      <w:r w:rsidR="009F0894" w:rsidRPr="003A41B3">
        <w:rPr>
          <w:rFonts w:ascii="Times New Roman" w:hAnsi="Times New Roman" w:cs="Times New Roman"/>
          <w:szCs w:val="24"/>
        </w:rPr>
        <w:t>, indicating a higher quality of ratings. Conversely, if the sign is negative, the negative events are not informative as they narrow (rather than widen</w:t>
      </w:r>
      <w:r w:rsidR="006C2A3B" w:rsidRPr="003A41B3">
        <w:rPr>
          <w:rFonts w:ascii="Times New Roman" w:hAnsi="Times New Roman" w:cs="Times New Roman"/>
          <w:szCs w:val="24"/>
        </w:rPr>
        <w:t>)</w:t>
      </w:r>
      <w:r w:rsidR="009F0894" w:rsidRPr="003A41B3">
        <w:rPr>
          <w:rFonts w:ascii="Times New Roman" w:hAnsi="Times New Roman" w:cs="Times New Roman"/>
          <w:szCs w:val="24"/>
        </w:rPr>
        <w:t xml:space="preserve"> spreads, suggesting lower quality of ratings.</w:t>
      </w:r>
      <w:r w:rsidR="009F0894" w:rsidRPr="003A41B3">
        <w:rPr>
          <w:rFonts w:ascii="Times New Roman" w:hAnsi="Times New Roman" w:cs="Times New Roman"/>
          <w:szCs w:val="24"/>
          <w:lang w:eastAsia="en-GB"/>
        </w:rPr>
        <w:t xml:space="preserve"> </w:t>
      </w:r>
      <w:bookmarkEnd w:id="17"/>
    </w:p>
    <w:p w14:paraId="60718AD8" w14:textId="6D79D456" w:rsidR="00CE360E" w:rsidRPr="003A41B3" w:rsidRDefault="006D330B" w:rsidP="00CE360E">
      <w:pPr>
        <w:pStyle w:val="ListParagraph"/>
        <w:tabs>
          <w:tab w:val="left" w:pos="284"/>
        </w:tabs>
        <w:spacing w:line="480" w:lineRule="auto"/>
        <w:ind w:left="0"/>
        <w:rPr>
          <w:rFonts w:ascii="Times New Roman" w:hAnsi="Times New Roman" w:cs="Times New Roman"/>
        </w:rPr>
      </w:pPr>
      <w:r w:rsidRPr="003A41B3">
        <w:rPr>
          <w:rFonts w:ascii="Times New Roman" w:hAnsi="Times New Roman" w:cs="Times New Roman"/>
          <w:i/>
        </w:rPr>
        <w:t xml:space="preserve">Rating58 </w:t>
      </w:r>
      <w:r w:rsidRPr="003A41B3">
        <w:rPr>
          <w:rFonts w:ascii="Times New Roman" w:hAnsi="Times New Roman" w:cs="Times New Roman"/>
        </w:rPr>
        <w:t>rep</w:t>
      </w:r>
      <w:r w:rsidR="00115697" w:rsidRPr="003A41B3">
        <w:rPr>
          <w:rFonts w:ascii="Times New Roman" w:hAnsi="Times New Roman" w:cs="Times New Roman"/>
        </w:rPr>
        <w:t>resents the</w:t>
      </w:r>
      <w:r w:rsidRPr="003A41B3">
        <w:rPr>
          <w:rFonts w:ascii="Times New Roman" w:hAnsi="Times New Roman" w:cs="Times New Roman"/>
        </w:rPr>
        <w:t xml:space="preserve"> sovereign’s CCR taking values 1-58 and represents</w:t>
      </w:r>
      <w:r w:rsidR="000505E2" w:rsidRPr="003A41B3">
        <w:rPr>
          <w:rFonts w:ascii="Times New Roman" w:hAnsi="Times New Roman" w:cs="Times New Roman"/>
        </w:rPr>
        <w:t xml:space="preserve"> a proxy for</w:t>
      </w:r>
      <w:r w:rsidRPr="003A41B3">
        <w:rPr>
          <w:rFonts w:ascii="Times New Roman" w:hAnsi="Times New Roman" w:cs="Times New Roman"/>
        </w:rPr>
        <w:t xml:space="preserve"> the macroeconomic conditions of the sovereigns.</w:t>
      </w:r>
    </w:p>
    <w:p w14:paraId="7EE87700" w14:textId="20AC3942" w:rsidR="006D330B" w:rsidRPr="003A41B3" w:rsidRDefault="00D86075" w:rsidP="00CE360E">
      <w:pPr>
        <w:pStyle w:val="ListParagraph"/>
        <w:tabs>
          <w:tab w:val="left" w:pos="284"/>
        </w:tabs>
        <w:spacing w:line="480" w:lineRule="auto"/>
        <w:ind w:left="0"/>
        <w:rPr>
          <w:rFonts w:ascii="Times New Roman" w:hAnsi="Times New Roman" w:cs="Times New Roman"/>
        </w:rPr>
      </w:pPr>
      <w:proofErr w:type="spellStart"/>
      <w:r w:rsidRPr="003A41B3">
        <w:rPr>
          <w:rFonts w:ascii="Times New Roman" w:hAnsi="Times New Roman" w:cs="Times New Roman"/>
          <w:i/>
        </w:rPr>
        <w:t>Maturity</w:t>
      </w:r>
      <w:r w:rsidRPr="003A41B3">
        <w:rPr>
          <w:rFonts w:ascii="Times New Roman" w:hAnsi="Times New Roman" w:cs="Times New Roman"/>
          <w:i/>
          <w:vertAlign w:val="subscript"/>
        </w:rPr>
        <w:t>it</w:t>
      </w:r>
      <w:proofErr w:type="spellEnd"/>
      <w:r w:rsidRPr="003A41B3">
        <w:rPr>
          <w:rFonts w:ascii="Times New Roman" w:hAnsi="Times New Roman" w:cs="Times New Roman"/>
        </w:rPr>
        <w:t xml:space="preserve"> </w:t>
      </w:r>
      <w:r w:rsidR="00F40D35" w:rsidRPr="003A41B3">
        <w:rPr>
          <w:rFonts w:ascii="Times New Roman" w:hAnsi="Times New Roman" w:cs="Times New Roman"/>
        </w:rPr>
        <w:t xml:space="preserve">is </w:t>
      </w:r>
      <w:r w:rsidR="003D4F3B" w:rsidRPr="003A41B3">
        <w:rPr>
          <w:rFonts w:ascii="Times New Roman" w:hAnsi="Times New Roman" w:cs="Times New Roman"/>
        </w:rPr>
        <w:t>the natural logarithm of the remaining years to maturity of the bond</w:t>
      </w:r>
      <w:r w:rsidR="003D4F3B" w:rsidRPr="003A41B3">
        <w:rPr>
          <w:rFonts w:ascii="Times New Roman" w:hAnsi="Times New Roman" w:cs="Times New Roman"/>
          <w:i/>
        </w:rPr>
        <w:t xml:space="preserve"> </w:t>
      </w:r>
      <w:proofErr w:type="spellStart"/>
      <w:r w:rsidR="003D4F3B" w:rsidRPr="003A41B3">
        <w:rPr>
          <w:rFonts w:ascii="Times New Roman" w:hAnsi="Times New Roman" w:cs="Times New Roman"/>
          <w:i/>
        </w:rPr>
        <w:t>i</w:t>
      </w:r>
      <w:proofErr w:type="spellEnd"/>
      <w:r w:rsidR="003D4F3B" w:rsidRPr="003A41B3">
        <w:rPr>
          <w:rFonts w:ascii="Times New Roman" w:hAnsi="Times New Roman" w:cs="Times New Roman"/>
        </w:rPr>
        <w:t xml:space="preserve"> on the event date </w:t>
      </w:r>
      <w:r w:rsidR="003D4F3B" w:rsidRPr="003A41B3">
        <w:rPr>
          <w:rFonts w:ascii="Times New Roman" w:hAnsi="Times New Roman" w:cs="Times New Roman"/>
          <w:i/>
        </w:rPr>
        <w:t>t.</w:t>
      </w:r>
      <w:r w:rsidR="003D4F3B" w:rsidRPr="003A41B3">
        <w:rPr>
          <w:rFonts w:ascii="Times New Roman" w:hAnsi="Times New Roman" w:cs="Times New Roman"/>
        </w:rPr>
        <w:t xml:space="preserve"> It controls for</w:t>
      </w:r>
      <w:r w:rsidR="006D330B" w:rsidRPr="003A41B3">
        <w:rPr>
          <w:rFonts w:ascii="Times New Roman" w:hAnsi="Times New Roman" w:cs="Times New Roman"/>
        </w:rPr>
        <w:t xml:space="preserve"> possible heterogeneity among spread changes</w:t>
      </w:r>
      <w:r w:rsidR="000505E2" w:rsidRPr="003A41B3">
        <w:rPr>
          <w:rFonts w:ascii="Times New Roman" w:hAnsi="Times New Roman" w:cs="Times New Roman"/>
        </w:rPr>
        <w:t xml:space="preserve"> which </w:t>
      </w:r>
      <w:r w:rsidR="00AE587E" w:rsidRPr="003A41B3">
        <w:rPr>
          <w:rFonts w:ascii="Times New Roman" w:hAnsi="Times New Roman" w:cs="Times New Roman"/>
        </w:rPr>
        <w:t>arise</w:t>
      </w:r>
      <w:r w:rsidR="000505E2" w:rsidRPr="003A41B3">
        <w:rPr>
          <w:rFonts w:ascii="Times New Roman" w:hAnsi="Times New Roman" w:cs="Times New Roman"/>
        </w:rPr>
        <w:t xml:space="preserve"> due to differences in the</w:t>
      </w:r>
      <w:r w:rsidR="006D330B" w:rsidRPr="003A41B3">
        <w:rPr>
          <w:rFonts w:ascii="Times New Roman" w:hAnsi="Times New Roman" w:cs="Times New Roman"/>
        </w:rPr>
        <w:t xml:space="preserve"> remaining years to maturity of bonds. </w:t>
      </w:r>
      <w:r w:rsidR="006D330B" w:rsidRPr="003A41B3">
        <w:rPr>
          <w:rFonts w:ascii="Times New Roman" w:hAnsi="Times New Roman" w:cs="Times New Roman"/>
          <w:i/>
        </w:rPr>
        <w:t xml:space="preserve">  </w:t>
      </w:r>
    </w:p>
    <w:p w14:paraId="372A48D7" w14:textId="77777777" w:rsidR="006D330B" w:rsidRPr="003A41B3" w:rsidRDefault="006D330B" w:rsidP="00F829CE">
      <w:pPr>
        <w:pStyle w:val="ListParagraph"/>
        <w:tabs>
          <w:tab w:val="left" w:pos="284"/>
        </w:tabs>
        <w:spacing w:after="0" w:line="480" w:lineRule="auto"/>
        <w:ind w:left="0"/>
        <w:rPr>
          <w:rFonts w:ascii="Times New Roman" w:hAnsi="Times New Roman" w:cs="Times New Roman"/>
          <w:sz w:val="2"/>
          <w:szCs w:val="4"/>
        </w:rPr>
      </w:pPr>
    </w:p>
    <w:p w14:paraId="6C393419" w14:textId="32ABBCBF" w:rsidR="006D330B" w:rsidRPr="003A41B3" w:rsidRDefault="006D330B" w:rsidP="00FA39CA">
      <w:pPr>
        <w:pStyle w:val="ListParagraph"/>
        <w:tabs>
          <w:tab w:val="left" w:pos="284"/>
        </w:tabs>
        <w:spacing w:after="0" w:line="480" w:lineRule="auto"/>
        <w:ind w:left="0"/>
        <w:rPr>
          <w:rFonts w:ascii="Times New Roman" w:hAnsi="Times New Roman" w:cs="Times New Roman"/>
          <w:sz w:val="6"/>
        </w:rPr>
      </w:pPr>
      <w:r w:rsidRPr="003A41B3">
        <w:rPr>
          <w:rFonts w:ascii="Times New Roman" w:hAnsi="Times New Roman" w:cs="Times New Roman"/>
          <w:i/>
        </w:rPr>
        <w:lastRenderedPageBreak/>
        <w:t>CF</w:t>
      </w:r>
      <w:r w:rsidR="00BB078F" w:rsidRPr="003A41B3">
        <w:rPr>
          <w:rFonts w:ascii="Times New Roman" w:hAnsi="Times New Roman" w:cs="Times New Roman"/>
          <w:i/>
        </w:rPr>
        <w:t xml:space="preserve"> </w:t>
      </w:r>
      <w:r w:rsidR="00BB078F" w:rsidRPr="003A41B3">
        <w:rPr>
          <w:rFonts w:ascii="Times New Roman" w:hAnsi="Times New Roman" w:cs="Times New Roman"/>
        </w:rPr>
        <w:t>is</w:t>
      </w:r>
      <w:r w:rsidRPr="003A41B3">
        <w:rPr>
          <w:rFonts w:ascii="Times New Roman" w:hAnsi="Times New Roman" w:cs="Times New Roman"/>
        </w:rPr>
        <w:t xml:space="preserve"> country fixed effects.</w:t>
      </w:r>
      <w:r w:rsidR="00911144" w:rsidRPr="003A41B3">
        <w:rPr>
          <w:rStyle w:val="FootnoteReference"/>
          <w:rFonts w:ascii="Times New Roman" w:hAnsi="Times New Roman" w:cs="Times New Roman"/>
        </w:rPr>
        <w:footnoteReference w:id="14"/>
      </w:r>
      <w:r w:rsidR="00FA39CA" w:rsidRPr="003A41B3">
        <w:rPr>
          <w:rFonts w:ascii="Times New Roman" w:hAnsi="Times New Roman" w:cs="Times New Roman"/>
        </w:rPr>
        <w:t xml:space="preserve"> </w:t>
      </w:r>
    </w:p>
    <w:p w14:paraId="1EAEE892" w14:textId="12BAD2FD" w:rsidR="00B85FF1" w:rsidRPr="003A41B3" w:rsidRDefault="00E16EC5" w:rsidP="00085B77">
      <w:pPr>
        <w:pStyle w:val="ListParagraph"/>
        <w:tabs>
          <w:tab w:val="left" w:pos="284"/>
        </w:tabs>
        <w:spacing w:after="0" w:line="480" w:lineRule="auto"/>
        <w:ind w:left="0"/>
        <w:rPr>
          <w:rFonts w:ascii="Times New Roman" w:hAnsi="Times New Roman" w:cs="Times New Roman"/>
        </w:rPr>
      </w:pPr>
      <w:r w:rsidRPr="003A41B3">
        <w:rPr>
          <w:rFonts w:ascii="Times New Roman" w:hAnsi="Times New Roman" w:cs="Times New Roman"/>
        </w:rPr>
        <w:t xml:space="preserve">     </w:t>
      </w:r>
      <w:bookmarkStart w:id="20" w:name="_Hlk4675106"/>
      <w:bookmarkStart w:id="21" w:name="_Hlk5048128"/>
      <w:r w:rsidR="00157AE9" w:rsidRPr="003A41B3">
        <w:rPr>
          <w:rFonts w:ascii="Times New Roman" w:hAnsi="Times New Roman" w:cs="Times New Roman"/>
        </w:rPr>
        <w:t>To examine our second research question</w:t>
      </w:r>
      <w:r w:rsidR="00DE3961" w:rsidRPr="003A41B3">
        <w:rPr>
          <w:rFonts w:ascii="Times New Roman" w:hAnsi="Times New Roman" w:cs="Times New Roman"/>
        </w:rPr>
        <w:t>,</w:t>
      </w:r>
      <w:r w:rsidR="00157AE9" w:rsidRPr="003A41B3">
        <w:rPr>
          <w:rFonts w:ascii="Times New Roman" w:hAnsi="Times New Roman" w:cs="Times New Roman"/>
        </w:rPr>
        <w:t xml:space="preserve"> on the impact of rating analysts’ location on rating quality, Eq. (1b) is estimated to differentiate between the impact of rating events </w:t>
      </w:r>
      <w:r w:rsidR="00D34A68" w:rsidRPr="003A41B3">
        <w:rPr>
          <w:rFonts w:ascii="Times New Roman" w:hAnsi="Times New Roman" w:cs="Times New Roman"/>
        </w:rPr>
        <w:t xml:space="preserve">for issuers </w:t>
      </w:r>
      <w:r w:rsidR="00157AE9" w:rsidRPr="003A41B3">
        <w:rPr>
          <w:rFonts w:ascii="Times New Roman" w:hAnsi="Times New Roman" w:cs="Times New Roman"/>
        </w:rPr>
        <w:t>with EU versus EE identifiers in the post-</w:t>
      </w:r>
      <w:r w:rsidR="00D34A68" w:rsidRPr="003A41B3">
        <w:rPr>
          <w:rFonts w:ascii="Times New Roman" w:hAnsi="Times New Roman" w:cs="Times New Roman"/>
        </w:rPr>
        <w:t xml:space="preserve">identifier </w:t>
      </w:r>
      <w:r w:rsidR="00157AE9" w:rsidRPr="003A41B3">
        <w:rPr>
          <w:rFonts w:ascii="Times New Roman" w:hAnsi="Times New Roman" w:cs="Times New Roman"/>
        </w:rPr>
        <w:t>period in comparison with the impact of events in the pre-identifier period</w:t>
      </w:r>
      <w:r w:rsidR="00972362" w:rsidRPr="003A41B3">
        <w:rPr>
          <w:rFonts w:ascii="Times New Roman" w:hAnsi="Times New Roman" w:cs="Times New Roman"/>
        </w:rPr>
        <w:t>.</w:t>
      </w:r>
      <w:bookmarkEnd w:id="20"/>
      <w:r w:rsidR="00972362" w:rsidRPr="003A41B3">
        <w:rPr>
          <w:rFonts w:ascii="Times New Roman" w:hAnsi="Times New Roman" w:cs="Times New Roman"/>
        </w:rPr>
        <w:t xml:space="preserve"> </w:t>
      </w:r>
      <w:bookmarkStart w:id="22" w:name="_Hlk4765761"/>
      <w:bookmarkStart w:id="23" w:name="_Hlk4675550"/>
      <w:bookmarkStart w:id="24" w:name="_Hlk5475706"/>
      <w:bookmarkEnd w:id="21"/>
      <w:r w:rsidR="00972362" w:rsidRPr="003A41B3">
        <w:rPr>
          <w:rFonts w:ascii="Times New Roman" w:hAnsi="Times New Roman" w:cs="Times New Roman"/>
        </w:rPr>
        <w:t>Here</w:t>
      </w:r>
      <w:r w:rsidR="00D34A68" w:rsidRPr="003A41B3">
        <w:rPr>
          <w:rFonts w:ascii="Times New Roman" w:hAnsi="Times New Roman" w:cs="Times New Roman"/>
        </w:rPr>
        <w:t>,</w:t>
      </w:r>
      <w:r w:rsidR="00972362" w:rsidRPr="003A41B3">
        <w:rPr>
          <w:rFonts w:ascii="Times New Roman" w:hAnsi="Times New Roman" w:cs="Times New Roman"/>
        </w:rPr>
        <w:t xml:space="preserve"> the null hypothesis suggests that ratings </w:t>
      </w:r>
      <w:r w:rsidR="00AE587E" w:rsidRPr="003A41B3">
        <w:rPr>
          <w:rFonts w:ascii="Times New Roman" w:hAnsi="Times New Roman" w:cs="Times New Roman"/>
        </w:rPr>
        <w:t xml:space="preserve">are of equivalent quality regardless of whether they are </w:t>
      </w:r>
      <w:r w:rsidR="00972362" w:rsidRPr="003A41B3">
        <w:rPr>
          <w:rFonts w:ascii="Times New Roman" w:hAnsi="Times New Roman" w:cs="Times New Roman"/>
        </w:rPr>
        <w:t xml:space="preserve">issued in the EU </w:t>
      </w:r>
      <w:r w:rsidR="00AE587E" w:rsidRPr="003A41B3">
        <w:rPr>
          <w:rFonts w:ascii="Times New Roman" w:hAnsi="Times New Roman" w:cs="Times New Roman"/>
        </w:rPr>
        <w:t>or elsewhere</w:t>
      </w:r>
      <w:r w:rsidR="00972362" w:rsidRPr="003A41B3">
        <w:rPr>
          <w:rFonts w:ascii="Times New Roman" w:hAnsi="Times New Roman" w:cs="Times New Roman"/>
        </w:rPr>
        <w:t xml:space="preserve">. </w:t>
      </w:r>
      <w:r w:rsidR="0093415D" w:rsidRPr="003A41B3">
        <w:rPr>
          <w:rFonts w:ascii="Times New Roman" w:hAnsi="Times New Roman" w:cs="Times New Roman"/>
        </w:rPr>
        <w:t xml:space="preserve">Ratings should only reflect factors related to the expected </w:t>
      </w:r>
      <w:r w:rsidR="00AB3711" w:rsidRPr="003A41B3">
        <w:rPr>
          <w:rFonts w:ascii="Times New Roman" w:hAnsi="Times New Roman" w:cs="Times New Roman"/>
        </w:rPr>
        <w:t xml:space="preserve">debt servicing </w:t>
      </w:r>
      <w:r w:rsidR="0093415D" w:rsidRPr="003A41B3">
        <w:rPr>
          <w:rFonts w:ascii="Times New Roman" w:hAnsi="Times New Roman" w:cs="Times New Roman"/>
        </w:rPr>
        <w:t xml:space="preserve">by the issuer, </w:t>
      </w:r>
      <w:r w:rsidR="00F72807" w:rsidRPr="003A41B3">
        <w:rPr>
          <w:rFonts w:ascii="Times New Roman" w:hAnsi="Times New Roman" w:cs="Times New Roman"/>
        </w:rPr>
        <w:t xml:space="preserve">therefore </w:t>
      </w:r>
      <w:r w:rsidR="0093415D" w:rsidRPr="003A41B3">
        <w:rPr>
          <w:rFonts w:ascii="Times New Roman" w:hAnsi="Times New Roman" w:cs="Times New Roman"/>
        </w:rPr>
        <w:t xml:space="preserve">we expect that the location of rating analysts (in the EU or outside the </w:t>
      </w:r>
      <w:r w:rsidR="00AB3711" w:rsidRPr="003A41B3">
        <w:rPr>
          <w:rFonts w:ascii="Times New Roman" w:hAnsi="Times New Roman" w:cs="Times New Roman"/>
        </w:rPr>
        <w:t>EU</w:t>
      </w:r>
      <w:r w:rsidR="0093415D" w:rsidRPr="003A41B3">
        <w:rPr>
          <w:rFonts w:ascii="Times New Roman" w:hAnsi="Times New Roman" w:cs="Times New Roman"/>
        </w:rPr>
        <w:t xml:space="preserve">) </w:t>
      </w:r>
      <w:r w:rsidR="00D34A68" w:rsidRPr="003A41B3">
        <w:rPr>
          <w:rFonts w:ascii="Times New Roman" w:hAnsi="Times New Roman" w:cs="Times New Roman"/>
        </w:rPr>
        <w:t>has</w:t>
      </w:r>
      <w:r w:rsidR="00085B77" w:rsidRPr="003A41B3">
        <w:rPr>
          <w:rFonts w:ascii="Times New Roman" w:hAnsi="Times New Roman" w:cs="Times New Roman"/>
        </w:rPr>
        <w:t xml:space="preserve"> an insignificant</w:t>
      </w:r>
      <w:r w:rsidR="0093415D" w:rsidRPr="003A41B3">
        <w:rPr>
          <w:rFonts w:ascii="Times New Roman" w:hAnsi="Times New Roman" w:cs="Times New Roman"/>
        </w:rPr>
        <w:t xml:space="preserve"> impact o</w:t>
      </w:r>
      <w:r w:rsidR="00DE3961" w:rsidRPr="003A41B3">
        <w:rPr>
          <w:rFonts w:ascii="Times New Roman" w:hAnsi="Times New Roman" w:cs="Times New Roman"/>
        </w:rPr>
        <w:t>n</w:t>
      </w:r>
      <w:r w:rsidR="0093415D" w:rsidRPr="003A41B3">
        <w:rPr>
          <w:rFonts w:ascii="Times New Roman" w:hAnsi="Times New Roman" w:cs="Times New Roman"/>
        </w:rPr>
        <w:t xml:space="preserve"> the informativeness of sovereign ratings. </w:t>
      </w:r>
      <w:bookmarkStart w:id="25" w:name="_Hlk5118325"/>
      <w:r w:rsidR="005B5D60" w:rsidRPr="003A41B3">
        <w:rPr>
          <w:rFonts w:ascii="Times New Roman" w:hAnsi="Times New Roman" w:cs="Times New Roman"/>
        </w:rPr>
        <w:t xml:space="preserve">Superior quality of ratings </w:t>
      </w:r>
      <w:r w:rsidR="00D34A68" w:rsidRPr="003A41B3">
        <w:rPr>
          <w:rFonts w:ascii="Times New Roman" w:hAnsi="Times New Roman" w:cs="Times New Roman"/>
        </w:rPr>
        <w:t>issued by analysts located in the EU</w:t>
      </w:r>
      <w:bookmarkEnd w:id="25"/>
      <w:r w:rsidR="00872574" w:rsidRPr="003A41B3">
        <w:rPr>
          <w:rFonts w:ascii="Times New Roman" w:hAnsi="Times New Roman" w:cs="Times New Roman"/>
        </w:rPr>
        <w:t xml:space="preserve"> could be explained by the fact</w:t>
      </w:r>
      <w:r w:rsidR="005B5D60" w:rsidRPr="003A41B3">
        <w:rPr>
          <w:rFonts w:ascii="Times New Roman" w:hAnsi="Times New Roman" w:cs="Times New Roman"/>
        </w:rPr>
        <w:t xml:space="preserve"> that</w:t>
      </w:r>
      <w:r w:rsidR="00872574" w:rsidRPr="003A41B3">
        <w:rPr>
          <w:rFonts w:ascii="Times New Roman" w:hAnsi="Times New Roman" w:cs="Times New Roman"/>
        </w:rPr>
        <w:t xml:space="preserve"> </w:t>
      </w:r>
      <w:r w:rsidR="005B5D60" w:rsidRPr="003A41B3">
        <w:rPr>
          <w:rFonts w:ascii="Times New Roman" w:hAnsi="Times New Roman" w:cs="Times New Roman"/>
        </w:rPr>
        <w:t xml:space="preserve">the CRAs in the </w:t>
      </w:r>
      <w:r w:rsidR="00872574" w:rsidRPr="003A41B3">
        <w:rPr>
          <w:rFonts w:ascii="Times New Roman" w:hAnsi="Times New Roman" w:cs="Times New Roman"/>
        </w:rPr>
        <w:t>EU are under c</w:t>
      </w:r>
      <w:r w:rsidR="00AE587E" w:rsidRPr="003A41B3">
        <w:rPr>
          <w:rFonts w:ascii="Times New Roman" w:hAnsi="Times New Roman" w:cs="Times New Roman"/>
        </w:rPr>
        <w:t>loser scrutiny in the post-identifier period</w:t>
      </w:r>
      <w:r w:rsidR="00872574" w:rsidRPr="003A41B3">
        <w:rPr>
          <w:rFonts w:ascii="Times New Roman" w:hAnsi="Times New Roman" w:cs="Times New Roman"/>
        </w:rPr>
        <w:t>.</w:t>
      </w:r>
      <w:r w:rsidR="000401E4" w:rsidRPr="003A41B3">
        <w:rPr>
          <w:rFonts w:ascii="Times New Roman" w:hAnsi="Times New Roman" w:cs="Times New Roman"/>
        </w:rPr>
        <w:t xml:space="preserve"> </w:t>
      </w:r>
      <w:bookmarkEnd w:id="22"/>
      <w:bookmarkEnd w:id="23"/>
      <w:r w:rsidR="00E37830" w:rsidRPr="003A41B3">
        <w:rPr>
          <w:rFonts w:ascii="Times New Roman" w:hAnsi="Times New Roman" w:cs="Times New Roman"/>
        </w:rPr>
        <w:t>On the other hand, superior quality of endorsed ratings could stem from the fact that CRA offices in a non-EU country aim to establish a strong reputation for rating reliability. We test this using the following specification</w:t>
      </w:r>
      <w:bookmarkEnd w:id="24"/>
      <w:r w:rsidR="005B4DC6" w:rsidRPr="003A41B3">
        <w:rPr>
          <w:rFonts w:ascii="Times New Roman" w:hAnsi="Times New Roman" w:cs="Times New Roman"/>
        </w:rPr>
        <w:t>:</w:t>
      </w:r>
      <w:r w:rsidR="005B5D60" w:rsidRPr="003A41B3">
        <w:rPr>
          <w:rFonts w:ascii="Times New Roman" w:hAnsi="Times New Roman" w:cs="Times New Roman"/>
        </w:rPr>
        <w:t xml:space="preserve"> </w:t>
      </w:r>
    </w:p>
    <w:p w14:paraId="219B395A" w14:textId="77777777" w:rsidR="00085B77" w:rsidRPr="003A41B3" w:rsidRDefault="00085B77" w:rsidP="00085B77">
      <w:pPr>
        <w:pStyle w:val="ListParagraph"/>
        <w:tabs>
          <w:tab w:val="left" w:pos="284"/>
        </w:tabs>
        <w:spacing w:after="0" w:line="480" w:lineRule="auto"/>
        <w:ind w:left="0"/>
        <w:rPr>
          <w:rFonts w:ascii="Times New Roman" w:hAnsi="Times New Roman" w:cs="Times New Roman"/>
        </w:rPr>
      </w:pPr>
    </w:p>
    <w:p w14:paraId="5A37EF57" w14:textId="15758AA6" w:rsidR="00551E79" w:rsidRPr="003A41B3" w:rsidRDefault="0088760E" w:rsidP="005137DD">
      <w:pPr>
        <w:pStyle w:val="ListParagraph"/>
        <w:tabs>
          <w:tab w:val="left" w:pos="284"/>
        </w:tabs>
        <w:spacing w:after="0" w:line="360" w:lineRule="auto"/>
        <w:ind w:left="0"/>
        <w:jc w:val="center"/>
        <w:rPr>
          <w:rFonts w:ascii="Times New Roman" w:hAnsi="Times New Roman" w:cs="Times New Roman"/>
          <w:szCs w:val="24"/>
        </w:rPr>
      </w:pPr>
      <w:proofErr w:type="spellStart"/>
      <m:oMathPara>
        <m:oMathParaPr>
          <m:jc m:val="center"/>
        </m:oMathParaPr>
        <m:oMath>
          <m:r>
            <m:rPr>
              <m:nor/>
            </m:rPr>
            <w:rPr>
              <w:rFonts w:ascii="Cambria Math" w:eastAsia="Calibri" w:hAnsi="Times New Roman" w:cs="Times New Roman"/>
            </w:rPr>
            <m:t>Yiel</m:t>
          </m:r>
          <w:proofErr w:type="spellEnd"/>
          <m:sSub>
            <m:sSubPr>
              <m:ctrlPr>
                <w:rPr>
                  <w:rFonts w:ascii="Cambria Math" w:eastAsia="Calibri" w:hAnsi="Times New Roman" w:cs="Times New Roman"/>
                </w:rPr>
              </m:ctrlPr>
            </m:sSubPr>
            <m:e>
              <m:r>
                <m:rPr>
                  <m:nor/>
                </m:rPr>
                <w:rPr>
                  <w:rFonts w:ascii="Cambria Math" w:eastAsia="Calibri" w:hAnsi="Times New Roman" w:cs="Times New Roman"/>
                </w:rPr>
                <m:t>d</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1</m:t>
              </m:r>
            </m:sub>
          </m:sSub>
          <m:r>
            <w:rPr>
              <w:rFonts w:ascii="Cambria Math" w:eastAsia="Calibri" w:hAnsi="Times New Roman" w:cs="Times New Roman"/>
            </w:rPr>
            <m:t>Δ</m:t>
          </m:r>
          <m:r>
            <m:rPr>
              <m:nor/>
            </m:rPr>
            <w:rPr>
              <w:rFonts w:ascii="Cambria Math" w:eastAsia="Calibri" w:hAnsi="Times New Roman" w:cs="Times New Roman"/>
            </w:rPr>
            <m:t>Ratin</m:t>
          </m:r>
          <m:sSub>
            <m:sSubPr>
              <m:ctrlPr>
                <w:rPr>
                  <w:rFonts w:ascii="Cambria Math" w:eastAsia="Calibri" w:hAnsi="Times New Roman" w:cs="Times New Roman"/>
                </w:rPr>
              </m:ctrlPr>
            </m:sSubPr>
            <m:e>
              <m:r>
                <m:rPr>
                  <m:nor/>
                </m:rPr>
                <w:rPr>
                  <w:rFonts w:ascii="Cambria Math" w:eastAsia="Calibri" w:hAnsi="Times New Roman" w:cs="Times New Roman"/>
                </w:rPr>
                <m:t>g</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2</m:t>
              </m:r>
            </m:sub>
          </m:sSub>
          <m:r>
            <m:rPr>
              <m:nor/>
            </m:rPr>
            <w:rPr>
              <w:rFonts w:ascii="Cambria Math" w:eastAsia="Calibri" w:hAnsi="Times New Roman" w:cs="Times New Roman"/>
            </w:rPr>
            <m:t>E</m:t>
          </m:r>
          <m:sSub>
            <m:sSubPr>
              <m:ctrlPr>
                <w:rPr>
                  <w:rFonts w:ascii="Cambria Math" w:eastAsia="Calibri" w:hAnsi="Times New Roman" w:cs="Times New Roman"/>
                </w:rPr>
              </m:ctrlPr>
            </m:sSubPr>
            <m:e>
              <m:r>
                <m:rPr>
                  <m:nor/>
                </m:rPr>
                <w:rPr>
                  <w:rFonts w:ascii="Cambria Math" w:eastAsia="Calibri" w:hAnsi="Times New Roman" w:cs="Times New Roman"/>
                </w:rPr>
                <m:t>E</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3</m:t>
              </m:r>
            </m:sub>
          </m:sSub>
          <m:r>
            <m:rPr>
              <m:nor/>
            </m:rPr>
            <w:rPr>
              <w:rFonts w:ascii="Cambria Math" w:eastAsia="Calibri" w:hAnsi="Times New Roman" w:cs="Times New Roman"/>
            </w:rPr>
            <m:t>E</m:t>
          </m:r>
          <m:sSub>
            <m:sSubPr>
              <m:ctrlPr>
                <w:rPr>
                  <w:rFonts w:ascii="Cambria Math" w:eastAsia="Calibri" w:hAnsi="Times New Roman" w:cs="Times New Roman"/>
                </w:rPr>
              </m:ctrlPr>
            </m:sSubPr>
            <m:e>
              <m:r>
                <m:rPr>
                  <m:nor/>
                </m:rPr>
                <w:rPr>
                  <w:rFonts w:ascii="Cambria Math" w:eastAsia="Calibri" w:hAnsi="Times New Roman" w:cs="Times New Roman"/>
                </w:rPr>
                <m:t>U</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4</m:t>
              </m:r>
            </m:sub>
          </m:sSub>
          <m:r>
            <w:rPr>
              <w:rFonts w:ascii="Cambria Math" w:eastAsia="Calibri" w:hAnsi="Times New Roman" w:cs="Times New Roman"/>
            </w:rPr>
            <m:t>(Δ</m:t>
          </m:r>
          <m:r>
            <m:rPr>
              <m:nor/>
            </m:rPr>
            <w:rPr>
              <w:rFonts w:ascii="Cambria Math" w:eastAsia="Calibri" w:hAnsi="Times New Roman" w:cs="Times New Roman"/>
            </w:rPr>
            <m:t>Rating*EE</m:t>
          </m:r>
          <m:sSub>
            <m:sSubPr>
              <m:ctrlPr>
                <w:rPr>
                  <w:rFonts w:ascii="Cambria Math" w:eastAsia="Calibri" w:hAnsi="Times New Roman" w:cs="Times New Roman"/>
                </w:rPr>
              </m:ctrlPr>
            </m:sSubPr>
            <m:e>
              <m:r>
                <m:rPr>
                  <m:sty m:val="p"/>
                </m:rPr>
                <w:rPr>
                  <w:rFonts w:ascii="Cambria Math" w:eastAsia="Calibri" w:hAnsi="Times New Roman" w:cs="Times New Roman"/>
                </w:rPr>
                <m:t>)</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5</m:t>
              </m:r>
            </m:sub>
          </m:sSub>
          <m:r>
            <w:rPr>
              <w:rFonts w:ascii="Cambria Math" w:eastAsia="Calibri" w:hAnsi="Times New Roman" w:cs="Times New Roman"/>
            </w:rPr>
            <m:t>(Δ</m:t>
          </m:r>
          <m:r>
            <m:rPr>
              <m:nor/>
            </m:rPr>
            <w:rPr>
              <w:rFonts w:ascii="Cambria Math" w:eastAsia="Calibri" w:hAnsi="Times New Roman" w:cs="Times New Roman"/>
            </w:rPr>
            <m:t>Rating*EU</m:t>
          </m:r>
          <m:sSub>
            <m:sSubPr>
              <m:ctrlPr>
                <w:rPr>
                  <w:rFonts w:ascii="Cambria Math" w:eastAsia="Calibri" w:hAnsi="Times New Roman" w:cs="Times New Roman"/>
                </w:rPr>
              </m:ctrlPr>
            </m:sSubPr>
            <m:e>
              <m:r>
                <m:rPr>
                  <m:sty m:val="p"/>
                </m:rPr>
                <w:rPr>
                  <w:rFonts w:ascii="Cambria Math" w:eastAsia="Calibri" w:hAnsi="Times New Roman" w:cs="Times New Roman"/>
                </w:rPr>
                <m:t>)</m:t>
              </m:r>
            </m:e>
            <m:sub>
              <m:r>
                <w:rPr>
                  <w:rFonts w:ascii="Cambria Math" w:eastAsia="Calibri" w:hAnsi="Times New Roman" w:cs="Times New Roman"/>
                </w:rPr>
                <m:t>i,t</m:t>
              </m:r>
              <m:ctrlPr>
                <w:rPr>
                  <w:rFonts w:ascii="Cambria Math" w:eastAsia="Calibri" w:hAnsi="Times New Roman" w:cs="Times New Roman"/>
                  <w:i/>
                </w:rPr>
              </m:ctrlPr>
            </m:sub>
          </m:sSub>
          <m:r>
            <m:rPr>
              <m:sty m:val="p"/>
            </m:rPr>
            <w:rPr>
              <w:rFonts w:ascii="Cambria Math" w:eastAsia="Calibri" w:hAnsi="Times New Roman" w:cs="Times New Roman"/>
            </w:rPr>
            <w:br/>
          </m:r>
        </m:oMath>
      </m:oMathPara>
      <m:oMath>
        <m:r>
          <w:rPr>
            <w:rFonts w:ascii="Cambria Math" w:eastAsia="Calibri" w:hAnsi="Times New Roman" w:cs="Times New Roman"/>
          </w:rPr>
          <m:t xml:space="preserve">                                   +</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6</m:t>
            </m:r>
          </m:sub>
        </m:sSub>
        <m:r>
          <m:rPr>
            <m:nor/>
          </m:rPr>
          <w:rPr>
            <w:rFonts w:ascii="Cambria Math" w:eastAsia="Calibri" w:hAnsi="Times New Roman" w:cs="Times New Roman"/>
          </w:rPr>
          <m:t>Rating5</m:t>
        </m:r>
        <m:sSub>
          <m:sSubPr>
            <m:ctrlPr>
              <w:rPr>
                <w:rFonts w:ascii="Cambria Math" w:eastAsia="Calibri" w:hAnsi="Times New Roman" w:cs="Times New Roman"/>
              </w:rPr>
            </m:ctrlPr>
          </m:sSubPr>
          <m:e>
            <m:r>
              <m:rPr>
                <m:nor/>
              </m:rPr>
              <w:rPr>
                <w:rFonts w:ascii="Cambria Math" w:eastAsia="Calibri" w:hAnsi="Times New Roman" w:cs="Times New Roman"/>
              </w:rPr>
              <m:t>8</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7</m:t>
            </m:r>
          </m:sub>
        </m:sSub>
        <m:r>
          <m:rPr>
            <m:nor/>
          </m:rPr>
          <w:rPr>
            <w:rFonts w:ascii="Cambria Math" w:eastAsia="Calibri" w:hAnsi="Times New Roman" w:cs="Times New Roman"/>
          </w:rPr>
          <m:t>Maturit</m:t>
        </m:r>
        <m:sSub>
          <m:sSubPr>
            <m:ctrlPr>
              <w:rPr>
                <w:rFonts w:ascii="Cambria Math" w:eastAsia="Calibri" w:hAnsi="Times New Roman" w:cs="Times New Roman"/>
              </w:rPr>
            </m:ctrlPr>
          </m:sSubPr>
          <m:e>
            <m:r>
              <m:rPr>
                <m:nor/>
              </m:rPr>
              <w:rPr>
                <w:rFonts w:ascii="Cambria Math" w:eastAsia="Calibri" w:hAnsi="Times New Roman" w:cs="Times New Roman"/>
              </w:rPr>
              <m:t>y</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λ</m:t>
            </m:r>
          </m:e>
          <m:sub>
            <m:r>
              <w:rPr>
                <w:rFonts w:ascii="Cambria Math" w:eastAsia="Calibri" w:hAnsi="Times New Roman" w:cs="Times New Roman"/>
              </w:rPr>
              <m:t>1</m:t>
            </m:r>
          </m:sub>
        </m:sSub>
        <m:r>
          <m:rPr>
            <m:nor/>
          </m:rPr>
          <w:rPr>
            <w:rFonts w:ascii="Cambria Math" w:eastAsia="Calibri" w:hAnsi="Times New Roman" w:cs="Times New Roman"/>
          </w:rPr>
          <m:t>CF</m:t>
        </m:r>
        <m:r>
          <m:rPr>
            <m:sty m:val="p"/>
          </m:rPr>
          <w:rPr>
            <w:rFonts w:ascii="Cambria Math" w:eastAsia="Calibri" w:hAnsi="Times New Roman" w:cs="Times New Roman"/>
          </w:rPr>
          <m:t>+</m:t>
        </m:r>
        <m:sSub>
          <m:sSubPr>
            <m:ctrlPr>
              <w:rPr>
                <w:rFonts w:ascii="Cambria Math" w:eastAsia="Calibri" w:hAnsi="Times New Roman" w:cs="Times New Roman"/>
              </w:rPr>
            </m:ctrlPr>
          </m:sSubPr>
          <m:e>
            <m:r>
              <w:rPr>
                <w:rFonts w:ascii="Cambria Math" w:eastAsia="Calibri" w:hAnsi="Times New Roman" w:cs="Times New Roman"/>
              </w:rPr>
              <m:t>ε</m:t>
            </m:r>
          </m:e>
          <m:sub>
            <m:r>
              <w:rPr>
                <w:rFonts w:ascii="Cambria Math" w:eastAsia="Calibri" w:hAnsi="Times New Roman" w:cs="Times New Roman"/>
              </w:rPr>
              <m:t>i,t</m:t>
            </m:r>
            <m:ctrlPr>
              <w:rPr>
                <w:rFonts w:ascii="Cambria Math" w:eastAsia="Calibri" w:hAnsi="Times New Roman" w:cs="Times New Roman"/>
                <w:i/>
              </w:rPr>
            </m:ctrlPr>
          </m:sub>
        </m:sSub>
      </m:oMath>
      <w:r w:rsidRPr="003A41B3">
        <w:rPr>
          <w:rFonts w:ascii="Times New Roman" w:eastAsia="Calibri" w:hAnsi="Times New Roman" w:cs="Times New Roman"/>
        </w:rPr>
        <w:t xml:space="preserve">                                     </w:t>
      </w:r>
      <w:r w:rsidRPr="003A41B3">
        <w:rPr>
          <w:rFonts w:ascii="Times New Roman" w:hAnsi="Times New Roman" w:cs="Times New Roman"/>
          <w:szCs w:val="24"/>
        </w:rPr>
        <w:t xml:space="preserve">(1b)                       </w:t>
      </w:r>
      <w:r w:rsidR="00C65AFF" w:rsidRPr="003A41B3">
        <w:rPr>
          <w:rFonts w:ascii="Times New Roman" w:hAnsi="Times New Roman" w:cs="Times New Roman"/>
          <w:szCs w:val="24"/>
        </w:rPr>
        <w:t xml:space="preserve">     </w:t>
      </w:r>
      <w:r w:rsidR="00AF6C0D" w:rsidRPr="003A41B3">
        <w:rPr>
          <w:rFonts w:ascii="Times New Roman" w:hAnsi="Times New Roman" w:cs="Times New Roman"/>
          <w:szCs w:val="24"/>
        </w:rPr>
        <w:tab/>
      </w:r>
      <w:r w:rsidR="00AF6C0D" w:rsidRPr="003A41B3">
        <w:rPr>
          <w:rFonts w:ascii="Times New Roman" w:hAnsi="Times New Roman" w:cs="Times New Roman"/>
          <w:szCs w:val="24"/>
        </w:rPr>
        <w:tab/>
      </w:r>
      <w:r w:rsidR="00AF6C0D" w:rsidRPr="003A41B3">
        <w:rPr>
          <w:rFonts w:ascii="Times New Roman" w:hAnsi="Times New Roman" w:cs="Times New Roman"/>
          <w:szCs w:val="24"/>
        </w:rPr>
        <w:tab/>
      </w:r>
      <w:r w:rsidR="00AF6C0D" w:rsidRPr="003A41B3">
        <w:rPr>
          <w:rFonts w:ascii="Times New Roman" w:hAnsi="Times New Roman" w:cs="Times New Roman"/>
          <w:szCs w:val="24"/>
        </w:rPr>
        <w:tab/>
      </w:r>
      <w:r w:rsidR="00AF6C0D" w:rsidRPr="003A41B3">
        <w:rPr>
          <w:rFonts w:ascii="Times New Roman" w:hAnsi="Times New Roman" w:cs="Times New Roman"/>
          <w:szCs w:val="24"/>
        </w:rPr>
        <w:tab/>
      </w:r>
      <w:r w:rsidR="00C65AFF" w:rsidRPr="003A41B3">
        <w:rPr>
          <w:rFonts w:ascii="Times New Roman" w:hAnsi="Times New Roman" w:cs="Times New Roman"/>
          <w:szCs w:val="24"/>
        </w:rPr>
        <w:t xml:space="preserve">  </w:t>
      </w:r>
      <w:r w:rsidR="00447635" w:rsidRPr="003A41B3">
        <w:rPr>
          <w:rFonts w:ascii="Times New Roman" w:hAnsi="Times New Roman" w:cs="Times New Roman"/>
          <w:szCs w:val="24"/>
        </w:rPr>
        <w:tab/>
      </w:r>
      <w:r w:rsidR="00447635" w:rsidRPr="003A41B3">
        <w:rPr>
          <w:rFonts w:ascii="Times New Roman" w:hAnsi="Times New Roman" w:cs="Times New Roman"/>
          <w:szCs w:val="24"/>
        </w:rPr>
        <w:tab/>
      </w:r>
      <w:r w:rsidR="00447635" w:rsidRPr="003A41B3">
        <w:rPr>
          <w:rFonts w:ascii="Times New Roman" w:hAnsi="Times New Roman" w:cs="Times New Roman"/>
          <w:szCs w:val="24"/>
        </w:rPr>
        <w:tab/>
      </w:r>
      <w:r w:rsidR="00447635" w:rsidRPr="003A41B3">
        <w:rPr>
          <w:rFonts w:ascii="Times New Roman" w:hAnsi="Times New Roman" w:cs="Times New Roman"/>
          <w:szCs w:val="24"/>
        </w:rPr>
        <w:tab/>
      </w:r>
      <w:r w:rsidR="00447635" w:rsidRPr="003A41B3">
        <w:rPr>
          <w:rFonts w:ascii="Times New Roman" w:hAnsi="Times New Roman" w:cs="Times New Roman"/>
          <w:szCs w:val="24"/>
        </w:rPr>
        <w:tab/>
      </w:r>
      <w:r w:rsidR="00447635" w:rsidRPr="003A41B3">
        <w:rPr>
          <w:rFonts w:ascii="Times New Roman" w:hAnsi="Times New Roman" w:cs="Times New Roman"/>
          <w:szCs w:val="24"/>
        </w:rPr>
        <w:tab/>
        <w:t xml:space="preserve">           </w:t>
      </w:r>
    </w:p>
    <w:p w14:paraId="2EE5C4D5" w14:textId="7B99E0DE" w:rsidR="006D330B" w:rsidRPr="003A41B3" w:rsidRDefault="006D330B" w:rsidP="00F829CE">
      <w:pPr>
        <w:pStyle w:val="ListParagraph"/>
        <w:tabs>
          <w:tab w:val="left" w:pos="284"/>
        </w:tabs>
        <w:spacing w:after="0" w:line="480" w:lineRule="auto"/>
        <w:ind w:left="0"/>
        <w:rPr>
          <w:rFonts w:ascii="Times New Roman" w:hAnsi="Times New Roman" w:cs="Times New Roman"/>
          <w:sz w:val="6"/>
          <w:szCs w:val="4"/>
        </w:rPr>
      </w:pPr>
      <w:r w:rsidRPr="003A41B3">
        <w:rPr>
          <w:rFonts w:ascii="Times New Roman" w:hAnsi="Times New Roman" w:cs="Times New Roman"/>
          <w:i/>
        </w:rPr>
        <w:t>EE (EU)</w:t>
      </w:r>
      <w:r w:rsidRPr="003A41B3">
        <w:rPr>
          <w:rFonts w:ascii="Times New Roman" w:hAnsi="Times New Roman" w:cs="Times New Roman"/>
        </w:rPr>
        <w:t xml:space="preserve"> </w:t>
      </w:r>
      <w:r w:rsidR="00336E0C" w:rsidRPr="003A41B3">
        <w:rPr>
          <w:rFonts w:ascii="Times New Roman" w:hAnsi="Times New Roman" w:cs="Times New Roman"/>
        </w:rPr>
        <w:t>takes the value of 1 if the</w:t>
      </w:r>
      <w:r w:rsidRPr="003A41B3">
        <w:rPr>
          <w:rFonts w:ascii="Times New Roman" w:hAnsi="Times New Roman" w:cs="Times New Roman"/>
        </w:rPr>
        <w:t xml:space="preserve"> rating </w:t>
      </w:r>
      <w:r w:rsidR="00336E0C" w:rsidRPr="003A41B3">
        <w:rPr>
          <w:rFonts w:ascii="Times New Roman" w:hAnsi="Times New Roman" w:cs="Times New Roman"/>
        </w:rPr>
        <w:t xml:space="preserve">of sovereign </w:t>
      </w:r>
      <w:proofErr w:type="spellStart"/>
      <w:r w:rsidR="00336E0C" w:rsidRPr="003A41B3">
        <w:rPr>
          <w:rFonts w:ascii="Times New Roman" w:hAnsi="Times New Roman" w:cs="Times New Roman"/>
          <w:i/>
        </w:rPr>
        <w:t>i</w:t>
      </w:r>
      <w:proofErr w:type="spellEnd"/>
      <w:r w:rsidR="00336E0C" w:rsidRPr="003A41B3">
        <w:rPr>
          <w:rFonts w:ascii="Times New Roman" w:hAnsi="Times New Roman" w:cs="Times New Roman"/>
        </w:rPr>
        <w:t xml:space="preserve"> </w:t>
      </w:r>
      <w:r w:rsidRPr="003A41B3">
        <w:rPr>
          <w:rFonts w:ascii="Times New Roman" w:hAnsi="Times New Roman" w:cs="Times New Roman"/>
        </w:rPr>
        <w:t>is EU endor</w:t>
      </w:r>
      <w:r w:rsidR="000505E2" w:rsidRPr="003A41B3">
        <w:rPr>
          <w:rFonts w:ascii="Times New Roman" w:hAnsi="Times New Roman" w:cs="Times New Roman"/>
        </w:rPr>
        <w:t>sed (EU originated) in the post-</w:t>
      </w:r>
      <w:r w:rsidR="00C52BC4" w:rsidRPr="003A41B3">
        <w:rPr>
          <w:rFonts w:ascii="Times New Roman" w:hAnsi="Times New Roman" w:cs="Times New Roman"/>
        </w:rPr>
        <w:t>identifier</w:t>
      </w:r>
      <w:r w:rsidRPr="003A41B3">
        <w:rPr>
          <w:rFonts w:ascii="Times New Roman" w:hAnsi="Times New Roman" w:cs="Times New Roman"/>
        </w:rPr>
        <w:t xml:space="preserve"> period (</w:t>
      </w:r>
      <w:r w:rsidR="00E24B8F" w:rsidRPr="003A41B3">
        <w:rPr>
          <w:rFonts w:ascii="Times New Roman" w:hAnsi="Times New Roman" w:cs="Times New Roman"/>
        </w:rPr>
        <w:t xml:space="preserve">after </w:t>
      </w:r>
      <w:r w:rsidRPr="003A41B3">
        <w:rPr>
          <w:rFonts w:ascii="Times New Roman" w:hAnsi="Times New Roman" w:cs="Times New Roman"/>
        </w:rPr>
        <w:t>30 April 2012)</w:t>
      </w:r>
      <w:r w:rsidR="006A588E" w:rsidRPr="003A41B3">
        <w:rPr>
          <w:rFonts w:ascii="Times New Roman" w:hAnsi="Times New Roman" w:cs="Times New Roman"/>
        </w:rPr>
        <w:t xml:space="preserve">, </w:t>
      </w:r>
      <w:r w:rsidRPr="003A41B3">
        <w:rPr>
          <w:rFonts w:ascii="Times New Roman" w:hAnsi="Times New Roman" w:cs="Times New Roman"/>
        </w:rPr>
        <w:t>0 otherwise.</w:t>
      </w:r>
    </w:p>
    <w:p w14:paraId="5E762277" w14:textId="43C86A43" w:rsidR="00B85FF1" w:rsidRPr="003A41B3" w:rsidRDefault="006D330B" w:rsidP="00252A96">
      <w:pPr>
        <w:pStyle w:val="ListParagraph"/>
        <w:tabs>
          <w:tab w:val="left" w:pos="284"/>
        </w:tabs>
        <w:spacing w:after="0" w:line="480" w:lineRule="auto"/>
        <w:ind w:left="0"/>
        <w:rPr>
          <w:rFonts w:ascii="Times New Roman" w:hAnsi="Times New Roman" w:cs="Times New Roman"/>
        </w:rPr>
      </w:pPr>
      <w:proofErr w:type="spellStart"/>
      <w:r w:rsidRPr="003A41B3">
        <w:rPr>
          <w:rFonts w:ascii="Times New Roman" w:hAnsi="Times New Roman" w:cs="Times New Roman"/>
          <w:i/>
        </w:rPr>
        <w:t>ΔRating</w:t>
      </w:r>
      <w:proofErr w:type="spellEnd"/>
      <w:r w:rsidRPr="003A41B3">
        <w:rPr>
          <w:rFonts w:ascii="Times New Roman" w:hAnsi="Times New Roman" w:cs="Times New Roman"/>
          <w:i/>
        </w:rPr>
        <w:t>*EE/EU</w:t>
      </w:r>
      <w:r w:rsidRPr="003A41B3">
        <w:rPr>
          <w:rFonts w:ascii="Times New Roman" w:hAnsi="Times New Roman" w:cs="Times New Roman"/>
        </w:rPr>
        <w:t xml:space="preserve"> tests whether </w:t>
      </w:r>
      <w:r w:rsidR="000505E2" w:rsidRPr="003A41B3">
        <w:rPr>
          <w:rFonts w:ascii="Times New Roman" w:hAnsi="Times New Roman" w:cs="Times New Roman"/>
        </w:rPr>
        <w:t>any change in</w:t>
      </w:r>
      <w:r w:rsidRPr="003A41B3">
        <w:rPr>
          <w:rFonts w:ascii="Times New Roman" w:hAnsi="Times New Roman" w:cs="Times New Roman"/>
        </w:rPr>
        <w:t xml:space="preserve"> </w:t>
      </w:r>
      <w:r w:rsidR="006F1847" w:rsidRPr="003A41B3">
        <w:rPr>
          <w:rFonts w:ascii="Times New Roman" w:hAnsi="Times New Roman" w:cs="Times New Roman"/>
        </w:rPr>
        <w:t>rating quality</w:t>
      </w:r>
      <w:r w:rsidRPr="003A41B3">
        <w:rPr>
          <w:rFonts w:ascii="Times New Roman" w:hAnsi="Times New Roman" w:cs="Times New Roman"/>
        </w:rPr>
        <w:t xml:space="preserve"> depends on </w:t>
      </w:r>
      <w:r w:rsidR="000505E2" w:rsidRPr="003A41B3">
        <w:rPr>
          <w:rFonts w:ascii="Times New Roman" w:hAnsi="Times New Roman" w:cs="Times New Roman"/>
        </w:rPr>
        <w:t xml:space="preserve">the </w:t>
      </w:r>
      <w:r w:rsidRPr="003A41B3">
        <w:rPr>
          <w:rFonts w:ascii="Times New Roman" w:hAnsi="Times New Roman" w:cs="Times New Roman"/>
        </w:rPr>
        <w:t xml:space="preserve">location of the analyst. Here we are testing whether ratings originated outside </w:t>
      </w:r>
      <w:r w:rsidR="006F1847" w:rsidRPr="003A41B3">
        <w:rPr>
          <w:rFonts w:ascii="Times New Roman" w:hAnsi="Times New Roman" w:cs="Times New Roman"/>
        </w:rPr>
        <w:t xml:space="preserve">the </w:t>
      </w:r>
      <w:r w:rsidRPr="003A41B3">
        <w:rPr>
          <w:rFonts w:ascii="Times New Roman" w:hAnsi="Times New Roman" w:cs="Times New Roman"/>
        </w:rPr>
        <w:t xml:space="preserve">EU </w:t>
      </w:r>
      <w:r w:rsidR="006F1847" w:rsidRPr="003A41B3">
        <w:rPr>
          <w:rFonts w:ascii="Times New Roman" w:hAnsi="Times New Roman" w:cs="Times New Roman"/>
        </w:rPr>
        <w:t xml:space="preserve">induce </w:t>
      </w:r>
      <w:r w:rsidRPr="003A41B3">
        <w:rPr>
          <w:rFonts w:ascii="Times New Roman" w:hAnsi="Times New Roman" w:cs="Times New Roman"/>
        </w:rPr>
        <w:t xml:space="preserve">more (less) </w:t>
      </w:r>
      <w:r w:rsidR="006F1847" w:rsidRPr="003A41B3">
        <w:rPr>
          <w:rFonts w:ascii="Times New Roman" w:hAnsi="Times New Roman" w:cs="Times New Roman"/>
        </w:rPr>
        <w:t xml:space="preserve">reaction in yield spreads than the ratings issued in the EU. </w:t>
      </w:r>
      <w:r w:rsidRPr="003A41B3">
        <w:rPr>
          <w:rFonts w:ascii="Times New Roman" w:hAnsi="Times New Roman" w:cs="Times New Roman"/>
        </w:rPr>
        <w:t xml:space="preserve">For instance, if the interaction </w:t>
      </w:r>
      <w:proofErr w:type="spellStart"/>
      <w:r w:rsidRPr="003A41B3">
        <w:rPr>
          <w:rFonts w:ascii="Times New Roman" w:eastAsiaTheme="minorEastAsia" w:hAnsi="Times New Roman" w:cs="Times New Roman"/>
          <w:i/>
        </w:rPr>
        <w:t>Δ</w:t>
      </w:r>
      <w:r w:rsidRPr="003A41B3">
        <w:rPr>
          <w:rFonts w:ascii="Times New Roman" w:hAnsi="Times New Roman" w:cs="Times New Roman"/>
          <w:i/>
        </w:rPr>
        <w:t>Rating</w:t>
      </w:r>
      <w:proofErr w:type="spellEnd"/>
      <w:r w:rsidRPr="003A41B3">
        <w:rPr>
          <w:rFonts w:ascii="Times New Roman" w:hAnsi="Times New Roman" w:cs="Times New Roman"/>
          <w:i/>
        </w:rPr>
        <w:t>*EE,</w:t>
      </w:r>
      <w:r w:rsidRPr="003A41B3">
        <w:rPr>
          <w:rFonts w:ascii="Times New Roman" w:hAnsi="Times New Roman" w:cs="Times New Roman"/>
        </w:rPr>
        <w:t xml:space="preserve"> tested on the positive events sample, produces </w:t>
      </w:r>
      <w:r w:rsidR="000505E2" w:rsidRPr="003A41B3">
        <w:rPr>
          <w:rFonts w:ascii="Times New Roman" w:hAnsi="Times New Roman" w:cs="Times New Roman"/>
        </w:rPr>
        <w:t xml:space="preserve">a </w:t>
      </w:r>
      <w:r w:rsidR="008A6197" w:rsidRPr="003A41B3">
        <w:rPr>
          <w:rFonts w:ascii="Times New Roman" w:hAnsi="Times New Roman" w:cs="Times New Roman"/>
        </w:rPr>
        <w:t xml:space="preserve">negative significant </w:t>
      </w:r>
      <w:r w:rsidR="000505E2" w:rsidRPr="003A41B3">
        <w:rPr>
          <w:rFonts w:ascii="Times New Roman" w:hAnsi="Times New Roman" w:cs="Times New Roman"/>
        </w:rPr>
        <w:t xml:space="preserve">coefficient, </w:t>
      </w:r>
      <w:r w:rsidR="000505E2" w:rsidRPr="003A41B3">
        <w:rPr>
          <w:rFonts w:ascii="Times New Roman" w:hAnsi="Times New Roman" w:cs="Times New Roman"/>
        </w:rPr>
        <w:lastRenderedPageBreak/>
        <w:t xml:space="preserve">this implies a </w:t>
      </w:r>
      <w:r w:rsidR="008A6197" w:rsidRPr="003A41B3">
        <w:rPr>
          <w:rFonts w:ascii="Times New Roman" w:hAnsi="Times New Roman" w:cs="Times New Roman"/>
        </w:rPr>
        <w:t xml:space="preserve">stronger link </w:t>
      </w:r>
      <w:r w:rsidR="000505E2" w:rsidRPr="003A41B3">
        <w:rPr>
          <w:rFonts w:ascii="Times New Roman" w:hAnsi="Times New Roman" w:cs="Times New Roman"/>
        </w:rPr>
        <w:t>between</w:t>
      </w:r>
      <w:r w:rsidR="008A6197" w:rsidRPr="003A41B3">
        <w:rPr>
          <w:rFonts w:ascii="Times New Roman" w:hAnsi="Times New Roman" w:cs="Times New Roman"/>
        </w:rPr>
        <w:t xml:space="preserve"> bond</w:t>
      </w:r>
      <w:r w:rsidR="000505E2" w:rsidRPr="003A41B3">
        <w:rPr>
          <w:rFonts w:ascii="Times New Roman" w:hAnsi="Times New Roman" w:cs="Times New Roman"/>
        </w:rPr>
        <w:t xml:space="preserve"> yields and ratings in the post-</w:t>
      </w:r>
      <w:r w:rsidR="00C52BC4" w:rsidRPr="003A41B3">
        <w:rPr>
          <w:rFonts w:ascii="Times New Roman" w:hAnsi="Times New Roman" w:cs="Times New Roman"/>
        </w:rPr>
        <w:t>identifier</w:t>
      </w:r>
      <w:r w:rsidR="008A6197" w:rsidRPr="003A41B3">
        <w:rPr>
          <w:rFonts w:ascii="Times New Roman" w:hAnsi="Times New Roman" w:cs="Times New Roman"/>
        </w:rPr>
        <w:t xml:space="preserve"> period when</w:t>
      </w:r>
      <w:r w:rsidR="000505E2" w:rsidRPr="003A41B3">
        <w:rPr>
          <w:rFonts w:ascii="Times New Roman" w:hAnsi="Times New Roman" w:cs="Times New Roman"/>
        </w:rPr>
        <w:t xml:space="preserve"> the rating is endorsed (rather than originated in the EU)</w:t>
      </w:r>
      <w:r w:rsidR="008A6197" w:rsidRPr="003A41B3">
        <w:rPr>
          <w:rFonts w:ascii="Times New Roman" w:hAnsi="Times New Roman" w:cs="Times New Roman"/>
        </w:rPr>
        <w:t>.</w:t>
      </w:r>
      <w:r w:rsidR="00326F0C" w:rsidRPr="003A41B3">
        <w:rPr>
          <w:rFonts w:ascii="Times New Roman" w:hAnsi="Times New Roman" w:cs="Times New Roman"/>
        </w:rPr>
        <w:t xml:space="preserve"> </w:t>
      </w:r>
      <w:r w:rsidR="000C3BD3" w:rsidRPr="003A41B3">
        <w:rPr>
          <w:rFonts w:ascii="Times New Roman" w:hAnsi="Times New Roman" w:cs="Times New Roman"/>
        </w:rPr>
        <w:t>If the sign is positive and significant, the effec</w:t>
      </w:r>
      <w:r w:rsidR="005C08DC" w:rsidRPr="003A41B3">
        <w:rPr>
          <w:rFonts w:ascii="Times New Roman" w:hAnsi="Times New Roman" w:cs="Times New Roman"/>
        </w:rPr>
        <w:t xml:space="preserve">t between yields and ratings </w:t>
      </w:r>
      <w:r w:rsidR="000C3BD3" w:rsidRPr="003A41B3">
        <w:rPr>
          <w:rFonts w:ascii="Times New Roman" w:hAnsi="Times New Roman" w:cs="Times New Roman"/>
        </w:rPr>
        <w:t>decreased</w:t>
      </w:r>
      <w:r w:rsidR="000505E2" w:rsidRPr="003A41B3">
        <w:rPr>
          <w:rFonts w:ascii="Times New Roman" w:hAnsi="Times New Roman" w:cs="Times New Roman"/>
        </w:rPr>
        <w:t>,</w:t>
      </w:r>
      <w:r w:rsidR="000C3BD3" w:rsidRPr="003A41B3">
        <w:rPr>
          <w:rFonts w:ascii="Times New Roman" w:hAnsi="Times New Roman" w:cs="Times New Roman"/>
        </w:rPr>
        <w:t xml:space="preserve"> implying </w:t>
      </w:r>
      <w:r w:rsidR="00F65A85" w:rsidRPr="003A41B3">
        <w:rPr>
          <w:rFonts w:ascii="Times New Roman" w:hAnsi="Times New Roman" w:cs="Times New Roman"/>
        </w:rPr>
        <w:t xml:space="preserve">a </w:t>
      </w:r>
      <w:r w:rsidR="000C3BD3" w:rsidRPr="003A41B3">
        <w:rPr>
          <w:rFonts w:ascii="Times New Roman" w:hAnsi="Times New Roman" w:cs="Times New Roman"/>
        </w:rPr>
        <w:t xml:space="preserve">lower quality of ratings in the </w:t>
      </w:r>
      <w:r w:rsidR="00C52BC4" w:rsidRPr="003A41B3">
        <w:rPr>
          <w:rFonts w:ascii="Times New Roman" w:hAnsi="Times New Roman" w:cs="Times New Roman"/>
        </w:rPr>
        <w:t>post-identifier</w:t>
      </w:r>
      <w:r w:rsidR="000C3BD3" w:rsidRPr="003A41B3">
        <w:rPr>
          <w:rFonts w:ascii="Times New Roman" w:hAnsi="Times New Roman" w:cs="Times New Roman"/>
        </w:rPr>
        <w:t xml:space="preserve"> period when the ratings are assigned </w:t>
      </w:r>
      <w:r w:rsidR="00F65A85" w:rsidRPr="003A41B3">
        <w:rPr>
          <w:rFonts w:ascii="Times New Roman" w:hAnsi="Times New Roman" w:cs="Times New Roman"/>
        </w:rPr>
        <w:t xml:space="preserve">the </w:t>
      </w:r>
      <w:r w:rsidR="000C3BD3" w:rsidRPr="003A41B3">
        <w:rPr>
          <w:rFonts w:ascii="Times New Roman" w:hAnsi="Times New Roman" w:cs="Times New Roman"/>
        </w:rPr>
        <w:t xml:space="preserve">EE identifier. The same logic applies to negative events, </w:t>
      </w:r>
      <w:r w:rsidR="00F65A85" w:rsidRPr="003A41B3">
        <w:rPr>
          <w:rFonts w:ascii="Times New Roman" w:hAnsi="Times New Roman" w:cs="Times New Roman"/>
        </w:rPr>
        <w:t xml:space="preserve">i.e. </w:t>
      </w:r>
      <w:r w:rsidR="00273116" w:rsidRPr="003A41B3">
        <w:rPr>
          <w:rFonts w:ascii="Times New Roman" w:hAnsi="Times New Roman" w:cs="Times New Roman"/>
        </w:rPr>
        <w:t>a positive and significant</w:t>
      </w:r>
      <w:r w:rsidR="000C3BD3" w:rsidRPr="003A41B3">
        <w:rPr>
          <w:rFonts w:ascii="Times New Roman" w:hAnsi="Times New Roman" w:cs="Times New Roman"/>
        </w:rPr>
        <w:t xml:space="preserve"> coefficient on the interaction</w:t>
      </w:r>
      <w:r w:rsidR="00273116" w:rsidRPr="003A41B3">
        <w:rPr>
          <w:rFonts w:ascii="Times New Roman" w:hAnsi="Times New Roman" w:cs="Times New Roman"/>
        </w:rPr>
        <w:t xml:space="preserve"> term implies </w:t>
      </w:r>
      <w:r w:rsidR="00F65A85" w:rsidRPr="003A41B3">
        <w:rPr>
          <w:rFonts w:ascii="Times New Roman" w:hAnsi="Times New Roman" w:cs="Times New Roman"/>
        </w:rPr>
        <w:t xml:space="preserve">that </w:t>
      </w:r>
      <w:r w:rsidR="000C3BD3" w:rsidRPr="003A41B3">
        <w:rPr>
          <w:rFonts w:ascii="Times New Roman" w:hAnsi="Times New Roman" w:cs="Times New Roman"/>
        </w:rPr>
        <w:t>sovereign rating</w:t>
      </w:r>
      <w:r w:rsidR="00273116" w:rsidRPr="003A41B3">
        <w:rPr>
          <w:rFonts w:ascii="Times New Roman" w:hAnsi="Times New Roman" w:cs="Times New Roman"/>
        </w:rPr>
        <w:t xml:space="preserve"> actions</w:t>
      </w:r>
      <w:r w:rsidR="000C3BD3" w:rsidRPr="003A41B3">
        <w:rPr>
          <w:rFonts w:ascii="Times New Roman" w:hAnsi="Times New Roman" w:cs="Times New Roman"/>
        </w:rPr>
        <w:t xml:space="preserve"> assigned by analyst</w:t>
      </w:r>
      <w:r w:rsidR="00273116" w:rsidRPr="003A41B3">
        <w:rPr>
          <w:rFonts w:ascii="Times New Roman" w:hAnsi="Times New Roman" w:cs="Times New Roman"/>
        </w:rPr>
        <w:t>s located</w:t>
      </w:r>
      <w:r w:rsidR="000C3BD3" w:rsidRPr="003A41B3">
        <w:rPr>
          <w:rFonts w:ascii="Times New Roman" w:hAnsi="Times New Roman" w:cs="Times New Roman"/>
        </w:rPr>
        <w:t xml:space="preserve"> outside the EU in the post-</w:t>
      </w:r>
      <w:r w:rsidR="00C52BC4" w:rsidRPr="003A41B3">
        <w:rPr>
          <w:rFonts w:ascii="Times New Roman" w:hAnsi="Times New Roman" w:cs="Times New Roman"/>
        </w:rPr>
        <w:t>identifier</w:t>
      </w:r>
      <w:r w:rsidR="000C3BD3" w:rsidRPr="003A41B3">
        <w:rPr>
          <w:rFonts w:ascii="Times New Roman" w:hAnsi="Times New Roman" w:cs="Times New Roman"/>
        </w:rPr>
        <w:t xml:space="preserve"> period </w:t>
      </w:r>
      <w:r w:rsidR="00273116" w:rsidRPr="003A41B3">
        <w:rPr>
          <w:rFonts w:ascii="Times New Roman" w:hAnsi="Times New Roman" w:cs="Times New Roman"/>
        </w:rPr>
        <w:t>are</w:t>
      </w:r>
      <w:r w:rsidR="000C3BD3" w:rsidRPr="003A41B3">
        <w:rPr>
          <w:rFonts w:ascii="Times New Roman" w:hAnsi="Times New Roman" w:cs="Times New Roman"/>
        </w:rPr>
        <w:t xml:space="preserve"> of better quality. </w:t>
      </w:r>
      <w:r w:rsidR="00336E0C" w:rsidRPr="003A41B3">
        <w:rPr>
          <w:rFonts w:ascii="Times New Roman" w:hAnsi="Times New Roman" w:cs="Times New Roman"/>
        </w:rPr>
        <w:t>A</w:t>
      </w:r>
      <w:r w:rsidR="000C3BD3" w:rsidRPr="003A41B3">
        <w:rPr>
          <w:rFonts w:ascii="Times New Roman" w:hAnsi="Times New Roman" w:cs="Times New Roman"/>
        </w:rPr>
        <w:t xml:space="preserve"> negative </w:t>
      </w:r>
      <w:r w:rsidR="00336E0C" w:rsidRPr="003A41B3">
        <w:rPr>
          <w:rFonts w:ascii="Times New Roman" w:hAnsi="Times New Roman" w:cs="Times New Roman"/>
        </w:rPr>
        <w:t xml:space="preserve">sign </w:t>
      </w:r>
      <w:r w:rsidR="00B52119" w:rsidRPr="003A41B3">
        <w:rPr>
          <w:rFonts w:ascii="Times New Roman" w:hAnsi="Times New Roman" w:cs="Times New Roman"/>
        </w:rPr>
        <w:t xml:space="preserve">would </w:t>
      </w:r>
      <w:r w:rsidR="00336E0C" w:rsidRPr="003A41B3">
        <w:rPr>
          <w:rFonts w:ascii="Times New Roman" w:hAnsi="Times New Roman" w:cs="Times New Roman"/>
        </w:rPr>
        <w:t>indicate</w:t>
      </w:r>
      <w:r w:rsidR="00F65A85" w:rsidRPr="003A41B3">
        <w:rPr>
          <w:rFonts w:ascii="Times New Roman" w:hAnsi="Times New Roman" w:cs="Times New Roman"/>
        </w:rPr>
        <w:t xml:space="preserve"> a </w:t>
      </w:r>
      <w:r w:rsidR="000C3BD3" w:rsidRPr="003A41B3">
        <w:rPr>
          <w:rFonts w:ascii="Times New Roman" w:hAnsi="Times New Roman" w:cs="Times New Roman"/>
        </w:rPr>
        <w:t>weaker link between the spreads and ratings in the post-</w:t>
      </w:r>
      <w:r w:rsidR="00C52BC4" w:rsidRPr="003A41B3">
        <w:rPr>
          <w:rFonts w:ascii="Times New Roman" w:hAnsi="Times New Roman" w:cs="Times New Roman"/>
        </w:rPr>
        <w:t>identifier</w:t>
      </w:r>
      <w:r w:rsidR="00F65A85" w:rsidRPr="003A41B3">
        <w:rPr>
          <w:rFonts w:ascii="Times New Roman" w:hAnsi="Times New Roman" w:cs="Times New Roman"/>
        </w:rPr>
        <w:t xml:space="preserve"> period for ratings issued in </w:t>
      </w:r>
      <w:r w:rsidR="000C3BD3" w:rsidRPr="003A41B3">
        <w:rPr>
          <w:rFonts w:ascii="Times New Roman" w:hAnsi="Times New Roman" w:cs="Times New Roman"/>
        </w:rPr>
        <w:t>a jurisdiction outside the EU.</w:t>
      </w:r>
      <w:r w:rsidR="006A588E" w:rsidRPr="003A41B3">
        <w:rPr>
          <w:rFonts w:ascii="Times New Roman" w:hAnsi="Times New Roman" w:cs="Times New Roman"/>
        </w:rPr>
        <w:t xml:space="preserve"> </w:t>
      </w:r>
    </w:p>
    <w:p w14:paraId="77FFAD2A" w14:textId="77777777" w:rsidR="0038668D" w:rsidRPr="003A41B3" w:rsidRDefault="0038668D" w:rsidP="00252A96">
      <w:pPr>
        <w:pStyle w:val="ListParagraph"/>
        <w:tabs>
          <w:tab w:val="left" w:pos="284"/>
        </w:tabs>
        <w:spacing w:after="0" w:line="480" w:lineRule="auto"/>
        <w:ind w:left="0"/>
        <w:rPr>
          <w:rFonts w:ascii="Times New Roman" w:hAnsi="Times New Roman" w:cs="Times New Roman"/>
        </w:rPr>
      </w:pPr>
    </w:p>
    <w:p w14:paraId="686502C1" w14:textId="69D423F4" w:rsidR="00084FAF" w:rsidRPr="003A41B3" w:rsidRDefault="00084FAF" w:rsidP="00252A96">
      <w:pPr>
        <w:pStyle w:val="Heading2"/>
        <w:spacing w:before="0" w:line="480" w:lineRule="auto"/>
        <w:rPr>
          <w:rFonts w:cs="Times New Roman"/>
        </w:rPr>
      </w:pPr>
      <w:r w:rsidRPr="003A41B3">
        <w:rPr>
          <w:rFonts w:cs="Times New Roman"/>
        </w:rPr>
        <w:t>5</w:t>
      </w:r>
      <w:r w:rsidR="00693E35" w:rsidRPr="003A41B3">
        <w:rPr>
          <w:rFonts w:cs="Times New Roman"/>
        </w:rPr>
        <w:t xml:space="preserve">.2. </w:t>
      </w:r>
      <w:r w:rsidR="00EB3732" w:rsidRPr="003A41B3">
        <w:rPr>
          <w:rFonts w:cs="Times New Roman"/>
        </w:rPr>
        <w:t xml:space="preserve">Time versus </w:t>
      </w:r>
      <w:r w:rsidR="0038668D" w:rsidRPr="003A41B3">
        <w:rPr>
          <w:rFonts w:cs="Times New Roman"/>
        </w:rPr>
        <w:t>c</w:t>
      </w:r>
      <w:r w:rsidR="0080071A" w:rsidRPr="003A41B3">
        <w:rPr>
          <w:rFonts w:cs="Times New Roman"/>
        </w:rPr>
        <w:t xml:space="preserve">ross-sectional </w:t>
      </w:r>
      <w:r w:rsidR="0038668D" w:rsidRPr="003A41B3">
        <w:rPr>
          <w:rFonts w:cs="Times New Roman"/>
        </w:rPr>
        <w:t>v</w:t>
      </w:r>
      <w:r w:rsidR="0080071A" w:rsidRPr="003A41B3">
        <w:rPr>
          <w:rFonts w:cs="Times New Roman"/>
        </w:rPr>
        <w:t>ariations</w:t>
      </w:r>
    </w:p>
    <w:p w14:paraId="765719C9" w14:textId="335F0A13" w:rsidR="00E05AA8" w:rsidRPr="003A41B3" w:rsidRDefault="00585317" w:rsidP="000D1278">
      <w:pPr>
        <w:pStyle w:val="ListParagraph"/>
        <w:tabs>
          <w:tab w:val="left" w:pos="284"/>
        </w:tabs>
        <w:spacing w:after="0" w:line="480" w:lineRule="auto"/>
        <w:ind w:left="0"/>
        <w:contextualSpacing w:val="0"/>
        <w:rPr>
          <w:rFonts w:ascii="Times New Roman" w:hAnsi="Times New Roman" w:cs="Times New Roman"/>
        </w:rPr>
      </w:pPr>
      <w:r w:rsidRPr="003A41B3">
        <w:rPr>
          <w:rFonts w:ascii="Times New Roman" w:hAnsi="Times New Roman" w:cs="Times New Roman"/>
        </w:rPr>
        <w:tab/>
      </w:r>
      <w:bookmarkStart w:id="26" w:name="_Hlk5475928"/>
      <w:bookmarkStart w:id="27" w:name="_Hlk4675885"/>
      <w:bookmarkStart w:id="28" w:name="_Hlk4699852"/>
      <w:r w:rsidR="00B52119" w:rsidRPr="003A41B3">
        <w:rPr>
          <w:rFonts w:ascii="Times New Roman" w:hAnsi="Times New Roman" w:cs="Times New Roman"/>
        </w:rPr>
        <w:t>In addressing</w:t>
      </w:r>
      <w:r w:rsidR="00157AE9" w:rsidRPr="003A41B3">
        <w:rPr>
          <w:rFonts w:ascii="Times New Roman" w:hAnsi="Times New Roman" w:cs="Times New Roman"/>
        </w:rPr>
        <w:t xml:space="preserve"> our first research question regarding the impact of the identifier</w:t>
      </w:r>
      <w:r w:rsidR="00C06594" w:rsidRPr="003A41B3">
        <w:rPr>
          <w:rFonts w:ascii="Times New Roman" w:hAnsi="Times New Roman" w:cs="Times New Roman"/>
        </w:rPr>
        <w:t>s</w:t>
      </w:r>
      <w:r w:rsidR="00157AE9" w:rsidRPr="003A41B3">
        <w:rPr>
          <w:rFonts w:ascii="Times New Roman" w:hAnsi="Times New Roman" w:cs="Times New Roman"/>
        </w:rPr>
        <w:t xml:space="preserve"> disclosure rule, we conduct further investigation</w:t>
      </w:r>
      <w:r w:rsidR="00B52119" w:rsidRPr="003A41B3">
        <w:rPr>
          <w:rFonts w:ascii="Times New Roman" w:hAnsi="Times New Roman" w:cs="Times New Roman"/>
        </w:rPr>
        <w:t>s</w:t>
      </w:r>
      <w:r w:rsidR="00157AE9" w:rsidRPr="003A41B3">
        <w:rPr>
          <w:rFonts w:ascii="Times New Roman" w:hAnsi="Times New Roman" w:cs="Times New Roman"/>
        </w:rPr>
        <w:t xml:space="preserve"> to ensure that some unobserved effects, which could be captured by the dummy variable </w:t>
      </w:r>
      <w:r w:rsidR="00157AE9" w:rsidRPr="003A41B3">
        <w:rPr>
          <w:rFonts w:ascii="Times New Roman" w:eastAsiaTheme="minorEastAsia" w:hAnsi="Times New Roman" w:cs="Times New Roman"/>
          <w:i/>
        </w:rPr>
        <w:t>Identifier</w:t>
      </w:r>
      <w:r w:rsidR="00157AE9" w:rsidRPr="003A41B3">
        <w:rPr>
          <w:rFonts w:ascii="Times New Roman" w:eastAsiaTheme="minorEastAsia" w:hAnsi="Times New Roman" w:cs="Times New Roman"/>
        </w:rPr>
        <w:t>,</w:t>
      </w:r>
      <w:r w:rsidR="00157AE9" w:rsidRPr="003A41B3">
        <w:rPr>
          <w:rFonts w:ascii="Times New Roman" w:hAnsi="Times New Roman" w:cs="Times New Roman"/>
        </w:rPr>
        <w:t xml:space="preserve"> do not drive the results. We use two sub-samples (</w:t>
      </w:r>
      <w:proofErr w:type="spellStart"/>
      <w:r w:rsidR="00157AE9" w:rsidRPr="003A41B3">
        <w:rPr>
          <w:rFonts w:ascii="Times New Roman" w:hAnsi="Times New Roman" w:cs="Times New Roman"/>
        </w:rPr>
        <w:t>i</w:t>
      </w:r>
      <w:proofErr w:type="spellEnd"/>
      <w:r w:rsidR="00157AE9" w:rsidRPr="003A41B3">
        <w:rPr>
          <w:rFonts w:ascii="Times New Roman" w:hAnsi="Times New Roman" w:cs="Times New Roman"/>
        </w:rPr>
        <w:t xml:space="preserve">) pre-identifier period and (ii) post-identifier period, and compare the statistical significance of the variable </w:t>
      </w:r>
      <w:proofErr w:type="spellStart"/>
      <w:r w:rsidR="00157AE9" w:rsidRPr="003A41B3">
        <w:rPr>
          <w:rFonts w:ascii="Times New Roman" w:eastAsiaTheme="minorEastAsia" w:hAnsi="Times New Roman" w:cs="Times New Roman"/>
          <w:i/>
        </w:rPr>
        <w:t>Δ</w:t>
      </w:r>
      <w:r w:rsidR="00157AE9" w:rsidRPr="003A41B3">
        <w:rPr>
          <w:rFonts w:ascii="Times New Roman" w:hAnsi="Times New Roman" w:cs="Times New Roman"/>
          <w:i/>
        </w:rPr>
        <w:t>Rating</w:t>
      </w:r>
      <w:proofErr w:type="spellEnd"/>
      <w:r w:rsidR="00157AE9" w:rsidRPr="003A41B3">
        <w:rPr>
          <w:rFonts w:ascii="Times New Roman" w:hAnsi="Times New Roman" w:cs="Times New Roman"/>
        </w:rPr>
        <w:t xml:space="preserve"> in both periods. The following model is estimated</w:t>
      </w:r>
      <w:bookmarkEnd w:id="26"/>
      <w:r w:rsidR="00157AE9" w:rsidRPr="003A41B3">
        <w:rPr>
          <w:rFonts w:ascii="Times New Roman" w:hAnsi="Times New Roman" w:cs="Times New Roman"/>
        </w:rPr>
        <w:t xml:space="preserve">: </w:t>
      </w:r>
      <w:bookmarkEnd w:id="27"/>
      <w:bookmarkEnd w:id="28"/>
    </w:p>
    <w:p w14:paraId="6E374587" w14:textId="21A55B4E" w:rsidR="000D1278" w:rsidRPr="003A41B3" w:rsidRDefault="0038668D" w:rsidP="001B7FAB">
      <w:pPr>
        <w:pStyle w:val="ListParagraph"/>
        <w:tabs>
          <w:tab w:val="left" w:pos="284"/>
        </w:tabs>
        <w:spacing w:before="160" w:after="160" w:line="360" w:lineRule="auto"/>
        <w:ind w:left="0"/>
        <w:contextualSpacing w:val="0"/>
        <w:jc w:val="center"/>
        <w:rPr>
          <w:rFonts w:ascii="Times New Roman" w:hAnsi="Times New Roman" w:cs="Times New Roman"/>
          <w:szCs w:val="24"/>
        </w:rPr>
      </w:pPr>
      <w:r w:rsidRPr="003A41B3">
        <w:rPr>
          <w:rFonts w:ascii="Times New Roman" w:eastAsia="Calibri" w:hAnsi="Times New Roman" w:cs="Times New Roman"/>
        </w:rPr>
        <w:t xml:space="preserve">             </w:t>
      </w:r>
      <m:oMath>
        <m:r>
          <w:rPr>
            <w:rFonts w:ascii="Cambria Math" w:eastAsia="Calibri" w:hAnsi="Times New Roman" w:cs="Times New Roman"/>
          </w:rPr>
          <m:t>Δ</m:t>
        </m:r>
        <m:r>
          <m:rPr>
            <m:nor/>
          </m:rPr>
          <w:rPr>
            <w:rFonts w:ascii="Cambria Math" w:eastAsia="Calibri" w:hAnsi="Times New Roman" w:cs="Times New Roman"/>
          </w:rPr>
          <m:t>Yiel</m:t>
        </m:r>
        <m:sSub>
          <m:sSubPr>
            <m:ctrlPr>
              <w:rPr>
                <w:rFonts w:ascii="Cambria Math" w:eastAsia="Calibri" w:hAnsi="Times New Roman" w:cs="Times New Roman"/>
              </w:rPr>
            </m:ctrlPr>
          </m:sSubPr>
          <m:e>
            <m:r>
              <m:rPr>
                <m:nor/>
              </m:rPr>
              <w:rPr>
                <w:rFonts w:ascii="Cambria Math" w:eastAsia="Calibri" w:hAnsi="Times New Roman" w:cs="Times New Roman"/>
              </w:rPr>
              <m:t>d</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1</m:t>
            </m:r>
          </m:sub>
        </m:sSub>
        <m:r>
          <w:rPr>
            <w:rFonts w:ascii="Cambria Math" w:eastAsia="Calibri" w:hAnsi="Times New Roman" w:cs="Times New Roman"/>
          </w:rPr>
          <m:t>Δ</m:t>
        </m:r>
        <m:r>
          <m:rPr>
            <m:nor/>
          </m:rPr>
          <w:rPr>
            <w:rFonts w:ascii="Cambria Math" w:eastAsia="Calibri" w:hAnsi="Times New Roman" w:cs="Times New Roman"/>
          </w:rPr>
          <m:t>Ratin</m:t>
        </m:r>
        <m:sSub>
          <m:sSubPr>
            <m:ctrlPr>
              <w:rPr>
                <w:rFonts w:ascii="Cambria Math" w:eastAsia="Calibri" w:hAnsi="Times New Roman" w:cs="Times New Roman"/>
              </w:rPr>
            </m:ctrlPr>
          </m:sSubPr>
          <m:e>
            <m:r>
              <m:rPr>
                <m:nor/>
              </m:rPr>
              <w:rPr>
                <w:rFonts w:ascii="Cambria Math" w:eastAsia="Calibri" w:hAnsi="Times New Roman" w:cs="Times New Roman"/>
              </w:rPr>
              <m:t>g</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2</m:t>
            </m:r>
          </m:sub>
        </m:sSub>
        <m:r>
          <m:rPr>
            <m:nor/>
          </m:rPr>
          <w:rPr>
            <w:rFonts w:ascii="Cambria Math" w:eastAsia="Calibri" w:hAnsi="Times New Roman" w:cs="Times New Roman"/>
          </w:rPr>
          <m:t>Rating5</m:t>
        </m:r>
        <m:sSub>
          <m:sSubPr>
            <m:ctrlPr>
              <w:rPr>
                <w:rFonts w:ascii="Cambria Math" w:eastAsia="Calibri" w:hAnsi="Times New Roman" w:cs="Times New Roman"/>
              </w:rPr>
            </m:ctrlPr>
          </m:sSubPr>
          <m:e>
            <m:r>
              <m:rPr>
                <m:nor/>
              </m:rPr>
              <w:rPr>
                <w:rFonts w:ascii="Cambria Math" w:eastAsia="Calibri" w:hAnsi="Times New Roman" w:cs="Times New Roman"/>
              </w:rPr>
              <m:t>8</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β</m:t>
            </m:r>
          </m:e>
          <m:sub>
            <m:r>
              <w:rPr>
                <w:rFonts w:ascii="Cambria Math" w:eastAsia="Calibri" w:hAnsi="Times New Roman" w:cs="Times New Roman"/>
              </w:rPr>
              <m:t>3</m:t>
            </m:r>
          </m:sub>
        </m:sSub>
        <m:r>
          <m:rPr>
            <m:nor/>
          </m:rPr>
          <w:rPr>
            <w:rFonts w:ascii="Cambria Math" w:eastAsia="Calibri" w:hAnsi="Times New Roman" w:cs="Times New Roman"/>
          </w:rPr>
          <m:t>Maturit</m:t>
        </m:r>
        <m:sSub>
          <m:sSubPr>
            <m:ctrlPr>
              <w:rPr>
                <w:rFonts w:ascii="Cambria Math" w:eastAsia="Calibri" w:hAnsi="Times New Roman" w:cs="Times New Roman"/>
              </w:rPr>
            </m:ctrlPr>
          </m:sSubPr>
          <m:e>
            <m:r>
              <m:rPr>
                <m:nor/>
              </m:rPr>
              <w:rPr>
                <w:rFonts w:ascii="Cambria Math" w:eastAsia="Calibri" w:hAnsi="Times New Roman" w:cs="Times New Roman"/>
              </w:rPr>
              <m:t>y</m:t>
            </m:r>
          </m:e>
          <m:sub>
            <m:r>
              <w:rPr>
                <w:rFonts w:ascii="Cambria Math" w:eastAsia="Calibri" w:hAnsi="Times New Roman" w:cs="Times New Roman"/>
              </w:rPr>
              <m:t>i,t</m:t>
            </m:r>
            <m:ctrlPr>
              <w:rPr>
                <w:rFonts w:ascii="Cambria Math" w:eastAsia="Calibri" w:hAnsi="Times New Roman" w:cs="Times New Roman"/>
                <w:i/>
              </w:rPr>
            </m:ctrlPr>
          </m:sub>
        </m:sSub>
        <m:r>
          <w:rPr>
            <w:rFonts w:ascii="Cambria Math" w:eastAsia="Calibri" w:hAnsi="Times New Roman" w:cs="Times New Roman"/>
          </w:rPr>
          <m:t>+</m:t>
        </m:r>
        <m:sSub>
          <m:sSubPr>
            <m:ctrlPr>
              <w:rPr>
                <w:rFonts w:ascii="Cambria Math" w:eastAsia="Calibri" w:hAnsi="Times New Roman" w:cs="Times New Roman"/>
                <w:i/>
              </w:rPr>
            </m:ctrlPr>
          </m:sSubPr>
          <m:e>
            <m:r>
              <w:rPr>
                <w:rFonts w:ascii="Cambria Math" w:eastAsia="Calibri" w:hAnsi="Times New Roman" w:cs="Times New Roman"/>
              </w:rPr>
              <m:t>λ</m:t>
            </m:r>
          </m:e>
          <m:sub>
            <m:r>
              <w:rPr>
                <w:rFonts w:ascii="Cambria Math" w:eastAsia="Calibri" w:hAnsi="Times New Roman" w:cs="Times New Roman"/>
              </w:rPr>
              <m:t>1</m:t>
            </m:r>
          </m:sub>
        </m:sSub>
        <m:r>
          <m:rPr>
            <m:nor/>
          </m:rPr>
          <w:rPr>
            <w:rFonts w:ascii="Cambria Math" w:eastAsia="Calibri" w:hAnsi="Times New Roman" w:cs="Times New Roman"/>
          </w:rPr>
          <m:t>CF</m:t>
        </m:r>
        <m:r>
          <m:rPr>
            <m:sty m:val="p"/>
          </m:rPr>
          <w:rPr>
            <w:rFonts w:ascii="Cambria Math" w:eastAsia="Calibri" w:hAnsi="Times New Roman" w:cs="Times New Roman"/>
          </w:rPr>
          <m:t>+</m:t>
        </m:r>
        <m:sSub>
          <m:sSubPr>
            <m:ctrlPr>
              <w:rPr>
                <w:rFonts w:ascii="Cambria Math" w:eastAsia="Calibri" w:hAnsi="Times New Roman" w:cs="Times New Roman"/>
              </w:rPr>
            </m:ctrlPr>
          </m:sSubPr>
          <m:e>
            <m:r>
              <w:rPr>
                <w:rFonts w:ascii="Cambria Math" w:eastAsia="Calibri" w:hAnsi="Times New Roman" w:cs="Times New Roman"/>
              </w:rPr>
              <m:t>ε</m:t>
            </m:r>
          </m:e>
          <m:sub>
            <m:r>
              <w:rPr>
                <w:rFonts w:ascii="Cambria Math" w:eastAsia="Calibri" w:hAnsi="Times New Roman" w:cs="Times New Roman"/>
              </w:rPr>
              <m:t>i,t</m:t>
            </m:r>
            <m:ctrlPr>
              <w:rPr>
                <w:rFonts w:ascii="Cambria Math" w:eastAsia="Calibri" w:hAnsi="Times New Roman" w:cs="Times New Roman"/>
                <w:i/>
              </w:rPr>
            </m:ctrlPr>
          </m:sub>
        </m:sSub>
      </m:oMath>
      <w:r w:rsidR="007B7692" w:rsidRPr="003A41B3">
        <w:rPr>
          <w:rFonts w:ascii="Times New Roman" w:eastAsia="Calibri" w:hAnsi="Times New Roman" w:cs="Times New Roman"/>
        </w:rPr>
        <w:t xml:space="preserve">        </w:t>
      </w:r>
      <w:r w:rsidR="007B7692" w:rsidRPr="003A41B3">
        <w:rPr>
          <w:rFonts w:ascii="Times New Roman" w:hAnsi="Times New Roman" w:cs="Times New Roman"/>
          <w:szCs w:val="24"/>
        </w:rPr>
        <w:t>(2)</w:t>
      </w:r>
      <w:r w:rsidR="00E05AA8" w:rsidRPr="003A41B3">
        <w:rPr>
          <w:rFonts w:ascii="Times New Roman" w:hAnsi="Times New Roman" w:cs="Times New Roman"/>
          <w:szCs w:val="24"/>
        </w:rPr>
        <w:t xml:space="preserve">                  </w:t>
      </w:r>
      <w:r w:rsidR="000D1278" w:rsidRPr="003A41B3">
        <w:rPr>
          <w:rFonts w:ascii="Times New Roman" w:hAnsi="Times New Roman" w:cs="Times New Roman"/>
          <w:szCs w:val="24"/>
        </w:rPr>
        <w:t xml:space="preserve">                               </w:t>
      </w:r>
    </w:p>
    <w:p w14:paraId="1B64E73D" w14:textId="63A83C98" w:rsidR="00BA5097" w:rsidRPr="003A41B3" w:rsidRDefault="000D1278" w:rsidP="000D1278">
      <w:pPr>
        <w:pStyle w:val="ListParagraph"/>
        <w:tabs>
          <w:tab w:val="left" w:pos="284"/>
        </w:tabs>
        <w:spacing w:after="0" w:line="480" w:lineRule="auto"/>
        <w:ind w:left="0"/>
        <w:contextualSpacing w:val="0"/>
        <w:rPr>
          <w:rFonts w:ascii="Times New Roman" w:hAnsi="Times New Roman" w:cs="Times New Roman"/>
          <w:szCs w:val="24"/>
        </w:rPr>
      </w:pPr>
      <w:r w:rsidRPr="003A41B3">
        <w:rPr>
          <w:rFonts w:ascii="Times New Roman" w:hAnsi="Times New Roman" w:cs="Times New Roman"/>
        </w:rPr>
        <w:tab/>
      </w:r>
      <w:r w:rsidR="00BA5097" w:rsidRPr="003A41B3">
        <w:rPr>
          <w:rFonts w:ascii="Times New Roman" w:hAnsi="Times New Roman" w:cs="Times New Roman"/>
          <w:szCs w:val="24"/>
        </w:rPr>
        <w:t xml:space="preserve">In Eq. (2), following </w:t>
      </w:r>
      <w:bookmarkStart w:id="29" w:name="_Hlk4699196"/>
      <w:r w:rsidR="00BA5097" w:rsidRPr="003A41B3">
        <w:rPr>
          <w:rFonts w:ascii="Times New Roman" w:hAnsi="Times New Roman" w:cs="Times New Roman"/>
          <w:szCs w:val="24"/>
        </w:rPr>
        <w:t>Dimitrov et al. (201</w:t>
      </w:r>
      <w:r w:rsidR="00E02FFA" w:rsidRPr="003A41B3">
        <w:rPr>
          <w:rFonts w:ascii="Times New Roman" w:hAnsi="Times New Roman" w:cs="Times New Roman"/>
          <w:szCs w:val="24"/>
        </w:rPr>
        <w:t>5</w:t>
      </w:r>
      <w:r w:rsidR="00BA5097" w:rsidRPr="003A41B3">
        <w:rPr>
          <w:rFonts w:ascii="Times New Roman" w:hAnsi="Times New Roman" w:cs="Times New Roman"/>
          <w:szCs w:val="24"/>
        </w:rPr>
        <w:t>)</w:t>
      </w:r>
      <w:bookmarkEnd w:id="29"/>
      <w:r w:rsidR="00BA5097" w:rsidRPr="003A41B3">
        <w:rPr>
          <w:rFonts w:ascii="Times New Roman" w:hAnsi="Times New Roman" w:cs="Times New Roman"/>
          <w:szCs w:val="24"/>
        </w:rPr>
        <w:t>, we examine the informativeness of rating news in two periods, before and after the identifier</w:t>
      </w:r>
      <w:r w:rsidR="00C06594" w:rsidRPr="003A41B3">
        <w:rPr>
          <w:rFonts w:ascii="Times New Roman" w:hAnsi="Times New Roman" w:cs="Times New Roman"/>
          <w:szCs w:val="24"/>
        </w:rPr>
        <w:t>s</w:t>
      </w:r>
      <w:r w:rsidR="00BA5097" w:rsidRPr="003A41B3">
        <w:rPr>
          <w:rFonts w:ascii="Times New Roman" w:hAnsi="Times New Roman" w:cs="Times New Roman"/>
          <w:szCs w:val="24"/>
        </w:rPr>
        <w:t xml:space="preserve"> disclosure rule. </w:t>
      </w:r>
      <w:r w:rsidR="006105B7" w:rsidRPr="003A41B3">
        <w:rPr>
          <w:rFonts w:ascii="Times New Roman" w:hAnsi="Times New Roman" w:cs="Times New Roman"/>
        </w:rPr>
        <w:t>When interpreting t</w:t>
      </w:r>
      <w:r w:rsidR="00321FBD" w:rsidRPr="003A41B3">
        <w:rPr>
          <w:rFonts w:ascii="Times New Roman" w:hAnsi="Times New Roman" w:cs="Times New Roman"/>
        </w:rPr>
        <w:t>he rating quality, we focus</w:t>
      </w:r>
      <w:r w:rsidR="006105B7" w:rsidRPr="003A41B3">
        <w:rPr>
          <w:rFonts w:ascii="Times New Roman" w:hAnsi="Times New Roman" w:cs="Times New Roman"/>
        </w:rPr>
        <w:t xml:space="preserve"> on </w:t>
      </w:r>
      <w:r w:rsidR="00321FBD" w:rsidRPr="003A41B3">
        <w:rPr>
          <w:rFonts w:ascii="Times New Roman" w:hAnsi="Times New Roman" w:cs="Times New Roman"/>
        </w:rPr>
        <w:t xml:space="preserve">both the </w:t>
      </w:r>
      <w:r w:rsidR="006105B7" w:rsidRPr="003A41B3">
        <w:rPr>
          <w:rFonts w:ascii="Times New Roman" w:hAnsi="Times New Roman" w:cs="Times New Roman"/>
        </w:rPr>
        <w:t>size and significance of the coefficients</w:t>
      </w:r>
      <w:r w:rsidR="006105B7" w:rsidRPr="003A41B3">
        <w:rPr>
          <w:rFonts w:ascii="Times New Roman" w:hAnsi="Times New Roman" w:cs="Times New Roman"/>
          <w:szCs w:val="24"/>
        </w:rPr>
        <w:t>. If</w:t>
      </w:r>
      <w:r w:rsidR="00321FBD" w:rsidRPr="003A41B3">
        <w:rPr>
          <w:rFonts w:ascii="Times New Roman" w:hAnsi="Times New Roman" w:cs="Times New Roman"/>
          <w:szCs w:val="24"/>
        </w:rPr>
        <w:t xml:space="preserve"> the</w:t>
      </w:r>
      <w:r w:rsidR="00BA5097" w:rsidRPr="003A41B3">
        <w:rPr>
          <w:rFonts w:ascii="Times New Roman" w:hAnsi="Times New Roman" w:cs="Times New Roman"/>
          <w:szCs w:val="24"/>
        </w:rPr>
        <w:t xml:space="preserve"> </w:t>
      </w:r>
      <w:proofErr w:type="spellStart"/>
      <w:r w:rsidR="00BA5097" w:rsidRPr="003A41B3">
        <w:rPr>
          <w:rFonts w:ascii="Times New Roman" w:hAnsi="Times New Roman" w:cs="Times New Roman"/>
          <w:i/>
          <w:szCs w:val="24"/>
        </w:rPr>
        <w:t>ΔRating</w:t>
      </w:r>
      <w:proofErr w:type="spellEnd"/>
      <w:r w:rsidR="00BA5097" w:rsidRPr="003A41B3">
        <w:rPr>
          <w:rFonts w:ascii="Times New Roman" w:hAnsi="Times New Roman" w:cs="Times New Roman"/>
          <w:szCs w:val="24"/>
        </w:rPr>
        <w:t xml:space="preserve"> coefficient in the post-identifier period is </w:t>
      </w:r>
      <w:bookmarkStart w:id="30" w:name="_Hlk5653784"/>
      <w:r w:rsidR="00DE3961" w:rsidRPr="003A41B3">
        <w:rPr>
          <w:rFonts w:ascii="Times New Roman" w:hAnsi="Times New Roman" w:cs="Times New Roman"/>
          <w:szCs w:val="24"/>
        </w:rPr>
        <w:t>statistically</w:t>
      </w:r>
      <w:bookmarkEnd w:id="30"/>
      <w:r w:rsidR="00DE3961" w:rsidRPr="003A41B3">
        <w:rPr>
          <w:rFonts w:ascii="Times New Roman" w:hAnsi="Times New Roman" w:cs="Times New Roman"/>
          <w:szCs w:val="24"/>
        </w:rPr>
        <w:t xml:space="preserve"> </w:t>
      </w:r>
      <w:r w:rsidR="00BA5097" w:rsidRPr="003A41B3">
        <w:rPr>
          <w:rFonts w:ascii="Times New Roman" w:hAnsi="Times New Roman" w:cs="Times New Roman"/>
          <w:szCs w:val="24"/>
        </w:rPr>
        <w:t xml:space="preserve">significant </w:t>
      </w:r>
      <w:r w:rsidR="00321FBD" w:rsidRPr="003A41B3">
        <w:rPr>
          <w:rFonts w:ascii="Times New Roman" w:hAnsi="Times New Roman" w:cs="Times New Roman"/>
          <w:szCs w:val="24"/>
        </w:rPr>
        <w:t xml:space="preserve">and </w:t>
      </w:r>
      <w:r w:rsidR="00BA5097" w:rsidRPr="003A41B3">
        <w:rPr>
          <w:rFonts w:ascii="Times New Roman" w:hAnsi="Times New Roman" w:cs="Times New Roman"/>
          <w:szCs w:val="24"/>
        </w:rPr>
        <w:t>with the expected sign (negative for positive events and positive for negative events) and larger in magnitude than</w:t>
      </w:r>
      <w:r w:rsidR="00321FBD" w:rsidRPr="003A41B3">
        <w:rPr>
          <w:rFonts w:ascii="Times New Roman" w:hAnsi="Times New Roman" w:cs="Times New Roman"/>
          <w:szCs w:val="24"/>
        </w:rPr>
        <w:t xml:space="preserve"> the</w:t>
      </w:r>
      <w:r w:rsidR="00BA5097" w:rsidRPr="003A41B3">
        <w:rPr>
          <w:rFonts w:ascii="Times New Roman" w:hAnsi="Times New Roman" w:cs="Times New Roman"/>
          <w:szCs w:val="24"/>
        </w:rPr>
        <w:t xml:space="preserve"> </w:t>
      </w:r>
      <w:proofErr w:type="spellStart"/>
      <w:r w:rsidR="00BA5097" w:rsidRPr="003A41B3">
        <w:rPr>
          <w:rFonts w:ascii="Times New Roman" w:hAnsi="Times New Roman" w:cs="Times New Roman"/>
          <w:i/>
          <w:szCs w:val="24"/>
        </w:rPr>
        <w:t>ΔRating</w:t>
      </w:r>
      <w:proofErr w:type="spellEnd"/>
      <w:r w:rsidR="00BA5097" w:rsidRPr="003A41B3">
        <w:rPr>
          <w:rFonts w:ascii="Times New Roman" w:hAnsi="Times New Roman" w:cs="Times New Roman"/>
          <w:szCs w:val="24"/>
        </w:rPr>
        <w:t xml:space="preserve"> coefficient in the pre-identifier period, we conclude that the rating news is of better quality (i.e. more informative) in the post-identifier period. On the other hand, if the </w:t>
      </w:r>
      <w:proofErr w:type="spellStart"/>
      <w:r w:rsidR="00BA5097" w:rsidRPr="003A41B3">
        <w:rPr>
          <w:rFonts w:ascii="Times New Roman" w:hAnsi="Times New Roman" w:cs="Times New Roman"/>
          <w:i/>
          <w:szCs w:val="24"/>
        </w:rPr>
        <w:t>ΔRating</w:t>
      </w:r>
      <w:proofErr w:type="spellEnd"/>
      <w:r w:rsidR="00BA5097" w:rsidRPr="003A41B3">
        <w:rPr>
          <w:rFonts w:ascii="Times New Roman" w:hAnsi="Times New Roman" w:cs="Times New Roman"/>
          <w:szCs w:val="24"/>
        </w:rPr>
        <w:t xml:space="preserve"> coefficient in the post-identifier is insignificant or significant with either the opposite sign or with the </w:t>
      </w:r>
      <w:r w:rsidR="00BA5097" w:rsidRPr="003A41B3">
        <w:rPr>
          <w:rFonts w:ascii="Times New Roman" w:hAnsi="Times New Roman" w:cs="Times New Roman"/>
          <w:szCs w:val="24"/>
        </w:rPr>
        <w:lastRenderedPageBreak/>
        <w:t xml:space="preserve">expected sign but with smaller magnitude, then we conclude that ratings news in </w:t>
      </w:r>
      <w:r w:rsidR="00321FBD" w:rsidRPr="003A41B3">
        <w:rPr>
          <w:rFonts w:ascii="Times New Roman" w:hAnsi="Times New Roman" w:cs="Times New Roman"/>
          <w:szCs w:val="24"/>
        </w:rPr>
        <w:t>the post-</w:t>
      </w:r>
      <w:r w:rsidR="00BA5097" w:rsidRPr="003A41B3">
        <w:rPr>
          <w:rFonts w:ascii="Times New Roman" w:hAnsi="Times New Roman" w:cs="Times New Roman"/>
          <w:szCs w:val="24"/>
        </w:rPr>
        <w:t xml:space="preserve">identifier </w:t>
      </w:r>
      <w:r w:rsidR="00321FBD" w:rsidRPr="003A41B3">
        <w:rPr>
          <w:rFonts w:ascii="Times New Roman" w:hAnsi="Times New Roman" w:cs="Times New Roman"/>
          <w:szCs w:val="24"/>
        </w:rPr>
        <w:t xml:space="preserve">period </w:t>
      </w:r>
      <w:r w:rsidR="00BA5097" w:rsidRPr="003A41B3">
        <w:rPr>
          <w:rFonts w:ascii="Times New Roman" w:hAnsi="Times New Roman" w:cs="Times New Roman"/>
          <w:szCs w:val="24"/>
        </w:rPr>
        <w:t xml:space="preserve">is of lower quality (i.e. less informative). </w:t>
      </w:r>
    </w:p>
    <w:p w14:paraId="6BDB759E" w14:textId="68F6BF21" w:rsidR="007B307B" w:rsidRPr="003A41B3" w:rsidRDefault="00BA5097" w:rsidP="000D1278">
      <w:pPr>
        <w:pStyle w:val="ListParagraph"/>
        <w:tabs>
          <w:tab w:val="left" w:pos="284"/>
        </w:tabs>
        <w:spacing w:after="0" w:line="480" w:lineRule="auto"/>
        <w:ind w:left="0"/>
        <w:contextualSpacing w:val="0"/>
        <w:rPr>
          <w:rFonts w:ascii="Times New Roman" w:hAnsi="Times New Roman" w:cs="Times New Roman"/>
          <w:szCs w:val="24"/>
        </w:rPr>
      </w:pPr>
      <w:r w:rsidRPr="003A41B3">
        <w:rPr>
          <w:rFonts w:cs="Times New Roman"/>
          <w:szCs w:val="24"/>
        </w:rPr>
        <w:tab/>
      </w:r>
      <w:bookmarkStart w:id="31" w:name="_Hlk5476080"/>
      <w:r w:rsidR="006A562D" w:rsidRPr="003A41B3">
        <w:rPr>
          <w:rFonts w:ascii="Times New Roman" w:hAnsi="Times New Roman" w:cs="Times New Roman"/>
        </w:rPr>
        <w:t>W</w:t>
      </w:r>
      <w:r w:rsidR="003E23D2" w:rsidRPr="003A41B3">
        <w:rPr>
          <w:rFonts w:ascii="Times New Roman" w:hAnsi="Times New Roman" w:cs="Times New Roman"/>
        </w:rPr>
        <w:t xml:space="preserve">e </w:t>
      </w:r>
      <w:r w:rsidR="006A562D" w:rsidRPr="003A41B3">
        <w:rPr>
          <w:rFonts w:ascii="Times New Roman" w:hAnsi="Times New Roman" w:cs="Times New Roman"/>
        </w:rPr>
        <w:t xml:space="preserve">further </w:t>
      </w:r>
      <w:r w:rsidR="003E23D2" w:rsidRPr="003A41B3">
        <w:rPr>
          <w:rFonts w:ascii="Times New Roman" w:hAnsi="Times New Roman" w:cs="Times New Roman"/>
        </w:rPr>
        <w:t xml:space="preserve">conduct an F-test to compare the coefficients on the </w:t>
      </w:r>
      <w:proofErr w:type="spellStart"/>
      <w:r w:rsidR="003E23D2" w:rsidRPr="003A41B3">
        <w:rPr>
          <w:rFonts w:ascii="Times New Roman" w:eastAsiaTheme="minorEastAsia" w:hAnsi="Times New Roman" w:cs="Times New Roman"/>
          <w:i/>
        </w:rPr>
        <w:t>Δ</w:t>
      </w:r>
      <w:r w:rsidR="003E23D2" w:rsidRPr="003A41B3">
        <w:rPr>
          <w:rFonts w:ascii="Times New Roman" w:hAnsi="Times New Roman" w:cs="Times New Roman"/>
          <w:i/>
        </w:rPr>
        <w:t>Rating</w:t>
      </w:r>
      <w:proofErr w:type="spellEnd"/>
      <w:r w:rsidR="003E23D2" w:rsidRPr="003A41B3">
        <w:rPr>
          <w:rFonts w:ascii="Times New Roman" w:hAnsi="Times New Roman" w:cs="Times New Roman"/>
        </w:rPr>
        <w:t xml:space="preserve"> variable </w:t>
      </w:r>
      <w:r w:rsidR="006A562D" w:rsidRPr="003A41B3">
        <w:rPr>
          <w:rFonts w:ascii="Times New Roman" w:hAnsi="Times New Roman" w:cs="Times New Roman"/>
        </w:rPr>
        <w:t xml:space="preserve">in </w:t>
      </w:r>
      <w:r w:rsidR="00B52119" w:rsidRPr="003A41B3">
        <w:rPr>
          <w:rFonts w:ascii="Times New Roman" w:hAnsi="Times New Roman" w:cs="Times New Roman"/>
        </w:rPr>
        <w:t xml:space="preserve">the </w:t>
      </w:r>
      <w:r w:rsidR="006A562D" w:rsidRPr="003A41B3">
        <w:rPr>
          <w:rFonts w:ascii="Times New Roman" w:hAnsi="Times New Roman" w:cs="Times New Roman"/>
        </w:rPr>
        <w:t>pre- and post-</w:t>
      </w:r>
      <w:r w:rsidR="00C52BC4" w:rsidRPr="003A41B3">
        <w:rPr>
          <w:rFonts w:ascii="Times New Roman" w:hAnsi="Times New Roman" w:cs="Times New Roman"/>
        </w:rPr>
        <w:t>identifier</w:t>
      </w:r>
      <w:r w:rsidR="006A562D" w:rsidRPr="003A41B3">
        <w:rPr>
          <w:rFonts w:ascii="Times New Roman" w:hAnsi="Times New Roman" w:cs="Times New Roman"/>
        </w:rPr>
        <w:t xml:space="preserve"> periods</w:t>
      </w:r>
      <w:r w:rsidR="003E23D2" w:rsidRPr="003A41B3">
        <w:rPr>
          <w:rFonts w:ascii="Times New Roman" w:hAnsi="Times New Roman" w:cs="Times New Roman"/>
        </w:rPr>
        <w:t>.</w:t>
      </w:r>
      <w:r w:rsidR="00B6328F" w:rsidRPr="003A41B3">
        <w:rPr>
          <w:rStyle w:val="FootnoteReference"/>
          <w:rFonts w:ascii="Times New Roman" w:hAnsi="Times New Roman" w:cs="Times New Roman"/>
        </w:rPr>
        <w:footnoteReference w:id="15"/>
      </w:r>
      <w:r w:rsidR="003E23D2" w:rsidRPr="003A41B3">
        <w:rPr>
          <w:rFonts w:ascii="Times New Roman" w:hAnsi="Times New Roman" w:cs="Times New Roman"/>
        </w:rPr>
        <w:t xml:space="preserve"> </w:t>
      </w:r>
      <w:r w:rsidR="00DA5548" w:rsidRPr="003A41B3">
        <w:rPr>
          <w:rFonts w:ascii="Times New Roman" w:hAnsi="Times New Roman" w:cs="Times New Roman"/>
        </w:rPr>
        <w:t>T</w:t>
      </w:r>
      <w:r w:rsidR="00A74CED" w:rsidRPr="003A41B3">
        <w:rPr>
          <w:rFonts w:ascii="Times New Roman" w:hAnsi="Times New Roman" w:cs="Times New Roman"/>
        </w:rPr>
        <w:t>his</w:t>
      </w:r>
      <w:r w:rsidR="00DA5548" w:rsidRPr="003A41B3">
        <w:rPr>
          <w:rFonts w:ascii="Times New Roman" w:hAnsi="Times New Roman" w:cs="Times New Roman"/>
        </w:rPr>
        <w:t xml:space="preserve"> test</w:t>
      </w:r>
      <w:r w:rsidR="00A74CED" w:rsidRPr="003A41B3">
        <w:rPr>
          <w:rFonts w:ascii="Times New Roman" w:hAnsi="Times New Roman" w:cs="Times New Roman"/>
        </w:rPr>
        <w:t>s</w:t>
      </w:r>
      <w:r w:rsidR="00DA5548" w:rsidRPr="003A41B3">
        <w:rPr>
          <w:rFonts w:ascii="Times New Roman" w:hAnsi="Times New Roman" w:cs="Times New Roman"/>
        </w:rPr>
        <w:t xml:space="preserve"> the hypothesis</w:t>
      </w:r>
      <w:r w:rsidR="00FA10F4" w:rsidRPr="003A41B3">
        <w:rPr>
          <w:rFonts w:ascii="Times New Roman" w:hAnsi="Times New Roman" w:cs="Times New Roman"/>
        </w:rPr>
        <w:t xml:space="preserve"> </w:t>
      </w:r>
      <w:r w:rsidR="006B2498" w:rsidRPr="003A41B3">
        <w:rPr>
          <w:rFonts w:ascii="Times New Roman" w:hAnsi="Times New Roman" w:cs="Times New Roman"/>
        </w:rPr>
        <w:t xml:space="preserve">that </w:t>
      </w:r>
      <w:r w:rsidR="00585317" w:rsidRPr="003A41B3">
        <w:rPr>
          <w:rFonts w:ascii="Times New Roman" w:hAnsi="Times New Roman" w:cs="Times New Roman"/>
        </w:rPr>
        <w:t xml:space="preserve">the </w:t>
      </w:r>
      <w:r w:rsidR="00DA5548" w:rsidRPr="003A41B3">
        <w:rPr>
          <w:rFonts w:ascii="Times New Roman" w:hAnsi="Times New Roman" w:cs="Times New Roman"/>
        </w:rPr>
        <w:t>beta coefficient</w:t>
      </w:r>
      <w:r w:rsidR="00340319" w:rsidRPr="003A41B3">
        <w:rPr>
          <w:rFonts w:ascii="Times New Roman" w:hAnsi="Times New Roman" w:cs="Times New Roman"/>
        </w:rPr>
        <w:t xml:space="preserve"> of </w:t>
      </w:r>
      <w:proofErr w:type="spellStart"/>
      <w:r w:rsidR="00340319" w:rsidRPr="003A41B3">
        <w:rPr>
          <w:rFonts w:ascii="Times New Roman" w:eastAsiaTheme="minorEastAsia" w:hAnsi="Times New Roman" w:cs="Times New Roman"/>
          <w:i/>
        </w:rPr>
        <w:t>Δ</w:t>
      </w:r>
      <w:r w:rsidR="00340319" w:rsidRPr="003A41B3">
        <w:rPr>
          <w:rFonts w:ascii="Times New Roman" w:hAnsi="Times New Roman" w:cs="Times New Roman"/>
          <w:i/>
        </w:rPr>
        <w:t>Rating</w:t>
      </w:r>
      <w:proofErr w:type="spellEnd"/>
      <w:r w:rsidR="00340319" w:rsidRPr="003A41B3">
        <w:rPr>
          <w:rFonts w:ascii="Times New Roman" w:hAnsi="Times New Roman" w:cs="Times New Roman"/>
        </w:rPr>
        <w:t xml:space="preserve"> in the </w:t>
      </w:r>
      <w:r w:rsidR="00C52BC4" w:rsidRPr="003A41B3">
        <w:rPr>
          <w:rFonts w:ascii="Times New Roman" w:hAnsi="Times New Roman" w:cs="Times New Roman"/>
        </w:rPr>
        <w:t>pre-identifier</w:t>
      </w:r>
      <w:r w:rsidR="00340319" w:rsidRPr="003A41B3">
        <w:rPr>
          <w:rFonts w:ascii="Times New Roman" w:hAnsi="Times New Roman" w:cs="Times New Roman"/>
        </w:rPr>
        <w:t xml:space="preserve"> sample</w:t>
      </w:r>
      <w:r w:rsidR="00DA5548" w:rsidRPr="003A41B3">
        <w:rPr>
          <w:rFonts w:ascii="Times New Roman" w:hAnsi="Times New Roman" w:cs="Times New Roman"/>
        </w:rPr>
        <w:t xml:space="preserve"> </w:t>
      </w:r>
      <w:r w:rsidR="00340319" w:rsidRPr="003A41B3">
        <w:rPr>
          <w:rFonts w:ascii="Times New Roman" w:hAnsi="Times New Roman" w:cs="Times New Roman"/>
        </w:rPr>
        <w:t>(</w:t>
      </w:r>
      <w:r w:rsidR="00DA5548" w:rsidRPr="003A41B3">
        <w:rPr>
          <w:rFonts w:ascii="Times New Roman" w:hAnsi="Times New Roman" w:cs="Times New Roman"/>
        </w:rPr>
        <w:t>β</w:t>
      </w:r>
      <w:r w:rsidR="00DA5548" w:rsidRPr="003A41B3">
        <w:rPr>
          <w:rFonts w:ascii="Times New Roman" w:hAnsi="Times New Roman" w:cs="Times New Roman"/>
          <w:vertAlign w:val="subscript"/>
        </w:rPr>
        <w:t>1</w:t>
      </w:r>
      <w:r w:rsidR="00DA5548" w:rsidRPr="003A41B3">
        <w:rPr>
          <w:rFonts w:ascii="Times New Roman" w:hAnsi="Times New Roman" w:cs="Times New Roman"/>
          <w:i/>
        </w:rPr>
        <w:t xml:space="preserve"> </w:t>
      </w:r>
      <w:r w:rsidR="006B2498" w:rsidRPr="003A41B3">
        <w:rPr>
          <w:rFonts w:ascii="Times New Roman" w:hAnsi="Times New Roman" w:cs="Times New Roman"/>
        </w:rPr>
        <w:t>(</w:t>
      </w:r>
      <w:proofErr w:type="spellStart"/>
      <w:r w:rsidR="006B2498" w:rsidRPr="003A41B3">
        <w:rPr>
          <w:rFonts w:ascii="Times New Roman" w:hAnsi="Times New Roman" w:cs="Times New Roman"/>
        </w:rPr>
        <w:t>i</w:t>
      </w:r>
      <w:proofErr w:type="spellEnd"/>
      <w:r w:rsidR="006B2498" w:rsidRPr="003A41B3">
        <w:rPr>
          <w:rFonts w:ascii="Times New Roman" w:hAnsi="Times New Roman" w:cs="Times New Roman"/>
        </w:rPr>
        <w:t>)</w:t>
      </w:r>
      <w:r w:rsidR="00340319" w:rsidRPr="003A41B3">
        <w:rPr>
          <w:rFonts w:ascii="Times New Roman" w:hAnsi="Times New Roman" w:cs="Times New Roman"/>
        </w:rPr>
        <w:t>)</w:t>
      </w:r>
      <w:r w:rsidR="006B2498" w:rsidRPr="003A41B3">
        <w:rPr>
          <w:rFonts w:ascii="Times New Roman" w:hAnsi="Times New Roman" w:cs="Times New Roman"/>
        </w:rPr>
        <w:t xml:space="preserve"> </w:t>
      </w:r>
      <w:r w:rsidR="00DA5548" w:rsidRPr="003A41B3">
        <w:rPr>
          <w:rFonts w:ascii="Times New Roman" w:hAnsi="Times New Roman" w:cs="Times New Roman"/>
        </w:rPr>
        <w:t>is equal</w:t>
      </w:r>
      <w:r w:rsidR="00266C31" w:rsidRPr="003A41B3">
        <w:rPr>
          <w:rFonts w:ascii="Times New Roman" w:hAnsi="Times New Roman" w:cs="Times New Roman"/>
        </w:rPr>
        <w:t xml:space="preserve"> </w:t>
      </w:r>
      <w:r w:rsidR="00DA5548" w:rsidRPr="003A41B3">
        <w:rPr>
          <w:rFonts w:ascii="Times New Roman" w:hAnsi="Times New Roman" w:cs="Times New Roman"/>
        </w:rPr>
        <w:t xml:space="preserve">to </w:t>
      </w:r>
      <w:r w:rsidR="00585317" w:rsidRPr="003A41B3">
        <w:rPr>
          <w:rFonts w:ascii="Times New Roman" w:hAnsi="Times New Roman" w:cs="Times New Roman"/>
        </w:rPr>
        <w:t xml:space="preserve">the </w:t>
      </w:r>
      <w:r w:rsidR="00340319" w:rsidRPr="003A41B3">
        <w:rPr>
          <w:rFonts w:ascii="Times New Roman" w:hAnsi="Times New Roman" w:cs="Times New Roman"/>
        </w:rPr>
        <w:t xml:space="preserve">beta coefficient of </w:t>
      </w:r>
      <w:proofErr w:type="spellStart"/>
      <w:r w:rsidR="00340319" w:rsidRPr="003A41B3">
        <w:rPr>
          <w:rFonts w:ascii="Times New Roman" w:eastAsiaTheme="minorEastAsia" w:hAnsi="Times New Roman" w:cs="Times New Roman"/>
          <w:i/>
        </w:rPr>
        <w:t>Δ</w:t>
      </w:r>
      <w:r w:rsidR="00340319" w:rsidRPr="003A41B3">
        <w:rPr>
          <w:rFonts w:ascii="Times New Roman" w:hAnsi="Times New Roman" w:cs="Times New Roman"/>
          <w:i/>
        </w:rPr>
        <w:t>Rating</w:t>
      </w:r>
      <w:proofErr w:type="spellEnd"/>
      <w:r w:rsidR="00340319" w:rsidRPr="003A41B3">
        <w:rPr>
          <w:rFonts w:ascii="Times New Roman" w:hAnsi="Times New Roman" w:cs="Times New Roman"/>
        </w:rPr>
        <w:t xml:space="preserve"> in the post-</w:t>
      </w:r>
      <w:r w:rsidR="00C52BC4" w:rsidRPr="003A41B3">
        <w:rPr>
          <w:rFonts w:ascii="Times New Roman" w:hAnsi="Times New Roman" w:cs="Times New Roman"/>
        </w:rPr>
        <w:t>identifier</w:t>
      </w:r>
      <w:r w:rsidR="00340319" w:rsidRPr="003A41B3">
        <w:rPr>
          <w:rFonts w:ascii="Times New Roman" w:hAnsi="Times New Roman" w:cs="Times New Roman"/>
        </w:rPr>
        <w:t xml:space="preserve"> period (</w:t>
      </w:r>
      <w:r w:rsidR="006B2498" w:rsidRPr="003A41B3">
        <w:rPr>
          <w:rFonts w:ascii="Times New Roman" w:hAnsi="Times New Roman" w:cs="Times New Roman"/>
        </w:rPr>
        <w:t>β</w:t>
      </w:r>
      <w:r w:rsidR="006B2498" w:rsidRPr="003A41B3">
        <w:rPr>
          <w:rFonts w:ascii="Times New Roman" w:hAnsi="Times New Roman" w:cs="Times New Roman"/>
          <w:vertAlign w:val="subscript"/>
        </w:rPr>
        <w:t>1</w:t>
      </w:r>
      <w:r w:rsidR="006B2498" w:rsidRPr="003A41B3">
        <w:rPr>
          <w:rFonts w:ascii="Times New Roman" w:hAnsi="Times New Roman" w:cs="Times New Roman"/>
          <w:i/>
        </w:rPr>
        <w:t xml:space="preserve"> </w:t>
      </w:r>
      <w:r w:rsidR="006B2498" w:rsidRPr="003A41B3">
        <w:rPr>
          <w:rFonts w:ascii="Times New Roman" w:hAnsi="Times New Roman" w:cs="Times New Roman"/>
        </w:rPr>
        <w:t>(ii</w:t>
      </w:r>
      <w:r w:rsidR="00340319" w:rsidRPr="003A41B3">
        <w:rPr>
          <w:rFonts w:ascii="Times New Roman" w:hAnsi="Times New Roman" w:cs="Times New Roman"/>
        </w:rPr>
        <w:t>))</w:t>
      </w:r>
      <w:r w:rsidR="00A74CED" w:rsidRPr="003A41B3">
        <w:rPr>
          <w:rFonts w:ascii="Times New Roman" w:hAnsi="Times New Roman" w:cs="Times New Roman"/>
        </w:rPr>
        <w:t>.</w:t>
      </w:r>
      <w:bookmarkEnd w:id="31"/>
      <w:r w:rsidR="006B2498" w:rsidRPr="003A41B3">
        <w:rPr>
          <w:rFonts w:ascii="Times New Roman" w:hAnsi="Times New Roman" w:cs="Times New Roman"/>
        </w:rPr>
        <w:t xml:space="preserve"> </w:t>
      </w:r>
      <w:r w:rsidR="00FA10F4" w:rsidRPr="003A41B3">
        <w:rPr>
          <w:rFonts w:ascii="Times New Roman" w:hAnsi="Times New Roman" w:cs="Times New Roman"/>
        </w:rPr>
        <w:t>P</w:t>
      </w:r>
      <w:r w:rsidR="00DA5548" w:rsidRPr="003A41B3">
        <w:rPr>
          <w:rFonts w:ascii="Times New Roman" w:hAnsi="Times New Roman" w:cs="Times New Roman"/>
        </w:rPr>
        <w:t xml:space="preserve">ositive and negative events </w:t>
      </w:r>
      <w:r w:rsidR="00FA10F4" w:rsidRPr="003A41B3">
        <w:rPr>
          <w:rFonts w:ascii="Times New Roman" w:hAnsi="Times New Roman" w:cs="Times New Roman"/>
        </w:rPr>
        <w:t xml:space="preserve">are tested </w:t>
      </w:r>
      <w:r w:rsidR="00DA5548" w:rsidRPr="003A41B3">
        <w:rPr>
          <w:rFonts w:ascii="Times New Roman" w:hAnsi="Times New Roman" w:cs="Times New Roman"/>
        </w:rPr>
        <w:t xml:space="preserve">separately for </w:t>
      </w:r>
      <w:r w:rsidR="001D6632" w:rsidRPr="003A41B3">
        <w:rPr>
          <w:rFonts w:ascii="Times New Roman" w:hAnsi="Times New Roman" w:cs="Times New Roman"/>
        </w:rPr>
        <w:t xml:space="preserve">each of the </w:t>
      </w:r>
      <w:r w:rsidR="00DA5548" w:rsidRPr="003A41B3">
        <w:rPr>
          <w:rFonts w:ascii="Times New Roman" w:hAnsi="Times New Roman" w:cs="Times New Roman"/>
        </w:rPr>
        <w:t>three CRAs.</w:t>
      </w:r>
      <w:r w:rsidR="001D6632" w:rsidRPr="003A41B3">
        <w:rPr>
          <w:rFonts w:ascii="Times New Roman" w:hAnsi="Times New Roman" w:cs="Times New Roman"/>
        </w:rPr>
        <w:t xml:space="preserve"> I</w:t>
      </w:r>
      <w:r w:rsidR="00236346" w:rsidRPr="003A41B3">
        <w:rPr>
          <w:rFonts w:ascii="Times New Roman" w:hAnsi="Times New Roman" w:cs="Times New Roman"/>
        </w:rPr>
        <w:t xml:space="preserve">f the </w:t>
      </w:r>
      <w:r w:rsidR="001D6632" w:rsidRPr="003A41B3">
        <w:rPr>
          <w:rFonts w:ascii="Times New Roman" w:hAnsi="Times New Roman" w:cs="Times New Roman"/>
        </w:rPr>
        <w:t xml:space="preserve">new </w:t>
      </w:r>
      <w:r w:rsidR="009B7C13" w:rsidRPr="003A41B3">
        <w:rPr>
          <w:rFonts w:ascii="Times New Roman" w:eastAsiaTheme="minorEastAsia" w:hAnsi="Times New Roman" w:cs="Times New Roman"/>
        </w:rPr>
        <w:t>identifier</w:t>
      </w:r>
      <w:r w:rsidR="00501BA0" w:rsidRPr="003A41B3">
        <w:rPr>
          <w:rFonts w:ascii="Times New Roman" w:eastAsiaTheme="minorEastAsia" w:hAnsi="Times New Roman" w:cs="Times New Roman"/>
        </w:rPr>
        <w:t>s</w:t>
      </w:r>
      <w:r w:rsidR="009B7C13" w:rsidRPr="003A41B3">
        <w:rPr>
          <w:rFonts w:ascii="Times New Roman" w:eastAsiaTheme="minorEastAsia" w:hAnsi="Times New Roman" w:cs="Times New Roman"/>
        </w:rPr>
        <w:t xml:space="preserve"> </w:t>
      </w:r>
      <w:r w:rsidR="00501BA0" w:rsidRPr="003A41B3">
        <w:rPr>
          <w:rFonts w:ascii="Times New Roman" w:eastAsiaTheme="minorEastAsia" w:hAnsi="Times New Roman" w:cs="Times New Roman"/>
        </w:rPr>
        <w:t>deliver better</w:t>
      </w:r>
      <w:r w:rsidR="00236346" w:rsidRPr="003A41B3">
        <w:rPr>
          <w:rFonts w:ascii="Times New Roman" w:hAnsi="Times New Roman" w:cs="Times New Roman"/>
        </w:rPr>
        <w:t xml:space="preserve"> rating quality</w:t>
      </w:r>
      <w:r w:rsidR="00FA10F4" w:rsidRPr="003A41B3">
        <w:rPr>
          <w:rFonts w:ascii="Times New Roman" w:hAnsi="Times New Roman" w:cs="Times New Roman"/>
        </w:rPr>
        <w:t>,</w:t>
      </w:r>
      <w:r w:rsidR="00236346" w:rsidRPr="003A41B3">
        <w:rPr>
          <w:rFonts w:ascii="Times New Roman" w:hAnsi="Times New Roman" w:cs="Times New Roman"/>
        </w:rPr>
        <w:t xml:space="preserve"> then absolute values of β</w:t>
      </w:r>
      <w:r w:rsidR="00236346" w:rsidRPr="003A41B3">
        <w:rPr>
          <w:rFonts w:ascii="Times New Roman" w:hAnsi="Times New Roman" w:cs="Times New Roman"/>
          <w:vertAlign w:val="subscript"/>
        </w:rPr>
        <w:t>1</w:t>
      </w:r>
      <w:r w:rsidR="00236346" w:rsidRPr="003A41B3">
        <w:rPr>
          <w:rFonts w:ascii="Times New Roman" w:hAnsi="Times New Roman" w:cs="Times New Roman"/>
        </w:rPr>
        <w:t>(</w:t>
      </w:r>
      <w:r w:rsidR="00876568" w:rsidRPr="003A41B3">
        <w:rPr>
          <w:rFonts w:ascii="Times New Roman" w:hAnsi="Times New Roman" w:cs="Times New Roman"/>
        </w:rPr>
        <w:t>in sample (</w:t>
      </w:r>
      <w:proofErr w:type="spellStart"/>
      <w:r w:rsidR="00236346" w:rsidRPr="003A41B3">
        <w:rPr>
          <w:rFonts w:ascii="Times New Roman" w:hAnsi="Times New Roman" w:cs="Times New Roman"/>
        </w:rPr>
        <w:t>i</w:t>
      </w:r>
      <w:proofErr w:type="spellEnd"/>
      <w:r w:rsidR="00236346" w:rsidRPr="003A41B3">
        <w:rPr>
          <w:rFonts w:ascii="Times New Roman" w:hAnsi="Times New Roman" w:cs="Times New Roman"/>
        </w:rPr>
        <w:t>)</w:t>
      </w:r>
      <w:r w:rsidR="00236346" w:rsidRPr="003A41B3">
        <w:rPr>
          <w:rFonts w:ascii="Times New Roman" w:hAnsi="Times New Roman" w:cs="Times New Roman"/>
          <w:i/>
        </w:rPr>
        <w:t xml:space="preserve"> </w:t>
      </w:r>
      <w:r w:rsidR="00236346" w:rsidRPr="003A41B3">
        <w:rPr>
          <w:rFonts w:ascii="Times New Roman" w:hAnsi="Times New Roman" w:cs="Times New Roman"/>
        </w:rPr>
        <w:t xml:space="preserve">will be smaller </w:t>
      </w:r>
      <w:r w:rsidR="005911C2" w:rsidRPr="003A41B3">
        <w:rPr>
          <w:rFonts w:ascii="Times New Roman" w:hAnsi="Times New Roman" w:cs="Times New Roman"/>
        </w:rPr>
        <w:t>than</w:t>
      </w:r>
      <w:r w:rsidR="00236346" w:rsidRPr="003A41B3">
        <w:rPr>
          <w:rFonts w:ascii="Times New Roman" w:hAnsi="Times New Roman" w:cs="Times New Roman"/>
          <w:i/>
        </w:rPr>
        <w:t xml:space="preserve"> </w:t>
      </w:r>
      <w:r w:rsidR="00236346" w:rsidRPr="003A41B3">
        <w:rPr>
          <w:rFonts w:ascii="Times New Roman" w:hAnsi="Times New Roman" w:cs="Times New Roman"/>
        </w:rPr>
        <w:t>β</w:t>
      </w:r>
      <w:r w:rsidR="00236346" w:rsidRPr="003A41B3">
        <w:rPr>
          <w:rFonts w:ascii="Times New Roman" w:hAnsi="Times New Roman" w:cs="Times New Roman"/>
          <w:vertAlign w:val="subscript"/>
        </w:rPr>
        <w:t>1</w:t>
      </w:r>
      <w:r w:rsidR="00236346" w:rsidRPr="003A41B3">
        <w:rPr>
          <w:rFonts w:ascii="Times New Roman" w:hAnsi="Times New Roman" w:cs="Times New Roman"/>
          <w:i/>
          <w:vertAlign w:val="subscript"/>
        </w:rPr>
        <w:t xml:space="preserve"> </w:t>
      </w:r>
      <w:r w:rsidR="00876568" w:rsidRPr="003A41B3">
        <w:rPr>
          <w:rFonts w:ascii="Times New Roman" w:hAnsi="Times New Roman" w:cs="Times New Roman"/>
        </w:rPr>
        <w:t>in sample (</w:t>
      </w:r>
      <w:r w:rsidR="00236346" w:rsidRPr="003A41B3">
        <w:rPr>
          <w:rFonts w:ascii="Times New Roman" w:hAnsi="Times New Roman" w:cs="Times New Roman"/>
        </w:rPr>
        <w:t>ii)</w:t>
      </w:r>
      <w:r w:rsidR="005911C2" w:rsidRPr="003A41B3">
        <w:rPr>
          <w:rFonts w:ascii="Times New Roman" w:hAnsi="Times New Roman" w:cs="Times New Roman"/>
        </w:rPr>
        <w:t xml:space="preserve">, because rating changes better explain the bond yields after the </w:t>
      </w:r>
      <w:r w:rsidR="009B7C13" w:rsidRPr="003A41B3">
        <w:rPr>
          <w:rFonts w:ascii="Times New Roman" w:eastAsiaTheme="minorEastAsia" w:hAnsi="Times New Roman" w:cs="Times New Roman"/>
        </w:rPr>
        <w:t>r</w:t>
      </w:r>
      <w:r w:rsidR="006E73F0" w:rsidRPr="003A41B3">
        <w:rPr>
          <w:rFonts w:ascii="Times New Roman" w:eastAsiaTheme="minorEastAsia" w:hAnsi="Times New Roman" w:cs="Times New Roman"/>
        </w:rPr>
        <w:t>u</w:t>
      </w:r>
      <w:r w:rsidR="009B7C13" w:rsidRPr="003A41B3">
        <w:rPr>
          <w:rFonts w:ascii="Times New Roman" w:eastAsiaTheme="minorEastAsia" w:hAnsi="Times New Roman" w:cs="Times New Roman"/>
        </w:rPr>
        <w:t>le</w:t>
      </w:r>
      <w:r w:rsidR="005911C2" w:rsidRPr="003A41B3">
        <w:rPr>
          <w:rFonts w:ascii="Times New Roman" w:hAnsi="Times New Roman" w:cs="Times New Roman"/>
        </w:rPr>
        <w:t xml:space="preserve"> was introduced.</w:t>
      </w:r>
      <w:r w:rsidR="00585317" w:rsidRPr="003A41B3">
        <w:rPr>
          <w:rFonts w:ascii="Times New Roman" w:hAnsi="Times New Roman" w:cs="Times New Roman"/>
        </w:rPr>
        <w:t xml:space="preserve"> On the other hand, i</w:t>
      </w:r>
      <w:r w:rsidR="001D6632" w:rsidRPr="003A41B3">
        <w:rPr>
          <w:rFonts w:ascii="Times New Roman" w:hAnsi="Times New Roman" w:cs="Times New Roman"/>
        </w:rPr>
        <w:t xml:space="preserve">f the regulation has a </w:t>
      </w:r>
      <w:r w:rsidR="00501BA0" w:rsidRPr="003A41B3">
        <w:rPr>
          <w:rFonts w:ascii="Times New Roman" w:hAnsi="Times New Roman" w:cs="Times New Roman"/>
        </w:rPr>
        <w:t>weak</w:t>
      </w:r>
      <w:r w:rsidR="001D6632" w:rsidRPr="003A41B3">
        <w:rPr>
          <w:rFonts w:ascii="Times New Roman" w:hAnsi="Times New Roman" w:cs="Times New Roman"/>
        </w:rPr>
        <w:t xml:space="preserve"> effect (poorer rating quality), then absolute values of β</w:t>
      </w:r>
      <w:r w:rsidR="001D6632" w:rsidRPr="003A41B3">
        <w:rPr>
          <w:rFonts w:ascii="Times New Roman" w:hAnsi="Times New Roman" w:cs="Times New Roman"/>
          <w:vertAlign w:val="subscript"/>
        </w:rPr>
        <w:t>1</w:t>
      </w:r>
      <w:r w:rsidR="001D6632" w:rsidRPr="003A41B3">
        <w:rPr>
          <w:rFonts w:ascii="Times New Roman" w:hAnsi="Times New Roman" w:cs="Times New Roman"/>
        </w:rPr>
        <w:t xml:space="preserve"> in sample (</w:t>
      </w:r>
      <w:proofErr w:type="spellStart"/>
      <w:r w:rsidR="001D6632" w:rsidRPr="003A41B3">
        <w:rPr>
          <w:rFonts w:ascii="Times New Roman" w:hAnsi="Times New Roman" w:cs="Times New Roman"/>
        </w:rPr>
        <w:t>i</w:t>
      </w:r>
      <w:proofErr w:type="spellEnd"/>
      <w:r w:rsidR="001D6632" w:rsidRPr="003A41B3">
        <w:rPr>
          <w:rFonts w:ascii="Times New Roman" w:hAnsi="Times New Roman" w:cs="Times New Roman"/>
        </w:rPr>
        <w:t>) will be greater than β</w:t>
      </w:r>
      <w:r w:rsidR="001D6632" w:rsidRPr="003A41B3">
        <w:rPr>
          <w:rFonts w:ascii="Times New Roman" w:hAnsi="Times New Roman" w:cs="Times New Roman"/>
          <w:vertAlign w:val="subscript"/>
        </w:rPr>
        <w:t>1</w:t>
      </w:r>
      <w:r w:rsidR="001D6632" w:rsidRPr="003A41B3">
        <w:rPr>
          <w:rFonts w:ascii="Times New Roman" w:hAnsi="Times New Roman" w:cs="Times New Roman"/>
        </w:rPr>
        <w:t xml:space="preserve"> in sample (ii).</w:t>
      </w:r>
      <w:r w:rsidR="007B307B" w:rsidRPr="003A41B3">
        <w:rPr>
          <w:rFonts w:ascii="Times New Roman" w:hAnsi="Times New Roman" w:cs="Times New Roman"/>
        </w:rPr>
        <w:t xml:space="preserve"> </w:t>
      </w:r>
    </w:p>
    <w:p w14:paraId="5D3C16C6" w14:textId="1BE31A74" w:rsidR="000438E0" w:rsidRPr="003A41B3" w:rsidRDefault="007B307B" w:rsidP="00DC0325">
      <w:pPr>
        <w:pStyle w:val="ListParagraph"/>
        <w:tabs>
          <w:tab w:val="left" w:pos="284"/>
        </w:tabs>
        <w:spacing w:line="480" w:lineRule="auto"/>
        <w:ind w:left="0"/>
        <w:rPr>
          <w:rFonts w:ascii="Times New Roman" w:hAnsi="Times New Roman" w:cs="Times New Roman"/>
        </w:rPr>
      </w:pPr>
      <w:r w:rsidRPr="003A41B3">
        <w:rPr>
          <w:rFonts w:ascii="Times New Roman" w:hAnsi="Times New Roman" w:cs="Times New Roman"/>
        </w:rPr>
        <w:tab/>
      </w:r>
      <w:bookmarkStart w:id="32" w:name="_Hlk4676373"/>
      <w:bookmarkStart w:id="33" w:name="_Hlk5476186"/>
      <w:bookmarkStart w:id="34" w:name="_Hlk5048011"/>
      <w:r w:rsidR="00937F13" w:rsidRPr="003A41B3">
        <w:rPr>
          <w:rFonts w:ascii="Times New Roman" w:hAnsi="Times New Roman" w:cs="Times New Roman"/>
        </w:rPr>
        <w:t>To further investigate our second research question, ruling out any other events coinciding with the adoption of the endorsement rules, we disentangle the possible effect that an analyst’s location might have on the quality of ratings (via the use of identifiers). We estimate Eq. (2) using only the post-identifier period (May 2012-June 2016) with the distinction between ratings issued in the EU versus ratings issued in EU-endorsed countries (EE identifier).</w:t>
      </w:r>
      <w:r w:rsidR="00937F13" w:rsidRPr="003A41B3">
        <w:t xml:space="preserve"> </w:t>
      </w:r>
      <w:r w:rsidR="009C7516" w:rsidRPr="003A41B3">
        <w:rPr>
          <w:rFonts w:ascii="Times New Roman" w:hAnsi="Times New Roman" w:cs="Times New Roman"/>
        </w:rPr>
        <w:t>Then</w:t>
      </w:r>
      <w:r w:rsidR="001C1616" w:rsidRPr="003A41B3">
        <w:rPr>
          <w:rFonts w:ascii="Times New Roman" w:hAnsi="Times New Roman" w:cs="Times New Roman"/>
        </w:rPr>
        <w:t xml:space="preserve">, we compare the magnitude of the coefficient </w:t>
      </w:r>
      <w:r w:rsidR="009C7516" w:rsidRPr="003A41B3">
        <w:rPr>
          <w:rFonts w:ascii="Times New Roman" w:hAnsi="Times New Roman" w:cs="Times New Roman"/>
        </w:rPr>
        <w:t xml:space="preserve">of </w:t>
      </w:r>
      <w:proofErr w:type="spellStart"/>
      <w:r w:rsidR="001C1616" w:rsidRPr="003A41B3">
        <w:rPr>
          <w:rFonts w:ascii="Times New Roman" w:eastAsiaTheme="minorEastAsia" w:hAnsi="Times New Roman" w:cs="Times New Roman"/>
          <w:i/>
        </w:rPr>
        <w:t>Δ</w:t>
      </w:r>
      <w:r w:rsidR="001C1616" w:rsidRPr="003A41B3">
        <w:rPr>
          <w:rFonts w:ascii="Times New Roman" w:hAnsi="Times New Roman" w:cs="Times New Roman"/>
          <w:i/>
        </w:rPr>
        <w:t>Rating</w:t>
      </w:r>
      <w:proofErr w:type="spellEnd"/>
      <w:r w:rsidR="001C1616" w:rsidRPr="003A41B3">
        <w:rPr>
          <w:rFonts w:ascii="Times New Roman" w:hAnsi="Times New Roman" w:cs="Times New Roman"/>
          <w:i/>
        </w:rPr>
        <w:t xml:space="preserve"> </w:t>
      </w:r>
      <w:r w:rsidR="001C1616" w:rsidRPr="003A41B3">
        <w:rPr>
          <w:rFonts w:ascii="Times New Roman" w:hAnsi="Times New Roman" w:cs="Times New Roman"/>
        </w:rPr>
        <w:t xml:space="preserve">in the two sub-samples </w:t>
      </w:r>
      <w:r w:rsidR="00CC49BB" w:rsidRPr="003A41B3">
        <w:rPr>
          <w:rFonts w:ascii="Times New Roman" w:hAnsi="Times New Roman" w:cs="Times New Roman"/>
        </w:rPr>
        <w:t xml:space="preserve">(EE versus EU sub-samples) </w:t>
      </w:r>
      <w:r w:rsidR="002B7158" w:rsidRPr="003A41B3">
        <w:rPr>
          <w:rFonts w:ascii="Times New Roman" w:hAnsi="Times New Roman" w:cs="Times New Roman"/>
        </w:rPr>
        <w:t xml:space="preserve">and test the </w:t>
      </w:r>
      <w:r w:rsidR="001C1616" w:rsidRPr="003A41B3">
        <w:rPr>
          <w:rFonts w:ascii="Times New Roman" w:hAnsi="Times New Roman" w:cs="Times New Roman"/>
        </w:rPr>
        <w:t>statistical</w:t>
      </w:r>
      <w:r w:rsidR="00C319EF" w:rsidRPr="003A41B3">
        <w:rPr>
          <w:rFonts w:ascii="Times New Roman" w:hAnsi="Times New Roman" w:cs="Times New Roman"/>
        </w:rPr>
        <w:t xml:space="preserve"> difference between them. </w:t>
      </w:r>
      <w:bookmarkStart w:id="35" w:name="_Hlk5046942"/>
      <w:bookmarkEnd w:id="32"/>
      <w:r w:rsidR="004458FD" w:rsidRPr="003A41B3">
        <w:rPr>
          <w:rFonts w:ascii="Times New Roman" w:hAnsi="Times New Roman" w:cs="Times New Roman"/>
        </w:rPr>
        <w:t xml:space="preserve">The </w:t>
      </w:r>
      <w:r w:rsidR="00CC49BB" w:rsidRPr="003A41B3">
        <w:rPr>
          <w:rFonts w:ascii="Times New Roman" w:hAnsi="Times New Roman" w:cs="Times New Roman"/>
          <w:szCs w:val="24"/>
        </w:rPr>
        <w:t>EU (EE) sub-sample consists of sovereign rating events</w:t>
      </w:r>
      <w:r w:rsidR="004458FD" w:rsidRPr="003A41B3">
        <w:rPr>
          <w:rFonts w:ascii="Times New Roman" w:hAnsi="Times New Roman" w:cs="Times New Roman"/>
          <w:szCs w:val="24"/>
        </w:rPr>
        <w:t xml:space="preserve"> for issuers</w:t>
      </w:r>
      <w:r w:rsidR="00CC49BB" w:rsidRPr="003A41B3">
        <w:rPr>
          <w:rFonts w:ascii="Times New Roman" w:hAnsi="Times New Roman" w:cs="Times New Roman"/>
          <w:szCs w:val="24"/>
        </w:rPr>
        <w:t xml:space="preserve"> with EU (EE) identifiers</w:t>
      </w:r>
      <w:bookmarkEnd w:id="35"/>
      <w:r w:rsidR="00CC49BB" w:rsidRPr="003A41B3">
        <w:rPr>
          <w:rFonts w:ascii="Times New Roman" w:hAnsi="Times New Roman" w:cs="Times New Roman"/>
        </w:rPr>
        <w:t>.</w:t>
      </w:r>
      <w:bookmarkEnd w:id="33"/>
      <w:r w:rsidR="00CC49BB" w:rsidRPr="003A41B3">
        <w:rPr>
          <w:rFonts w:ascii="Times New Roman" w:hAnsi="Times New Roman" w:cs="Times New Roman"/>
        </w:rPr>
        <w:t xml:space="preserve"> </w:t>
      </w:r>
      <w:bookmarkEnd w:id="34"/>
      <w:r w:rsidR="00C319EF" w:rsidRPr="003A41B3">
        <w:rPr>
          <w:rFonts w:ascii="Times New Roman" w:hAnsi="Times New Roman" w:cs="Times New Roman"/>
        </w:rPr>
        <w:t xml:space="preserve">The null hypothesis states that ratings issued </w:t>
      </w:r>
      <w:r w:rsidR="001C0718" w:rsidRPr="003A41B3">
        <w:rPr>
          <w:rFonts w:ascii="Times New Roman" w:hAnsi="Times New Roman" w:cs="Times New Roman"/>
        </w:rPr>
        <w:t xml:space="preserve">by analysts </w:t>
      </w:r>
      <w:r w:rsidR="00C319EF" w:rsidRPr="003A41B3">
        <w:rPr>
          <w:rFonts w:ascii="Times New Roman" w:hAnsi="Times New Roman" w:cs="Times New Roman"/>
        </w:rPr>
        <w:t>in the EU and in the EU</w:t>
      </w:r>
      <w:r w:rsidR="001C0718" w:rsidRPr="003A41B3">
        <w:rPr>
          <w:rFonts w:ascii="Times New Roman" w:hAnsi="Times New Roman" w:cs="Times New Roman"/>
        </w:rPr>
        <w:t>-</w:t>
      </w:r>
      <w:r w:rsidR="00C319EF" w:rsidRPr="003A41B3">
        <w:rPr>
          <w:rFonts w:ascii="Times New Roman" w:hAnsi="Times New Roman" w:cs="Times New Roman"/>
        </w:rPr>
        <w:t xml:space="preserve">endorsed countries in the </w:t>
      </w:r>
      <w:r w:rsidR="00C52BC4" w:rsidRPr="003A41B3">
        <w:rPr>
          <w:rFonts w:ascii="Times New Roman" w:hAnsi="Times New Roman" w:cs="Times New Roman"/>
        </w:rPr>
        <w:t>post-identifier</w:t>
      </w:r>
      <w:r w:rsidR="00C319EF" w:rsidRPr="003A41B3">
        <w:rPr>
          <w:rFonts w:ascii="Times New Roman" w:hAnsi="Times New Roman" w:cs="Times New Roman"/>
        </w:rPr>
        <w:t xml:space="preserve"> period are of equal quality. </w:t>
      </w:r>
      <w:r w:rsidR="00176BB1" w:rsidRPr="003A41B3">
        <w:rPr>
          <w:rFonts w:ascii="Times New Roman" w:hAnsi="Times New Roman" w:cs="Times New Roman"/>
        </w:rPr>
        <w:t>If the EU issued ratings are of higher quality</w:t>
      </w:r>
      <w:r w:rsidR="00FA10F4" w:rsidRPr="003A41B3">
        <w:rPr>
          <w:rFonts w:ascii="Times New Roman" w:hAnsi="Times New Roman" w:cs="Times New Roman"/>
        </w:rPr>
        <w:t>,</w:t>
      </w:r>
      <w:r w:rsidR="00176BB1" w:rsidRPr="003A41B3">
        <w:rPr>
          <w:rFonts w:ascii="Times New Roman" w:hAnsi="Times New Roman" w:cs="Times New Roman"/>
        </w:rPr>
        <w:t xml:space="preserve"> we expect the absolute values of β</w:t>
      </w:r>
      <w:r w:rsidR="00176BB1" w:rsidRPr="003A41B3">
        <w:rPr>
          <w:rFonts w:ascii="Times New Roman" w:hAnsi="Times New Roman" w:cs="Times New Roman"/>
          <w:vertAlign w:val="subscript"/>
        </w:rPr>
        <w:t xml:space="preserve">1 </w:t>
      </w:r>
      <w:r w:rsidR="00176BB1" w:rsidRPr="003A41B3">
        <w:rPr>
          <w:rFonts w:ascii="Times New Roman" w:hAnsi="Times New Roman" w:cs="Times New Roman"/>
        </w:rPr>
        <w:t>(ii)</w:t>
      </w:r>
      <w:r w:rsidR="00176BB1" w:rsidRPr="003A41B3">
        <w:rPr>
          <w:rFonts w:ascii="Times New Roman" w:hAnsi="Times New Roman" w:cs="Times New Roman"/>
          <w:vertAlign w:val="subscript"/>
        </w:rPr>
        <w:t xml:space="preserve"> </w:t>
      </w:r>
      <w:r w:rsidR="00176BB1" w:rsidRPr="003A41B3">
        <w:rPr>
          <w:rFonts w:ascii="Times New Roman" w:hAnsi="Times New Roman" w:cs="Times New Roman"/>
        </w:rPr>
        <w:t xml:space="preserve">for </w:t>
      </w:r>
      <w:r w:rsidR="001C0718" w:rsidRPr="003A41B3">
        <w:rPr>
          <w:rFonts w:ascii="Times New Roman" w:hAnsi="Times New Roman" w:cs="Times New Roman"/>
        </w:rPr>
        <w:t xml:space="preserve">the </w:t>
      </w:r>
      <w:r w:rsidR="00176BB1" w:rsidRPr="003A41B3">
        <w:rPr>
          <w:rFonts w:ascii="Times New Roman" w:hAnsi="Times New Roman" w:cs="Times New Roman"/>
        </w:rPr>
        <w:t>EU sub-sample to be greater than β</w:t>
      </w:r>
      <w:r w:rsidR="00176BB1" w:rsidRPr="003A41B3">
        <w:rPr>
          <w:rFonts w:ascii="Times New Roman" w:hAnsi="Times New Roman" w:cs="Times New Roman"/>
          <w:vertAlign w:val="subscript"/>
        </w:rPr>
        <w:t>1</w:t>
      </w:r>
      <w:r w:rsidR="00176BB1" w:rsidRPr="003A41B3">
        <w:rPr>
          <w:rFonts w:ascii="Times New Roman" w:hAnsi="Times New Roman" w:cs="Times New Roman"/>
        </w:rPr>
        <w:t xml:space="preserve"> (ii) in </w:t>
      </w:r>
      <w:r w:rsidR="001C0718" w:rsidRPr="003A41B3">
        <w:rPr>
          <w:rFonts w:ascii="Times New Roman" w:hAnsi="Times New Roman" w:cs="Times New Roman"/>
        </w:rPr>
        <w:t xml:space="preserve">the </w:t>
      </w:r>
      <w:r w:rsidR="00176BB1" w:rsidRPr="003A41B3">
        <w:rPr>
          <w:rFonts w:ascii="Times New Roman" w:hAnsi="Times New Roman" w:cs="Times New Roman"/>
        </w:rPr>
        <w:t xml:space="preserve">EE sub-sample, because rating changes are better at explaining bond yields when analysts are based in Europe. </w:t>
      </w:r>
      <w:r w:rsidR="00FA10F4" w:rsidRPr="003A41B3">
        <w:rPr>
          <w:rFonts w:ascii="Times New Roman" w:hAnsi="Times New Roman" w:cs="Times New Roman"/>
        </w:rPr>
        <w:t>S</w:t>
      </w:r>
      <w:r w:rsidR="00AB6AB3" w:rsidRPr="003A41B3">
        <w:rPr>
          <w:rFonts w:ascii="Times New Roman" w:hAnsi="Times New Roman" w:cs="Times New Roman"/>
        </w:rPr>
        <w:t>uperior quality of ratings from</w:t>
      </w:r>
      <w:r w:rsidR="00585317" w:rsidRPr="003A41B3">
        <w:rPr>
          <w:rFonts w:ascii="Times New Roman" w:hAnsi="Times New Roman" w:cs="Times New Roman"/>
        </w:rPr>
        <w:t xml:space="preserve"> analysts within the </w:t>
      </w:r>
      <w:r w:rsidR="00AB6AB3" w:rsidRPr="003A41B3">
        <w:rPr>
          <w:rFonts w:ascii="Times New Roman" w:hAnsi="Times New Roman" w:cs="Times New Roman"/>
        </w:rPr>
        <w:t>E</w:t>
      </w:r>
      <w:r w:rsidR="00585317" w:rsidRPr="003A41B3">
        <w:rPr>
          <w:rFonts w:ascii="Times New Roman" w:hAnsi="Times New Roman" w:cs="Times New Roman"/>
        </w:rPr>
        <w:t>U</w:t>
      </w:r>
      <w:r w:rsidR="00AB6AB3" w:rsidRPr="003A41B3">
        <w:rPr>
          <w:rFonts w:ascii="Times New Roman" w:hAnsi="Times New Roman" w:cs="Times New Roman"/>
        </w:rPr>
        <w:t xml:space="preserve"> could be </w:t>
      </w:r>
      <w:r w:rsidR="00CC2080" w:rsidRPr="003A41B3">
        <w:rPr>
          <w:rFonts w:ascii="Times New Roman" w:hAnsi="Times New Roman" w:cs="Times New Roman"/>
        </w:rPr>
        <w:t xml:space="preserve">explained </w:t>
      </w:r>
      <w:r w:rsidR="00330049" w:rsidRPr="003A41B3">
        <w:rPr>
          <w:rFonts w:ascii="Times New Roman" w:hAnsi="Times New Roman" w:cs="Times New Roman"/>
        </w:rPr>
        <w:t xml:space="preserve">by </w:t>
      </w:r>
      <w:r w:rsidR="00C319EF" w:rsidRPr="003A41B3">
        <w:rPr>
          <w:rFonts w:ascii="Times New Roman" w:hAnsi="Times New Roman" w:cs="Times New Roman"/>
        </w:rPr>
        <w:t xml:space="preserve">the fact that the EU </w:t>
      </w:r>
      <w:r w:rsidR="00057BD9" w:rsidRPr="003A41B3">
        <w:rPr>
          <w:rFonts w:ascii="Times New Roman" w:hAnsi="Times New Roman" w:cs="Times New Roman"/>
        </w:rPr>
        <w:t xml:space="preserve">has </w:t>
      </w:r>
      <w:r w:rsidR="00057BD9" w:rsidRPr="003A41B3">
        <w:rPr>
          <w:rFonts w:ascii="Times New Roman" w:hAnsi="Times New Roman" w:cs="Times New Roman"/>
        </w:rPr>
        <w:lastRenderedPageBreak/>
        <w:t xml:space="preserve">high levels of </w:t>
      </w:r>
      <w:r w:rsidR="00C319EF" w:rsidRPr="003A41B3">
        <w:rPr>
          <w:rFonts w:ascii="Times New Roman" w:hAnsi="Times New Roman" w:cs="Times New Roman"/>
        </w:rPr>
        <w:t xml:space="preserve">stringency in regulations and </w:t>
      </w:r>
      <w:r w:rsidR="00E60C8D" w:rsidRPr="003A41B3">
        <w:rPr>
          <w:rFonts w:ascii="Times New Roman" w:hAnsi="Times New Roman" w:cs="Times New Roman"/>
        </w:rPr>
        <w:t>the actions of CRAs are directly supervised and overseen</w:t>
      </w:r>
      <w:r w:rsidR="00585317" w:rsidRPr="003A41B3">
        <w:rPr>
          <w:rFonts w:ascii="Times New Roman" w:hAnsi="Times New Roman" w:cs="Times New Roman"/>
        </w:rPr>
        <w:t xml:space="preserve"> by ESMA</w:t>
      </w:r>
      <w:r w:rsidR="00E60C8D" w:rsidRPr="003A41B3">
        <w:rPr>
          <w:rFonts w:ascii="Times New Roman" w:hAnsi="Times New Roman" w:cs="Times New Roman"/>
        </w:rPr>
        <w:t xml:space="preserve">. </w:t>
      </w:r>
      <w:r w:rsidR="00171FBB" w:rsidRPr="003A41B3">
        <w:rPr>
          <w:rFonts w:ascii="Times New Roman" w:hAnsi="Times New Roman" w:cs="Times New Roman"/>
        </w:rPr>
        <w:t>Conversely</w:t>
      </w:r>
      <w:r w:rsidR="002B7158" w:rsidRPr="003A41B3">
        <w:rPr>
          <w:rFonts w:ascii="Times New Roman" w:hAnsi="Times New Roman" w:cs="Times New Roman"/>
        </w:rPr>
        <w:t>,</w:t>
      </w:r>
      <w:r w:rsidR="00176BB1" w:rsidRPr="003A41B3">
        <w:rPr>
          <w:rFonts w:ascii="Times New Roman" w:hAnsi="Times New Roman" w:cs="Times New Roman"/>
        </w:rPr>
        <w:t xml:space="preserve"> if EU endorsed ratings are of better quality</w:t>
      </w:r>
      <w:r w:rsidR="00FA10F4" w:rsidRPr="003A41B3">
        <w:rPr>
          <w:rFonts w:ascii="Times New Roman" w:hAnsi="Times New Roman" w:cs="Times New Roman"/>
        </w:rPr>
        <w:t>,</w:t>
      </w:r>
      <w:r w:rsidR="00176BB1" w:rsidRPr="003A41B3">
        <w:rPr>
          <w:rFonts w:ascii="Times New Roman" w:hAnsi="Times New Roman" w:cs="Times New Roman"/>
        </w:rPr>
        <w:t xml:space="preserve"> we would expect the absolute values of β</w:t>
      </w:r>
      <w:r w:rsidR="00176BB1" w:rsidRPr="003A41B3">
        <w:rPr>
          <w:rFonts w:ascii="Times New Roman" w:hAnsi="Times New Roman" w:cs="Times New Roman"/>
          <w:vertAlign w:val="subscript"/>
        </w:rPr>
        <w:t xml:space="preserve">1 </w:t>
      </w:r>
      <w:r w:rsidR="00176BB1" w:rsidRPr="003A41B3">
        <w:rPr>
          <w:rFonts w:ascii="Times New Roman" w:hAnsi="Times New Roman" w:cs="Times New Roman"/>
        </w:rPr>
        <w:t>(ii)</w:t>
      </w:r>
      <w:r w:rsidR="00176BB1" w:rsidRPr="003A41B3">
        <w:rPr>
          <w:rFonts w:ascii="Times New Roman" w:hAnsi="Times New Roman" w:cs="Times New Roman"/>
          <w:vertAlign w:val="subscript"/>
        </w:rPr>
        <w:t xml:space="preserve"> </w:t>
      </w:r>
      <w:r w:rsidR="00176BB1" w:rsidRPr="003A41B3">
        <w:rPr>
          <w:rFonts w:ascii="Times New Roman" w:hAnsi="Times New Roman" w:cs="Times New Roman"/>
        </w:rPr>
        <w:t xml:space="preserve">for </w:t>
      </w:r>
      <w:r w:rsidR="00585317" w:rsidRPr="003A41B3">
        <w:rPr>
          <w:rFonts w:ascii="Times New Roman" w:hAnsi="Times New Roman" w:cs="Times New Roman"/>
        </w:rPr>
        <w:t xml:space="preserve">the </w:t>
      </w:r>
      <w:r w:rsidR="00176BB1" w:rsidRPr="003A41B3">
        <w:rPr>
          <w:rFonts w:ascii="Times New Roman" w:hAnsi="Times New Roman" w:cs="Times New Roman"/>
        </w:rPr>
        <w:t>EE sub-sample to be greater than β</w:t>
      </w:r>
      <w:r w:rsidR="00176BB1" w:rsidRPr="003A41B3">
        <w:rPr>
          <w:rFonts w:ascii="Times New Roman" w:hAnsi="Times New Roman" w:cs="Times New Roman"/>
          <w:vertAlign w:val="subscript"/>
        </w:rPr>
        <w:t>1</w:t>
      </w:r>
      <w:r w:rsidR="00176BB1" w:rsidRPr="003A41B3">
        <w:rPr>
          <w:rFonts w:ascii="Times New Roman" w:hAnsi="Times New Roman" w:cs="Times New Roman"/>
        </w:rPr>
        <w:t xml:space="preserve"> (ii) in </w:t>
      </w:r>
      <w:r w:rsidR="00585317" w:rsidRPr="003A41B3">
        <w:rPr>
          <w:rFonts w:ascii="Times New Roman" w:hAnsi="Times New Roman" w:cs="Times New Roman"/>
        </w:rPr>
        <w:t xml:space="preserve">the </w:t>
      </w:r>
      <w:r w:rsidR="00176BB1" w:rsidRPr="003A41B3">
        <w:rPr>
          <w:rFonts w:ascii="Times New Roman" w:hAnsi="Times New Roman" w:cs="Times New Roman"/>
        </w:rPr>
        <w:t>EU sub-sample because there is greater effect of the rating news on the spread in the endorsed countries. S</w:t>
      </w:r>
      <w:r w:rsidR="00AB6AB3" w:rsidRPr="003A41B3">
        <w:rPr>
          <w:rFonts w:ascii="Times New Roman" w:hAnsi="Times New Roman" w:cs="Times New Roman"/>
        </w:rPr>
        <w:t xml:space="preserve">uperiority of ratings </w:t>
      </w:r>
      <w:r w:rsidR="00585317" w:rsidRPr="003A41B3">
        <w:rPr>
          <w:rFonts w:ascii="Times New Roman" w:hAnsi="Times New Roman" w:cs="Times New Roman"/>
        </w:rPr>
        <w:t xml:space="preserve">assigned </w:t>
      </w:r>
      <w:r w:rsidR="00AB6AB3" w:rsidRPr="003A41B3">
        <w:rPr>
          <w:rFonts w:ascii="Times New Roman" w:hAnsi="Times New Roman" w:cs="Times New Roman"/>
        </w:rPr>
        <w:t xml:space="preserve">outside </w:t>
      </w:r>
      <w:r w:rsidR="00585317" w:rsidRPr="003A41B3">
        <w:rPr>
          <w:rFonts w:ascii="Times New Roman" w:hAnsi="Times New Roman" w:cs="Times New Roman"/>
        </w:rPr>
        <w:t xml:space="preserve">the EU </w:t>
      </w:r>
      <w:r w:rsidR="00AB6AB3" w:rsidRPr="003A41B3">
        <w:rPr>
          <w:rFonts w:ascii="Times New Roman" w:hAnsi="Times New Roman" w:cs="Times New Roman"/>
        </w:rPr>
        <w:t>could stem from the fact that</w:t>
      </w:r>
      <w:r w:rsidR="002B7158" w:rsidRPr="003A41B3">
        <w:rPr>
          <w:rFonts w:ascii="Times New Roman" w:hAnsi="Times New Roman" w:cs="Times New Roman"/>
        </w:rPr>
        <w:t xml:space="preserve"> </w:t>
      </w:r>
      <w:r w:rsidR="00AB6AB3" w:rsidRPr="003A41B3">
        <w:rPr>
          <w:rFonts w:ascii="Times New Roman" w:hAnsi="Times New Roman" w:cs="Times New Roman"/>
        </w:rPr>
        <w:t xml:space="preserve">for </w:t>
      </w:r>
      <w:r w:rsidR="000B6629" w:rsidRPr="003A41B3">
        <w:rPr>
          <w:rFonts w:ascii="Times New Roman" w:hAnsi="Times New Roman" w:cs="Times New Roman"/>
        </w:rPr>
        <w:t xml:space="preserve">these </w:t>
      </w:r>
      <w:r w:rsidR="00E60C8D" w:rsidRPr="003A41B3">
        <w:rPr>
          <w:rFonts w:ascii="Times New Roman" w:hAnsi="Times New Roman" w:cs="Times New Roman"/>
        </w:rPr>
        <w:t>rating</w:t>
      </w:r>
      <w:r w:rsidR="00057BD9" w:rsidRPr="003A41B3">
        <w:rPr>
          <w:rFonts w:ascii="Times New Roman" w:hAnsi="Times New Roman" w:cs="Times New Roman"/>
        </w:rPr>
        <w:t>s</w:t>
      </w:r>
      <w:r w:rsidR="00E60C8D" w:rsidRPr="003A41B3">
        <w:rPr>
          <w:rFonts w:ascii="Times New Roman" w:hAnsi="Times New Roman" w:cs="Times New Roman"/>
        </w:rPr>
        <w:t xml:space="preserve"> </w:t>
      </w:r>
      <w:r w:rsidR="00AB6AB3" w:rsidRPr="003A41B3">
        <w:rPr>
          <w:rFonts w:ascii="Times New Roman" w:hAnsi="Times New Roman" w:cs="Times New Roman"/>
        </w:rPr>
        <w:t xml:space="preserve">to </w:t>
      </w:r>
      <w:r w:rsidR="00171FBB" w:rsidRPr="003A41B3">
        <w:rPr>
          <w:rFonts w:ascii="Times New Roman" w:hAnsi="Times New Roman" w:cs="Times New Roman"/>
        </w:rPr>
        <w:t xml:space="preserve">be </w:t>
      </w:r>
      <w:r w:rsidR="00E60C8D" w:rsidRPr="003A41B3">
        <w:rPr>
          <w:rFonts w:ascii="Times New Roman" w:hAnsi="Times New Roman" w:cs="Times New Roman"/>
        </w:rPr>
        <w:t>endorsed</w:t>
      </w:r>
      <w:r w:rsidR="003D4F3B" w:rsidRPr="003A41B3">
        <w:rPr>
          <w:rFonts w:ascii="Times New Roman" w:hAnsi="Times New Roman" w:cs="Times New Roman"/>
        </w:rPr>
        <w:t>,</w:t>
      </w:r>
      <w:r w:rsidR="00E60C8D" w:rsidRPr="003A41B3">
        <w:rPr>
          <w:rFonts w:ascii="Times New Roman" w:hAnsi="Times New Roman" w:cs="Times New Roman"/>
        </w:rPr>
        <w:t xml:space="preserve"> </w:t>
      </w:r>
      <w:r w:rsidR="00AB6AB3" w:rsidRPr="003A41B3">
        <w:rPr>
          <w:rFonts w:ascii="Times New Roman" w:hAnsi="Times New Roman" w:cs="Times New Roman"/>
        </w:rPr>
        <w:t xml:space="preserve">the </w:t>
      </w:r>
      <w:r w:rsidR="00C319EF" w:rsidRPr="003A41B3">
        <w:rPr>
          <w:rFonts w:ascii="Times New Roman" w:hAnsi="Times New Roman" w:cs="Times New Roman"/>
        </w:rPr>
        <w:t xml:space="preserve">actions of </w:t>
      </w:r>
      <w:r w:rsidR="00AB6AB3" w:rsidRPr="003A41B3">
        <w:rPr>
          <w:rFonts w:ascii="Times New Roman" w:hAnsi="Times New Roman" w:cs="Times New Roman"/>
        </w:rPr>
        <w:t>th</w:t>
      </w:r>
      <w:r w:rsidR="000B6629" w:rsidRPr="003A41B3">
        <w:rPr>
          <w:rFonts w:ascii="Times New Roman" w:hAnsi="Times New Roman" w:cs="Times New Roman"/>
        </w:rPr>
        <w:t>e third country</w:t>
      </w:r>
      <w:r w:rsidR="00176BB1" w:rsidRPr="003A41B3">
        <w:rPr>
          <w:rFonts w:ascii="Times New Roman" w:hAnsi="Times New Roman" w:cs="Times New Roman"/>
        </w:rPr>
        <w:t xml:space="preserve"> </w:t>
      </w:r>
      <w:r w:rsidR="00C319EF" w:rsidRPr="003A41B3">
        <w:rPr>
          <w:rFonts w:ascii="Times New Roman" w:hAnsi="Times New Roman" w:cs="Times New Roman"/>
        </w:rPr>
        <w:t>CRA</w:t>
      </w:r>
      <w:r w:rsidR="00AB6AB3" w:rsidRPr="003A41B3">
        <w:rPr>
          <w:rFonts w:ascii="Times New Roman" w:hAnsi="Times New Roman" w:cs="Times New Roman"/>
        </w:rPr>
        <w:t>s</w:t>
      </w:r>
      <w:r w:rsidR="00C319EF" w:rsidRPr="003A41B3">
        <w:rPr>
          <w:rFonts w:ascii="Times New Roman" w:hAnsi="Times New Roman" w:cs="Times New Roman"/>
        </w:rPr>
        <w:t xml:space="preserve"> </w:t>
      </w:r>
      <w:r w:rsidR="000B6629" w:rsidRPr="003A41B3">
        <w:rPr>
          <w:rFonts w:ascii="Times New Roman" w:hAnsi="Times New Roman" w:cs="Times New Roman"/>
        </w:rPr>
        <w:t xml:space="preserve">issuing them </w:t>
      </w:r>
      <w:r w:rsidR="00AB6AB3" w:rsidRPr="003A41B3">
        <w:rPr>
          <w:rFonts w:ascii="Times New Roman" w:hAnsi="Times New Roman" w:cs="Times New Roman"/>
        </w:rPr>
        <w:t xml:space="preserve">need to be </w:t>
      </w:r>
      <w:r w:rsidR="00E60C8D" w:rsidRPr="003A41B3">
        <w:rPr>
          <w:rFonts w:ascii="Times New Roman" w:hAnsi="Times New Roman" w:cs="Times New Roman"/>
        </w:rPr>
        <w:t>overseen</w:t>
      </w:r>
      <w:r w:rsidR="00C319EF" w:rsidRPr="003A41B3">
        <w:rPr>
          <w:rFonts w:ascii="Times New Roman" w:hAnsi="Times New Roman" w:cs="Times New Roman"/>
        </w:rPr>
        <w:t xml:space="preserve"> </w:t>
      </w:r>
      <w:r w:rsidR="00E60C8D" w:rsidRPr="003A41B3">
        <w:rPr>
          <w:rFonts w:ascii="Times New Roman" w:hAnsi="Times New Roman" w:cs="Times New Roman"/>
        </w:rPr>
        <w:t>by the endorsing CRA rather than ESMA.</w:t>
      </w:r>
      <w:r w:rsidR="000438E0" w:rsidRPr="003A41B3">
        <w:rPr>
          <w:rFonts w:ascii="Times New Roman" w:hAnsi="Times New Roman" w:cs="Times New Roman"/>
        </w:rPr>
        <w:t xml:space="preserve"> </w:t>
      </w:r>
      <w:r w:rsidR="00FC6611" w:rsidRPr="003A41B3">
        <w:rPr>
          <w:rFonts w:ascii="Times New Roman" w:hAnsi="Times New Roman" w:cs="Times New Roman"/>
        </w:rPr>
        <w:t>The third country</w:t>
      </w:r>
      <w:r w:rsidR="00FA10F4" w:rsidRPr="003A41B3">
        <w:rPr>
          <w:rFonts w:ascii="Times New Roman" w:hAnsi="Times New Roman" w:cs="Times New Roman"/>
        </w:rPr>
        <w:t>’s</w:t>
      </w:r>
      <w:r w:rsidR="00FC6611" w:rsidRPr="003A41B3">
        <w:rPr>
          <w:rFonts w:ascii="Times New Roman" w:hAnsi="Times New Roman" w:cs="Times New Roman"/>
        </w:rPr>
        <w:t xml:space="preserve"> CRAs have strong incentive</w:t>
      </w:r>
      <w:r w:rsidR="00585317" w:rsidRPr="003A41B3">
        <w:rPr>
          <w:rFonts w:ascii="Times New Roman" w:hAnsi="Times New Roman" w:cs="Times New Roman"/>
        </w:rPr>
        <w:t>s</w:t>
      </w:r>
      <w:r w:rsidR="00FC6611" w:rsidRPr="003A41B3">
        <w:rPr>
          <w:rFonts w:ascii="Times New Roman" w:hAnsi="Times New Roman" w:cs="Times New Roman"/>
        </w:rPr>
        <w:t xml:space="preserve"> </w:t>
      </w:r>
      <w:r w:rsidR="00E136B1" w:rsidRPr="003A41B3">
        <w:rPr>
          <w:rFonts w:ascii="Times New Roman" w:hAnsi="Times New Roman" w:cs="Times New Roman"/>
        </w:rPr>
        <w:t xml:space="preserve">to </w:t>
      </w:r>
      <w:r w:rsidR="00FC6611" w:rsidRPr="003A41B3">
        <w:rPr>
          <w:rFonts w:ascii="Times New Roman" w:hAnsi="Times New Roman" w:cs="Times New Roman"/>
        </w:rPr>
        <w:t>signal quality</w:t>
      </w:r>
      <w:r w:rsidR="000B6629" w:rsidRPr="003A41B3">
        <w:rPr>
          <w:rFonts w:ascii="Times New Roman" w:hAnsi="Times New Roman" w:cs="Times New Roman"/>
        </w:rPr>
        <w:t xml:space="preserve"> and reliability</w:t>
      </w:r>
      <w:r w:rsidR="00FC6611" w:rsidRPr="003A41B3">
        <w:rPr>
          <w:rFonts w:ascii="Times New Roman" w:hAnsi="Times New Roman" w:cs="Times New Roman"/>
        </w:rPr>
        <w:t xml:space="preserve"> of their ratings to maintain </w:t>
      </w:r>
      <w:r w:rsidR="005753D4" w:rsidRPr="003A41B3">
        <w:rPr>
          <w:rFonts w:ascii="Times New Roman" w:hAnsi="Times New Roman" w:cs="Times New Roman"/>
        </w:rPr>
        <w:t>their</w:t>
      </w:r>
      <w:r w:rsidR="000B6629" w:rsidRPr="003A41B3">
        <w:rPr>
          <w:rFonts w:ascii="Times New Roman" w:hAnsi="Times New Roman" w:cs="Times New Roman"/>
        </w:rPr>
        <w:t xml:space="preserve"> reputation in the EU system</w:t>
      </w:r>
      <w:r w:rsidR="00585317" w:rsidRPr="003A41B3">
        <w:rPr>
          <w:rFonts w:ascii="Times New Roman" w:hAnsi="Times New Roman" w:cs="Times New Roman"/>
        </w:rPr>
        <w:t xml:space="preserve"> and </w:t>
      </w:r>
      <w:r w:rsidR="00FC7BE9" w:rsidRPr="003A41B3">
        <w:rPr>
          <w:rFonts w:ascii="Times New Roman" w:hAnsi="Times New Roman" w:cs="Times New Roman"/>
        </w:rPr>
        <w:t xml:space="preserve">with </w:t>
      </w:r>
      <w:r w:rsidR="00585317" w:rsidRPr="003A41B3">
        <w:rPr>
          <w:rFonts w:ascii="Times New Roman" w:hAnsi="Times New Roman" w:cs="Times New Roman"/>
        </w:rPr>
        <w:t>ESMA</w:t>
      </w:r>
      <w:r w:rsidR="00FA10F4" w:rsidRPr="003A41B3">
        <w:rPr>
          <w:rFonts w:ascii="Times New Roman" w:hAnsi="Times New Roman" w:cs="Times New Roman"/>
        </w:rPr>
        <w:t xml:space="preserve">. </w:t>
      </w:r>
    </w:p>
    <w:p w14:paraId="43EE2C6E" w14:textId="63C970FE" w:rsidR="007E7B9C" w:rsidRPr="003A41B3" w:rsidRDefault="003B4ED5" w:rsidP="005137DD">
      <w:pPr>
        <w:pStyle w:val="ListParagraph"/>
        <w:tabs>
          <w:tab w:val="left" w:pos="284"/>
        </w:tabs>
        <w:spacing w:line="480" w:lineRule="auto"/>
        <w:ind w:left="0"/>
        <w:rPr>
          <w:rFonts w:ascii="Times New Roman" w:hAnsi="Times New Roman" w:cs="Times New Roman"/>
        </w:rPr>
      </w:pPr>
      <w:r w:rsidRPr="003A41B3">
        <w:rPr>
          <w:rFonts w:ascii="Times New Roman" w:hAnsi="Times New Roman" w:cs="Times New Roman"/>
        </w:rPr>
        <w:tab/>
      </w:r>
      <w:bookmarkStart w:id="36" w:name="_Hlk5476304"/>
      <w:bookmarkStart w:id="37" w:name="_Hlk4676664"/>
      <w:r w:rsidR="0048567D" w:rsidRPr="003A41B3">
        <w:rPr>
          <w:rFonts w:ascii="Times New Roman" w:hAnsi="Times New Roman" w:cs="Times New Roman"/>
        </w:rPr>
        <w:t>I</w:t>
      </w:r>
      <w:r w:rsidR="004137C5" w:rsidRPr="003A41B3">
        <w:rPr>
          <w:rFonts w:ascii="Times New Roman" w:hAnsi="Times New Roman" w:cs="Times New Roman"/>
        </w:rPr>
        <w:t>n addition</w:t>
      </w:r>
      <w:r w:rsidR="00585317" w:rsidRPr="003A41B3">
        <w:rPr>
          <w:rFonts w:ascii="Times New Roman" w:hAnsi="Times New Roman" w:cs="Times New Roman"/>
        </w:rPr>
        <w:t>,</w:t>
      </w:r>
      <w:r w:rsidR="004137C5" w:rsidRPr="003A41B3">
        <w:rPr>
          <w:rFonts w:ascii="Times New Roman" w:hAnsi="Times New Roman" w:cs="Times New Roman"/>
        </w:rPr>
        <w:t xml:space="preserve"> </w:t>
      </w:r>
      <w:r w:rsidR="00692A41" w:rsidRPr="003A41B3">
        <w:rPr>
          <w:rFonts w:ascii="Times New Roman" w:hAnsi="Times New Roman" w:cs="Times New Roman"/>
        </w:rPr>
        <w:t xml:space="preserve">we further investigate our second research question regarding the impact of the rating </w:t>
      </w:r>
      <w:r w:rsidR="00DB13BB" w:rsidRPr="003A41B3">
        <w:rPr>
          <w:rFonts w:ascii="Times New Roman" w:hAnsi="Times New Roman" w:cs="Times New Roman"/>
        </w:rPr>
        <w:t>analysts</w:t>
      </w:r>
      <w:r w:rsidR="00692A41" w:rsidRPr="003A41B3">
        <w:rPr>
          <w:rFonts w:ascii="Times New Roman" w:hAnsi="Times New Roman" w:cs="Times New Roman"/>
        </w:rPr>
        <w:t xml:space="preserve">’ location, ensuring </w:t>
      </w:r>
      <w:r w:rsidR="004137C5" w:rsidRPr="003A41B3">
        <w:rPr>
          <w:rFonts w:ascii="Times New Roman" w:hAnsi="Times New Roman" w:cs="Times New Roman"/>
        </w:rPr>
        <w:t xml:space="preserve">that </w:t>
      </w:r>
      <w:r w:rsidR="00601F74" w:rsidRPr="003A41B3">
        <w:rPr>
          <w:rFonts w:ascii="Times New Roman" w:hAnsi="Times New Roman" w:cs="Times New Roman"/>
        </w:rPr>
        <w:t>no</w:t>
      </w:r>
      <w:r w:rsidR="0048567D" w:rsidRPr="003A41B3">
        <w:rPr>
          <w:rFonts w:ascii="Times New Roman" w:hAnsi="Times New Roman" w:cs="Times New Roman"/>
        </w:rPr>
        <w:t xml:space="preserve"> other event</w:t>
      </w:r>
      <w:r w:rsidR="003510A4" w:rsidRPr="003A41B3">
        <w:rPr>
          <w:rFonts w:ascii="Times New Roman" w:hAnsi="Times New Roman" w:cs="Times New Roman"/>
        </w:rPr>
        <w:t>s</w:t>
      </w:r>
      <w:r w:rsidR="0048567D" w:rsidRPr="003A41B3">
        <w:rPr>
          <w:rFonts w:ascii="Times New Roman" w:hAnsi="Times New Roman" w:cs="Times New Roman"/>
        </w:rPr>
        <w:t xml:space="preserve"> (time </w:t>
      </w:r>
      <w:r w:rsidR="00347CA0" w:rsidRPr="003A41B3">
        <w:rPr>
          <w:rFonts w:ascii="Times New Roman" w:hAnsi="Times New Roman" w:cs="Times New Roman"/>
        </w:rPr>
        <w:t>n</w:t>
      </w:r>
      <w:r w:rsidR="0048567D" w:rsidRPr="003A41B3">
        <w:rPr>
          <w:rFonts w:ascii="Times New Roman" w:hAnsi="Times New Roman" w:cs="Times New Roman"/>
        </w:rPr>
        <w:t>or cross-section</w:t>
      </w:r>
      <w:r w:rsidR="00533C7E" w:rsidRPr="003A41B3">
        <w:rPr>
          <w:rFonts w:ascii="Times New Roman" w:hAnsi="Times New Roman" w:cs="Times New Roman"/>
        </w:rPr>
        <w:t xml:space="preserve"> related</w:t>
      </w:r>
      <w:r w:rsidR="0048567D" w:rsidRPr="003A41B3">
        <w:rPr>
          <w:rFonts w:ascii="Times New Roman" w:hAnsi="Times New Roman" w:cs="Times New Roman"/>
        </w:rPr>
        <w:t xml:space="preserve">) coincided with the adoption of the </w:t>
      </w:r>
      <w:r w:rsidR="00692A41" w:rsidRPr="003A41B3">
        <w:rPr>
          <w:rFonts w:ascii="Times New Roman" w:hAnsi="Times New Roman" w:cs="Times New Roman"/>
        </w:rPr>
        <w:t xml:space="preserve">disclosure </w:t>
      </w:r>
      <w:r w:rsidR="0048567D" w:rsidRPr="003A41B3">
        <w:rPr>
          <w:rFonts w:ascii="Times New Roman" w:hAnsi="Times New Roman" w:cs="Times New Roman"/>
        </w:rPr>
        <w:t>rules</w:t>
      </w:r>
      <w:r w:rsidR="00701800" w:rsidRPr="003A41B3">
        <w:rPr>
          <w:rFonts w:ascii="Times New Roman" w:hAnsi="Times New Roman" w:cs="Times New Roman"/>
        </w:rPr>
        <w:t>.</w:t>
      </w:r>
      <w:r w:rsidR="005F110F" w:rsidRPr="003A41B3">
        <w:rPr>
          <w:rFonts w:ascii="Times New Roman" w:hAnsi="Times New Roman" w:cs="Times New Roman"/>
        </w:rPr>
        <w:t xml:space="preserve"> </w:t>
      </w:r>
      <w:r w:rsidR="00701800" w:rsidRPr="003A41B3">
        <w:rPr>
          <w:rFonts w:ascii="Times New Roman" w:hAnsi="Times New Roman" w:cs="Times New Roman"/>
        </w:rPr>
        <w:t xml:space="preserve">We </w:t>
      </w:r>
      <w:r w:rsidR="00A61EB6" w:rsidRPr="003A41B3">
        <w:rPr>
          <w:rFonts w:ascii="Times New Roman" w:hAnsi="Times New Roman" w:cs="Times New Roman"/>
        </w:rPr>
        <w:t xml:space="preserve">apply the quasi-experimental design </w:t>
      </w:r>
      <w:r w:rsidR="00585317" w:rsidRPr="003A41B3">
        <w:rPr>
          <w:rFonts w:ascii="Times New Roman" w:hAnsi="Times New Roman" w:cs="Times New Roman"/>
        </w:rPr>
        <w:t>of</w:t>
      </w:r>
      <w:r w:rsidR="00A61EB6" w:rsidRPr="003A41B3">
        <w:rPr>
          <w:rFonts w:ascii="Times New Roman" w:hAnsi="Times New Roman" w:cs="Times New Roman"/>
        </w:rPr>
        <w:t xml:space="preserve"> difference-in-difference</w:t>
      </w:r>
      <w:r w:rsidR="00585317" w:rsidRPr="003A41B3">
        <w:rPr>
          <w:rFonts w:ascii="Times New Roman" w:hAnsi="Times New Roman" w:cs="Times New Roman"/>
        </w:rPr>
        <w:t>s</w:t>
      </w:r>
      <w:r w:rsidR="00A61EB6" w:rsidRPr="003A41B3">
        <w:rPr>
          <w:rFonts w:ascii="Times New Roman" w:hAnsi="Times New Roman" w:cs="Times New Roman"/>
        </w:rPr>
        <w:t xml:space="preserve"> estimation, where</w:t>
      </w:r>
      <w:r w:rsidR="0048567D" w:rsidRPr="003A41B3">
        <w:rPr>
          <w:rFonts w:ascii="Times New Roman" w:hAnsi="Times New Roman" w:cs="Times New Roman"/>
        </w:rPr>
        <w:t xml:space="preserve"> we focus on the differences arising between the treatment and control groups</w:t>
      </w:r>
      <w:r w:rsidR="00427DB4" w:rsidRPr="003A41B3">
        <w:rPr>
          <w:rFonts w:ascii="Times New Roman" w:hAnsi="Times New Roman" w:cs="Times New Roman"/>
        </w:rPr>
        <w:t>, as follows</w:t>
      </w:r>
      <w:bookmarkEnd w:id="36"/>
      <w:r w:rsidR="00427DB4" w:rsidRPr="003A41B3">
        <w:rPr>
          <w:rFonts w:ascii="Times New Roman" w:hAnsi="Times New Roman" w:cs="Times New Roman"/>
        </w:rPr>
        <w:t>:</w:t>
      </w:r>
      <w:bookmarkEnd w:id="37"/>
    </w:p>
    <w:p w14:paraId="18E84463" w14:textId="708B8C73" w:rsidR="000D1278" w:rsidRPr="003A41B3" w:rsidRDefault="0088760E" w:rsidP="000D1278">
      <w:pPr>
        <w:pStyle w:val="ListParagraph"/>
        <w:tabs>
          <w:tab w:val="left" w:pos="284"/>
        </w:tabs>
        <w:spacing w:before="200" w:line="360" w:lineRule="auto"/>
        <w:ind w:left="0"/>
        <w:contextualSpacing w:val="0"/>
        <w:jc w:val="left"/>
        <w:rPr>
          <w:rFonts w:ascii="Times New Roman" w:hAnsi="Times New Roman" w:cs="Times New Roman"/>
          <w:szCs w:val="24"/>
        </w:rPr>
      </w:pPr>
      <m:oMathPara>
        <m:oMath>
          <m:r>
            <w:rPr>
              <w:rFonts w:ascii="Cambria Math" w:eastAsia="Calibri" w:hAnsi="Cambria Math" w:cs="Times New Roman"/>
            </w:rPr>
            <m:t>Δ</m:t>
          </m:r>
          <m:r>
            <m:rPr>
              <m:nor/>
            </m:rPr>
            <w:rPr>
              <w:rFonts w:ascii="Times New Roman" w:eastAsia="Calibri" w:hAnsi="Times New Roman" w:cs="Times New Roman"/>
            </w:rPr>
            <m:t>Yiel</m:t>
          </m:r>
          <m:sSub>
            <m:sSubPr>
              <m:ctrlPr>
                <w:rPr>
                  <w:rFonts w:ascii="Cambria Math" w:eastAsia="Calibri" w:hAnsi="Cambria Math" w:cs="Times New Roman"/>
                </w:rPr>
              </m:ctrlPr>
            </m:sSubPr>
            <m:e>
              <m:r>
                <m:rPr>
                  <m:nor/>
                </m:rPr>
                <w:rPr>
                  <w:rFonts w:ascii="Times New Roman" w:eastAsia="Calibri" w:hAnsi="Times New Roman" w:cs="Times New Roman"/>
                </w:rPr>
                <m:t>d</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1</m:t>
              </m:r>
            </m:sub>
          </m:sSub>
          <m:r>
            <w:rPr>
              <w:rFonts w:ascii="Cambria Math" w:eastAsia="Calibri" w:hAnsi="Cambria Math" w:cs="Times New Roman"/>
            </w:rPr>
            <m:t>(Δ</m:t>
          </m:r>
          <m:r>
            <m:rPr>
              <m:nor/>
            </m:rPr>
            <w:rPr>
              <w:rFonts w:ascii="Times New Roman" w:eastAsia="Calibri" w:hAnsi="Times New Roman" w:cs="Times New Roman"/>
            </w:rPr>
            <m:t>Rating*EEB</m:t>
          </m:r>
          <m:sSub>
            <m:sSubPr>
              <m:ctrlPr>
                <w:rPr>
                  <w:rFonts w:ascii="Cambria Math" w:eastAsia="Calibri" w:hAnsi="Cambria Math" w:cs="Times New Roman"/>
                </w:rPr>
              </m:ctrlPr>
            </m:sSubPr>
            <m:e>
              <m:r>
                <m:rPr>
                  <m:sty m:val="p"/>
                </m:rPr>
                <w:rPr>
                  <w:rFonts w:ascii="Cambria Math" w:eastAsia="Calibri" w:hAnsi="Cambria Math" w:cs="Times New Roman"/>
                </w:rPr>
                <m:t>)</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2</m:t>
              </m:r>
            </m:sub>
          </m:sSub>
          <m:r>
            <w:rPr>
              <w:rFonts w:ascii="Cambria Math" w:eastAsia="Calibri" w:hAnsi="Cambria Math" w:cs="Times New Roman"/>
            </w:rPr>
            <m:t>(Δ</m:t>
          </m:r>
          <m:r>
            <m:rPr>
              <m:nor/>
            </m:rPr>
            <w:rPr>
              <w:rFonts w:ascii="Times New Roman" w:eastAsia="Calibri" w:hAnsi="Times New Roman" w:cs="Times New Roman"/>
            </w:rPr>
            <m:t>Rating*EUB</m:t>
          </m:r>
          <m:sSub>
            <m:sSubPr>
              <m:ctrlPr>
                <w:rPr>
                  <w:rFonts w:ascii="Cambria Math" w:eastAsia="Calibri" w:hAnsi="Cambria Math" w:cs="Times New Roman"/>
                </w:rPr>
              </m:ctrlPr>
            </m:sSubPr>
            <m:e>
              <m:r>
                <m:rPr>
                  <m:sty m:val="p"/>
                </m:rPr>
                <w:rPr>
                  <w:rFonts w:ascii="Cambria Math" w:eastAsia="Calibri" w:hAnsi="Cambria Math" w:cs="Times New Roman"/>
                </w:rPr>
                <m:t>)</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3</m:t>
              </m:r>
            </m:sub>
          </m:sSub>
          <m:r>
            <w:rPr>
              <w:rFonts w:ascii="Cambria Math" w:eastAsia="Calibri" w:hAnsi="Cambria Math" w:cs="Times New Roman"/>
            </w:rPr>
            <m:t>(Δ</m:t>
          </m:r>
          <m:r>
            <m:rPr>
              <m:nor/>
            </m:rPr>
            <w:rPr>
              <w:rFonts w:ascii="Times New Roman" w:eastAsia="Calibri" w:hAnsi="Times New Roman" w:cs="Times New Roman"/>
            </w:rPr>
            <m:t>Rating*EE</m:t>
          </m:r>
          <m:sSub>
            <m:sSubPr>
              <m:ctrlPr>
                <w:rPr>
                  <w:rFonts w:ascii="Cambria Math" w:eastAsia="Calibri" w:hAnsi="Cambria Math" w:cs="Times New Roman"/>
                </w:rPr>
              </m:ctrlPr>
            </m:sSubPr>
            <m:e>
              <m:r>
                <m:rPr>
                  <m:sty m:val="p"/>
                </m:rPr>
                <w:rPr>
                  <w:rFonts w:ascii="Cambria Math" w:eastAsia="Calibri" w:hAnsi="Cambria Math" w:cs="Times New Roman"/>
                </w:rPr>
                <m:t>)</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r>
            <m:rPr>
              <m:sty m:val="p"/>
            </m:rPr>
            <w:rPr>
              <w:rFonts w:ascii="Cambria Math" w:eastAsia="Calibri" w:hAnsi="Cambria Math" w:cs="Times New Roman"/>
            </w:rPr>
            <w:br/>
          </m:r>
        </m:oMath>
      </m:oMathPara>
      <m:oMath>
        <m:sSub>
          <m:sSubPr>
            <m:ctrlPr>
              <w:rPr>
                <w:rFonts w:ascii="Cambria Math" w:eastAsia="Calibri" w:hAnsi="Cambria Math" w:cs="Times New Roman"/>
                <w:i/>
              </w:rPr>
            </m:ctrlPr>
          </m:sSubPr>
          <m:e>
            <m:r>
              <w:rPr>
                <w:rFonts w:ascii="Cambria Math" w:eastAsia="Calibri" w:hAnsi="Cambria Math" w:cs="Times New Roman"/>
              </w:rPr>
              <m:t xml:space="preserve">                                  β</m:t>
            </m:r>
          </m:e>
          <m:sub>
            <m:r>
              <w:rPr>
                <w:rFonts w:ascii="Cambria Math" w:eastAsia="Calibri" w:hAnsi="Cambria Math" w:cs="Times New Roman"/>
              </w:rPr>
              <m:t>4</m:t>
            </m:r>
          </m:sub>
        </m:sSub>
        <m:r>
          <w:rPr>
            <w:rFonts w:ascii="Cambria Math" w:eastAsia="Calibri" w:hAnsi="Cambria Math" w:cs="Times New Roman"/>
          </w:rPr>
          <m:t>(Δ</m:t>
        </m:r>
        <m:r>
          <m:rPr>
            <m:nor/>
          </m:rPr>
          <w:rPr>
            <w:rFonts w:ascii="Times New Roman" w:eastAsia="Calibri" w:hAnsi="Times New Roman" w:cs="Times New Roman"/>
          </w:rPr>
          <m:t>Rating*EU</m:t>
        </m:r>
        <m:sSub>
          <m:sSubPr>
            <m:ctrlPr>
              <w:rPr>
                <w:rFonts w:ascii="Cambria Math" w:eastAsia="Calibri" w:hAnsi="Cambria Math" w:cs="Times New Roman"/>
              </w:rPr>
            </m:ctrlPr>
          </m:sSubPr>
          <m:e>
            <m:r>
              <m:rPr>
                <m:sty m:val="p"/>
              </m:rPr>
              <w:rPr>
                <w:rFonts w:ascii="Cambria Math" w:eastAsia="Calibri" w:hAnsi="Cambria Math" w:cs="Times New Roman"/>
              </w:rPr>
              <m:t>)</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5</m:t>
            </m:r>
          </m:sub>
        </m:sSub>
        <m:r>
          <m:rPr>
            <m:nor/>
          </m:rPr>
          <w:rPr>
            <w:rFonts w:ascii="Times New Roman" w:eastAsia="Calibri" w:hAnsi="Times New Roman" w:cs="Times New Roman"/>
          </w:rPr>
          <m:t>Rating5</m:t>
        </m:r>
        <m:sSub>
          <m:sSubPr>
            <m:ctrlPr>
              <w:rPr>
                <w:rFonts w:ascii="Cambria Math" w:eastAsia="Calibri" w:hAnsi="Cambria Math" w:cs="Times New Roman"/>
              </w:rPr>
            </m:ctrlPr>
          </m:sSubPr>
          <m:e>
            <m:r>
              <m:rPr>
                <m:nor/>
              </m:rPr>
              <w:rPr>
                <w:rFonts w:ascii="Times New Roman" w:eastAsia="Calibri" w:hAnsi="Times New Roman" w:cs="Times New Roman"/>
              </w:rPr>
              <m:t>8</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β</m:t>
            </m:r>
          </m:e>
          <m:sub>
            <m:r>
              <w:rPr>
                <w:rFonts w:ascii="Cambria Math" w:eastAsia="Calibri" w:hAnsi="Cambria Math" w:cs="Times New Roman"/>
              </w:rPr>
              <m:t>6</m:t>
            </m:r>
          </m:sub>
        </m:sSub>
        <m:r>
          <m:rPr>
            <m:nor/>
          </m:rPr>
          <w:rPr>
            <w:rFonts w:ascii="Times New Roman" w:eastAsia="Calibri" w:hAnsi="Times New Roman" w:cs="Times New Roman"/>
          </w:rPr>
          <m:t>Maturit</m:t>
        </m:r>
        <m:sSub>
          <m:sSubPr>
            <m:ctrlPr>
              <w:rPr>
                <w:rFonts w:ascii="Cambria Math" w:eastAsia="Calibri" w:hAnsi="Cambria Math" w:cs="Times New Roman"/>
              </w:rPr>
            </m:ctrlPr>
          </m:sSubPr>
          <m:e>
            <m:r>
              <m:rPr>
                <m:nor/>
              </m:rPr>
              <w:rPr>
                <w:rFonts w:ascii="Times New Roman" w:eastAsia="Calibri" w:hAnsi="Times New Roman" w:cs="Times New Roman"/>
              </w:rPr>
              <m:t>y</m:t>
            </m:r>
          </m:e>
          <m:sub>
            <m:r>
              <w:rPr>
                <w:rFonts w:ascii="Cambria Math" w:eastAsia="Calibri" w:hAnsi="Cambria Math" w:cs="Times New Roman"/>
              </w:rPr>
              <m:t>i,t</m:t>
            </m:r>
            <m:ctrlPr>
              <w:rPr>
                <w:rFonts w:ascii="Cambria Math" w:eastAsia="Calibri" w:hAnsi="Cambria Math" w:cs="Times New Roman"/>
                <w:i/>
              </w:rPr>
            </m:ctrlP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λ</m:t>
            </m:r>
          </m:e>
          <m:sub>
            <m:r>
              <w:rPr>
                <w:rFonts w:ascii="Cambria Math" w:eastAsia="Calibri" w:hAnsi="Cambria Math" w:cs="Times New Roman"/>
              </w:rPr>
              <m:t>1</m:t>
            </m:r>
          </m:sub>
        </m:sSub>
        <m:r>
          <m:rPr>
            <m:nor/>
          </m:rPr>
          <w:rPr>
            <w:rFonts w:ascii="Times New Roman" w:eastAsia="Calibri" w:hAnsi="Times New Roman" w:cs="Times New Roman"/>
          </w:rPr>
          <m:t>CF</m:t>
        </m:r>
        <m:r>
          <m:rPr>
            <m:sty m:val="p"/>
          </m:rPr>
          <w:rPr>
            <w:rFonts w:ascii="Cambria Math" w:eastAsia="Calibri" w:hAnsi="Cambria Math" w:cs="Times New Roman"/>
          </w:rPr>
          <m:t>+</m:t>
        </m:r>
        <m:sSub>
          <m:sSubPr>
            <m:ctrlPr>
              <w:rPr>
                <w:rFonts w:ascii="Cambria Math" w:eastAsia="Calibri" w:hAnsi="Cambria Math" w:cs="Times New Roman"/>
              </w:rPr>
            </m:ctrlPr>
          </m:sSubPr>
          <m:e>
            <m:r>
              <w:rPr>
                <w:rFonts w:ascii="Cambria Math" w:eastAsia="Calibri" w:hAnsi="Cambria Math" w:cs="Times New Roman"/>
              </w:rPr>
              <m:t>ε</m:t>
            </m:r>
          </m:e>
          <m:sub>
            <m:r>
              <w:rPr>
                <w:rFonts w:ascii="Cambria Math" w:eastAsia="Calibri" w:hAnsi="Cambria Math" w:cs="Times New Roman"/>
              </w:rPr>
              <m:t>i,t</m:t>
            </m:r>
            <m:ctrlPr>
              <w:rPr>
                <w:rFonts w:ascii="Cambria Math" w:eastAsia="Calibri" w:hAnsi="Cambria Math" w:cs="Times New Roman"/>
                <w:i/>
              </w:rPr>
            </m:ctrlPr>
          </m:sub>
        </m:sSub>
      </m:oMath>
      <w:r w:rsidRPr="003A41B3">
        <w:rPr>
          <w:rFonts w:ascii="Times New Roman" w:hAnsi="Times New Roman" w:cs="Times New Roman"/>
          <w:szCs w:val="24"/>
        </w:rPr>
        <w:t xml:space="preserve">        (3)    </w:t>
      </w:r>
      <w:r w:rsidR="007E7B9C" w:rsidRPr="003A41B3">
        <w:rPr>
          <w:rFonts w:ascii="Times New Roman" w:hAnsi="Times New Roman" w:cs="Times New Roman"/>
          <w:szCs w:val="24"/>
        </w:rPr>
        <w:t xml:space="preserve">                    </w:t>
      </w:r>
      <w:r w:rsidR="000D1278" w:rsidRPr="003A41B3">
        <w:rPr>
          <w:rFonts w:ascii="Times New Roman" w:hAnsi="Times New Roman" w:cs="Times New Roman"/>
          <w:szCs w:val="24"/>
        </w:rPr>
        <w:t xml:space="preserve">                              </w:t>
      </w:r>
    </w:p>
    <w:p w14:paraId="23597444" w14:textId="61A8A656" w:rsidR="00127586" w:rsidRPr="003A41B3" w:rsidRDefault="000D1278" w:rsidP="007B0CD5">
      <w:pPr>
        <w:pStyle w:val="ListParagraph"/>
        <w:tabs>
          <w:tab w:val="left" w:pos="284"/>
        </w:tabs>
        <w:spacing w:before="120" w:after="120" w:line="480" w:lineRule="auto"/>
        <w:ind w:left="0"/>
        <w:contextualSpacing w:val="0"/>
        <w:rPr>
          <w:rFonts w:ascii="Times New Roman" w:hAnsi="Times New Roman" w:cs="Times New Roman"/>
        </w:rPr>
      </w:pPr>
      <w:r w:rsidRPr="003A41B3">
        <w:rPr>
          <w:rFonts w:ascii="Times New Roman" w:hAnsi="Times New Roman" w:cs="Times New Roman"/>
          <w:szCs w:val="24"/>
        </w:rPr>
        <w:tab/>
      </w:r>
      <w:r w:rsidR="0077326D" w:rsidRPr="003A41B3">
        <w:rPr>
          <w:rFonts w:ascii="Times New Roman" w:hAnsi="Times New Roman" w:cs="Times New Roman"/>
          <w:i/>
        </w:rPr>
        <w:t>EEB</w:t>
      </w:r>
      <w:r w:rsidR="0077326D" w:rsidRPr="003A41B3">
        <w:rPr>
          <w:rFonts w:ascii="Times New Roman" w:hAnsi="Times New Roman" w:cs="Times New Roman"/>
        </w:rPr>
        <w:t xml:space="preserve"> (‘EE’ Before) </w:t>
      </w:r>
      <w:r w:rsidR="001231D0" w:rsidRPr="003A41B3">
        <w:rPr>
          <w:rFonts w:ascii="Times New Roman" w:hAnsi="Times New Roman" w:cs="Times New Roman"/>
        </w:rPr>
        <w:t xml:space="preserve">is </w:t>
      </w:r>
      <w:r w:rsidR="0077326D" w:rsidRPr="003A41B3">
        <w:rPr>
          <w:rFonts w:ascii="Times New Roman" w:hAnsi="Times New Roman" w:cs="Times New Roman"/>
        </w:rPr>
        <w:t xml:space="preserve">equal to 1 during the </w:t>
      </w:r>
      <w:r w:rsidR="00020670" w:rsidRPr="003A41B3">
        <w:rPr>
          <w:rFonts w:ascii="Times New Roman" w:hAnsi="Times New Roman" w:cs="Times New Roman"/>
        </w:rPr>
        <w:t>pre</w:t>
      </w:r>
      <w:r w:rsidR="00C52BC4" w:rsidRPr="003A41B3">
        <w:rPr>
          <w:rFonts w:ascii="Times New Roman" w:hAnsi="Times New Roman" w:cs="Times New Roman"/>
        </w:rPr>
        <w:t>-</w:t>
      </w:r>
      <w:r w:rsidR="00692A41" w:rsidRPr="003A41B3">
        <w:rPr>
          <w:rFonts w:ascii="Times New Roman" w:hAnsi="Times New Roman" w:cs="Times New Roman"/>
        </w:rPr>
        <w:t>disclosure</w:t>
      </w:r>
      <w:r w:rsidR="0077326D" w:rsidRPr="003A41B3">
        <w:rPr>
          <w:rFonts w:ascii="Times New Roman" w:hAnsi="Times New Roman" w:cs="Times New Roman"/>
        </w:rPr>
        <w:t xml:space="preserve"> period for </w:t>
      </w:r>
      <w:r w:rsidR="00FC7BE9" w:rsidRPr="003A41B3">
        <w:rPr>
          <w:rFonts w:ascii="Times New Roman" w:hAnsi="Times New Roman" w:cs="Times New Roman"/>
        </w:rPr>
        <w:t>rating</w:t>
      </w:r>
      <w:r w:rsidR="0077326D" w:rsidRPr="003A41B3">
        <w:rPr>
          <w:rFonts w:ascii="Times New Roman" w:hAnsi="Times New Roman" w:cs="Times New Roman"/>
        </w:rPr>
        <w:t xml:space="preserve">s which have the ‘EE’ identifier in the </w:t>
      </w:r>
      <w:r w:rsidR="00C52BC4" w:rsidRPr="003A41B3">
        <w:rPr>
          <w:rFonts w:ascii="Times New Roman" w:hAnsi="Times New Roman" w:cs="Times New Roman"/>
        </w:rPr>
        <w:t>post-</w:t>
      </w:r>
      <w:r w:rsidR="004F15C8" w:rsidRPr="003A41B3">
        <w:rPr>
          <w:rFonts w:ascii="Times New Roman" w:hAnsi="Times New Roman" w:cs="Times New Roman"/>
        </w:rPr>
        <w:t>disclosure</w:t>
      </w:r>
      <w:r w:rsidR="0077326D" w:rsidRPr="003A41B3">
        <w:rPr>
          <w:rFonts w:ascii="Times New Roman" w:hAnsi="Times New Roman" w:cs="Times New Roman"/>
        </w:rPr>
        <w:t xml:space="preserve"> period</w:t>
      </w:r>
      <w:r w:rsidR="001D6632" w:rsidRPr="003A41B3">
        <w:rPr>
          <w:rFonts w:ascii="Times New Roman" w:hAnsi="Times New Roman" w:cs="Times New Roman"/>
        </w:rPr>
        <w:t>,</w:t>
      </w:r>
      <w:r w:rsidR="0077326D" w:rsidRPr="003A41B3">
        <w:rPr>
          <w:rFonts w:ascii="Times New Roman" w:hAnsi="Times New Roman" w:cs="Times New Roman"/>
        </w:rPr>
        <w:t xml:space="preserve"> </w:t>
      </w:r>
      <w:r w:rsidR="001D6632" w:rsidRPr="003A41B3">
        <w:rPr>
          <w:rFonts w:ascii="Times New Roman" w:hAnsi="Times New Roman" w:cs="Times New Roman"/>
        </w:rPr>
        <w:t xml:space="preserve">and </w:t>
      </w:r>
      <w:r w:rsidR="0077326D" w:rsidRPr="003A41B3">
        <w:rPr>
          <w:rFonts w:ascii="Times New Roman" w:hAnsi="Times New Roman" w:cs="Times New Roman"/>
        </w:rPr>
        <w:t xml:space="preserve">0 </w:t>
      </w:r>
      <w:r w:rsidR="001D6632" w:rsidRPr="003A41B3">
        <w:rPr>
          <w:rFonts w:ascii="Times New Roman" w:hAnsi="Times New Roman" w:cs="Times New Roman"/>
        </w:rPr>
        <w:t>otherwise</w:t>
      </w:r>
      <w:r w:rsidR="0077326D" w:rsidRPr="003A41B3">
        <w:rPr>
          <w:rFonts w:ascii="Times New Roman" w:hAnsi="Times New Roman" w:cs="Times New Roman"/>
        </w:rPr>
        <w:t xml:space="preserve">. </w:t>
      </w:r>
      <w:r w:rsidR="0077326D" w:rsidRPr="003A41B3">
        <w:rPr>
          <w:rFonts w:ascii="Times New Roman" w:hAnsi="Times New Roman" w:cs="Times New Roman"/>
          <w:i/>
        </w:rPr>
        <w:t>EUB</w:t>
      </w:r>
      <w:r w:rsidR="0077326D" w:rsidRPr="003A41B3">
        <w:rPr>
          <w:rFonts w:ascii="Times New Roman" w:hAnsi="Times New Roman" w:cs="Times New Roman"/>
        </w:rPr>
        <w:t xml:space="preserve"> (‘EU’ Before) </w:t>
      </w:r>
      <w:r w:rsidR="001231D0" w:rsidRPr="003A41B3">
        <w:rPr>
          <w:rFonts w:ascii="Times New Roman" w:hAnsi="Times New Roman" w:cs="Times New Roman"/>
        </w:rPr>
        <w:t xml:space="preserve">is </w:t>
      </w:r>
      <w:r w:rsidR="0077326D" w:rsidRPr="003A41B3">
        <w:rPr>
          <w:rFonts w:ascii="Times New Roman" w:hAnsi="Times New Roman" w:cs="Times New Roman"/>
        </w:rPr>
        <w:t xml:space="preserve">equal to 1 during the </w:t>
      </w:r>
      <w:r w:rsidR="00020670" w:rsidRPr="003A41B3">
        <w:rPr>
          <w:rFonts w:ascii="Times New Roman" w:hAnsi="Times New Roman" w:cs="Times New Roman"/>
        </w:rPr>
        <w:t>pre</w:t>
      </w:r>
      <w:r w:rsidR="00C52BC4" w:rsidRPr="003A41B3">
        <w:rPr>
          <w:rFonts w:ascii="Times New Roman" w:hAnsi="Times New Roman" w:cs="Times New Roman"/>
        </w:rPr>
        <w:t>-</w:t>
      </w:r>
      <w:r w:rsidR="00E322E1" w:rsidRPr="003A41B3">
        <w:rPr>
          <w:rFonts w:ascii="Times New Roman" w:hAnsi="Times New Roman" w:cs="Times New Roman"/>
        </w:rPr>
        <w:t>disclosure</w:t>
      </w:r>
      <w:r w:rsidR="0077326D" w:rsidRPr="003A41B3">
        <w:rPr>
          <w:rFonts w:ascii="Times New Roman" w:hAnsi="Times New Roman" w:cs="Times New Roman"/>
        </w:rPr>
        <w:t xml:space="preserve"> period for </w:t>
      </w:r>
      <w:r w:rsidR="00FC7BE9" w:rsidRPr="003A41B3">
        <w:rPr>
          <w:rFonts w:ascii="Times New Roman" w:hAnsi="Times New Roman" w:cs="Times New Roman"/>
        </w:rPr>
        <w:t>rating</w:t>
      </w:r>
      <w:r w:rsidR="0077326D" w:rsidRPr="003A41B3">
        <w:rPr>
          <w:rFonts w:ascii="Times New Roman" w:hAnsi="Times New Roman" w:cs="Times New Roman"/>
        </w:rPr>
        <w:t>s which have the ‘EU’ identifier</w:t>
      </w:r>
      <w:r w:rsidR="001D6632" w:rsidRPr="003A41B3">
        <w:rPr>
          <w:rFonts w:ascii="Times New Roman" w:hAnsi="Times New Roman" w:cs="Times New Roman"/>
        </w:rPr>
        <w:t xml:space="preserve"> in the </w:t>
      </w:r>
      <w:r w:rsidR="00C52BC4" w:rsidRPr="003A41B3">
        <w:rPr>
          <w:rFonts w:ascii="Times New Roman" w:hAnsi="Times New Roman" w:cs="Times New Roman"/>
        </w:rPr>
        <w:t>post-</w:t>
      </w:r>
      <w:r w:rsidR="00E322E1" w:rsidRPr="003A41B3">
        <w:rPr>
          <w:rFonts w:ascii="Times New Roman" w:hAnsi="Times New Roman" w:cs="Times New Roman"/>
        </w:rPr>
        <w:t>disclosure</w:t>
      </w:r>
      <w:r w:rsidR="001D6632" w:rsidRPr="003A41B3">
        <w:rPr>
          <w:rFonts w:ascii="Times New Roman" w:hAnsi="Times New Roman" w:cs="Times New Roman"/>
        </w:rPr>
        <w:t xml:space="preserve"> period, and 0 otherwise</w:t>
      </w:r>
      <w:r w:rsidR="0077326D" w:rsidRPr="003A41B3">
        <w:rPr>
          <w:rFonts w:ascii="Times New Roman" w:hAnsi="Times New Roman" w:cs="Times New Roman"/>
        </w:rPr>
        <w:t xml:space="preserve">. </w:t>
      </w:r>
      <w:r w:rsidR="00427DB4" w:rsidRPr="003A41B3">
        <w:rPr>
          <w:rFonts w:ascii="Times New Roman" w:hAnsi="Times New Roman" w:cs="Times New Roman"/>
        </w:rPr>
        <w:t>‘EE’ and ‘EU’</w:t>
      </w:r>
      <w:r w:rsidR="0077326D" w:rsidRPr="003A41B3">
        <w:rPr>
          <w:rFonts w:ascii="Times New Roman" w:hAnsi="Times New Roman" w:cs="Times New Roman"/>
        </w:rPr>
        <w:t xml:space="preserve"> are defined as</w:t>
      </w:r>
      <w:r w:rsidR="00427DB4" w:rsidRPr="003A41B3">
        <w:rPr>
          <w:rFonts w:ascii="Times New Roman" w:hAnsi="Times New Roman" w:cs="Times New Roman"/>
        </w:rPr>
        <w:t xml:space="preserve"> in Eq. (1b)</w:t>
      </w:r>
      <w:r w:rsidR="0077326D" w:rsidRPr="003A41B3">
        <w:rPr>
          <w:rFonts w:ascii="Times New Roman" w:hAnsi="Times New Roman" w:cs="Times New Roman"/>
        </w:rPr>
        <w:t>.</w:t>
      </w:r>
      <w:r w:rsidR="00427DB4" w:rsidRPr="003A41B3">
        <w:rPr>
          <w:rFonts w:ascii="Times New Roman" w:hAnsi="Times New Roman" w:cs="Times New Roman"/>
        </w:rPr>
        <w:t xml:space="preserve"> </w:t>
      </w:r>
      <w:r w:rsidR="00882592" w:rsidRPr="003A41B3">
        <w:rPr>
          <w:rFonts w:ascii="Times New Roman" w:hAnsi="Times New Roman" w:cs="Times New Roman"/>
        </w:rPr>
        <w:t>We assume</w:t>
      </w:r>
      <w:r w:rsidR="00427DB4" w:rsidRPr="003A41B3">
        <w:rPr>
          <w:rFonts w:ascii="Times New Roman" w:hAnsi="Times New Roman" w:cs="Times New Roman"/>
        </w:rPr>
        <w:t xml:space="preserve"> </w:t>
      </w:r>
      <w:r w:rsidR="001231D0" w:rsidRPr="003A41B3">
        <w:rPr>
          <w:rFonts w:ascii="Times New Roman" w:hAnsi="Times New Roman" w:cs="Times New Roman"/>
        </w:rPr>
        <w:t xml:space="preserve">that </w:t>
      </w:r>
      <w:r w:rsidR="0048306F" w:rsidRPr="003A41B3">
        <w:rPr>
          <w:rFonts w:ascii="Times New Roman" w:hAnsi="Times New Roman" w:cs="Times New Roman"/>
        </w:rPr>
        <w:t xml:space="preserve">the </w:t>
      </w:r>
      <w:r w:rsidR="00533C7E" w:rsidRPr="003A41B3">
        <w:rPr>
          <w:rFonts w:ascii="Times New Roman" w:hAnsi="Times New Roman" w:cs="Times New Roman"/>
        </w:rPr>
        <w:t xml:space="preserve">EU jurisdiction </w:t>
      </w:r>
      <w:r w:rsidR="001231D0" w:rsidRPr="003A41B3">
        <w:rPr>
          <w:rFonts w:ascii="Times New Roman" w:hAnsi="Times New Roman" w:cs="Times New Roman"/>
        </w:rPr>
        <w:t>is</w:t>
      </w:r>
      <w:r w:rsidR="00533C7E" w:rsidRPr="003A41B3">
        <w:rPr>
          <w:rFonts w:ascii="Times New Roman" w:hAnsi="Times New Roman" w:cs="Times New Roman"/>
        </w:rPr>
        <w:t xml:space="preserve"> constant (control group), while </w:t>
      </w:r>
      <w:r w:rsidR="00882592" w:rsidRPr="003A41B3">
        <w:rPr>
          <w:rFonts w:ascii="Times New Roman" w:hAnsi="Times New Roman" w:cs="Times New Roman"/>
        </w:rPr>
        <w:t xml:space="preserve">the </w:t>
      </w:r>
      <w:r w:rsidR="00533C7E" w:rsidRPr="003A41B3">
        <w:rPr>
          <w:rFonts w:ascii="Times New Roman" w:hAnsi="Times New Roman" w:cs="Times New Roman"/>
        </w:rPr>
        <w:t xml:space="preserve">treatment group is the endorsed group of </w:t>
      </w:r>
      <w:r w:rsidR="00FC7BE9" w:rsidRPr="003A41B3">
        <w:rPr>
          <w:rFonts w:ascii="Times New Roman" w:hAnsi="Times New Roman" w:cs="Times New Roman"/>
        </w:rPr>
        <w:t>rating</w:t>
      </w:r>
      <w:r w:rsidR="00533C7E" w:rsidRPr="003A41B3">
        <w:rPr>
          <w:rFonts w:ascii="Times New Roman" w:hAnsi="Times New Roman" w:cs="Times New Roman"/>
        </w:rPr>
        <w:t xml:space="preserve">s </w:t>
      </w:r>
      <w:r w:rsidR="001231D0" w:rsidRPr="003A41B3">
        <w:rPr>
          <w:rFonts w:ascii="Times New Roman" w:hAnsi="Times New Roman" w:cs="Times New Roman"/>
        </w:rPr>
        <w:t>following from</w:t>
      </w:r>
      <w:r w:rsidR="00533C7E" w:rsidRPr="003A41B3">
        <w:rPr>
          <w:rFonts w:ascii="Times New Roman" w:hAnsi="Times New Roman" w:cs="Times New Roman"/>
        </w:rPr>
        <w:t xml:space="preserve"> the regulatory </w:t>
      </w:r>
      <w:r w:rsidR="00FC7BE9" w:rsidRPr="003A41B3">
        <w:rPr>
          <w:rFonts w:ascii="Times New Roman" w:hAnsi="Times New Roman" w:cs="Times New Roman"/>
        </w:rPr>
        <w:t>action</w:t>
      </w:r>
      <w:r w:rsidR="00533C7E" w:rsidRPr="003A41B3">
        <w:rPr>
          <w:rFonts w:ascii="Times New Roman" w:hAnsi="Times New Roman" w:cs="Times New Roman"/>
        </w:rPr>
        <w:t xml:space="preserve"> (EE identifiers). </w:t>
      </w:r>
      <w:r w:rsidR="00427DB4" w:rsidRPr="003A41B3">
        <w:rPr>
          <w:rFonts w:ascii="Times New Roman" w:hAnsi="Times New Roman" w:cs="Times New Roman"/>
        </w:rPr>
        <w:t>We assume</w:t>
      </w:r>
      <w:r w:rsidR="00533C7E" w:rsidRPr="003A41B3">
        <w:rPr>
          <w:rFonts w:ascii="Times New Roman" w:hAnsi="Times New Roman" w:cs="Times New Roman"/>
        </w:rPr>
        <w:t xml:space="preserve"> that </w:t>
      </w:r>
      <w:r w:rsidR="00FC7BE9" w:rsidRPr="003A41B3">
        <w:rPr>
          <w:rFonts w:ascii="Times New Roman" w:hAnsi="Times New Roman" w:cs="Times New Roman"/>
        </w:rPr>
        <w:t>rating</w:t>
      </w:r>
      <w:r w:rsidR="0065501C" w:rsidRPr="003A41B3">
        <w:rPr>
          <w:rFonts w:ascii="Times New Roman" w:hAnsi="Times New Roman" w:cs="Times New Roman"/>
        </w:rPr>
        <w:t>s</w:t>
      </w:r>
      <w:r w:rsidR="00A00796" w:rsidRPr="003A41B3">
        <w:rPr>
          <w:rFonts w:ascii="Times New Roman" w:hAnsi="Times New Roman" w:cs="Times New Roman"/>
        </w:rPr>
        <w:t xml:space="preserve"> which have ‘EU’ identifiers in the </w:t>
      </w:r>
      <w:r w:rsidR="00C52BC4" w:rsidRPr="003A41B3">
        <w:rPr>
          <w:rFonts w:ascii="Times New Roman" w:hAnsi="Times New Roman" w:cs="Times New Roman"/>
        </w:rPr>
        <w:t>post-</w:t>
      </w:r>
      <w:r w:rsidR="00E322E1" w:rsidRPr="003A41B3">
        <w:rPr>
          <w:rFonts w:ascii="Times New Roman" w:hAnsi="Times New Roman" w:cs="Times New Roman"/>
        </w:rPr>
        <w:t>disclosure</w:t>
      </w:r>
      <w:r w:rsidR="00A00796" w:rsidRPr="003A41B3">
        <w:rPr>
          <w:rFonts w:ascii="Times New Roman" w:hAnsi="Times New Roman" w:cs="Times New Roman"/>
        </w:rPr>
        <w:t xml:space="preserve"> period already</w:t>
      </w:r>
      <w:r w:rsidR="00533C7E" w:rsidRPr="003A41B3">
        <w:rPr>
          <w:rFonts w:ascii="Times New Roman" w:hAnsi="Times New Roman" w:cs="Times New Roman"/>
        </w:rPr>
        <w:t xml:space="preserve"> had ratings issued within the EU in the </w:t>
      </w:r>
      <w:r w:rsidR="00FC7BE9" w:rsidRPr="003A41B3">
        <w:rPr>
          <w:rFonts w:ascii="Times New Roman" w:hAnsi="Times New Roman" w:cs="Times New Roman"/>
        </w:rPr>
        <w:t>pre</w:t>
      </w:r>
      <w:r w:rsidR="00C52BC4" w:rsidRPr="003A41B3">
        <w:rPr>
          <w:rFonts w:ascii="Times New Roman" w:hAnsi="Times New Roman" w:cs="Times New Roman"/>
        </w:rPr>
        <w:t>-</w:t>
      </w:r>
      <w:r w:rsidR="00E322E1" w:rsidRPr="003A41B3">
        <w:rPr>
          <w:rFonts w:ascii="Times New Roman" w:hAnsi="Times New Roman" w:cs="Times New Roman"/>
        </w:rPr>
        <w:t>disclosure</w:t>
      </w:r>
      <w:r w:rsidR="00533C7E" w:rsidRPr="003A41B3">
        <w:rPr>
          <w:rFonts w:ascii="Times New Roman" w:hAnsi="Times New Roman" w:cs="Times New Roman"/>
        </w:rPr>
        <w:t xml:space="preserve"> period. In the </w:t>
      </w:r>
      <w:r w:rsidR="00882592" w:rsidRPr="003A41B3">
        <w:rPr>
          <w:rFonts w:ascii="Times New Roman" w:hAnsi="Times New Roman" w:cs="Times New Roman"/>
        </w:rPr>
        <w:t xml:space="preserve">difference-in-differences </w:t>
      </w:r>
      <w:r w:rsidR="00533C7E" w:rsidRPr="003A41B3">
        <w:rPr>
          <w:rFonts w:ascii="Times New Roman" w:hAnsi="Times New Roman" w:cs="Times New Roman"/>
        </w:rPr>
        <w:t>terminology, the</w:t>
      </w:r>
      <w:r w:rsidR="00E924FC" w:rsidRPr="003A41B3">
        <w:rPr>
          <w:rFonts w:ascii="Times New Roman" w:hAnsi="Times New Roman" w:cs="Times New Roman"/>
        </w:rPr>
        <w:t>se ratings</w:t>
      </w:r>
      <w:r w:rsidR="00533C7E" w:rsidRPr="003A41B3">
        <w:rPr>
          <w:rFonts w:ascii="Times New Roman" w:hAnsi="Times New Roman" w:cs="Times New Roman"/>
        </w:rPr>
        <w:t xml:space="preserve"> are not ‘treated’ </w:t>
      </w:r>
      <w:r w:rsidR="00E924FC" w:rsidRPr="003A41B3">
        <w:rPr>
          <w:rFonts w:ascii="Times New Roman" w:hAnsi="Times New Roman" w:cs="Times New Roman"/>
        </w:rPr>
        <w:t>upon</w:t>
      </w:r>
      <w:r w:rsidR="0065501C" w:rsidRPr="003A41B3">
        <w:rPr>
          <w:rFonts w:ascii="Times New Roman" w:hAnsi="Times New Roman" w:cs="Times New Roman"/>
        </w:rPr>
        <w:t xml:space="preserve"> implementation of the identifiers regulation</w:t>
      </w:r>
      <w:r w:rsidR="00E924FC" w:rsidRPr="003A41B3">
        <w:rPr>
          <w:rFonts w:ascii="Times New Roman" w:hAnsi="Times New Roman" w:cs="Times New Roman"/>
        </w:rPr>
        <w:t>,</w:t>
      </w:r>
      <w:r w:rsidR="00533C7E" w:rsidRPr="003A41B3">
        <w:rPr>
          <w:rFonts w:ascii="Times New Roman" w:hAnsi="Times New Roman" w:cs="Times New Roman"/>
        </w:rPr>
        <w:t xml:space="preserve"> hence </w:t>
      </w:r>
      <w:r w:rsidR="00E924FC" w:rsidRPr="003A41B3">
        <w:rPr>
          <w:rFonts w:ascii="Times New Roman" w:hAnsi="Times New Roman" w:cs="Times New Roman"/>
        </w:rPr>
        <w:t xml:space="preserve">they </w:t>
      </w:r>
      <w:r w:rsidR="00533C7E" w:rsidRPr="003A41B3">
        <w:rPr>
          <w:rFonts w:ascii="Times New Roman" w:hAnsi="Times New Roman" w:cs="Times New Roman"/>
        </w:rPr>
        <w:t>act as a control gr</w:t>
      </w:r>
      <w:r w:rsidR="0065501C" w:rsidRPr="003A41B3">
        <w:rPr>
          <w:rFonts w:ascii="Times New Roman" w:hAnsi="Times New Roman" w:cs="Times New Roman"/>
        </w:rPr>
        <w:t xml:space="preserve">oup. </w:t>
      </w:r>
      <w:r w:rsidR="0065501C" w:rsidRPr="003A41B3">
        <w:rPr>
          <w:rFonts w:ascii="Times New Roman" w:hAnsi="Times New Roman" w:cs="Times New Roman"/>
        </w:rPr>
        <w:lastRenderedPageBreak/>
        <w:t>It is then assumed that</w:t>
      </w:r>
      <w:r w:rsidR="003F18F2" w:rsidRPr="003A41B3">
        <w:rPr>
          <w:rFonts w:ascii="Times New Roman" w:hAnsi="Times New Roman" w:cs="Times New Roman"/>
        </w:rPr>
        <w:t xml:space="preserve"> ratings </w:t>
      </w:r>
      <w:r w:rsidR="00A00796" w:rsidRPr="003A41B3">
        <w:rPr>
          <w:rFonts w:ascii="Times New Roman" w:hAnsi="Times New Roman" w:cs="Times New Roman"/>
        </w:rPr>
        <w:t xml:space="preserve">which have ‘EE’ identifiers in the </w:t>
      </w:r>
      <w:r w:rsidR="00C52BC4" w:rsidRPr="003A41B3">
        <w:rPr>
          <w:rFonts w:ascii="Times New Roman" w:hAnsi="Times New Roman" w:cs="Times New Roman"/>
        </w:rPr>
        <w:t>post-</w:t>
      </w:r>
      <w:r w:rsidR="00E322E1" w:rsidRPr="003A41B3">
        <w:rPr>
          <w:rFonts w:ascii="Times New Roman" w:hAnsi="Times New Roman" w:cs="Times New Roman"/>
        </w:rPr>
        <w:t>disclosure</w:t>
      </w:r>
      <w:r w:rsidR="00A00796" w:rsidRPr="003A41B3">
        <w:rPr>
          <w:rFonts w:ascii="Times New Roman" w:hAnsi="Times New Roman" w:cs="Times New Roman"/>
        </w:rPr>
        <w:t xml:space="preserve"> period</w:t>
      </w:r>
      <w:r w:rsidR="00533C7E" w:rsidRPr="003A41B3">
        <w:rPr>
          <w:rFonts w:ascii="Times New Roman" w:hAnsi="Times New Roman" w:cs="Times New Roman"/>
        </w:rPr>
        <w:t xml:space="preserve"> were issued outside the EU in the </w:t>
      </w:r>
      <w:r w:rsidR="0065501C" w:rsidRPr="003A41B3">
        <w:rPr>
          <w:rFonts w:ascii="Times New Roman" w:hAnsi="Times New Roman" w:cs="Times New Roman"/>
        </w:rPr>
        <w:t>pre</w:t>
      </w:r>
      <w:r w:rsidR="00C52BC4" w:rsidRPr="003A41B3">
        <w:rPr>
          <w:rFonts w:ascii="Times New Roman" w:hAnsi="Times New Roman" w:cs="Times New Roman"/>
        </w:rPr>
        <w:t>-</w:t>
      </w:r>
      <w:r w:rsidR="00E322E1" w:rsidRPr="003A41B3">
        <w:rPr>
          <w:rFonts w:ascii="Times New Roman" w:hAnsi="Times New Roman" w:cs="Times New Roman"/>
        </w:rPr>
        <w:t>disclosure</w:t>
      </w:r>
      <w:r w:rsidR="00533C7E" w:rsidRPr="003A41B3">
        <w:rPr>
          <w:rFonts w:ascii="Times New Roman" w:hAnsi="Times New Roman" w:cs="Times New Roman"/>
        </w:rPr>
        <w:t xml:space="preserve"> period. </w:t>
      </w:r>
      <w:r w:rsidR="00C84AFD" w:rsidRPr="003A41B3">
        <w:rPr>
          <w:rFonts w:ascii="Times New Roman" w:hAnsi="Times New Roman" w:cs="Times New Roman"/>
        </w:rPr>
        <w:t>Upon</w:t>
      </w:r>
      <w:r w:rsidR="0065501C" w:rsidRPr="003A41B3">
        <w:rPr>
          <w:rFonts w:ascii="Times New Roman" w:hAnsi="Times New Roman" w:cs="Times New Roman"/>
        </w:rPr>
        <w:t xml:space="preserve"> implementation of the identifiers regulation</w:t>
      </w:r>
      <w:r w:rsidR="00533C7E" w:rsidRPr="003A41B3">
        <w:rPr>
          <w:rFonts w:ascii="Times New Roman" w:hAnsi="Times New Roman" w:cs="Times New Roman"/>
        </w:rPr>
        <w:t xml:space="preserve">, these </w:t>
      </w:r>
      <w:r w:rsidR="00BC4473" w:rsidRPr="003A41B3">
        <w:rPr>
          <w:rFonts w:ascii="Times New Roman" w:hAnsi="Times New Roman" w:cs="Times New Roman"/>
        </w:rPr>
        <w:t>ratings</w:t>
      </w:r>
      <w:r w:rsidR="00533C7E" w:rsidRPr="003A41B3">
        <w:rPr>
          <w:rFonts w:ascii="Times New Roman" w:hAnsi="Times New Roman" w:cs="Times New Roman"/>
        </w:rPr>
        <w:t xml:space="preserve"> are ‘treated’ i.e. become subject to endorsement by the EU.</w:t>
      </w:r>
      <w:r w:rsidR="007B0CD5" w:rsidRPr="003A41B3">
        <w:rPr>
          <w:rFonts w:ascii="Times New Roman" w:hAnsi="Times New Roman" w:cs="Times New Roman"/>
        </w:rPr>
        <w:t xml:space="preserve"> </w:t>
      </w:r>
      <w:r w:rsidR="00616F09" w:rsidRPr="003A41B3">
        <w:rPr>
          <w:rFonts w:ascii="Times New Roman" w:hAnsi="Times New Roman" w:cs="Times New Roman"/>
        </w:rPr>
        <w:t>In t</w:t>
      </w:r>
      <w:r w:rsidR="004822FE" w:rsidRPr="003A41B3">
        <w:rPr>
          <w:rFonts w:ascii="Times New Roman" w:hAnsi="Times New Roman" w:cs="Times New Roman"/>
        </w:rPr>
        <w:t>his test</w:t>
      </w:r>
      <w:r w:rsidR="008F7C8D" w:rsidRPr="003A41B3">
        <w:rPr>
          <w:rFonts w:ascii="Times New Roman" w:hAnsi="Times New Roman" w:cs="Times New Roman"/>
        </w:rPr>
        <w:t>,</w:t>
      </w:r>
      <w:r w:rsidR="00DB718B" w:rsidRPr="003A41B3">
        <w:rPr>
          <w:rFonts w:ascii="Times New Roman" w:hAnsi="Times New Roman" w:cs="Times New Roman"/>
        </w:rPr>
        <w:t xml:space="preserve"> we investigate whether </w:t>
      </w:r>
      <w:r w:rsidR="0065501C" w:rsidRPr="003A41B3">
        <w:rPr>
          <w:rFonts w:ascii="Times New Roman" w:hAnsi="Times New Roman" w:cs="Times New Roman"/>
        </w:rPr>
        <w:t xml:space="preserve">the </w:t>
      </w:r>
      <w:r w:rsidR="00E322E1" w:rsidRPr="003A41B3">
        <w:rPr>
          <w:rFonts w:ascii="Times New Roman" w:hAnsi="Times New Roman" w:cs="Times New Roman"/>
        </w:rPr>
        <w:t>location of rating analyst</w:t>
      </w:r>
      <w:r w:rsidR="00616F09" w:rsidRPr="003A41B3">
        <w:rPr>
          <w:rFonts w:ascii="Times New Roman" w:hAnsi="Times New Roman" w:cs="Times New Roman"/>
        </w:rPr>
        <w:t xml:space="preserve"> affected sovereigns (EU </w:t>
      </w:r>
      <w:r w:rsidR="0065501C" w:rsidRPr="003A41B3">
        <w:rPr>
          <w:rFonts w:ascii="Times New Roman" w:hAnsi="Times New Roman" w:cs="Times New Roman"/>
        </w:rPr>
        <w:t xml:space="preserve">originated </w:t>
      </w:r>
      <w:r w:rsidR="00616F09" w:rsidRPr="003A41B3">
        <w:rPr>
          <w:rFonts w:ascii="Times New Roman" w:hAnsi="Times New Roman" w:cs="Times New Roman"/>
        </w:rPr>
        <w:t>vs EU endorsed) from both groups to a different extent.</w:t>
      </w:r>
      <w:r w:rsidR="0003689E" w:rsidRPr="003A41B3">
        <w:rPr>
          <w:rFonts w:ascii="Times New Roman" w:hAnsi="Times New Roman" w:cs="Times New Roman"/>
        </w:rPr>
        <w:t xml:space="preserve"> Specifically, we examine whether</w:t>
      </w:r>
      <w:r w:rsidR="00A04571" w:rsidRPr="003A41B3">
        <w:rPr>
          <w:rFonts w:ascii="Times New Roman" w:hAnsi="Times New Roman" w:cs="Times New Roman"/>
        </w:rPr>
        <w:t xml:space="preserve"> EU originated ratings </w:t>
      </w:r>
      <w:r w:rsidR="002040EB" w:rsidRPr="003A41B3">
        <w:rPr>
          <w:rFonts w:ascii="Times New Roman" w:hAnsi="Times New Roman" w:cs="Times New Roman"/>
        </w:rPr>
        <w:t xml:space="preserve">captured </w:t>
      </w:r>
      <w:r w:rsidR="00A04571" w:rsidRPr="003A41B3">
        <w:rPr>
          <w:rFonts w:ascii="Times New Roman" w:hAnsi="Times New Roman" w:cs="Times New Roman"/>
        </w:rPr>
        <w:t xml:space="preserve">via </w:t>
      </w:r>
      <w:r w:rsidR="00A04571" w:rsidRPr="003A41B3">
        <w:rPr>
          <w:rFonts w:ascii="Times New Roman" w:hAnsi="Times New Roman" w:cs="Times New Roman"/>
          <w:i/>
        </w:rPr>
        <w:t>∆Rating*EU</w:t>
      </w:r>
      <w:r w:rsidR="0003689E" w:rsidRPr="003A41B3">
        <w:rPr>
          <w:rFonts w:ascii="Times New Roman" w:hAnsi="Times New Roman" w:cs="Times New Roman"/>
        </w:rPr>
        <w:t xml:space="preserve"> are</w:t>
      </w:r>
      <w:r w:rsidR="00A04571" w:rsidRPr="003A41B3">
        <w:rPr>
          <w:rFonts w:ascii="Times New Roman" w:hAnsi="Times New Roman" w:cs="Times New Roman"/>
        </w:rPr>
        <w:t xml:space="preserve"> of higher or lower quality </w:t>
      </w:r>
      <w:r w:rsidR="00992C40" w:rsidRPr="003A41B3">
        <w:rPr>
          <w:rFonts w:ascii="Times New Roman" w:hAnsi="Times New Roman" w:cs="Times New Roman"/>
        </w:rPr>
        <w:t>than the</w:t>
      </w:r>
      <w:r w:rsidR="00A04571" w:rsidRPr="003A41B3">
        <w:rPr>
          <w:rFonts w:ascii="Times New Roman" w:hAnsi="Times New Roman" w:cs="Times New Roman"/>
        </w:rPr>
        <w:t xml:space="preserve"> EU endorsed ratings</w:t>
      </w:r>
      <w:r w:rsidR="00992C40" w:rsidRPr="003A41B3">
        <w:rPr>
          <w:rFonts w:ascii="Times New Roman" w:hAnsi="Times New Roman" w:cs="Times New Roman"/>
        </w:rPr>
        <w:t xml:space="preserve"> </w:t>
      </w:r>
      <w:r w:rsidR="002040EB" w:rsidRPr="003A41B3">
        <w:rPr>
          <w:rFonts w:ascii="Times New Roman" w:hAnsi="Times New Roman" w:cs="Times New Roman"/>
        </w:rPr>
        <w:t xml:space="preserve">captured </w:t>
      </w:r>
      <w:r w:rsidR="00992C40" w:rsidRPr="003A41B3">
        <w:rPr>
          <w:rFonts w:ascii="Times New Roman" w:hAnsi="Times New Roman" w:cs="Times New Roman"/>
        </w:rPr>
        <w:t xml:space="preserve">by </w:t>
      </w:r>
      <w:r w:rsidR="00A04571" w:rsidRPr="003A41B3">
        <w:rPr>
          <w:rFonts w:ascii="Times New Roman" w:hAnsi="Times New Roman" w:cs="Times New Roman"/>
          <w:i/>
        </w:rPr>
        <w:t>∆</w:t>
      </w:r>
      <w:r w:rsidR="0003689E" w:rsidRPr="003A41B3">
        <w:rPr>
          <w:rFonts w:ascii="Times New Roman" w:hAnsi="Times New Roman" w:cs="Times New Roman"/>
          <w:i/>
        </w:rPr>
        <w:t>Rating*EE</w:t>
      </w:r>
      <w:r w:rsidR="0003689E" w:rsidRPr="003A41B3">
        <w:rPr>
          <w:rFonts w:ascii="Times New Roman" w:hAnsi="Times New Roman" w:cs="Times New Roman"/>
        </w:rPr>
        <w:t>.</w:t>
      </w:r>
      <w:r w:rsidR="00BD3498" w:rsidRPr="003A41B3">
        <w:rPr>
          <w:rFonts w:ascii="Times New Roman" w:hAnsi="Times New Roman" w:cs="Times New Roman"/>
        </w:rPr>
        <w:t xml:space="preserve"> We consider rating events of higher quality if the interaction is negative (positive) and significant for positive (negative) events, and vice versa.</w:t>
      </w:r>
    </w:p>
    <w:p w14:paraId="4E087862" w14:textId="397F00E4" w:rsidR="007B0CD5" w:rsidRPr="003A41B3" w:rsidRDefault="007B0CD5" w:rsidP="00E82A20">
      <w:pPr>
        <w:pStyle w:val="ListParagraph"/>
        <w:tabs>
          <w:tab w:val="left" w:pos="284"/>
        </w:tabs>
        <w:spacing w:after="0" w:line="480" w:lineRule="auto"/>
        <w:ind w:left="0"/>
        <w:rPr>
          <w:rFonts w:ascii="Times New Roman" w:hAnsi="Times New Roman" w:cs="Times New Roman"/>
        </w:rPr>
      </w:pPr>
    </w:p>
    <w:p w14:paraId="3BA24C5C" w14:textId="484F4010" w:rsidR="006D330B" w:rsidRPr="003A41B3" w:rsidRDefault="006D330B" w:rsidP="00252A96">
      <w:pPr>
        <w:pStyle w:val="Heading1"/>
        <w:spacing w:before="0" w:line="480" w:lineRule="auto"/>
        <w:rPr>
          <w:rFonts w:cs="Times New Roman"/>
          <w:color w:val="auto"/>
        </w:rPr>
      </w:pPr>
      <w:r w:rsidRPr="003A41B3">
        <w:rPr>
          <w:rFonts w:cs="Times New Roman"/>
          <w:color w:val="auto"/>
        </w:rPr>
        <w:t xml:space="preserve">6. </w:t>
      </w:r>
      <w:r w:rsidR="0080071A" w:rsidRPr="003A41B3">
        <w:rPr>
          <w:rFonts w:cs="Times New Roman"/>
          <w:color w:val="auto"/>
        </w:rPr>
        <w:t xml:space="preserve">Empirical </w:t>
      </w:r>
      <w:r w:rsidR="0038668D" w:rsidRPr="003A41B3">
        <w:rPr>
          <w:rFonts w:cs="Times New Roman"/>
          <w:color w:val="auto"/>
        </w:rPr>
        <w:t>r</w:t>
      </w:r>
      <w:r w:rsidR="0080071A" w:rsidRPr="003A41B3">
        <w:rPr>
          <w:rFonts w:cs="Times New Roman"/>
          <w:color w:val="auto"/>
        </w:rPr>
        <w:t>esults</w:t>
      </w:r>
    </w:p>
    <w:p w14:paraId="5C583C6A" w14:textId="1C9852B8" w:rsidR="0001567C" w:rsidRPr="003A41B3" w:rsidRDefault="0001567C" w:rsidP="00252A96">
      <w:pPr>
        <w:pStyle w:val="Heading2"/>
        <w:spacing w:before="0" w:line="480" w:lineRule="auto"/>
        <w:rPr>
          <w:rFonts w:cs="Times New Roman"/>
        </w:rPr>
      </w:pPr>
      <w:r w:rsidRPr="003A41B3">
        <w:rPr>
          <w:rFonts w:cs="Times New Roman"/>
        </w:rPr>
        <w:t xml:space="preserve">6.1. Main </w:t>
      </w:r>
      <w:r w:rsidR="0038668D" w:rsidRPr="003A41B3">
        <w:rPr>
          <w:rFonts w:cs="Times New Roman"/>
        </w:rPr>
        <w:t>e</w:t>
      </w:r>
      <w:r w:rsidR="0080071A" w:rsidRPr="003A41B3">
        <w:rPr>
          <w:rFonts w:cs="Times New Roman"/>
        </w:rPr>
        <w:t xml:space="preserve">stimation </w:t>
      </w:r>
      <w:r w:rsidR="0038668D" w:rsidRPr="003A41B3">
        <w:rPr>
          <w:rFonts w:cs="Times New Roman"/>
        </w:rPr>
        <w:t>r</w:t>
      </w:r>
      <w:r w:rsidR="0080071A" w:rsidRPr="003A41B3">
        <w:rPr>
          <w:rFonts w:cs="Times New Roman"/>
        </w:rPr>
        <w:t>esults</w:t>
      </w:r>
    </w:p>
    <w:p w14:paraId="301BC0CE" w14:textId="1747201D" w:rsidR="00310A01" w:rsidRPr="003A41B3" w:rsidRDefault="009463B0" w:rsidP="00F829CE">
      <w:pPr>
        <w:tabs>
          <w:tab w:val="left" w:pos="284"/>
        </w:tabs>
        <w:spacing w:line="480" w:lineRule="auto"/>
        <w:jc w:val="both"/>
        <w:rPr>
          <w:rFonts w:eastAsia="Times New Roman"/>
          <w:szCs w:val="18"/>
          <w:lang w:eastAsia="en-GB"/>
        </w:rPr>
      </w:pPr>
      <w:r w:rsidRPr="003A41B3">
        <w:tab/>
      </w:r>
      <w:bookmarkStart w:id="38" w:name="_Hlk4677337"/>
      <w:r w:rsidR="001718F2" w:rsidRPr="003A41B3">
        <w:t>Table 3 presents the results of Eq. (1a), which examines the first research question, and Eq. (1b), which examines the second research question</w:t>
      </w:r>
      <w:r w:rsidR="00DB13BB" w:rsidRPr="003A41B3">
        <w:t>,</w:t>
      </w:r>
      <w:bookmarkEnd w:id="38"/>
      <w:r w:rsidR="0046156B" w:rsidRPr="003A41B3">
        <w:t xml:space="preserve"> </w:t>
      </w:r>
      <w:r w:rsidR="0012327A" w:rsidRPr="003A41B3">
        <w:t>by each</w:t>
      </w:r>
      <w:r w:rsidR="006B4E96" w:rsidRPr="003A41B3">
        <w:t xml:space="preserve"> CRA </w:t>
      </w:r>
      <w:r w:rsidR="0096293A" w:rsidRPr="003A41B3">
        <w:t>for</w:t>
      </w:r>
      <w:r w:rsidR="006B4E96" w:rsidRPr="003A41B3">
        <w:t xml:space="preserve"> positive</w:t>
      </w:r>
      <w:r w:rsidR="00882592" w:rsidRPr="003A41B3">
        <w:t xml:space="preserve"> event</w:t>
      </w:r>
      <w:r w:rsidR="0096293A" w:rsidRPr="003A41B3">
        <w:t xml:space="preserve">s in </w:t>
      </w:r>
      <w:r w:rsidR="0046156B" w:rsidRPr="003A41B3">
        <w:t xml:space="preserve">Panel </w:t>
      </w:r>
      <w:r w:rsidR="006B4E96" w:rsidRPr="003A41B3">
        <w:t xml:space="preserve">I and negative events </w:t>
      </w:r>
      <w:r w:rsidR="0096293A" w:rsidRPr="003A41B3">
        <w:t xml:space="preserve">in </w:t>
      </w:r>
      <w:r w:rsidR="0046156B" w:rsidRPr="003A41B3">
        <w:t xml:space="preserve">Panel </w:t>
      </w:r>
      <w:r w:rsidR="006B4E96" w:rsidRPr="003A41B3">
        <w:t>II.</w:t>
      </w:r>
      <w:r w:rsidR="00980619" w:rsidRPr="003A41B3">
        <w:t xml:space="preserve"> </w:t>
      </w:r>
      <w:r w:rsidR="008B6679" w:rsidRPr="003A41B3">
        <w:t>T</w:t>
      </w:r>
      <w:r w:rsidR="0046156B" w:rsidRPr="003A41B3">
        <w:t xml:space="preserve">he coefficient on </w:t>
      </w:r>
      <w:r w:rsidR="0046156B" w:rsidRPr="003A41B3">
        <w:rPr>
          <w:rFonts w:eastAsia="Times New Roman"/>
          <w:i/>
          <w:szCs w:val="18"/>
          <w:lang w:eastAsia="en-GB"/>
        </w:rPr>
        <w:t>∆Rating</w:t>
      </w:r>
      <w:r w:rsidR="0046156B" w:rsidRPr="003A41B3">
        <w:rPr>
          <w:rFonts w:eastAsia="Times New Roman"/>
          <w:szCs w:val="18"/>
          <w:lang w:eastAsia="en-GB"/>
        </w:rPr>
        <w:t xml:space="preserve"> </w:t>
      </w:r>
      <w:r w:rsidR="00D64B45" w:rsidRPr="003A41B3">
        <w:rPr>
          <w:rFonts w:eastAsia="Times New Roman"/>
          <w:szCs w:val="18"/>
          <w:lang w:eastAsia="en-GB"/>
        </w:rPr>
        <w:t xml:space="preserve">is significant with </w:t>
      </w:r>
      <w:r w:rsidR="008B6679" w:rsidRPr="003A41B3">
        <w:rPr>
          <w:rFonts w:eastAsia="Times New Roman"/>
          <w:szCs w:val="18"/>
          <w:lang w:eastAsia="en-GB"/>
        </w:rPr>
        <w:t>the expected</w:t>
      </w:r>
      <w:r w:rsidR="00B856C0" w:rsidRPr="003A41B3">
        <w:rPr>
          <w:rFonts w:eastAsia="Times New Roman"/>
          <w:szCs w:val="18"/>
          <w:lang w:eastAsia="en-GB"/>
        </w:rPr>
        <w:t xml:space="preserve"> sign </w:t>
      </w:r>
      <w:r w:rsidR="0065501C" w:rsidRPr="003A41B3">
        <w:rPr>
          <w:rFonts w:eastAsia="Times New Roman"/>
          <w:szCs w:val="18"/>
          <w:lang w:eastAsia="en-GB"/>
        </w:rPr>
        <w:t xml:space="preserve">for </w:t>
      </w:r>
      <w:r w:rsidR="001A24D8" w:rsidRPr="003A41B3">
        <w:rPr>
          <w:rFonts w:eastAsia="Times New Roman"/>
          <w:szCs w:val="18"/>
          <w:lang w:eastAsia="en-GB"/>
        </w:rPr>
        <w:t xml:space="preserve">S&amp;P </w:t>
      </w:r>
      <w:r w:rsidR="00062DB2" w:rsidRPr="003A41B3">
        <w:rPr>
          <w:rFonts w:eastAsia="Times New Roman"/>
          <w:szCs w:val="18"/>
          <w:lang w:eastAsia="en-GB"/>
        </w:rPr>
        <w:t>and Moody’s</w:t>
      </w:r>
      <w:r w:rsidR="00D64B45" w:rsidRPr="003A41B3">
        <w:rPr>
          <w:rFonts w:eastAsia="Times New Roman"/>
          <w:szCs w:val="18"/>
          <w:lang w:eastAsia="en-GB"/>
        </w:rPr>
        <w:t xml:space="preserve"> positive </w:t>
      </w:r>
      <w:r w:rsidR="00062DB2" w:rsidRPr="003A41B3">
        <w:rPr>
          <w:rFonts w:eastAsia="Times New Roman"/>
          <w:szCs w:val="18"/>
          <w:lang w:eastAsia="en-GB"/>
        </w:rPr>
        <w:t xml:space="preserve">events </w:t>
      </w:r>
      <w:r w:rsidR="00D64B45" w:rsidRPr="003A41B3">
        <w:rPr>
          <w:rFonts w:eastAsia="Times New Roman"/>
          <w:szCs w:val="18"/>
          <w:lang w:eastAsia="en-GB"/>
        </w:rPr>
        <w:t xml:space="preserve">and </w:t>
      </w:r>
      <w:r w:rsidR="00310A01" w:rsidRPr="003A41B3">
        <w:rPr>
          <w:rFonts w:eastAsia="Times New Roman"/>
          <w:szCs w:val="18"/>
          <w:lang w:eastAsia="en-GB"/>
        </w:rPr>
        <w:t xml:space="preserve">for </w:t>
      </w:r>
      <w:r w:rsidR="00062DB2" w:rsidRPr="003A41B3">
        <w:rPr>
          <w:rFonts w:eastAsia="Times New Roman"/>
          <w:szCs w:val="18"/>
          <w:lang w:eastAsia="en-GB"/>
        </w:rPr>
        <w:t>S&amp;P and Fitch</w:t>
      </w:r>
      <w:r w:rsidR="008E04C6" w:rsidRPr="003A41B3">
        <w:rPr>
          <w:rFonts w:eastAsia="Times New Roman"/>
          <w:szCs w:val="18"/>
          <w:lang w:eastAsia="en-GB"/>
        </w:rPr>
        <w:t xml:space="preserve"> negative events</w:t>
      </w:r>
      <w:r w:rsidR="00B856C0" w:rsidRPr="003A41B3">
        <w:rPr>
          <w:rFonts w:eastAsia="Times New Roman"/>
          <w:szCs w:val="18"/>
          <w:lang w:eastAsia="en-GB"/>
        </w:rPr>
        <w:t>.</w:t>
      </w:r>
      <w:r w:rsidR="008E04C6" w:rsidRPr="003A41B3">
        <w:rPr>
          <w:rFonts w:eastAsia="Times New Roman"/>
          <w:szCs w:val="18"/>
          <w:lang w:eastAsia="en-GB"/>
        </w:rPr>
        <w:t xml:space="preserve"> </w:t>
      </w:r>
      <w:r w:rsidR="00F84712" w:rsidRPr="003A41B3">
        <w:rPr>
          <w:rFonts w:eastAsia="Times New Roman"/>
          <w:szCs w:val="18"/>
          <w:lang w:eastAsia="en-GB"/>
        </w:rPr>
        <w:t xml:space="preserve">This indicates </w:t>
      </w:r>
      <w:r w:rsidR="006A4DF3" w:rsidRPr="003A41B3">
        <w:rPr>
          <w:rFonts w:eastAsia="Times New Roman"/>
          <w:szCs w:val="18"/>
          <w:lang w:eastAsia="en-GB"/>
        </w:rPr>
        <w:t xml:space="preserve">a strong </w:t>
      </w:r>
      <w:r w:rsidR="00882592" w:rsidRPr="003A41B3">
        <w:rPr>
          <w:rFonts w:eastAsia="Times New Roman"/>
          <w:szCs w:val="18"/>
          <w:lang w:eastAsia="en-GB"/>
        </w:rPr>
        <w:t xml:space="preserve">overall </w:t>
      </w:r>
      <w:r w:rsidR="0065501C" w:rsidRPr="003A41B3">
        <w:rPr>
          <w:rFonts w:eastAsia="Times New Roman"/>
          <w:szCs w:val="18"/>
          <w:lang w:eastAsia="en-GB"/>
        </w:rPr>
        <w:t>link between ratings and bond</w:t>
      </w:r>
      <w:r w:rsidR="006A4DF3" w:rsidRPr="003A41B3">
        <w:rPr>
          <w:rFonts w:eastAsia="Times New Roman"/>
          <w:szCs w:val="18"/>
          <w:lang w:eastAsia="en-GB"/>
        </w:rPr>
        <w:t xml:space="preserve"> spreads during the </w:t>
      </w:r>
      <w:r w:rsidR="009D50C2" w:rsidRPr="003A41B3">
        <w:rPr>
          <w:rFonts w:eastAsia="Times New Roman"/>
          <w:szCs w:val="18"/>
          <w:lang w:eastAsia="en-GB"/>
        </w:rPr>
        <w:t xml:space="preserve">pre-identifier </w:t>
      </w:r>
      <w:r w:rsidR="00310A01" w:rsidRPr="003A41B3">
        <w:rPr>
          <w:rFonts w:eastAsia="Times New Roman"/>
          <w:szCs w:val="18"/>
          <w:lang w:eastAsia="en-GB"/>
        </w:rPr>
        <w:t>period</w:t>
      </w:r>
      <w:r w:rsidR="006A4DF3" w:rsidRPr="003A41B3">
        <w:rPr>
          <w:rFonts w:eastAsia="Times New Roman"/>
          <w:szCs w:val="18"/>
          <w:lang w:eastAsia="en-GB"/>
        </w:rPr>
        <w:t>.</w:t>
      </w:r>
      <w:r w:rsidR="00F84712" w:rsidRPr="003A41B3">
        <w:rPr>
          <w:rFonts w:eastAsia="Times New Roman"/>
          <w:szCs w:val="18"/>
          <w:lang w:eastAsia="en-GB"/>
        </w:rPr>
        <w:t xml:space="preserve"> </w:t>
      </w:r>
      <w:r w:rsidR="00EA0DBE" w:rsidRPr="003A41B3">
        <w:rPr>
          <w:rFonts w:eastAsia="Times New Roman"/>
          <w:szCs w:val="18"/>
          <w:lang w:eastAsia="en-GB"/>
        </w:rPr>
        <w:t>As expected, t</w:t>
      </w:r>
      <w:r w:rsidR="008367FF" w:rsidRPr="003A41B3">
        <w:rPr>
          <w:rFonts w:eastAsia="Times New Roman"/>
          <w:szCs w:val="18"/>
          <w:lang w:eastAsia="en-GB"/>
        </w:rPr>
        <w:t xml:space="preserve">he effect of the </w:t>
      </w:r>
      <w:r w:rsidR="00033A2B" w:rsidRPr="003A41B3">
        <w:rPr>
          <w:rFonts w:eastAsia="Times New Roman"/>
          <w:szCs w:val="18"/>
          <w:lang w:eastAsia="en-GB"/>
        </w:rPr>
        <w:t xml:space="preserve">identifier </w:t>
      </w:r>
      <w:r w:rsidR="008367FF" w:rsidRPr="003A41B3">
        <w:rPr>
          <w:rFonts w:eastAsia="Times New Roman"/>
          <w:szCs w:val="18"/>
          <w:lang w:eastAsia="en-GB"/>
        </w:rPr>
        <w:t xml:space="preserve">on the quality of ratings </w:t>
      </w:r>
      <w:r w:rsidR="00310A01" w:rsidRPr="003A41B3">
        <w:rPr>
          <w:rFonts w:eastAsia="Times New Roman"/>
          <w:szCs w:val="18"/>
          <w:lang w:eastAsia="en-GB"/>
        </w:rPr>
        <w:t xml:space="preserve">reveals </w:t>
      </w:r>
      <w:r w:rsidR="0012327A" w:rsidRPr="003A41B3">
        <w:rPr>
          <w:rFonts w:eastAsia="Times New Roman"/>
          <w:szCs w:val="18"/>
          <w:lang w:eastAsia="en-GB"/>
        </w:rPr>
        <w:t>varying</w:t>
      </w:r>
      <w:r w:rsidR="008367FF" w:rsidRPr="003A41B3">
        <w:rPr>
          <w:rFonts w:eastAsia="Times New Roman"/>
          <w:szCs w:val="18"/>
          <w:lang w:eastAsia="en-GB"/>
        </w:rPr>
        <w:t xml:space="preserve"> results</w:t>
      </w:r>
      <w:r w:rsidR="0012327A" w:rsidRPr="003A41B3">
        <w:rPr>
          <w:rFonts w:eastAsia="Times New Roman"/>
          <w:szCs w:val="18"/>
          <w:lang w:eastAsia="en-GB"/>
        </w:rPr>
        <w:t xml:space="preserve"> across CRAs</w:t>
      </w:r>
      <w:r w:rsidR="008367FF" w:rsidRPr="003A41B3">
        <w:rPr>
          <w:rFonts w:eastAsia="Times New Roman"/>
          <w:szCs w:val="18"/>
          <w:lang w:eastAsia="en-GB"/>
        </w:rPr>
        <w:t xml:space="preserve">. </w:t>
      </w:r>
      <w:r w:rsidR="00E96457" w:rsidRPr="003A41B3">
        <w:rPr>
          <w:rFonts w:eastAsia="Times New Roman"/>
          <w:szCs w:val="18"/>
          <w:lang w:eastAsia="en-GB"/>
        </w:rPr>
        <w:t xml:space="preserve">Differing market impact by ratings from different CRAs has been found in </w:t>
      </w:r>
      <w:r w:rsidR="00327F52" w:rsidRPr="003A41B3">
        <w:rPr>
          <w:rFonts w:eastAsia="Times New Roman"/>
          <w:szCs w:val="18"/>
          <w:lang w:eastAsia="en-GB"/>
        </w:rPr>
        <w:t>prior</w:t>
      </w:r>
      <w:r w:rsidR="00E96457" w:rsidRPr="003A41B3">
        <w:rPr>
          <w:rFonts w:eastAsia="Times New Roman"/>
          <w:szCs w:val="18"/>
          <w:lang w:eastAsia="en-GB"/>
        </w:rPr>
        <w:t xml:space="preserve"> literature (</w:t>
      </w:r>
      <w:r w:rsidR="00327F52" w:rsidRPr="003A41B3">
        <w:rPr>
          <w:rFonts w:eastAsia="Times New Roman"/>
          <w:szCs w:val="18"/>
          <w:lang w:eastAsia="en-GB"/>
        </w:rPr>
        <w:t xml:space="preserve">e.g. </w:t>
      </w:r>
      <w:proofErr w:type="spellStart"/>
      <w:r w:rsidR="00C6350B" w:rsidRPr="003A41B3">
        <w:rPr>
          <w:szCs w:val="20"/>
        </w:rPr>
        <w:t>Arezki</w:t>
      </w:r>
      <w:proofErr w:type="spellEnd"/>
      <w:r w:rsidR="00C6350B" w:rsidRPr="003A41B3">
        <w:rPr>
          <w:szCs w:val="20"/>
        </w:rPr>
        <w:t xml:space="preserve"> et al., 2011; </w:t>
      </w:r>
      <w:proofErr w:type="spellStart"/>
      <w:r w:rsidR="005E0896" w:rsidRPr="003A41B3">
        <w:rPr>
          <w:rFonts w:eastAsia="Times New Roman"/>
          <w:szCs w:val="18"/>
          <w:lang w:eastAsia="en-GB"/>
        </w:rPr>
        <w:t>Bongaerts</w:t>
      </w:r>
      <w:proofErr w:type="spellEnd"/>
      <w:r w:rsidR="005E0896" w:rsidRPr="003A41B3">
        <w:rPr>
          <w:rFonts w:eastAsia="Times New Roman"/>
          <w:szCs w:val="18"/>
          <w:lang w:eastAsia="en-GB"/>
        </w:rPr>
        <w:t xml:space="preserve"> et al., 2012: </w:t>
      </w:r>
      <w:r w:rsidR="00613097" w:rsidRPr="003A41B3">
        <w:rPr>
          <w:rFonts w:eastAsia="Times New Roman"/>
          <w:szCs w:val="18"/>
          <w:lang w:eastAsia="en-GB"/>
        </w:rPr>
        <w:t>Livingston et al., 2010</w:t>
      </w:r>
      <w:r w:rsidR="00E96457" w:rsidRPr="003A41B3">
        <w:rPr>
          <w:rFonts w:eastAsia="Times New Roman"/>
          <w:szCs w:val="18"/>
          <w:lang w:eastAsia="en-GB"/>
        </w:rPr>
        <w:t>)</w:t>
      </w:r>
      <w:r w:rsidR="002121CA" w:rsidRPr="003A41B3">
        <w:rPr>
          <w:rFonts w:eastAsia="Times New Roman"/>
          <w:szCs w:val="18"/>
          <w:lang w:eastAsia="en-GB"/>
        </w:rPr>
        <w:t xml:space="preserve"> and </w:t>
      </w:r>
      <w:r w:rsidR="00E96457" w:rsidRPr="003A41B3">
        <w:rPr>
          <w:rFonts w:eastAsia="Times New Roman"/>
          <w:szCs w:val="18"/>
          <w:lang w:eastAsia="en-GB"/>
        </w:rPr>
        <w:t>relate</w:t>
      </w:r>
      <w:r w:rsidR="002121CA" w:rsidRPr="003A41B3">
        <w:rPr>
          <w:rFonts w:eastAsia="Times New Roman"/>
          <w:szCs w:val="18"/>
          <w:lang w:eastAsia="en-GB"/>
        </w:rPr>
        <w:t>s</w:t>
      </w:r>
      <w:r w:rsidR="00E96457" w:rsidRPr="003A41B3">
        <w:rPr>
          <w:rFonts w:eastAsia="Times New Roman"/>
          <w:szCs w:val="18"/>
          <w:lang w:eastAsia="en-GB"/>
        </w:rPr>
        <w:t xml:space="preserve"> to the fact that </w:t>
      </w:r>
      <w:r w:rsidR="002121CA" w:rsidRPr="003A41B3">
        <w:rPr>
          <w:rFonts w:eastAsia="Times New Roman"/>
          <w:lang w:eastAsia="en-GB"/>
        </w:rPr>
        <w:t>CRAs use different</w:t>
      </w:r>
      <w:r w:rsidR="00E96457" w:rsidRPr="003A41B3">
        <w:rPr>
          <w:rFonts w:eastAsia="Times New Roman"/>
          <w:lang w:eastAsia="en-GB"/>
        </w:rPr>
        <w:t xml:space="preserve"> methodologies</w:t>
      </w:r>
      <w:r w:rsidR="002121CA" w:rsidRPr="003A41B3">
        <w:rPr>
          <w:rFonts w:eastAsia="Times New Roman"/>
          <w:lang w:eastAsia="en-GB"/>
        </w:rPr>
        <w:t xml:space="preserve"> and assumptions </w:t>
      </w:r>
      <w:r w:rsidR="00272F06" w:rsidRPr="003A41B3">
        <w:rPr>
          <w:rFonts w:eastAsia="Times New Roman"/>
          <w:lang w:eastAsia="en-GB"/>
        </w:rPr>
        <w:t>(</w:t>
      </w:r>
      <w:r w:rsidR="00FA3E3A" w:rsidRPr="003A41B3">
        <w:rPr>
          <w:rFonts w:eastAsia="Times New Roman"/>
          <w:lang w:eastAsia="en-GB"/>
        </w:rPr>
        <w:t xml:space="preserve">e.g. </w:t>
      </w:r>
      <w:r w:rsidR="008B0B16" w:rsidRPr="003A41B3">
        <w:rPr>
          <w:rFonts w:eastAsia="Times New Roman"/>
          <w:lang w:eastAsia="en-GB"/>
        </w:rPr>
        <w:t>Afonso et al., 2012</w:t>
      </w:r>
      <w:r w:rsidR="00C32156" w:rsidRPr="003A41B3">
        <w:rPr>
          <w:rFonts w:eastAsia="Times New Roman"/>
          <w:lang w:eastAsia="en-GB"/>
        </w:rPr>
        <w:t xml:space="preserve">; </w:t>
      </w:r>
      <w:r w:rsidR="00C32156" w:rsidRPr="003A41B3">
        <w:rPr>
          <w:rFonts w:eastAsia="Times New Roman"/>
          <w:szCs w:val="18"/>
          <w:lang w:eastAsia="en-GB"/>
        </w:rPr>
        <w:t>Flynn and Ghent, 2018</w:t>
      </w:r>
      <w:r w:rsidR="00272F06" w:rsidRPr="003A41B3">
        <w:rPr>
          <w:rFonts w:eastAsia="Times New Roman"/>
          <w:lang w:eastAsia="en-GB"/>
        </w:rPr>
        <w:t>)</w:t>
      </w:r>
      <w:r w:rsidR="00E96457" w:rsidRPr="003A41B3">
        <w:rPr>
          <w:rFonts w:eastAsia="Times New Roman"/>
          <w:lang w:eastAsia="en-GB"/>
        </w:rPr>
        <w:t xml:space="preserve">. </w:t>
      </w:r>
      <w:r w:rsidR="00C32156" w:rsidRPr="003A41B3">
        <w:rPr>
          <w:rFonts w:eastAsia="Times New Roman"/>
          <w:lang w:eastAsia="en-GB"/>
        </w:rPr>
        <w:t>Additionally, CRAs apply different weights on different factors in their rating process</w:t>
      </w:r>
      <w:r w:rsidR="00F51218" w:rsidRPr="003A41B3">
        <w:rPr>
          <w:rFonts w:eastAsia="Times New Roman"/>
          <w:lang w:eastAsia="en-GB"/>
        </w:rPr>
        <w:t>es</w:t>
      </w:r>
      <w:r w:rsidR="00C32156" w:rsidRPr="003A41B3">
        <w:rPr>
          <w:rFonts w:eastAsia="Times New Roman"/>
          <w:lang w:eastAsia="en-GB"/>
        </w:rPr>
        <w:t xml:space="preserve">. </w:t>
      </w:r>
      <w:r w:rsidR="009C1858" w:rsidRPr="003A41B3">
        <w:rPr>
          <w:rFonts w:eastAsia="Times New Roman"/>
          <w:lang w:eastAsia="en-GB"/>
        </w:rPr>
        <w:t xml:space="preserve">These differences often lead to differences </w:t>
      </w:r>
      <w:r w:rsidR="004E001C" w:rsidRPr="003A41B3">
        <w:rPr>
          <w:rFonts w:eastAsia="Times New Roman"/>
          <w:lang w:eastAsia="en-GB"/>
        </w:rPr>
        <w:t>(</w:t>
      </w:r>
      <w:r w:rsidR="009C1858" w:rsidRPr="003A41B3">
        <w:rPr>
          <w:rFonts w:eastAsia="Times New Roman"/>
          <w:lang w:eastAsia="en-GB"/>
        </w:rPr>
        <w:t>in sovereign ratings) across CRAs.</w:t>
      </w:r>
      <w:r w:rsidR="00CB2A38" w:rsidRPr="003A41B3">
        <w:rPr>
          <w:rStyle w:val="FootnoteReference"/>
          <w:rFonts w:eastAsia="Times New Roman"/>
          <w:lang w:eastAsia="en-GB"/>
        </w:rPr>
        <w:footnoteReference w:id="16"/>
      </w:r>
      <w:r w:rsidR="009C1858" w:rsidRPr="003A41B3">
        <w:rPr>
          <w:rFonts w:eastAsia="Times New Roman"/>
          <w:lang w:eastAsia="en-GB"/>
        </w:rPr>
        <w:t xml:space="preserve"> The frequency of </w:t>
      </w:r>
      <w:r w:rsidR="00F51218" w:rsidRPr="003A41B3">
        <w:rPr>
          <w:rFonts w:eastAsia="Times New Roman"/>
          <w:lang w:eastAsia="en-GB"/>
        </w:rPr>
        <w:t>differences in CRA opinion (</w:t>
      </w:r>
      <w:r w:rsidR="009C1858" w:rsidRPr="003A41B3">
        <w:rPr>
          <w:rFonts w:eastAsia="Times New Roman"/>
          <w:lang w:eastAsia="en-GB"/>
        </w:rPr>
        <w:t>split ratings</w:t>
      </w:r>
      <w:r w:rsidR="00F51218" w:rsidRPr="003A41B3">
        <w:rPr>
          <w:rFonts w:eastAsia="Times New Roman"/>
          <w:lang w:eastAsia="en-GB"/>
        </w:rPr>
        <w:t>)</w:t>
      </w:r>
      <w:r w:rsidR="009C1858" w:rsidRPr="003A41B3">
        <w:rPr>
          <w:rFonts w:eastAsia="Times New Roman"/>
          <w:lang w:eastAsia="en-GB"/>
        </w:rPr>
        <w:t xml:space="preserve"> for sovereign debt has </w:t>
      </w:r>
      <w:r w:rsidR="009C1858" w:rsidRPr="003A41B3">
        <w:rPr>
          <w:rFonts w:eastAsia="Times New Roman"/>
          <w:lang w:eastAsia="en-GB"/>
        </w:rPr>
        <w:lastRenderedPageBreak/>
        <w:t>increased</w:t>
      </w:r>
      <w:r w:rsidR="008F79B4" w:rsidRPr="003A41B3">
        <w:rPr>
          <w:rFonts w:eastAsia="Times New Roman"/>
          <w:lang w:eastAsia="en-GB"/>
        </w:rPr>
        <w:t xml:space="preserve"> significantly</w:t>
      </w:r>
      <w:r w:rsidR="009C1858" w:rsidRPr="003A41B3">
        <w:rPr>
          <w:rFonts w:eastAsia="Times New Roman"/>
          <w:lang w:eastAsia="en-GB"/>
        </w:rPr>
        <w:t xml:space="preserve"> </w:t>
      </w:r>
      <w:r w:rsidR="00310A01" w:rsidRPr="003A41B3">
        <w:rPr>
          <w:rFonts w:eastAsia="Times New Roman"/>
          <w:lang w:eastAsia="en-GB"/>
        </w:rPr>
        <w:t xml:space="preserve">during and after the global financial </w:t>
      </w:r>
      <w:r w:rsidR="009C1858" w:rsidRPr="003A41B3">
        <w:rPr>
          <w:rFonts w:eastAsia="Times New Roman"/>
          <w:lang w:eastAsia="en-GB"/>
        </w:rPr>
        <w:t>crisis</w:t>
      </w:r>
      <w:r w:rsidR="00310A01" w:rsidRPr="003A41B3">
        <w:rPr>
          <w:rFonts w:eastAsia="Times New Roman"/>
          <w:lang w:eastAsia="en-GB"/>
        </w:rPr>
        <w:t>. Split sovereign ratings</w:t>
      </w:r>
      <w:r w:rsidR="009C1858" w:rsidRPr="003A41B3">
        <w:rPr>
          <w:rFonts w:eastAsia="Times New Roman"/>
          <w:lang w:eastAsia="en-GB"/>
        </w:rPr>
        <w:t xml:space="preserve"> for advanced economies are </w:t>
      </w:r>
      <w:r w:rsidR="00310A01" w:rsidRPr="003A41B3">
        <w:rPr>
          <w:rFonts w:eastAsia="Times New Roman"/>
          <w:lang w:eastAsia="en-GB"/>
        </w:rPr>
        <w:t xml:space="preserve">now </w:t>
      </w:r>
      <w:r w:rsidR="009C1858" w:rsidRPr="003A41B3">
        <w:rPr>
          <w:rFonts w:eastAsia="Times New Roman"/>
          <w:lang w:eastAsia="en-GB"/>
        </w:rPr>
        <w:t xml:space="preserve">as common as </w:t>
      </w:r>
      <w:r w:rsidR="00310A01" w:rsidRPr="003A41B3">
        <w:rPr>
          <w:rFonts w:eastAsia="Times New Roman"/>
          <w:lang w:eastAsia="en-GB"/>
        </w:rPr>
        <w:t>they</w:t>
      </w:r>
      <w:r w:rsidR="009C1858" w:rsidRPr="003A41B3">
        <w:rPr>
          <w:rFonts w:eastAsia="Times New Roman"/>
          <w:lang w:eastAsia="en-GB"/>
        </w:rPr>
        <w:t xml:space="preserve"> </w:t>
      </w:r>
      <w:r w:rsidR="008F79B4" w:rsidRPr="003A41B3">
        <w:rPr>
          <w:rFonts w:eastAsia="Times New Roman"/>
          <w:lang w:eastAsia="en-GB"/>
        </w:rPr>
        <w:t xml:space="preserve">once </w:t>
      </w:r>
      <w:r w:rsidR="00327F52" w:rsidRPr="003A41B3">
        <w:rPr>
          <w:rFonts w:eastAsia="Times New Roman"/>
          <w:lang w:eastAsia="en-GB"/>
        </w:rPr>
        <w:t xml:space="preserve">were </w:t>
      </w:r>
      <w:r w:rsidR="009C1858" w:rsidRPr="003A41B3">
        <w:rPr>
          <w:rFonts w:eastAsia="Times New Roman"/>
          <w:lang w:eastAsia="en-GB"/>
        </w:rPr>
        <w:t>for emerging economies</w:t>
      </w:r>
      <w:r w:rsidR="008F79B4" w:rsidRPr="003A41B3">
        <w:rPr>
          <w:rFonts w:eastAsia="Times New Roman"/>
          <w:lang w:eastAsia="en-GB"/>
        </w:rPr>
        <w:t xml:space="preserve"> (</w:t>
      </w:r>
      <w:proofErr w:type="spellStart"/>
      <w:r w:rsidR="008F79B4" w:rsidRPr="003A41B3">
        <w:rPr>
          <w:rFonts w:eastAsia="Times New Roman"/>
          <w:lang w:eastAsia="en-GB"/>
        </w:rPr>
        <w:t>Amstad</w:t>
      </w:r>
      <w:proofErr w:type="spellEnd"/>
      <w:r w:rsidR="008F79B4" w:rsidRPr="003A41B3">
        <w:rPr>
          <w:rFonts w:eastAsia="Times New Roman"/>
          <w:lang w:eastAsia="en-GB"/>
        </w:rPr>
        <w:t xml:space="preserve"> and Packer, 2015).</w:t>
      </w:r>
      <w:r w:rsidR="00327F52" w:rsidRPr="003A41B3">
        <w:rPr>
          <w:rFonts w:eastAsia="Times New Roman"/>
          <w:szCs w:val="18"/>
          <w:lang w:eastAsia="en-GB"/>
        </w:rPr>
        <w:t xml:space="preserve"> </w:t>
      </w:r>
      <w:bookmarkStart w:id="39" w:name="_Hlk5090065"/>
      <w:bookmarkStart w:id="40" w:name="_Hlk4766596"/>
    </w:p>
    <w:p w14:paraId="14CCF4C4" w14:textId="4A73609E" w:rsidR="00100AA5" w:rsidRPr="003A41B3" w:rsidRDefault="00100AA5" w:rsidP="00100AA5">
      <w:pPr>
        <w:tabs>
          <w:tab w:val="left" w:pos="284"/>
        </w:tabs>
        <w:spacing w:line="480" w:lineRule="auto"/>
        <w:jc w:val="both"/>
        <w:rPr>
          <w:rFonts w:eastAsia="Times New Roman"/>
          <w:szCs w:val="18"/>
          <w:lang w:eastAsia="en-GB"/>
        </w:rPr>
      </w:pPr>
      <w:r w:rsidRPr="003A41B3">
        <w:rPr>
          <w:rFonts w:eastAsia="Times New Roman"/>
          <w:lang w:eastAsia="en-GB"/>
        </w:rPr>
        <w:tab/>
        <w:t xml:space="preserve">Several papers </w:t>
      </w:r>
      <w:r w:rsidR="006309D2" w:rsidRPr="003A41B3">
        <w:rPr>
          <w:rFonts w:eastAsia="Times New Roman"/>
          <w:lang w:eastAsia="en-GB"/>
        </w:rPr>
        <w:t>report</w:t>
      </w:r>
      <w:r w:rsidRPr="003A41B3">
        <w:rPr>
          <w:rFonts w:eastAsia="Times New Roman"/>
          <w:lang w:eastAsia="en-GB"/>
        </w:rPr>
        <w:t xml:space="preserve"> asymmetric reactions of bond yields and stock market returns to negative versus positive rating actions (</w:t>
      </w:r>
      <w:r w:rsidR="00A33666" w:rsidRPr="003A41B3">
        <w:rPr>
          <w:rFonts w:eastAsia="Times New Roman"/>
          <w:lang w:eastAsia="en-GB"/>
        </w:rPr>
        <w:t xml:space="preserve">e.g. </w:t>
      </w:r>
      <w:r w:rsidRPr="003A41B3">
        <w:rPr>
          <w:rFonts w:eastAsia="Times New Roman"/>
          <w:lang w:eastAsia="en-GB"/>
        </w:rPr>
        <w:t xml:space="preserve">Abad et al., 2019; Baum et al., 2016; </w:t>
      </w:r>
      <w:proofErr w:type="spellStart"/>
      <w:r w:rsidRPr="003A41B3">
        <w:rPr>
          <w:rFonts w:eastAsia="Times New Roman"/>
          <w:lang w:eastAsia="en-GB"/>
        </w:rPr>
        <w:t>Kisgen</w:t>
      </w:r>
      <w:proofErr w:type="spellEnd"/>
      <w:r w:rsidRPr="003A41B3">
        <w:rPr>
          <w:rFonts w:eastAsia="Times New Roman"/>
          <w:lang w:eastAsia="en-GB"/>
        </w:rPr>
        <w:t xml:space="preserve"> and Strahan, 2010). It is argued that rating downgrades provide a greater surprise element in comparison to rating upgrades (</w:t>
      </w:r>
      <w:r w:rsidR="00A33666" w:rsidRPr="003A41B3">
        <w:rPr>
          <w:rFonts w:eastAsia="Times New Roman"/>
          <w:lang w:eastAsia="en-GB"/>
        </w:rPr>
        <w:t xml:space="preserve">e.g. </w:t>
      </w:r>
      <w:proofErr w:type="spellStart"/>
      <w:r w:rsidRPr="003A41B3">
        <w:rPr>
          <w:rFonts w:eastAsia="Times New Roman"/>
          <w:lang w:eastAsia="en-GB"/>
        </w:rPr>
        <w:t>Gande</w:t>
      </w:r>
      <w:proofErr w:type="spellEnd"/>
      <w:r w:rsidRPr="003A41B3">
        <w:rPr>
          <w:rFonts w:eastAsia="Times New Roman"/>
          <w:lang w:eastAsia="en-GB"/>
        </w:rPr>
        <w:t xml:space="preserve"> and Parsley, 2005; Hill et al., 2018). CRAs might be less inclined to issue downgrades to sovereigns in fear of losing business within other assets classes in that country (</w:t>
      </w:r>
      <w:proofErr w:type="spellStart"/>
      <w:r w:rsidRPr="003A41B3">
        <w:rPr>
          <w:rFonts w:eastAsia="Times New Roman"/>
          <w:lang w:eastAsia="en-GB"/>
        </w:rPr>
        <w:t>Gande</w:t>
      </w:r>
      <w:proofErr w:type="spellEnd"/>
      <w:r w:rsidRPr="003A41B3">
        <w:rPr>
          <w:rFonts w:eastAsia="Times New Roman"/>
          <w:lang w:eastAsia="en-GB"/>
        </w:rPr>
        <w:t xml:space="preserve"> and Parsley, 2005). In addition, CRAs may face higher penalties for overstating rather understating the creditworthiness of issuers (Goel and </w:t>
      </w:r>
      <w:proofErr w:type="spellStart"/>
      <w:r w:rsidRPr="003A41B3">
        <w:rPr>
          <w:rFonts w:eastAsia="Times New Roman"/>
          <w:lang w:eastAsia="en-GB"/>
        </w:rPr>
        <w:t>Thakor</w:t>
      </w:r>
      <w:proofErr w:type="spellEnd"/>
      <w:r w:rsidRPr="003A41B3">
        <w:rPr>
          <w:rFonts w:eastAsia="Times New Roman"/>
          <w:lang w:eastAsia="en-GB"/>
        </w:rPr>
        <w:t>, 2011), and therefore have stronger incentives to issue more conservative rather than more generous ratings in order to protect their reputation (</w:t>
      </w:r>
      <w:proofErr w:type="spellStart"/>
      <w:r w:rsidRPr="003A41B3">
        <w:rPr>
          <w:rFonts w:eastAsia="Times New Roman"/>
          <w:lang w:eastAsia="en-GB"/>
        </w:rPr>
        <w:t>Baghai</w:t>
      </w:r>
      <w:proofErr w:type="spellEnd"/>
      <w:r w:rsidRPr="003A41B3">
        <w:rPr>
          <w:rFonts w:eastAsia="Times New Roman"/>
          <w:lang w:eastAsia="en-GB"/>
        </w:rPr>
        <w:t xml:space="preserve"> et al., 2014; </w:t>
      </w:r>
      <w:proofErr w:type="spellStart"/>
      <w:r w:rsidRPr="003A41B3">
        <w:rPr>
          <w:rFonts w:eastAsia="Times New Roman"/>
          <w:lang w:eastAsia="en-GB"/>
        </w:rPr>
        <w:t>Bannier</w:t>
      </w:r>
      <w:proofErr w:type="spellEnd"/>
      <w:r w:rsidRPr="003A41B3">
        <w:rPr>
          <w:rFonts w:eastAsia="Times New Roman"/>
          <w:lang w:eastAsia="en-GB"/>
        </w:rPr>
        <w:t xml:space="preserve"> et al., 2010).</w:t>
      </w:r>
    </w:p>
    <w:p w14:paraId="401283ED" w14:textId="110C136B" w:rsidR="0086262C" w:rsidRPr="003A41B3" w:rsidRDefault="00310A01" w:rsidP="00F829CE">
      <w:pPr>
        <w:tabs>
          <w:tab w:val="left" w:pos="284"/>
        </w:tabs>
        <w:spacing w:line="480" w:lineRule="auto"/>
        <w:jc w:val="both"/>
        <w:rPr>
          <w:rFonts w:eastAsia="Times New Roman"/>
          <w:szCs w:val="18"/>
          <w:lang w:eastAsia="en-GB"/>
        </w:rPr>
      </w:pPr>
      <w:r w:rsidRPr="003A41B3">
        <w:rPr>
          <w:rFonts w:eastAsia="Times New Roman"/>
          <w:szCs w:val="18"/>
          <w:lang w:eastAsia="en-GB"/>
        </w:rPr>
        <w:tab/>
      </w:r>
      <w:bookmarkStart w:id="41" w:name="_Hlk5476587"/>
      <w:r w:rsidR="00DB1F25" w:rsidRPr="003A41B3">
        <w:rPr>
          <w:szCs w:val="18"/>
        </w:rPr>
        <w:t>Regarding our first research question (</w:t>
      </w:r>
      <w:r w:rsidR="005645EF" w:rsidRPr="003A41B3">
        <w:rPr>
          <w:szCs w:val="18"/>
        </w:rPr>
        <w:t xml:space="preserve">using </w:t>
      </w:r>
      <w:r w:rsidR="00DB1F25" w:rsidRPr="003A41B3">
        <w:rPr>
          <w:szCs w:val="18"/>
        </w:rPr>
        <w:t>Eq. (1a)</w:t>
      </w:r>
      <w:r w:rsidR="005645EF" w:rsidRPr="003A41B3">
        <w:rPr>
          <w:szCs w:val="18"/>
        </w:rPr>
        <w:t>)</w:t>
      </w:r>
      <w:r w:rsidR="00DB1F25" w:rsidRPr="003A41B3">
        <w:rPr>
          <w:szCs w:val="18"/>
        </w:rPr>
        <w:t xml:space="preserve">, </w:t>
      </w:r>
      <w:r w:rsidR="00A53369" w:rsidRPr="003A41B3">
        <w:rPr>
          <w:szCs w:val="18"/>
        </w:rPr>
        <w:t>Panel I of Table 3 shows</w:t>
      </w:r>
      <w:r w:rsidR="00DB1F25" w:rsidRPr="003A41B3">
        <w:rPr>
          <w:szCs w:val="18"/>
        </w:rPr>
        <w:t xml:space="preserve"> poorer rating quality (less informative ratings) for positive events by all CRAs in the post-identifier period</w:t>
      </w:r>
      <w:r w:rsidR="00A53369" w:rsidRPr="003A41B3">
        <w:rPr>
          <w:szCs w:val="18"/>
        </w:rPr>
        <w:t xml:space="preserve"> (</w:t>
      </w:r>
      <w:r w:rsidR="00ED0F6C" w:rsidRPr="003A41B3">
        <w:rPr>
          <w:szCs w:val="18"/>
        </w:rPr>
        <w:t xml:space="preserve">refer to </w:t>
      </w:r>
      <w:r w:rsidR="00A53369" w:rsidRPr="003A41B3">
        <w:rPr>
          <w:szCs w:val="18"/>
        </w:rPr>
        <w:t>the interaction term)</w:t>
      </w:r>
      <w:r w:rsidR="00DB1F25" w:rsidRPr="003A41B3">
        <w:rPr>
          <w:szCs w:val="18"/>
        </w:rPr>
        <w:t xml:space="preserve">. Conversely, better quality ratings (more informative ratings) are reported </w:t>
      </w:r>
      <w:r w:rsidR="00A53369" w:rsidRPr="003A41B3">
        <w:rPr>
          <w:szCs w:val="18"/>
        </w:rPr>
        <w:t xml:space="preserve">in Panel II </w:t>
      </w:r>
      <w:r w:rsidR="00DB1F25" w:rsidRPr="003A41B3">
        <w:rPr>
          <w:szCs w:val="18"/>
        </w:rPr>
        <w:t>for Moody’s negative events. Regarding our second research question (Eq. (1b)</w:t>
      </w:r>
      <w:r w:rsidR="00A53369" w:rsidRPr="003A41B3">
        <w:rPr>
          <w:szCs w:val="18"/>
        </w:rPr>
        <w:t>)</w:t>
      </w:r>
      <w:r w:rsidR="00DB1F25" w:rsidRPr="003A41B3">
        <w:rPr>
          <w:szCs w:val="18"/>
        </w:rPr>
        <w:t xml:space="preserve">, we </w:t>
      </w:r>
      <w:r w:rsidR="00A53369" w:rsidRPr="003A41B3">
        <w:rPr>
          <w:szCs w:val="18"/>
        </w:rPr>
        <w:t xml:space="preserve">observe </w:t>
      </w:r>
      <w:r w:rsidR="00DB1F25" w:rsidRPr="003A41B3">
        <w:rPr>
          <w:szCs w:val="18"/>
        </w:rPr>
        <w:t xml:space="preserve">less informative positive events when S&amp;P’s rating analysts are located in the EU, and </w:t>
      </w:r>
      <w:r w:rsidR="00A53369" w:rsidRPr="003A41B3">
        <w:rPr>
          <w:szCs w:val="18"/>
        </w:rPr>
        <w:t xml:space="preserve">when </w:t>
      </w:r>
      <w:r w:rsidR="00DB1F25" w:rsidRPr="003A41B3">
        <w:rPr>
          <w:szCs w:val="18"/>
        </w:rPr>
        <w:t xml:space="preserve">rating analysts of Moody’s and Fitch are based outside the EU. In addition, Fitch negative events are more informative when their rating analysts are based outside the EU (i.e. </w:t>
      </w:r>
      <w:r w:rsidR="00C03342" w:rsidRPr="003A41B3">
        <w:rPr>
          <w:szCs w:val="18"/>
        </w:rPr>
        <w:t>ratings</w:t>
      </w:r>
      <w:r w:rsidR="00DB1F25" w:rsidRPr="003A41B3">
        <w:rPr>
          <w:szCs w:val="18"/>
        </w:rPr>
        <w:t xml:space="preserve"> with EE </w:t>
      </w:r>
      <w:r w:rsidR="00ED0F6C" w:rsidRPr="003A41B3">
        <w:rPr>
          <w:szCs w:val="18"/>
        </w:rPr>
        <w:t>identifiers</w:t>
      </w:r>
      <w:r w:rsidR="00DB1F25" w:rsidRPr="003A41B3">
        <w:rPr>
          <w:szCs w:val="18"/>
        </w:rPr>
        <w:t>)</w:t>
      </w:r>
      <w:r w:rsidR="008367FF" w:rsidRPr="003A41B3">
        <w:rPr>
          <w:rFonts w:eastAsia="Times New Roman"/>
          <w:szCs w:val="18"/>
          <w:lang w:eastAsia="en-GB"/>
        </w:rPr>
        <w:t>.</w:t>
      </w:r>
      <w:bookmarkEnd w:id="39"/>
      <w:bookmarkEnd w:id="40"/>
      <w:bookmarkEnd w:id="41"/>
    </w:p>
    <w:p w14:paraId="215BF7A3" w14:textId="61FF5220" w:rsidR="006B4E96" w:rsidRPr="003A41B3" w:rsidRDefault="0086262C" w:rsidP="00563382">
      <w:pPr>
        <w:tabs>
          <w:tab w:val="left" w:pos="284"/>
        </w:tabs>
        <w:spacing w:line="480" w:lineRule="auto"/>
        <w:jc w:val="both"/>
        <w:rPr>
          <w:rFonts w:eastAsia="Times New Roman"/>
          <w:szCs w:val="18"/>
          <w:lang w:eastAsia="en-GB"/>
        </w:rPr>
      </w:pPr>
      <w:r w:rsidRPr="003A41B3">
        <w:rPr>
          <w:rFonts w:eastAsia="Times New Roman"/>
          <w:szCs w:val="18"/>
          <w:lang w:eastAsia="en-GB"/>
        </w:rPr>
        <w:t xml:space="preserve">    </w:t>
      </w:r>
      <w:r w:rsidR="009463B0" w:rsidRPr="003A41B3">
        <w:rPr>
          <w:rFonts w:eastAsia="Times New Roman"/>
          <w:szCs w:val="18"/>
          <w:lang w:eastAsia="en-GB"/>
        </w:rPr>
        <w:t xml:space="preserve">    </w:t>
      </w:r>
      <w:bookmarkStart w:id="42" w:name="_Hlk5476729"/>
      <w:bookmarkStart w:id="43" w:name="_Hlk5476696"/>
      <w:r w:rsidR="00754616" w:rsidRPr="003A41B3">
        <w:rPr>
          <w:rFonts w:eastAsia="Times New Roman"/>
          <w:szCs w:val="18"/>
          <w:lang w:eastAsia="en-GB"/>
        </w:rPr>
        <w:t xml:space="preserve">The </w:t>
      </w:r>
      <w:r w:rsidR="009A2808" w:rsidRPr="003A41B3">
        <w:rPr>
          <w:rFonts w:eastAsia="Times New Roman"/>
          <w:szCs w:val="18"/>
          <w:lang w:eastAsia="en-GB"/>
        </w:rPr>
        <w:t>coefficient o</w:t>
      </w:r>
      <w:r w:rsidR="00B941FA" w:rsidRPr="003A41B3">
        <w:rPr>
          <w:rFonts w:eastAsia="Times New Roman"/>
          <w:szCs w:val="18"/>
          <w:lang w:eastAsia="en-GB"/>
        </w:rPr>
        <w:t>n</w:t>
      </w:r>
      <w:r w:rsidR="009A2808" w:rsidRPr="003A41B3">
        <w:rPr>
          <w:rFonts w:eastAsia="Times New Roman"/>
          <w:szCs w:val="18"/>
          <w:lang w:eastAsia="en-GB"/>
        </w:rPr>
        <w:t xml:space="preserve"> </w:t>
      </w:r>
      <w:proofErr w:type="spellStart"/>
      <w:r w:rsidR="009A2808" w:rsidRPr="003A41B3">
        <w:rPr>
          <w:rFonts w:eastAsiaTheme="minorEastAsia"/>
        </w:rPr>
        <w:t>Δ</w:t>
      </w:r>
      <w:r w:rsidR="009A2808" w:rsidRPr="003A41B3">
        <w:rPr>
          <w:i/>
        </w:rPr>
        <w:t>Rating</w:t>
      </w:r>
      <w:proofErr w:type="spellEnd"/>
      <w:r w:rsidR="009A2808" w:rsidRPr="003A41B3">
        <w:rPr>
          <w:i/>
        </w:rPr>
        <w:t xml:space="preserve"> </w:t>
      </w:r>
      <w:r w:rsidR="009A2808" w:rsidRPr="003A41B3">
        <w:t>(Eq. (1a)</w:t>
      </w:r>
      <w:r w:rsidR="00AD5F66" w:rsidRPr="003A41B3">
        <w:rPr>
          <w:rFonts w:eastAsia="Times New Roman"/>
          <w:szCs w:val="18"/>
          <w:lang w:eastAsia="en-GB"/>
        </w:rPr>
        <w:t xml:space="preserve"> </w:t>
      </w:r>
      <w:r w:rsidR="0065501C" w:rsidRPr="003A41B3">
        <w:rPr>
          <w:rFonts w:eastAsia="Times New Roman"/>
          <w:szCs w:val="18"/>
          <w:lang w:eastAsia="en-GB"/>
        </w:rPr>
        <w:t xml:space="preserve">in </w:t>
      </w:r>
      <w:r w:rsidR="00E75D72" w:rsidRPr="003A41B3">
        <w:rPr>
          <w:rFonts w:eastAsia="Times New Roman"/>
          <w:szCs w:val="18"/>
          <w:lang w:eastAsia="en-GB"/>
        </w:rPr>
        <w:t xml:space="preserve">Panel I </w:t>
      </w:r>
      <w:r w:rsidR="00AD5F66" w:rsidRPr="003A41B3">
        <w:rPr>
          <w:rFonts w:eastAsia="Times New Roman"/>
          <w:szCs w:val="18"/>
          <w:lang w:eastAsia="en-GB"/>
        </w:rPr>
        <w:t>suggest</w:t>
      </w:r>
      <w:r w:rsidR="009A2808" w:rsidRPr="003A41B3">
        <w:rPr>
          <w:rFonts w:eastAsia="Times New Roman"/>
          <w:szCs w:val="18"/>
          <w:lang w:eastAsia="en-GB"/>
        </w:rPr>
        <w:t>s</w:t>
      </w:r>
      <w:r w:rsidR="00AD5F66" w:rsidRPr="003A41B3">
        <w:rPr>
          <w:rFonts w:eastAsia="Times New Roman"/>
          <w:szCs w:val="18"/>
          <w:lang w:eastAsia="en-GB"/>
        </w:rPr>
        <w:t xml:space="preserve"> that b</w:t>
      </w:r>
      <w:r w:rsidR="0009378F" w:rsidRPr="003A41B3">
        <w:rPr>
          <w:rFonts w:eastAsia="Times New Roman"/>
          <w:szCs w:val="18"/>
          <w:lang w:eastAsia="en-GB"/>
        </w:rPr>
        <w:t xml:space="preserve">ond spreads narrow by </w:t>
      </w:r>
      <w:r w:rsidR="009B2A77" w:rsidRPr="003A41B3">
        <w:rPr>
          <w:rFonts w:eastAsia="Times New Roman"/>
          <w:szCs w:val="18"/>
          <w:lang w:eastAsia="en-GB"/>
        </w:rPr>
        <w:t>10</w:t>
      </w:r>
      <w:r w:rsidR="002E65A8" w:rsidRPr="003A41B3">
        <w:rPr>
          <w:rFonts w:eastAsia="Times New Roman"/>
          <w:szCs w:val="18"/>
          <w:lang w:eastAsia="en-GB"/>
        </w:rPr>
        <w:t>.</w:t>
      </w:r>
      <w:r w:rsidR="009B2A77" w:rsidRPr="003A41B3">
        <w:rPr>
          <w:rFonts w:eastAsia="Times New Roman"/>
          <w:szCs w:val="18"/>
          <w:lang w:eastAsia="en-GB"/>
        </w:rPr>
        <w:t>26</w:t>
      </w:r>
      <w:r w:rsidR="002E65A8" w:rsidRPr="003A41B3">
        <w:rPr>
          <w:rFonts w:eastAsia="Times New Roman"/>
          <w:szCs w:val="18"/>
          <w:lang w:eastAsia="en-GB"/>
        </w:rPr>
        <w:t xml:space="preserve"> (3.</w:t>
      </w:r>
      <w:r w:rsidR="009B2A77" w:rsidRPr="003A41B3">
        <w:rPr>
          <w:rFonts w:eastAsia="Times New Roman"/>
          <w:szCs w:val="18"/>
          <w:lang w:eastAsia="en-GB"/>
        </w:rPr>
        <w:t>420</w:t>
      </w:r>
      <w:r w:rsidR="00AD5F66" w:rsidRPr="003A41B3">
        <w:rPr>
          <w:rFonts w:eastAsia="Times New Roman"/>
          <w:szCs w:val="18"/>
          <w:lang w:eastAsia="en-GB"/>
        </w:rPr>
        <w:t xml:space="preserve">*3) basis points </w:t>
      </w:r>
      <w:r w:rsidR="0065501C" w:rsidRPr="003A41B3">
        <w:rPr>
          <w:rFonts w:eastAsia="Times New Roman"/>
          <w:szCs w:val="18"/>
          <w:lang w:eastAsia="en-GB"/>
        </w:rPr>
        <w:t xml:space="preserve">on average </w:t>
      </w:r>
      <w:r w:rsidR="00AD5F66" w:rsidRPr="003A41B3">
        <w:rPr>
          <w:rFonts w:eastAsia="Times New Roman"/>
          <w:szCs w:val="18"/>
          <w:lang w:eastAsia="en-GB"/>
        </w:rPr>
        <w:t>after S&amp;P issues an upgrade by one notch (</w:t>
      </w:r>
      <w:r w:rsidR="00F10E7A" w:rsidRPr="003A41B3">
        <w:rPr>
          <w:rFonts w:eastAsia="Times New Roman"/>
          <w:szCs w:val="18"/>
          <w:lang w:eastAsia="en-GB"/>
        </w:rPr>
        <w:t>3-</w:t>
      </w:r>
      <w:r w:rsidR="00AD5F66" w:rsidRPr="003A41B3">
        <w:rPr>
          <w:rFonts w:eastAsia="Times New Roman"/>
          <w:szCs w:val="18"/>
          <w:lang w:eastAsia="en-GB"/>
        </w:rPr>
        <w:t>CCR points)</w:t>
      </w:r>
      <w:r w:rsidR="009A2808" w:rsidRPr="003A41B3">
        <w:rPr>
          <w:rFonts w:eastAsia="Times New Roman"/>
          <w:szCs w:val="18"/>
          <w:lang w:eastAsia="en-GB"/>
        </w:rPr>
        <w:t xml:space="preserve">, implying </w:t>
      </w:r>
      <w:r w:rsidR="003B24CE" w:rsidRPr="003A41B3">
        <w:rPr>
          <w:rFonts w:eastAsia="Times New Roman"/>
          <w:szCs w:val="18"/>
          <w:lang w:eastAsia="en-GB"/>
        </w:rPr>
        <w:t xml:space="preserve">a strong link between ratings and </w:t>
      </w:r>
      <w:r w:rsidR="008A0182" w:rsidRPr="003A41B3">
        <w:rPr>
          <w:rFonts w:eastAsia="Times New Roman"/>
          <w:szCs w:val="18"/>
          <w:lang w:eastAsia="en-GB"/>
        </w:rPr>
        <w:t>bond spreads</w:t>
      </w:r>
      <w:r w:rsidR="009A2808" w:rsidRPr="003A41B3">
        <w:rPr>
          <w:rFonts w:eastAsia="Times New Roman"/>
          <w:szCs w:val="18"/>
          <w:lang w:eastAsia="en-GB"/>
        </w:rPr>
        <w:t xml:space="preserve"> in the pre-identifier period</w:t>
      </w:r>
      <w:r w:rsidR="00563382" w:rsidRPr="003A41B3">
        <w:rPr>
          <w:rFonts w:eastAsia="Times New Roman"/>
          <w:szCs w:val="18"/>
          <w:lang w:eastAsia="en-GB"/>
        </w:rPr>
        <w:t xml:space="preserve">. </w:t>
      </w:r>
      <w:bookmarkStart w:id="44" w:name="_Hlk4696683"/>
      <w:bookmarkStart w:id="45" w:name="_Hlk4678870"/>
      <w:r w:rsidR="003E6257" w:rsidRPr="003A41B3">
        <w:lastRenderedPageBreak/>
        <w:t>The coefficient o</w:t>
      </w:r>
      <w:r w:rsidR="00B941FA" w:rsidRPr="003A41B3">
        <w:t>n</w:t>
      </w:r>
      <w:r w:rsidR="003E6257" w:rsidRPr="003A41B3">
        <w:t xml:space="preserve"> </w:t>
      </w:r>
      <w:proofErr w:type="spellStart"/>
      <w:r w:rsidR="003E6257" w:rsidRPr="003A41B3">
        <w:rPr>
          <w:rFonts w:eastAsiaTheme="minorEastAsia"/>
        </w:rPr>
        <w:t>Δ</w:t>
      </w:r>
      <w:r w:rsidR="003E6257" w:rsidRPr="003A41B3">
        <w:rPr>
          <w:i/>
        </w:rPr>
        <w:t>Rating</w:t>
      </w:r>
      <w:proofErr w:type="spellEnd"/>
      <w:r w:rsidR="003E6257" w:rsidRPr="003A41B3">
        <w:rPr>
          <w:i/>
        </w:rPr>
        <w:t>*Identifier</w:t>
      </w:r>
      <w:r w:rsidR="003E6257" w:rsidRPr="003A41B3">
        <w:t xml:space="preserve"> is positive and significant</w:t>
      </w:r>
      <w:r w:rsidR="003E6257" w:rsidRPr="003A41B3">
        <w:rPr>
          <w:i/>
        </w:rPr>
        <w:t xml:space="preserve"> </w:t>
      </w:r>
      <w:r w:rsidR="003E6257" w:rsidRPr="003A41B3">
        <w:t xml:space="preserve">in the results of Eq. (1a), implying a poorer rating quality of S&amp;P upgrades in the </w:t>
      </w:r>
      <w:r w:rsidR="003E6257" w:rsidRPr="003A41B3">
        <w:rPr>
          <w:rFonts w:eastAsia="Times New Roman"/>
          <w:szCs w:val="18"/>
          <w:lang w:eastAsia="en-GB"/>
        </w:rPr>
        <w:t>post-identifier period</w:t>
      </w:r>
      <w:r w:rsidR="003E6257" w:rsidRPr="003A41B3">
        <w:t>.</w:t>
      </w:r>
      <w:bookmarkEnd w:id="44"/>
      <w:r w:rsidR="003E6257" w:rsidRPr="003A41B3">
        <w:t xml:space="preserve"> </w:t>
      </w:r>
      <w:bookmarkStart w:id="46" w:name="_Hlk4694373"/>
      <w:r w:rsidR="003E6257" w:rsidRPr="003A41B3">
        <w:t xml:space="preserve">The magnitude of rating events’ impact on the bond spread in </w:t>
      </w:r>
      <w:r w:rsidR="007E4B96" w:rsidRPr="003A41B3">
        <w:t xml:space="preserve">the </w:t>
      </w:r>
      <w:r w:rsidR="003E6257" w:rsidRPr="003A41B3">
        <w:t xml:space="preserve">post-identifier period is calculated </w:t>
      </w:r>
      <w:r w:rsidR="00B941FA" w:rsidRPr="003A41B3">
        <w:t>as the sum of</w:t>
      </w:r>
      <w:r w:rsidR="003E6257" w:rsidRPr="003A41B3">
        <w:t xml:space="preserve"> the coefficient </w:t>
      </w:r>
      <w:r w:rsidR="00B941FA" w:rsidRPr="003A41B3">
        <w:t>on</w:t>
      </w:r>
      <w:r w:rsidR="003E6257" w:rsidRPr="003A41B3">
        <w:t xml:space="preserve"> </w:t>
      </w:r>
      <w:proofErr w:type="spellStart"/>
      <w:r w:rsidR="003E6257" w:rsidRPr="003A41B3">
        <w:rPr>
          <w:i/>
        </w:rPr>
        <w:t>ΔRating</w:t>
      </w:r>
      <w:proofErr w:type="spellEnd"/>
      <w:r w:rsidR="003E6257" w:rsidRPr="003A41B3">
        <w:rPr>
          <w:i/>
        </w:rPr>
        <w:t xml:space="preserve">*Identifier </w:t>
      </w:r>
      <w:r w:rsidR="003E6257" w:rsidRPr="003A41B3">
        <w:t>and the coefficient o</w:t>
      </w:r>
      <w:r w:rsidR="00B941FA" w:rsidRPr="003A41B3">
        <w:t>n</w:t>
      </w:r>
      <w:r w:rsidR="003E6257" w:rsidRPr="003A41B3">
        <w:t xml:space="preserve"> </w:t>
      </w:r>
      <w:proofErr w:type="spellStart"/>
      <w:r w:rsidR="003E6257" w:rsidRPr="003A41B3">
        <w:rPr>
          <w:i/>
        </w:rPr>
        <w:t>ΔRating</w:t>
      </w:r>
      <w:proofErr w:type="spellEnd"/>
      <w:r w:rsidR="003E6257" w:rsidRPr="003A41B3">
        <w:t xml:space="preserve">. </w:t>
      </w:r>
      <w:bookmarkStart w:id="47" w:name="_Hlk5476837"/>
      <w:bookmarkEnd w:id="45"/>
      <w:r w:rsidR="003E6257" w:rsidRPr="003A41B3">
        <w:t xml:space="preserve">On average, bond spreads </w:t>
      </w:r>
      <w:r w:rsidR="00803F4C" w:rsidRPr="003A41B3">
        <w:t>widen</w:t>
      </w:r>
      <w:r w:rsidR="00466BD1" w:rsidRPr="003A41B3">
        <w:t xml:space="preserve"> (rather than </w:t>
      </w:r>
      <w:r w:rsidR="00803F4C" w:rsidRPr="003A41B3">
        <w:t>narrow</w:t>
      </w:r>
      <w:r w:rsidR="00466BD1" w:rsidRPr="003A41B3">
        <w:t>)</w:t>
      </w:r>
      <w:r w:rsidR="003E6257" w:rsidRPr="003A41B3">
        <w:t xml:space="preserve"> by 0.672 basis points [</w:t>
      </w:r>
      <w:r w:rsidR="00C2093D" w:rsidRPr="003A41B3">
        <w:t>(</w:t>
      </w:r>
      <w:r w:rsidR="003E6257" w:rsidRPr="003A41B3">
        <w:t>-3.420 + 3.644) *3] after S&amp;P issues an upgrade by one-notch (3-CCR points) after the disclosure rule</w:t>
      </w:r>
      <w:r w:rsidR="00A00CB9" w:rsidRPr="003A41B3">
        <w:t>.</w:t>
      </w:r>
      <w:bookmarkStart w:id="48" w:name="_Hlk4695370"/>
      <w:bookmarkEnd w:id="42"/>
      <w:bookmarkEnd w:id="47"/>
      <w:r w:rsidR="00563382" w:rsidRPr="003A41B3">
        <w:rPr>
          <w:rFonts w:eastAsia="Times New Roman"/>
          <w:szCs w:val="18"/>
          <w:lang w:eastAsia="en-GB"/>
        </w:rPr>
        <w:t xml:space="preserve"> </w:t>
      </w:r>
      <w:bookmarkStart w:id="49" w:name="_Hlk4766079"/>
      <w:bookmarkEnd w:id="46"/>
      <w:r w:rsidR="00442AED" w:rsidRPr="003A41B3">
        <w:rPr>
          <w:rFonts w:eastAsia="Times New Roman"/>
          <w:szCs w:val="18"/>
          <w:lang w:eastAsia="en-GB"/>
        </w:rPr>
        <w:t>In addition, the coefficient o</w:t>
      </w:r>
      <w:r w:rsidR="00B941FA" w:rsidRPr="003A41B3">
        <w:rPr>
          <w:rFonts w:eastAsia="Times New Roman"/>
          <w:szCs w:val="18"/>
          <w:lang w:eastAsia="en-GB"/>
        </w:rPr>
        <w:t>n</w:t>
      </w:r>
      <w:r w:rsidR="00442AED" w:rsidRPr="003A41B3">
        <w:rPr>
          <w:rFonts w:eastAsia="Times New Roman"/>
          <w:szCs w:val="18"/>
          <w:lang w:eastAsia="en-GB"/>
        </w:rPr>
        <w:t xml:space="preserve"> </w:t>
      </w:r>
      <w:proofErr w:type="spellStart"/>
      <w:r w:rsidR="00442AED" w:rsidRPr="003A41B3">
        <w:rPr>
          <w:rFonts w:eastAsiaTheme="minorEastAsia"/>
        </w:rPr>
        <w:t>Δ</w:t>
      </w:r>
      <w:r w:rsidR="00442AED" w:rsidRPr="003A41B3">
        <w:rPr>
          <w:i/>
        </w:rPr>
        <w:t>Rating</w:t>
      </w:r>
      <w:proofErr w:type="spellEnd"/>
      <w:r w:rsidR="00442AED" w:rsidRPr="003A41B3">
        <w:rPr>
          <w:i/>
        </w:rPr>
        <w:t xml:space="preserve">*EU </w:t>
      </w:r>
      <w:r w:rsidR="00442AED" w:rsidRPr="003A41B3">
        <w:t>(</w:t>
      </w:r>
      <w:r w:rsidR="0077428B" w:rsidRPr="003A41B3">
        <w:t xml:space="preserve">in </w:t>
      </w:r>
      <w:r w:rsidR="00442AED" w:rsidRPr="003A41B3">
        <w:t>Eq. (1b)</w:t>
      </w:r>
      <w:r w:rsidR="00442AED" w:rsidRPr="003A41B3">
        <w:rPr>
          <w:rFonts w:eastAsia="Times New Roman"/>
          <w:szCs w:val="18"/>
          <w:lang w:eastAsia="en-GB"/>
        </w:rPr>
        <w:t xml:space="preserve"> in Panel I</w:t>
      </w:r>
      <w:r w:rsidR="0077428B" w:rsidRPr="003A41B3">
        <w:rPr>
          <w:rFonts w:eastAsia="Times New Roman"/>
          <w:szCs w:val="18"/>
          <w:lang w:eastAsia="en-GB"/>
        </w:rPr>
        <w:t>)</w:t>
      </w:r>
      <w:r w:rsidR="00442AED" w:rsidRPr="003A41B3">
        <w:rPr>
          <w:rFonts w:eastAsia="Times New Roman"/>
          <w:szCs w:val="18"/>
          <w:lang w:eastAsia="en-GB"/>
        </w:rPr>
        <w:t xml:space="preserve"> is positive and significant, implying that S&amp;P’s positive events are less informative when their analyst</w:t>
      </w:r>
      <w:r w:rsidR="007E4B96" w:rsidRPr="003A41B3">
        <w:rPr>
          <w:rFonts w:eastAsia="Times New Roman"/>
          <w:szCs w:val="18"/>
          <w:lang w:eastAsia="en-GB"/>
        </w:rPr>
        <w:t>s</w:t>
      </w:r>
      <w:r w:rsidR="00442AED" w:rsidRPr="003A41B3">
        <w:rPr>
          <w:rFonts w:eastAsia="Times New Roman"/>
          <w:szCs w:val="18"/>
          <w:lang w:eastAsia="en-GB"/>
        </w:rPr>
        <w:t xml:space="preserve"> are located in EU countries.</w:t>
      </w:r>
      <w:bookmarkEnd w:id="48"/>
      <w:bookmarkEnd w:id="49"/>
      <w:r w:rsidR="00442AED" w:rsidRPr="003A41B3">
        <w:rPr>
          <w:rFonts w:eastAsia="Times New Roman"/>
          <w:szCs w:val="18"/>
          <w:lang w:eastAsia="en-GB"/>
        </w:rPr>
        <w:t xml:space="preserve"> </w:t>
      </w:r>
      <w:r w:rsidR="0012327A" w:rsidRPr="003A41B3">
        <w:rPr>
          <w:rFonts w:eastAsia="Times New Roman"/>
          <w:szCs w:val="18"/>
          <w:lang w:eastAsia="en-GB"/>
        </w:rPr>
        <w:t xml:space="preserve">The results in </w:t>
      </w:r>
      <w:r w:rsidR="00563382" w:rsidRPr="003A41B3">
        <w:rPr>
          <w:rFonts w:eastAsia="Times New Roman"/>
          <w:szCs w:val="18"/>
          <w:lang w:eastAsia="en-GB"/>
        </w:rPr>
        <w:t>Pan</w:t>
      </w:r>
      <w:r w:rsidR="00A70F3C" w:rsidRPr="003A41B3">
        <w:rPr>
          <w:rFonts w:eastAsia="Times New Roman"/>
          <w:szCs w:val="18"/>
          <w:lang w:eastAsia="en-GB"/>
        </w:rPr>
        <w:t>el II</w:t>
      </w:r>
      <w:r w:rsidR="003E6257" w:rsidRPr="003A41B3">
        <w:rPr>
          <w:rFonts w:eastAsia="Times New Roman"/>
          <w:szCs w:val="18"/>
          <w:lang w:eastAsia="en-GB"/>
        </w:rPr>
        <w:t>,</w:t>
      </w:r>
      <w:r w:rsidR="00A70F3C" w:rsidRPr="003A41B3">
        <w:rPr>
          <w:rFonts w:eastAsia="Times New Roman"/>
          <w:szCs w:val="18"/>
          <w:lang w:eastAsia="en-GB"/>
        </w:rPr>
        <w:t xml:space="preserve"> </w:t>
      </w:r>
      <w:r w:rsidR="003E6257" w:rsidRPr="003A41B3">
        <w:rPr>
          <w:rFonts w:eastAsia="Times New Roman"/>
          <w:szCs w:val="18"/>
          <w:lang w:eastAsia="en-GB"/>
        </w:rPr>
        <w:t>Eq. (1</w:t>
      </w:r>
      <w:r w:rsidR="00A70F3C" w:rsidRPr="003A41B3">
        <w:rPr>
          <w:rFonts w:eastAsia="Times New Roman"/>
          <w:szCs w:val="18"/>
          <w:lang w:eastAsia="en-GB"/>
        </w:rPr>
        <w:t>a)</w:t>
      </w:r>
      <w:r w:rsidR="003E6257" w:rsidRPr="003A41B3">
        <w:rPr>
          <w:rFonts w:eastAsia="Times New Roman"/>
          <w:szCs w:val="18"/>
          <w:lang w:eastAsia="en-GB"/>
        </w:rPr>
        <w:t>,</w:t>
      </w:r>
      <w:r w:rsidR="00A70F3C" w:rsidRPr="003A41B3">
        <w:rPr>
          <w:rFonts w:eastAsia="Times New Roman"/>
          <w:szCs w:val="18"/>
          <w:lang w:eastAsia="en-GB"/>
        </w:rPr>
        <w:t xml:space="preserve"> suggest</w:t>
      </w:r>
      <w:r w:rsidR="00563382" w:rsidRPr="003A41B3">
        <w:rPr>
          <w:rFonts w:eastAsia="Times New Roman"/>
          <w:szCs w:val="18"/>
          <w:lang w:eastAsia="en-GB"/>
        </w:rPr>
        <w:t xml:space="preserve"> that a one notch downgrade by S&amp;P lea</w:t>
      </w:r>
      <w:r w:rsidR="0065501C" w:rsidRPr="003A41B3">
        <w:rPr>
          <w:rFonts w:eastAsia="Times New Roman"/>
          <w:szCs w:val="18"/>
          <w:lang w:eastAsia="en-GB"/>
        </w:rPr>
        <w:t>ds to an increase in bond yield</w:t>
      </w:r>
      <w:r w:rsidR="00563382" w:rsidRPr="003A41B3">
        <w:rPr>
          <w:rFonts w:eastAsia="Times New Roman"/>
          <w:szCs w:val="18"/>
          <w:lang w:eastAsia="en-GB"/>
        </w:rPr>
        <w:t xml:space="preserve"> spreads by 11.</w:t>
      </w:r>
      <w:r w:rsidR="003E6257" w:rsidRPr="003A41B3">
        <w:rPr>
          <w:rFonts w:eastAsia="Times New Roman"/>
          <w:szCs w:val="18"/>
          <w:lang w:eastAsia="en-GB"/>
        </w:rPr>
        <w:t>78</w:t>
      </w:r>
      <w:r w:rsidR="00563382" w:rsidRPr="003A41B3">
        <w:rPr>
          <w:rFonts w:eastAsia="Times New Roman"/>
          <w:szCs w:val="18"/>
          <w:lang w:eastAsia="en-GB"/>
        </w:rPr>
        <w:t xml:space="preserve"> (3.</w:t>
      </w:r>
      <w:r w:rsidR="003E6257" w:rsidRPr="003A41B3">
        <w:rPr>
          <w:rFonts w:eastAsia="Times New Roman"/>
          <w:szCs w:val="18"/>
          <w:lang w:eastAsia="en-GB"/>
        </w:rPr>
        <w:t>926</w:t>
      </w:r>
      <w:r w:rsidR="00563382" w:rsidRPr="003A41B3">
        <w:rPr>
          <w:rFonts w:eastAsia="Times New Roman"/>
          <w:szCs w:val="18"/>
          <w:lang w:eastAsia="en-GB"/>
        </w:rPr>
        <w:t>*3) basis points</w:t>
      </w:r>
      <w:r w:rsidR="0065501C" w:rsidRPr="003A41B3">
        <w:rPr>
          <w:rFonts w:eastAsia="Times New Roman"/>
          <w:szCs w:val="18"/>
          <w:lang w:eastAsia="en-GB"/>
        </w:rPr>
        <w:t xml:space="preserve"> on average</w:t>
      </w:r>
      <w:bookmarkEnd w:id="43"/>
      <w:r w:rsidR="00563382" w:rsidRPr="003A41B3">
        <w:rPr>
          <w:rFonts w:eastAsia="Times New Roman"/>
          <w:szCs w:val="18"/>
          <w:lang w:eastAsia="en-GB"/>
        </w:rPr>
        <w:t>.</w:t>
      </w:r>
    </w:p>
    <w:p w14:paraId="6037E834" w14:textId="428DDF9E" w:rsidR="00075B2B" w:rsidRPr="003A41B3" w:rsidRDefault="009D20A3" w:rsidP="00B71DDA">
      <w:pPr>
        <w:tabs>
          <w:tab w:val="left" w:pos="284"/>
        </w:tabs>
        <w:spacing w:line="480" w:lineRule="auto"/>
        <w:jc w:val="both"/>
      </w:pPr>
      <w:r w:rsidRPr="003A41B3">
        <w:tab/>
      </w:r>
      <w:r w:rsidR="009463B0" w:rsidRPr="003A41B3">
        <w:t xml:space="preserve">   </w:t>
      </w:r>
      <w:r w:rsidR="00781EE5" w:rsidRPr="003A41B3">
        <w:t xml:space="preserve"> </w:t>
      </w:r>
      <w:r w:rsidR="00952EFF" w:rsidRPr="003A41B3">
        <w:t>F</w:t>
      </w:r>
      <w:r w:rsidR="00563382" w:rsidRPr="003A41B3">
        <w:t>or</w:t>
      </w:r>
      <w:r w:rsidR="00952EFF" w:rsidRPr="003A41B3">
        <w:t xml:space="preserve"> Moody’s </w:t>
      </w:r>
      <w:r w:rsidR="007E20F9" w:rsidRPr="003A41B3">
        <w:t xml:space="preserve">positive </w:t>
      </w:r>
      <w:r w:rsidR="00563382" w:rsidRPr="003A41B3">
        <w:t xml:space="preserve">rating </w:t>
      </w:r>
      <w:r w:rsidR="007E20F9" w:rsidRPr="003A41B3">
        <w:t>e</w:t>
      </w:r>
      <w:r w:rsidR="00896736" w:rsidRPr="003A41B3">
        <w:t>vents</w:t>
      </w:r>
      <w:r w:rsidR="00A3454D" w:rsidRPr="003A41B3">
        <w:t xml:space="preserve"> </w:t>
      </w:r>
      <w:r w:rsidR="00A3454D" w:rsidRPr="003A41B3">
        <w:rPr>
          <w:rFonts w:eastAsia="Times New Roman"/>
          <w:szCs w:val="18"/>
          <w:lang w:eastAsia="en-GB"/>
        </w:rPr>
        <w:t xml:space="preserve">(see Panel I </w:t>
      </w:r>
      <w:r w:rsidR="0046732F" w:rsidRPr="003A41B3">
        <w:rPr>
          <w:rFonts w:eastAsia="Times New Roman"/>
          <w:szCs w:val="18"/>
          <w:lang w:eastAsia="en-GB"/>
        </w:rPr>
        <w:t xml:space="preserve">of </w:t>
      </w:r>
      <w:r w:rsidR="00A3454D" w:rsidRPr="003A41B3">
        <w:rPr>
          <w:rFonts w:eastAsia="Times New Roman"/>
          <w:szCs w:val="18"/>
          <w:lang w:eastAsia="en-GB"/>
        </w:rPr>
        <w:t>Table 3)</w:t>
      </w:r>
      <w:r w:rsidR="003E6257" w:rsidRPr="003A41B3">
        <w:rPr>
          <w:rFonts w:eastAsia="Times New Roman"/>
          <w:szCs w:val="18"/>
          <w:lang w:eastAsia="en-GB"/>
        </w:rPr>
        <w:t>, the results</w:t>
      </w:r>
      <w:r w:rsidR="00C604FB" w:rsidRPr="003A41B3">
        <w:t xml:space="preserve"> </w:t>
      </w:r>
      <w:r w:rsidR="00952EFF" w:rsidRPr="003A41B3">
        <w:t>reveal</w:t>
      </w:r>
      <w:r w:rsidR="008E49A7" w:rsidRPr="003A41B3">
        <w:t xml:space="preserve"> a</w:t>
      </w:r>
      <w:r w:rsidR="00952EFF" w:rsidRPr="003A41B3">
        <w:t xml:space="preserve"> </w:t>
      </w:r>
      <w:r w:rsidR="00C604FB" w:rsidRPr="003A41B3">
        <w:t xml:space="preserve">strong link </w:t>
      </w:r>
      <w:r w:rsidR="00C83140" w:rsidRPr="003A41B3">
        <w:t>between ratings and</w:t>
      </w:r>
      <w:r w:rsidR="00C604FB" w:rsidRPr="003A41B3">
        <w:t xml:space="preserve"> the bond spreads. For instance, </w:t>
      </w:r>
      <w:r w:rsidRPr="003A41B3">
        <w:t xml:space="preserve">in </w:t>
      </w:r>
      <w:r w:rsidR="003E6257" w:rsidRPr="003A41B3">
        <w:t>Eq.</w:t>
      </w:r>
      <w:r w:rsidRPr="003A41B3">
        <w:t xml:space="preserve"> (</w:t>
      </w:r>
      <w:r w:rsidR="003E6257" w:rsidRPr="003A41B3">
        <w:t>1</w:t>
      </w:r>
      <w:r w:rsidRPr="003A41B3">
        <w:t xml:space="preserve">a), </w:t>
      </w:r>
      <w:r w:rsidR="00C604FB" w:rsidRPr="003A41B3">
        <w:t xml:space="preserve">an upgrade </w:t>
      </w:r>
      <w:r w:rsidR="00467416" w:rsidRPr="003A41B3">
        <w:t xml:space="preserve">of one notch </w:t>
      </w:r>
      <w:r w:rsidR="00C604FB" w:rsidRPr="003A41B3">
        <w:t xml:space="preserve">by Moody’s leads to a narrowing bond spread by </w:t>
      </w:r>
      <w:r w:rsidR="003E6257" w:rsidRPr="003A41B3">
        <w:t>9</w:t>
      </w:r>
      <w:r w:rsidR="00C604FB" w:rsidRPr="003A41B3">
        <w:t>.</w:t>
      </w:r>
      <w:r w:rsidR="003E6257" w:rsidRPr="003A41B3">
        <w:t>6</w:t>
      </w:r>
      <w:r w:rsidR="00C04823" w:rsidRPr="003A41B3">
        <w:t>78</w:t>
      </w:r>
      <w:r w:rsidR="00C604FB" w:rsidRPr="003A41B3">
        <w:t xml:space="preserve"> (3.</w:t>
      </w:r>
      <w:r w:rsidR="003E6257" w:rsidRPr="003A41B3">
        <w:t>226</w:t>
      </w:r>
      <w:r w:rsidR="00C604FB" w:rsidRPr="003A41B3">
        <w:t>*3) basis points.</w:t>
      </w:r>
      <w:r w:rsidR="00FC001E" w:rsidRPr="003A41B3">
        <w:t xml:space="preserve"> </w:t>
      </w:r>
      <w:bookmarkStart w:id="50" w:name="_Hlk5477076"/>
      <w:bookmarkStart w:id="51" w:name="_Hlk4694849"/>
      <w:r w:rsidR="00952EFF" w:rsidRPr="003A41B3">
        <w:t>The results also indicate</w:t>
      </w:r>
      <w:r w:rsidRPr="003A41B3">
        <w:t xml:space="preserve"> </w:t>
      </w:r>
      <w:r w:rsidR="00FC001E" w:rsidRPr="003A41B3">
        <w:t xml:space="preserve">poorer quality of </w:t>
      </w:r>
      <w:r w:rsidR="00952EFF" w:rsidRPr="003A41B3">
        <w:t>positive events by Moody’s</w:t>
      </w:r>
      <w:r w:rsidR="00FC001E" w:rsidRPr="003A41B3">
        <w:t xml:space="preserve"> (</w:t>
      </w:r>
      <w:r w:rsidRPr="003A41B3">
        <w:t>similar to</w:t>
      </w:r>
      <w:r w:rsidR="00112D17" w:rsidRPr="003A41B3">
        <w:t xml:space="preserve"> S&amp;P positive events) </w:t>
      </w:r>
      <w:r w:rsidR="00FC001E" w:rsidRPr="003A41B3">
        <w:t xml:space="preserve">after </w:t>
      </w:r>
      <w:r w:rsidR="002E1B9B" w:rsidRPr="003A41B3">
        <w:t xml:space="preserve">the </w:t>
      </w:r>
      <w:r w:rsidR="00FF6549" w:rsidRPr="003A41B3">
        <w:t xml:space="preserve">introduction of the </w:t>
      </w:r>
      <w:r w:rsidR="002E1B9B" w:rsidRPr="003A41B3">
        <w:t>disclosure rule</w:t>
      </w:r>
      <w:r w:rsidR="00882592" w:rsidRPr="003A41B3">
        <w:t>.</w:t>
      </w:r>
      <w:r w:rsidR="00FC001E" w:rsidRPr="003A41B3">
        <w:t xml:space="preserve"> </w:t>
      </w:r>
      <w:r w:rsidR="00882592" w:rsidRPr="003A41B3">
        <w:t>This is evident from the positive and</w:t>
      </w:r>
      <w:r w:rsidR="009E4BF3" w:rsidRPr="003A41B3">
        <w:t xml:space="preserve"> significant</w:t>
      </w:r>
      <w:r w:rsidR="00B941FA" w:rsidRPr="003A41B3">
        <w:t xml:space="preserve"> coefficient on the</w:t>
      </w:r>
      <w:r w:rsidR="009E4BF3" w:rsidRPr="003A41B3">
        <w:t xml:space="preserve"> interaction term </w:t>
      </w:r>
      <w:r w:rsidR="00FC001E" w:rsidRPr="003A41B3">
        <w:t>(</w:t>
      </w:r>
      <w:proofErr w:type="spellStart"/>
      <w:r w:rsidR="00FC001E" w:rsidRPr="003A41B3">
        <w:rPr>
          <w:rFonts w:eastAsiaTheme="minorEastAsia"/>
        </w:rPr>
        <w:t>Δ</w:t>
      </w:r>
      <w:r w:rsidR="00FC001E" w:rsidRPr="003A41B3">
        <w:rPr>
          <w:i/>
        </w:rPr>
        <w:t>Rating</w:t>
      </w:r>
      <w:proofErr w:type="spellEnd"/>
      <w:r w:rsidR="00FC001E" w:rsidRPr="003A41B3">
        <w:rPr>
          <w:i/>
        </w:rPr>
        <w:t>*</w:t>
      </w:r>
      <w:r w:rsidR="009B7C13" w:rsidRPr="003A41B3">
        <w:rPr>
          <w:i/>
        </w:rPr>
        <w:t>Identifier</w:t>
      </w:r>
      <w:r w:rsidR="00FC001E" w:rsidRPr="003A41B3">
        <w:rPr>
          <w:i/>
        </w:rPr>
        <w:t xml:space="preserve">) </w:t>
      </w:r>
      <w:r w:rsidR="00FC001E" w:rsidRPr="003A41B3">
        <w:t xml:space="preserve">in </w:t>
      </w:r>
      <w:r w:rsidR="003E6257" w:rsidRPr="003A41B3">
        <w:t>Eq. (1a)</w:t>
      </w:r>
      <w:r w:rsidR="00466BD1" w:rsidRPr="003A41B3">
        <w:t>, suggesting</w:t>
      </w:r>
      <w:r w:rsidR="00B941FA" w:rsidRPr="003A41B3">
        <w:t xml:space="preserve"> that</w:t>
      </w:r>
      <w:r w:rsidR="00466BD1" w:rsidRPr="003A41B3">
        <w:t>, on average, bond spreads widen by 0.50</w:t>
      </w:r>
      <w:r w:rsidR="00BA17AA" w:rsidRPr="003A41B3">
        <w:t>7</w:t>
      </w:r>
      <w:r w:rsidR="00466BD1" w:rsidRPr="003A41B3">
        <w:t xml:space="preserve"> [(-3.226+3.395)</w:t>
      </w:r>
      <w:r w:rsidR="00CD38A7" w:rsidRPr="003A41B3">
        <w:t xml:space="preserve"> </w:t>
      </w:r>
      <w:r w:rsidR="009F0894" w:rsidRPr="003A41B3">
        <w:t>*3] basis</w:t>
      </w:r>
      <w:r w:rsidR="00466BD1" w:rsidRPr="003A41B3">
        <w:t xml:space="preserve"> points after Moody’s issues an upgrade by one-notch (3-CCR points) after the disclosure rule</w:t>
      </w:r>
      <w:r w:rsidR="009E4BF3" w:rsidRPr="003A41B3">
        <w:t>.</w:t>
      </w:r>
      <w:r w:rsidR="002E1B9B" w:rsidRPr="003A41B3">
        <w:t xml:space="preserve"> </w:t>
      </w:r>
      <w:r w:rsidR="009E4BF3" w:rsidRPr="003A41B3">
        <w:t>A</w:t>
      </w:r>
      <w:r w:rsidR="002E1B9B" w:rsidRPr="003A41B3">
        <w:t>dditionally</w:t>
      </w:r>
      <w:r w:rsidR="0097527A" w:rsidRPr="003A41B3">
        <w:t xml:space="preserve">, </w:t>
      </w:r>
      <w:r w:rsidR="007909EF" w:rsidRPr="003A41B3">
        <w:t>the results of Eq.</w:t>
      </w:r>
      <w:r w:rsidRPr="003A41B3">
        <w:t xml:space="preserve"> (</w:t>
      </w:r>
      <w:r w:rsidR="007909EF" w:rsidRPr="003A41B3">
        <w:t>1</w:t>
      </w:r>
      <w:r w:rsidRPr="003A41B3">
        <w:t>b) suggest</w:t>
      </w:r>
      <w:r w:rsidR="002E1B9B" w:rsidRPr="003A41B3">
        <w:t xml:space="preserve"> </w:t>
      </w:r>
      <w:r w:rsidR="0065501C" w:rsidRPr="003A41B3">
        <w:t xml:space="preserve">that </w:t>
      </w:r>
      <w:r w:rsidR="0097527A" w:rsidRPr="003A41B3">
        <w:t>Moody’s positive events are less informative</w:t>
      </w:r>
      <w:r w:rsidR="002E1344" w:rsidRPr="003A41B3">
        <w:t xml:space="preserve"> </w:t>
      </w:r>
      <w:r w:rsidR="00E05359" w:rsidRPr="003A41B3">
        <w:t xml:space="preserve">when their </w:t>
      </w:r>
      <w:r w:rsidR="007909EF" w:rsidRPr="003A41B3">
        <w:t>rating analysts are located outside the EU (i.e. rating</w:t>
      </w:r>
      <w:r w:rsidR="000F6651" w:rsidRPr="003A41B3">
        <w:t>s</w:t>
      </w:r>
      <w:r w:rsidR="0097527A" w:rsidRPr="003A41B3">
        <w:t xml:space="preserve"> with EE </w:t>
      </w:r>
      <w:r w:rsidR="000F6651" w:rsidRPr="003A41B3">
        <w:t>identifiers</w:t>
      </w:r>
      <w:r w:rsidR="007909EF" w:rsidRPr="003A41B3">
        <w:t>)</w:t>
      </w:r>
      <w:r w:rsidR="00A00CB9" w:rsidRPr="003A41B3">
        <w:t>.</w:t>
      </w:r>
      <w:r w:rsidR="002E1344" w:rsidRPr="003A41B3">
        <w:t xml:space="preserve"> </w:t>
      </w:r>
      <w:r w:rsidR="007E67F2" w:rsidRPr="003A41B3">
        <w:t xml:space="preserve">Although </w:t>
      </w:r>
      <w:r w:rsidR="0065501C" w:rsidRPr="003A41B3">
        <w:t xml:space="preserve">the </w:t>
      </w:r>
      <w:r w:rsidR="00400E54" w:rsidRPr="003A41B3">
        <w:t xml:space="preserve">market reaction to </w:t>
      </w:r>
      <w:r w:rsidR="007E67F2" w:rsidRPr="003A41B3">
        <w:t xml:space="preserve">Moody’s </w:t>
      </w:r>
      <w:r w:rsidR="00A3454D" w:rsidRPr="003A41B3">
        <w:t xml:space="preserve">negative events </w:t>
      </w:r>
      <w:r w:rsidR="00E25127" w:rsidRPr="003A41B3">
        <w:t>is</w:t>
      </w:r>
      <w:r w:rsidR="007E67F2" w:rsidRPr="003A41B3">
        <w:t xml:space="preserve"> insignificant</w:t>
      </w:r>
      <w:r w:rsidR="007909EF" w:rsidRPr="003A41B3">
        <w:t xml:space="preserve"> in </w:t>
      </w:r>
      <w:r w:rsidR="00E05359" w:rsidRPr="003A41B3">
        <w:t xml:space="preserve">the </w:t>
      </w:r>
      <w:r w:rsidR="007909EF" w:rsidRPr="003A41B3">
        <w:t>pre-identifier period (insignificant</w:t>
      </w:r>
      <w:r w:rsidR="0076576E" w:rsidRPr="003A41B3">
        <w:t xml:space="preserve"> coefficient </w:t>
      </w:r>
      <w:r w:rsidR="00B941FA" w:rsidRPr="003A41B3">
        <w:t>on</w:t>
      </w:r>
      <w:r w:rsidR="007909EF" w:rsidRPr="003A41B3">
        <w:t xml:space="preserve"> </w:t>
      </w:r>
      <w:proofErr w:type="spellStart"/>
      <w:r w:rsidR="007909EF" w:rsidRPr="003A41B3">
        <w:rPr>
          <w:rFonts w:eastAsiaTheme="minorEastAsia"/>
        </w:rPr>
        <w:t>Δ</w:t>
      </w:r>
      <w:r w:rsidR="007909EF" w:rsidRPr="003A41B3">
        <w:rPr>
          <w:i/>
        </w:rPr>
        <w:t>Rating</w:t>
      </w:r>
      <w:proofErr w:type="spellEnd"/>
      <w:r w:rsidR="007909EF" w:rsidRPr="003A41B3">
        <w:t>)</w:t>
      </w:r>
      <w:r w:rsidR="00952EFF" w:rsidRPr="003A41B3">
        <w:t>,</w:t>
      </w:r>
      <w:r w:rsidR="007E67F2" w:rsidRPr="003A41B3">
        <w:t xml:space="preserve"> the</w:t>
      </w:r>
      <w:r w:rsidR="00400E54" w:rsidRPr="003A41B3">
        <w:t>ir</w:t>
      </w:r>
      <w:r w:rsidR="007E67F2" w:rsidRPr="003A41B3">
        <w:t xml:space="preserve"> information content incr</w:t>
      </w:r>
      <w:r w:rsidR="00345F63" w:rsidRPr="003A41B3">
        <w:t>ease</w:t>
      </w:r>
      <w:r w:rsidR="00136EA1" w:rsidRPr="003A41B3">
        <w:t>s</w:t>
      </w:r>
      <w:r w:rsidR="00345F63" w:rsidRPr="003A41B3">
        <w:t xml:space="preserve"> </w:t>
      </w:r>
      <w:r w:rsidR="002E1B9B" w:rsidRPr="003A41B3">
        <w:t xml:space="preserve">in </w:t>
      </w:r>
      <w:r w:rsidR="0065501C" w:rsidRPr="003A41B3">
        <w:t xml:space="preserve">the </w:t>
      </w:r>
      <w:r w:rsidR="002E1B9B" w:rsidRPr="003A41B3">
        <w:t>post-identifier period</w:t>
      </w:r>
      <w:r w:rsidR="00A3454D" w:rsidRPr="003A41B3">
        <w:t xml:space="preserve"> </w:t>
      </w:r>
      <w:r w:rsidR="000F6651" w:rsidRPr="003A41B3">
        <w:t xml:space="preserve">because </w:t>
      </w:r>
      <w:r w:rsidR="00B941FA" w:rsidRPr="003A41B3">
        <w:t>the coefficient on</w:t>
      </w:r>
      <w:r w:rsidR="00400E54" w:rsidRPr="003A41B3">
        <w:t xml:space="preserve"> </w:t>
      </w:r>
      <w:proofErr w:type="spellStart"/>
      <w:r w:rsidR="00400E54" w:rsidRPr="003A41B3">
        <w:rPr>
          <w:rFonts w:eastAsiaTheme="minorEastAsia"/>
        </w:rPr>
        <w:t>Δ</w:t>
      </w:r>
      <w:r w:rsidR="00400E54" w:rsidRPr="003A41B3">
        <w:rPr>
          <w:i/>
        </w:rPr>
        <w:t>Rating</w:t>
      </w:r>
      <w:proofErr w:type="spellEnd"/>
      <w:r w:rsidR="00400E54" w:rsidRPr="003A41B3">
        <w:rPr>
          <w:i/>
        </w:rPr>
        <w:t>*</w:t>
      </w:r>
      <w:r w:rsidR="009B7C13" w:rsidRPr="003A41B3">
        <w:rPr>
          <w:i/>
        </w:rPr>
        <w:t>Identifier</w:t>
      </w:r>
      <w:r w:rsidR="00400E54" w:rsidRPr="003A41B3">
        <w:t xml:space="preserve"> in </w:t>
      </w:r>
      <w:r w:rsidR="007909EF" w:rsidRPr="003A41B3">
        <w:t>Eq</w:t>
      </w:r>
      <w:r w:rsidR="00417CCC" w:rsidRPr="003A41B3">
        <w:t>.</w:t>
      </w:r>
      <w:r w:rsidR="00400E54" w:rsidRPr="003A41B3">
        <w:t xml:space="preserve"> (</w:t>
      </w:r>
      <w:r w:rsidR="007909EF" w:rsidRPr="003A41B3">
        <w:t>1</w:t>
      </w:r>
      <w:r w:rsidR="00400E54" w:rsidRPr="003A41B3">
        <w:t xml:space="preserve">a) is positive and significant </w:t>
      </w:r>
      <w:r w:rsidR="00A3454D" w:rsidRPr="003A41B3">
        <w:t>(Panel II</w:t>
      </w:r>
      <w:r w:rsidR="00400E54" w:rsidRPr="003A41B3">
        <w:t>)</w:t>
      </w:r>
      <w:r w:rsidR="00520E88" w:rsidRPr="003A41B3">
        <w:t xml:space="preserve">. The coefficient signifies that bond spreads widen by </w:t>
      </w:r>
      <w:r w:rsidR="004F3EA5" w:rsidRPr="003A41B3">
        <w:t>14</w:t>
      </w:r>
      <w:r w:rsidR="007909EF" w:rsidRPr="003A41B3">
        <w:t>.</w:t>
      </w:r>
      <w:r w:rsidR="004F3EA5" w:rsidRPr="003A41B3">
        <w:t>775</w:t>
      </w:r>
      <w:r w:rsidR="007909EF" w:rsidRPr="003A41B3">
        <w:t xml:space="preserve"> [</w:t>
      </w:r>
      <w:r w:rsidR="00C2093D" w:rsidRPr="003A41B3">
        <w:t>(</w:t>
      </w:r>
      <w:r w:rsidR="007909EF" w:rsidRPr="003A41B3">
        <w:t>-</w:t>
      </w:r>
      <w:r w:rsidR="00C2093D" w:rsidRPr="003A41B3">
        <w:t>2</w:t>
      </w:r>
      <w:r w:rsidR="007909EF" w:rsidRPr="003A41B3">
        <w:t>.</w:t>
      </w:r>
      <w:r w:rsidR="00C2093D" w:rsidRPr="003A41B3">
        <w:t>039</w:t>
      </w:r>
      <w:r w:rsidR="007909EF" w:rsidRPr="003A41B3">
        <w:t xml:space="preserve"> + </w:t>
      </w:r>
      <w:r w:rsidR="00C2093D" w:rsidRPr="003A41B3">
        <w:t>6</w:t>
      </w:r>
      <w:r w:rsidR="007909EF" w:rsidRPr="003A41B3">
        <w:t>.</w:t>
      </w:r>
      <w:r w:rsidR="00C2093D" w:rsidRPr="003A41B3">
        <w:t>9</w:t>
      </w:r>
      <w:r w:rsidR="007909EF" w:rsidRPr="003A41B3">
        <w:t>64) *3]</w:t>
      </w:r>
      <w:r w:rsidR="00520E88" w:rsidRPr="003A41B3">
        <w:t xml:space="preserve"> basis points </w:t>
      </w:r>
      <w:r w:rsidR="00882592" w:rsidRPr="003A41B3">
        <w:t xml:space="preserve">on average </w:t>
      </w:r>
      <w:r w:rsidR="00520E88" w:rsidRPr="003A41B3">
        <w:t xml:space="preserve">as a result of </w:t>
      </w:r>
      <w:r w:rsidR="00882592" w:rsidRPr="003A41B3">
        <w:t>a</w:t>
      </w:r>
      <w:r w:rsidR="00520E88" w:rsidRPr="003A41B3">
        <w:t xml:space="preserve"> rating downgrade by one notch</w:t>
      </w:r>
      <w:r w:rsidR="00C2093D" w:rsidRPr="003A41B3">
        <w:t xml:space="preserve"> by Moody’s</w:t>
      </w:r>
      <w:r w:rsidR="00345F63" w:rsidRPr="003A41B3">
        <w:t>.</w:t>
      </w:r>
      <w:bookmarkEnd w:id="50"/>
      <w:r w:rsidR="00833D61" w:rsidRPr="003A41B3">
        <w:t xml:space="preserve"> </w:t>
      </w:r>
      <w:bookmarkEnd w:id="51"/>
    </w:p>
    <w:p w14:paraId="7DC50E17" w14:textId="6FFCA6B4" w:rsidR="00371346" w:rsidRPr="003A41B3" w:rsidRDefault="009D20A3" w:rsidP="00252A96">
      <w:pPr>
        <w:tabs>
          <w:tab w:val="left" w:pos="284"/>
        </w:tabs>
        <w:spacing w:line="480" w:lineRule="auto"/>
        <w:jc w:val="both"/>
      </w:pPr>
      <w:r w:rsidRPr="003A41B3">
        <w:lastRenderedPageBreak/>
        <w:tab/>
      </w:r>
      <w:r w:rsidR="00781EE5" w:rsidRPr="003A41B3">
        <w:t xml:space="preserve">  </w:t>
      </w:r>
      <w:bookmarkStart w:id="52" w:name="_Hlk4695944"/>
      <w:r w:rsidR="00781EE5" w:rsidRPr="003A41B3">
        <w:t xml:space="preserve"> </w:t>
      </w:r>
      <w:bookmarkStart w:id="53" w:name="_Hlk5477133"/>
      <w:r w:rsidR="009F0894" w:rsidRPr="003A41B3">
        <w:t>The market reactions to Fitch’s positive events are insignificant in the pre-identifier period (insignificant</w:t>
      </w:r>
      <w:r w:rsidR="0076576E" w:rsidRPr="003A41B3">
        <w:t xml:space="preserve"> coefficient o</w:t>
      </w:r>
      <w:r w:rsidR="00B941FA" w:rsidRPr="003A41B3">
        <w:t>n</w:t>
      </w:r>
      <w:r w:rsidR="009F0894" w:rsidRPr="003A41B3">
        <w:t xml:space="preserve"> </w:t>
      </w:r>
      <w:proofErr w:type="spellStart"/>
      <w:r w:rsidR="009F0894" w:rsidRPr="003A41B3">
        <w:rPr>
          <w:rFonts w:eastAsiaTheme="minorEastAsia"/>
        </w:rPr>
        <w:t>Δ</w:t>
      </w:r>
      <w:r w:rsidR="009F0894" w:rsidRPr="003A41B3">
        <w:rPr>
          <w:i/>
        </w:rPr>
        <w:t>Rating</w:t>
      </w:r>
      <w:proofErr w:type="spellEnd"/>
      <w:r w:rsidR="009F0894" w:rsidRPr="003A41B3">
        <w:t>), and their information content deteriorates in the post-identifier period because</w:t>
      </w:r>
      <w:r w:rsidR="00B941FA" w:rsidRPr="003A41B3">
        <w:t xml:space="preserve"> the coefficient on</w:t>
      </w:r>
      <w:r w:rsidR="009F0894" w:rsidRPr="003A41B3">
        <w:t xml:space="preserve"> </w:t>
      </w:r>
      <w:proofErr w:type="spellStart"/>
      <w:r w:rsidR="009F0894" w:rsidRPr="003A41B3">
        <w:rPr>
          <w:rFonts w:eastAsiaTheme="minorEastAsia"/>
        </w:rPr>
        <w:t>Δ</w:t>
      </w:r>
      <w:r w:rsidR="009F0894" w:rsidRPr="003A41B3">
        <w:rPr>
          <w:i/>
        </w:rPr>
        <w:t>Rating</w:t>
      </w:r>
      <w:proofErr w:type="spellEnd"/>
      <w:r w:rsidR="009F0894" w:rsidRPr="003A41B3">
        <w:rPr>
          <w:i/>
        </w:rPr>
        <w:t>*Identifier</w:t>
      </w:r>
      <w:r w:rsidR="009F0894" w:rsidRPr="003A41B3">
        <w:t xml:space="preserve"> is positive and significant (in Eq (1a), Panel I). The coefficient signifies that the bond spreads widen (rather than narrow) by 2.445 [(-1.399 + 2.214) *3] basis points on average as a result of a one-notch rating upgrade by Fitch. The results of Eq. (1b) in Panel I reveal that Fitch positive events are less informative when their analysts are located outside the EU (ratings with EE </w:t>
      </w:r>
      <w:r w:rsidR="000F6651" w:rsidRPr="003A41B3">
        <w:t>identifiers</w:t>
      </w:r>
      <w:r w:rsidR="009F0894" w:rsidRPr="003A41B3">
        <w:t>) in the post-identifier period.</w:t>
      </w:r>
      <w:r w:rsidR="0014524D" w:rsidRPr="003A41B3">
        <w:t xml:space="preserve"> </w:t>
      </w:r>
      <w:r w:rsidR="000E5AEF" w:rsidRPr="003A41B3">
        <w:t>Panel II</w:t>
      </w:r>
      <w:r w:rsidR="00400E54" w:rsidRPr="003A41B3">
        <w:t xml:space="preserve"> of Table 3 shows that</w:t>
      </w:r>
      <w:r w:rsidR="00772B9A" w:rsidRPr="003A41B3">
        <w:t xml:space="preserve"> </w:t>
      </w:r>
      <w:r w:rsidR="0065501C" w:rsidRPr="003A41B3">
        <w:t xml:space="preserve">the </w:t>
      </w:r>
      <w:r w:rsidR="00400E54" w:rsidRPr="003A41B3">
        <w:t xml:space="preserve">average </w:t>
      </w:r>
      <w:r w:rsidR="00047862" w:rsidRPr="003A41B3">
        <w:t>bond</w:t>
      </w:r>
      <w:r w:rsidR="00494AEE" w:rsidRPr="003A41B3">
        <w:t xml:space="preserve"> spread</w:t>
      </w:r>
      <w:r w:rsidR="00C75724" w:rsidRPr="003A41B3">
        <w:t xml:space="preserve"> increase</w:t>
      </w:r>
      <w:r w:rsidR="00400E54" w:rsidRPr="003A41B3">
        <w:t>s</w:t>
      </w:r>
      <w:r w:rsidR="00494AEE" w:rsidRPr="003A41B3">
        <w:t xml:space="preserve"> </w:t>
      </w:r>
      <w:r w:rsidR="00C75724" w:rsidRPr="003A41B3">
        <w:t>by</w:t>
      </w:r>
      <w:r w:rsidR="00494AEE" w:rsidRPr="003A41B3">
        <w:t xml:space="preserve"> </w:t>
      </w:r>
      <w:r w:rsidR="00C427DB" w:rsidRPr="003A41B3">
        <w:t>8.</w:t>
      </w:r>
      <w:r w:rsidR="003D3D57" w:rsidRPr="003A41B3">
        <w:t>31</w:t>
      </w:r>
      <w:r w:rsidR="00C427DB" w:rsidRPr="003A41B3">
        <w:t xml:space="preserve"> (2.</w:t>
      </w:r>
      <w:r w:rsidR="003D3D57" w:rsidRPr="003A41B3">
        <w:t>770</w:t>
      </w:r>
      <w:r w:rsidR="00494AEE" w:rsidRPr="003A41B3">
        <w:t xml:space="preserve">*3) basis points </w:t>
      </w:r>
      <w:r w:rsidR="00400E54" w:rsidRPr="003A41B3">
        <w:t xml:space="preserve">following </w:t>
      </w:r>
      <w:r w:rsidR="00882592" w:rsidRPr="003A41B3">
        <w:t xml:space="preserve">a </w:t>
      </w:r>
      <w:r w:rsidR="004C0ED7" w:rsidRPr="003A41B3">
        <w:t>one</w:t>
      </w:r>
      <w:r w:rsidR="00400E54" w:rsidRPr="003A41B3">
        <w:t>-</w:t>
      </w:r>
      <w:r w:rsidR="004C0ED7" w:rsidRPr="003A41B3">
        <w:t>notch downgrade</w:t>
      </w:r>
      <w:r w:rsidR="00FA12B8" w:rsidRPr="003A41B3">
        <w:t xml:space="preserve"> </w:t>
      </w:r>
      <w:r w:rsidR="00400E54" w:rsidRPr="003A41B3">
        <w:t xml:space="preserve">by Fitch </w:t>
      </w:r>
      <w:r w:rsidR="00FA12B8" w:rsidRPr="003A41B3">
        <w:t>(</w:t>
      </w:r>
      <w:r w:rsidR="003D3D57" w:rsidRPr="003A41B3">
        <w:t>Eq.</w:t>
      </w:r>
      <w:r w:rsidR="00FA12B8" w:rsidRPr="003A41B3">
        <w:t xml:space="preserve"> (</w:t>
      </w:r>
      <w:r w:rsidR="003D3D57" w:rsidRPr="003A41B3">
        <w:t>1</w:t>
      </w:r>
      <w:r w:rsidR="00FA12B8" w:rsidRPr="003A41B3">
        <w:t>a))</w:t>
      </w:r>
      <w:r w:rsidR="0014524D" w:rsidRPr="003A41B3">
        <w:t xml:space="preserve"> in </w:t>
      </w:r>
      <w:r w:rsidR="00CD38A7" w:rsidRPr="003A41B3">
        <w:t xml:space="preserve">the </w:t>
      </w:r>
      <w:r w:rsidR="0014524D" w:rsidRPr="003A41B3">
        <w:t>pre-identifier period</w:t>
      </w:r>
      <w:r w:rsidR="00494AEE" w:rsidRPr="003A41B3">
        <w:t>.</w:t>
      </w:r>
      <w:r w:rsidR="00C75724" w:rsidRPr="003A41B3">
        <w:t xml:space="preserve"> </w:t>
      </w:r>
      <w:r w:rsidR="009F0894" w:rsidRPr="003A41B3">
        <w:t>The positive and significant coefficient o</w:t>
      </w:r>
      <w:r w:rsidR="00B941FA" w:rsidRPr="003A41B3">
        <w:t>n</w:t>
      </w:r>
      <w:r w:rsidR="009F0894" w:rsidRPr="003A41B3">
        <w:t xml:space="preserve"> </w:t>
      </w:r>
      <w:proofErr w:type="spellStart"/>
      <w:r w:rsidR="009F0894" w:rsidRPr="003A41B3">
        <w:rPr>
          <w:rFonts w:eastAsiaTheme="minorEastAsia"/>
        </w:rPr>
        <w:t>Δ</w:t>
      </w:r>
      <w:r w:rsidR="009F0894" w:rsidRPr="003A41B3">
        <w:rPr>
          <w:i/>
        </w:rPr>
        <w:t>Rating</w:t>
      </w:r>
      <w:proofErr w:type="spellEnd"/>
      <w:r w:rsidR="009F0894" w:rsidRPr="003A41B3">
        <w:rPr>
          <w:i/>
        </w:rPr>
        <w:t>*EE</w:t>
      </w:r>
      <w:r w:rsidR="009F0894" w:rsidRPr="003A41B3">
        <w:t xml:space="preserve"> (Eq. (1b), Panel II) suggests that the effect of Fitch negative events on yields in the post-identifier period is stronger, </w:t>
      </w:r>
      <w:r w:rsidR="00B941FA" w:rsidRPr="003A41B3">
        <w:t xml:space="preserve">thus </w:t>
      </w:r>
      <w:r w:rsidR="009F0894" w:rsidRPr="003A41B3">
        <w:t>indicating higher quality, when their rating analysts are located outside the EU (i.e. rating</w:t>
      </w:r>
      <w:r w:rsidR="00E25127" w:rsidRPr="003A41B3">
        <w:t>s</w:t>
      </w:r>
      <w:r w:rsidR="009F0894" w:rsidRPr="003A41B3">
        <w:t xml:space="preserve"> with EE identifiers)</w:t>
      </w:r>
      <w:bookmarkEnd w:id="53"/>
      <w:r w:rsidR="009F0894" w:rsidRPr="003A41B3">
        <w:t>.</w:t>
      </w:r>
      <w:r w:rsidR="00440393" w:rsidRPr="003A41B3">
        <w:t xml:space="preserve"> </w:t>
      </w:r>
    </w:p>
    <w:bookmarkEnd w:id="52"/>
    <w:p w14:paraId="376CA076" w14:textId="77777777" w:rsidR="00327F52" w:rsidRPr="003A41B3" w:rsidRDefault="00327F52" w:rsidP="00252A96">
      <w:pPr>
        <w:tabs>
          <w:tab w:val="left" w:pos="284"/>
        </w:tabs>
        <w:spacing w:line="480" w:lineRule="auto"/>
        <w:jc w:val="both"/>
      </w:pPr>
    </w:p>
    <w:p w14:paraId="60921FEB" w14:textId="28886924" w:rsidR="0001567C" w:rsidRPr="003A41B3" w:rsidRDefault="0001567C" w:rsidP="0038668D">
      <w:pPr>
        <w:pStyle w:val="Heading2"/>
        <w:spacing w:before="0" w:line="480" w:lineRule="auto"/>
        <w:rPr>
          <w:rFonts w:cs="Times New Roman"/>
        </w:rPr>
      </w:pPr>
      <w:r w:rsidRPr="003A41B3">
        <w:rPr>
          <w:rFonts w:cs="Times New Roman"/>
        </w:rPr>
        <w:t xml:space="preserve">6.2. </w:t>
      </w:r>
      <w:r w:rsidR="00CE18A2" w:rsidRPr="003A41B3">
        <w:rPr>
          <w:rFonts w:cs="Times New Roman"/>
        </w:rPr>
        <w:t xml:space="preserve">Time versus </w:t>
      </w:r>
      <w:r w:rsidR="0038668D" w:rsidRPr="003A41B3">
        <w:rPr>
          <w:rFonts w:cs="Times New Roman"/>
        </w:rPr>
        <w:t>c</w:t>
      </w:r>
      <w:r w:rsidR="0080071A" w:rsidRPr="003A41B3">
        <w:rPr>
          <w:rFonts w:cs="Times New Roman"/>
        </w:rPr>
        <w:t xml:space="preserve">ross-sectional </w:t>
      </w:r>
      <w:r w:rsidR="0038668D" w:rsidRPr="003A41B3">
        <w:rPr>
          <w:rFonts w:cs="Times New Roman"/>
        </w:rPr>
        <w:t>v</w:t>
      </w:r>
      <w:r w:rsidR="0080071A" w:rsidRPr="003A41B3">
        <w:rPr>
          <w:rFonts w:cs="Times New Roman"/>
        </w:rPr>
        <w:t>ariations</w:t>
      </w:r>
    </w:p>
    <w:p w14:paraId="0405AB3A" w14:textId="6DD91DAE" w:rsidR="004E08C3" w:rsidRPr="003A41B3" w:rsidRDefault="00210ECB" w:rsidP="004E08C3">
      <w:pPr>
        <w:tabs>
          <w:tab w:val="left" w:pos="284"/>
        </w:tabs>
        <w:spacing w:line="480" w:lineRule="auto"/>
        <w:jc w:val="both"/>
        <w:rPr>
          <w:szCs w:val="22"/>
          <w:lang w:val="en-GB"/>
        </w:rPr>
      </w:pPr>
      <w:r w:rsidRPr="003A41B3">
        <w:tab/>
      </w:r>
      <w:r w:rsidR="00781EE5" w:rsidRPr="003A41B3">
        <w:t xml:space="preserve">   </w:t>
      </w:r>
      <w:bookmarkStart w:id="54" w:name="_Hlk4701760"/>
      <w:bookmarkStart w:id="55" w:name="_Hlk5477337"/>
      <w:r w:rsidR="004E08C3" w:rsidRPr="003A41B3">
        <w:t>Tables 4-6 present the results of Eq. (2), which examines our first research question on the impact of rating identifiers, tested using (</w:t>
      </w:r>
      <w:proofErr w:type="spellStart"/>
      <w:r w:rsidR="004E08C3" w:rsidRPr="003A41B3">
        <w:t>i</w:t>
      </w:r>
      <w:proofErr w:type="spellEnd"/>
      <w:r w:rsidR="004E08C3" w:rsidRPr="003A41B3">
        <w:t xml:space="preserve">) pre-identifier and (ii) and post-identifier </w:t>
      </w:r>
      <w:r w:rsidR="002D278B" w:rsidRPr="003A41B3">
        <w:t xml:space="preserve">data </w:t>
      </w:r>
      <w:r w:rsidR="004E08C3" w:rsidRPr="003A41B3">
        <w:t xml:space="preserve">samples. This robustness exercise allows us to observe the quality of ratings measured by </w:t>
      </w:r>
      <w:r w:rsidR="00B478BE" w:rsidRPr="003A41B3">
        <w:t xml:space="preserve">their </w:t>
      </w:r>
      <w:r w:rsidR="004E08C3" w:rsidRPr="003A41B3">
        <w:t xml:space="preserve">information content </w:t>
      </w:r>
      <w:r w:rsidR="00B478BE" w:rsidRPr="003A41B3">
        <w:t>during</w:t>
      </w:r>
      <w:r w:rsidR="004E08C3" w:rsidRPr="003A41B3">
        <w:t xml:space="preserve"> the pre- and post-identifier periods (similar to Dimitrov et al., 2015). </w:t>
      </w:r>
      <w:bookmarkStart w:id="56" w:name="_Hlk5654086"/>
      <w:r w:rsidR="004E08C3" w:rsidRPr="003A41B3">
        <w:t>A significant (insignificant) coefficient o</w:t>
      </w:r>
      <w:r w:rsidR="00B478BE" w:rsidRPr="003A41B3">
        <w:t>n</w:t>
      </w:r>
      <w:r w:rsidR="004E08C3" w:rsidRPr="003A41B3">
        <w:t xml:space="preserve"> </w:t>
      </w:r>
      <w:r w:rsidR="004E08C3" w:rsidRPr="003A41B3">
        <w:rPr>
          <w:i/>
        </w:rPr>
        <w:t xml:space="preserve">∆Rating </w:t>
      </w:r>
      <w:r w:rsidR="004E08C3" w:rsidRPr="003A41B3">
        <w:t>implies high (poor) quality rating</w:t>
      </w:r>
      <w:r w:rsidR="00B478BE" w:rsidRPr="003A41B3">
        <w:t>s</w:t>
      </w:r>
      <w:r w:rsidR="004E08C3" w:rsidRPr="003A41B3">
        <w:t xml:space="preserve"> in a given period because we are able to observe </w:t>
      </w:r>
      <w:r w:rsidR="00B478BE" w:rsidRPr="003A41B3">
        <w:t>the extent to which</w:t>
      </w:r>
      <w:r w:rsidR="004E08C3" w:rsidRPr="003A41B3">
        <w:t xml:space="preserve"> bond yields </w:t>
      </w:r>
      <w:r w:rsidR="002A3D58" w:rsidRPr="003A41B3">
        <w:t>respond to</w:t>
      </w:r>
      <w:r w:rsidR="004E08C3" w:rsidRPr="003A41B3">
        <w:t xml:space="preserve"> rating news (Becker and Milbourn, 2011).</w:t>
      </w:r>
      <w:bookmarkEnd w:id="56"/>
      <w:r w:rsidR="004E08C3" w:rsidRPr="003A41B3">
        <w:t xml:space="preserve"> F-test results reveal statistical differences between the </w:t>
      </w:r>
      <w:r w:rsidR="004E08C3" w:rsidRPr="003A41B3">
        <w:rPr>
          <w:i/>
        </w:rPr>
        <w:t>∆Rating</w:t>
      </w:r>
      <w:r w:rsidR="004E08C3" w:rsidRPr="003A41B3">
        <w:t xml:space="preserve"> coefficients in </w:t>
      </w:r>
      <w:r w:rsidR="00B478BE" w:rsidRPr="003A41B3">
        <w:t xml:space="preserve">the </w:t>
      </w:r>
      <w:r w:rsidR="004E08C3" w:rsidRPr="003A41B3">
        <w:t xml:space="preserve">pre- and post-identifier sample periods for all estimations. The results of Tables 4-6 largely confirm the results from Eq. (1a). </w:t>
      </w:r>
      <w:bookmarkStart w:id="57" w:name="_Hlk5654141"/>
      <w:r w:rsidR="004E08C3" w:rsidRPr="003A41B3">
        <w:t xml:space="preserve">Specifically, </w:t>
      </w:r>
      <w:r w:rsidR="00116DB0" w:rsidRPr="003A41B3">
        <w:t>there is</w:t>
      </w:r>
      <w:r w:rsidR="004E08C3" w:rsidRPr="003A41B3">
        <w:t xml:space="preserve"> </w:t>
      </w:r>
      <w:r w:rsidR="00116DB0" w:rsidRPr="003A41B3">
        <w:t xml:space="preserve">a deterioration in </w:t>
      </w:r>
      <w:r w:rsidR="004E08C3" w:rsidRPr="003A41B3">
        <w:t xml:space="preserve">rating quality </w:t>
      </w:r>
      <w:r w:rsidR="00B478BE" w:rsidRPr="003A41B3">
        <w:t xml:space="preserve">associated with </w:t>
      </w:r>
      <w:r w:rsidR="004E08C3" w:rsidRPr="003A41B3">
        <w:t xml:space="preserve">positive </w:t>
      </w:r>
      <w:r w:rsidR="00B478BE" w:rsidRPr="003A41B3">
        <w:t>news from</w:t>
      </w:r>
      <w:r w:rsidR="004E08C3" w:rsidRPr="003A41B3">
        <w:t xml:space="preserve"> all CRAs after the disclosure </w:t>
      </w:r>
      <w:r w:rsidR="004E08C3" w:rsidRPr="003A41B3">
        <w:lastRenderedPageBreak/>
        <w:t xml:space="preserve">rule, while better </w:t>
      </w:r>
      <w:r w:rsidR="004E08C3" w:rsidRPr="003A41B3">
        <w:rPr>
          <w:rFonts w:eastAsia="Times New Roman"/>
          <w:szCs w:val="18"/>
          <w:lang w:eastAsia="en-GB"/>
        </w:rPr>
        <w:t>quality ratings (more informative ratings) for Moody’s negative events.</w:t>
      </w:r>
      <w:bookmarkEnd w:id="54"/>
      <w:r w:rsidR="004E08C3" w:rsidRPr="003A41B3">
        <w:rPr>
          <w:rFonts w:eastAsia="Times New Roman"/>
          <w:szCs w:val="18"/>
          <w:lang w:eastAsia="en-GB"/>
        </w:rPr>
        <w:t xml:space="preserve"> </w:t>
      </w:r>
      <w:bookmarkEnd w:id="57"/>
      <w:r w:rsidR="004E08C3" w:rsidRPr="003A41B3">
        <w:rPr>
          <w:rFonts w:eastAsia="Times New Roman"/>
          <w:szCs w:val="18"/>
          <w:lang w:eastAsia="en-GB"/>
        </w:rPr>
        <w:t>In addition, there is some evidence that Fitch (S&amp;P) negative events are more (less) informative, i.e. better (lower) rating quality, in the post-identifier than in the pre-identifier period.</w:t>
      </w:r>
    </w:p>
    <w:p w14:paraId="688676BB" w14:textId="1AECA672" w:rsidR="004E08C3" w:rsidRPr="003A41B3" w:rsidRDefault="004E08C3" w:rsidP="004E08C3">
      <w:pPr>
        <w:tabs>
          <w:tab w:val="left" w:pos="284"/>
        </w:tabs>
        <w:spacing w:line="480" w:lineRule="auto"/>
        <w:jc w:val="both"/>
        <w:rPr>
          <w:rFonts w:eastAsia="Times New Roman"/>
          <w:szCs w:val="18"/>
          <w:lang w:eastAsia="en-GB"/>
        </w:rPr>
      </w:pPr>
      <w:r w:rsidRPr="003A41B3">
        <w:tab/>
        <w:t xml:space="preserve">For S&amp;P positive and negative events (Table 4), the coefficient on </w:t>
      </w:r>
      <w:r w:rsidRPr="003A41B3">
        <w:rPr>
          <w:i/>
        </w:rPr>
        <w:t xml:space="preserve">∆Rating </w:t>
      </w:r>
      <w:r w:rsidRPr="003A41B3">
        <w:t xml:space="preserve">is significant, with </w:t>
      </w:r>
      <w:r w:rsidR="00B478BE" w:rsidRPr="003A41B3">
        <w:t xml:space="preserve">the </w:t>
      </w:r>
      <w:r w:rsidRPr="003A41B3">
        <w:t xml:space="preserve">expected sign, in the pre-identifier period only and of much greater magnitude than in the post-identifier period (-3.408** vs. 0.253 for positive events; 4.174** vs.1.169 for negative events). The F-test confirms that the </w:t>
      </w:r>
      <w:r w:rsidRPr="003A41B3">
        <w:rPr>
          <w:i/>
        </w:rPr>
        <w:t xml:space="preserve">∆Rating </w:t>
      </w:r>
      <w:r w:rsidRPr="003A41B3">
        <w:t>coefficient is statistically different across the two sub-periods (Prob&gt;Chi-squared = 0.038 for positive events</w:t>
      </w:r>
      <w:r w:rsidR="00262AFB" w:rsidRPr="003A41B3">
        <w:t xml:space="preserve"> and</w:t>
      </w:r>
      <w:r w:rsidRPr="003A41B3">
        <w:t xml:space="preserve"> 0.058 </w:t>
      </w:r>
      <w:r w:rsidRPr="003A41B3">
        <w:rPr>
          <w:rFonts w:eastAsia="Times New Roman"/>
          <w:szCs w:val="18"/>
          <w:lang w:eastAsia="en-GB"/>
        </w:rPr>
        <w:t>for negative events</w:t>
      </w:r>
      <w:r w:rsidRPr="003A41B3">
        <w:t xml:space="preserve">). These imply that S&amp;P positive and negative events are less informative (lower quality) </w:t>
      </w:r>
      <w:r w:rsidRPr="003A41B3">
        <w:rPr>
          <w:rFonts w:eastAsia="Times New Roman"/>
          <w:szCs w:val="18"/>
          <w:lang w:eastAsia="en-GB"/>
        </w:rPr>
        <w:t>in the post-identifier versus pre-identifier period.</w:t>
      </w:r>
    </w:p>
    <w:p w14:paraId="0985D9A6" w14:textId="0F243655" w:rsidR="004E08C3" w:rsidRPr="003A41B3" w:rsidRDefault="004E08C3" w:rsidP="004E08C3">
      <w:pPr>
        <w:tabs>
          <w:tab w:val="left" w:pos="284"/>
        </w:tabs>
        <w:spacing w:line="480" w:lineRule="auto"/>
        <w:jc w:val="both"/>
        <w:rPr>
          <w:szCs w:val="22"/>
        </w:rPr>
      </w:pPr>
      <w:r w:rsidRPr="003A41B3">
        <w:rPr>
          <w:rFonts w:eastAsia="Times New Roman"/>
          <w:szCs w:val="18"/>
          <w:lang w:eastAsia="en-GB"/>
        </w:rPr>
        <w:tab/>
      </w:r>
      <w:r w:rsidRPr="003A41B3">
        <w:t xml:space="preserve">For Moody’s positive events (Table 5), similarly to those of S&amp;P, </w:t>
      </w:r>
      <w:r w:rsidR="00F03E3A" w:rsidRPr="003A41B3">
        <w:t xml:space="preserve">the coefficient on </w:t>
      </w:r>
      <w:r w:rsidRPr="003A41B3">
        <w:rPr>
          <w:i/>
        </w:rPr>
        <w:t xml:space="preserve">∆Rating </w:t>
      </w:r>
      <w:r w:rsidRPr="003A41B3">
        <w:t xml:space="preserve">is significant with </w:t>
      </w:r>
      <w:r w:rsidR="00F03E3A" w:rsidRPr="003A41B3">
        <w:t xml:space="preserve">the </w:t>
      </w:r>
      <w:r w:rsidRPr="003A41B3">
        <w:t>expected negative sign in the pre-identifier period only, and its coefficient’s magnitude is larger than in the post-identifier period (-3.474*** vs. -0.315)</w:t>
      </w:r>
      <w:r w:rsidR="001345BE" w:rsidRPr="003A41B3">
        <w:t>.</w:t>
      </w:r>
      <w:bookmarkStart w:id="58" w:name="_Hlk5654218"/>
      <w:r w:rsidR="001345BE" w:rsidRPr="003A41B3">
        <w:t xml:space="preserve"> The</w:t>
      </w:r>
      <w:r w:rsidRPr="003A41B3">
        <w:t xml:space="preserve"> F-test confirm</w:t>
      </w:r>
      <w:r w:rsidR="001345BE" w:rsidRPr="003A41B3">
        <w:t>s</w:t>
      </w:r>
      <w:r w:rsidRPr="003A41B3">
        <w:t xml:space="preserve"> that rating quality differs in the periods before and after the disclosure rule (Prob&gt; Chi-squared = 0.052).</w:t>
      </w:r>
      <w:bookmarkEnd w:id="58"/>
      <w:r w:rsidRPr="003A41B3">
        <w:t xml:space="preserve"> This indicates that Moody’s positive events are less informative (lower quality) in the post-identifier than </w:t>
      </w:r>
      <w:r w:rsidR="00F03E3A" w:rsidRPr="003A41B3">
        <w:t xml:space="preserve">in the </w:t>
      </w:r>
      <w:r w:rsidRPr="003A41B3">
        <w:t xml:space="preserve">pre-identifier period, which is consistent with the </w:t>
      </w:r>
      <w:r w:rsidR="00F03E3A" w:rsidRPr="003A41B3">
        <w:t xml:space="preserve">relevant </w:t>
      </w:r>
      <w:r w:rsidRPr="003A41B3">
        <w:t xml:space="preserve">result </w:t>
      </w:r>
      <w:r w:rsidR="00F03E3A" w:rsidRPr="003A41B3">
        <w:t xml:space="preserve">in </w:t>
      </w:r>
      <w:r w:rsidRPr="003A41B3">
        <w:t>Table 3 (Eq. (1a)).</w:t>
      </w:r>
      <w:r w:rsidR="004C34E1" w:rsidRPr="003A41B3">
        <w:t xml:space="preserve"> </w:t>
      </w:r>
      <w:bookmarkStart w:id="59" w:name="_Hlk5478576"/>
      <w:r w:rsidR="00113CB0" w:rsidRPr="003A41B3">
        <w:t>F</w:t>
      </w:r>
      <w:r w:rsidR="004C34E1" w:rsidRPr="003A41B3">
        <w:t xml:space="preserve">or Moody’s negative events, </w:t>
      </w:r>
      <w:r w:rsidR="004C34E1" w:rsidRPr="003A41B3">
        <w:rPr>
          <w:i/>
        </w:rPr>
        <w:t xml:space="preserve">∆Rating </w:t>
      </w:r>
      <w:r w:rsidR="004C34E1" w:rsidRPr="003A41B3">
        <w:t xml:space="preserve">is significant only </w:t>
      </w:r>
      <w:r w:rsidR="00113CB0" w:rsidRPr="003A41B3">
        <w:t>in the post-identifier period</w:t>
      </w:r>
      <w:r w:rsidR="004C34E1" w:rsidRPr="003A41B3">
        <w:t>, with the F-test confirming different rating quality between these periods. This implies that Moody’s negative events are more informative (</w:t>
      </w:r>
      <w:r w:rsidR="00113CB0" w:rsidRPr="003A41B3">
        <w:t xml:space="preserve">of </w:t>
      </w:r>
      <w:r w:rsidR="004C34E1" w:rsidRPr="003A41B3">
        <w:t xml:space="preserve">better quality) in the post-identifier than pre-identifier period, which is </w:t>
      </w:r>
      <w:r w:rsidR="0032726F" w:rsidRPr="003A41B3">
        <w:t xml:space="preserve">again </w:t>
      </w:r>
      <w:r w:rsidR="004C34E1" w:rsidRPr="003A41B3">
        <w:t>consistent with the result of Table 3 (Eq. 1a).</w:t>
      </w:r>
      <w:bookmarkEnd w:id="59"/>
    </w:p>
    <w:p w14:paraId="4AFDB065" w14:textId="751E34AE" w:rsidR="004E08C3" w:rsidRPr="003A41B3" w:rsidRDefault="004E08C3" w:rsidP="004E08C3">
      <w:pPr>
        <w:tabs>
          <w:tab w:val="left" w:pos="284"/>
        </w:tabs>
        <w:spacing w:line="480" w:lineRule="auto"/>
        <w:jc w:val="both"/>
      </w:pPr>
      <w:r w:rsidRPr="003A41B3">
        <w:tab/>
        <w:t xml:space="preserve">For Fitch positive events, </w:t>
      </w:r>
      <w:r w:rsidR="00F03E3A" w:rsidRPr="003A41B3">
        <w:t xml:space="preserve">the coefficient on </w:t>
      </w:r>
      <w:r w:rsidRPr="003A41B3">
        <w:rPr>
          <w:i/>
        </w:rPr>
        <w:t>∆Rating</w:t>
      </w:r>
      <w:r w:rsidRPr="003A41B3">
        <w:t xml:space="preserve"> is significant in both time periods, with </w:t>
      </w:r>
      <w:r w:rsidR="00F03E3A" w:rsidRPr="003A41B3">
        <w:t xml:space="preserve">an </w:t>
      </w:r>
      <w:r w:rsidRPr="003A41B3">
        <w:t xml:space="preserve">unexpected positive sign in </w:t>
      </w:r>
      <w:r w:rsidR="00F03E3A" w:rsidRPr="003A41B3">
        <w:t xml:space="preserve">the </w:t>
      </w:r>
      <w:r w:rsidRPr="003A41B3">
        <w:t>post-identifier period, suggesting lower quality of Fitch positive events in the post-identifier period (in</w:t>
      </w:r>
      <w:r w:rsidR="004E56C2" w:rsidRPr="003A41B3">
        <w:t xml:space="preserve"> </w:t>
      </w:r>
      <w:r w:rsidRPr="003A41B3">
        <w:t xml:space="preserve">line with the </w:t>
      </w:r>
      <w:r w:rsidR="00F03E3A" w:rsidRPr="003A41B3">
        <w:t xml:space="preserve">relevant </w:t>
      </w:r>
      <w:r w:rsidRPr="003A41B3">
        <w:t xml:space="preserve">results </w:t>
      </w:r>
      <w:r w:rsidR="00F03E3A" w:rsidRPr="003A41B3">
        <w:t xml:space="preserve">in </w:t>
      </w:r>
      <w:r w:rsidR="00375F64" w:rsidRPr="003A41B3">
        <w:t>Table 3 (Eq. (1a)</w:t>
      </w:r>
      <w:r w:rsidR="00F03E3A" w:rsidRPr="003A41B3">
        <w:t>)</w:t>
      </w:r>
      <w:r w:rsidRPr="003A41B3">
        <w:t xml:space="preserve">.  For Fitch negative events, </w:t>
      </w:r>
      <w:r w:rsidR="00F03E3A" w:rsidRPr="003A41B3">
        <w:t xml:space="preserve">the coefficient on </w:t>
      </w:r>
      <w:r w:rsidRPr="003A41B3">
        <w:rPr>
          <w:i/>
        </w:rPr>
        <w:t>∆Rating</w:t>
      </w:r>
      <w:r w:rsidRPr="003A41B3">
        <w:t xml:space="preserve"> is only significant in the post- </w:t>
      </w:r>
      <w:r w:rsidRPr="003A41B3">
        <w:lastRenderedPageBreak/>
        <w:t>regulatory period with expected positive sign (i.e. wide</w:t>
      </w:r>
      <w:r w:rsidR="00D273CF" w:rsidRPr="003A41B3">
        <w:t>r</w:t>
      </w:r>
      <w:r w:rsidRPr="003A41B3">
        <w:t xml:space="preserve"> spread). This indicates some evidence that </w:t>
      </w:r>
      <w:r w:rsidRPr="003A41B3">
        <w:rPr>
          <w:rFonts w:eastAsia="Times New Roman"/>
          <w:szCs w:val="18"/>
          <w:lang w:eastAsia="en-GB"/>
        </w:rPr>
        <w:t xml:space="preserve">Fitch negative events are more informative (better quality) in the post-identifier than </w:t>
      </w:r>
      <w:r w:rsidR="00F03E3A" w:rsidRPr="003A41B3">
        <w:rPr>
          <w:rFonts w:eastAsia="Times New Roman"/>
          <w:szCs w:val="18"/>
          <w:lang w:eastAsia="en-GB"/>
        </w:rPr>
        <w:t xml:space="preserve">in the </w:t>
      </w:r>
      <w:r w:rsidRPr="003A41B3">
        <w:rPr>
          <w:rFonts w:eastAsia="Times New Roman"/>
          <w:szCs w:val="18"/>
          <w:lang w:eastAsia="en-GB"/>
        </w:rPr>
        <w:t xml:space="preserve">pre-identifier period. </w:t>
      </w:r>
      <w:r w:rsidR="00F03E3A" w:rsidRPr="003A41B3">
        <w:rPr>
          <w:rFonts w:eastAsia="Times New Roman"/>
          <w:szCs w:val="18"/>
          <w:lang w:eastAsia="en-GB"/>
        </w:rPr>
        <w:t xml:space="preserve">The </w:t>
      </w:r>
      <w:r w:rsidRPr="003A41B3">
        <w:t>F-test results in Table 6 confirm that rating quality differs in the period</w:t>
      </w:r>
      <w:r w:rsidR="00937F13" w:rsidRPr="003A41B3">
        <w:t>s</w:t>
      </w:r>
      <w:r w:rsidRPr="003A41B3">
        <w:t xml:space="preserve"> before and after the disclosure rule (Prob&gt; Chi-squared = 0.002 for positive events</w:t>
      </w:r>
      <w:r w:rsidR="00F03E3A" w:rsidRPr="003A41B3">
        <w:t xml:space="preserve"> and</w:t>
      </w:r>
      <w:r w:rsidRPr="003A41B3">
        <w:t xml:space="preserve"> 0.061 for negative events).</w:t>
      </w:r>
      <w:bookmarkEnd w:id="55"/>
    </w:p>
    <w:p w14:paraId="6F8FE729" w14:textId="42A89D14" w:rsidR="007D756B" w:rsidRPr="003A41B3" w:rsidRDefault="00EA6A1F" w:rsidP="004E08C3">
      <w:pPr>
        <w:tabs>
          <w:tab w:val="left" w:pos="284"/>
        </w:tabs>
        <w:spacing w:line="480" w:lineRule="auto"/>
        <w:jc w:val="both"/>
        <w:rPr>
          <w:lang w:eastAsia="en-GB"/>
        </w:rPr>
      </w:pPr>
      <w:r w:rsidRPr="003A41B3">
        <w:rPr>
          <w:rFonts w:eastAsia="Times New Roman"/>
          <w:szCs w:val="18"/>
          <w:lang w:eastAsia="en-GB"/>
        </w:rPr>
        <w:tab/>
      </w:r>
      <w:r w:rsidR="00900D16" w:rsidRPr="003A41B3">
        <w:t xml:space="preserve">To </w:t>
      </w:r>
      <w:r w:rsidR="00394671" w:rsidRPr="003A41B3">
        <w:t xml:space="preserve">further </w:t>
      </w:r>
      <w:r w:rsidR="00900D16" w:rsidRPr="003A41B3">
        <w:t xml:space="preserve">examine the </w:t>
      </w:r>
      <w:r w:rsidR="004E08C3" w:rsidRPr="003A41B3">
        <w:t>second</w:t>
      </w:r>
      <w:r w:rsidR="00A94A17" w:rsidRPr="003A41B3">
        <w:t xml:space="preserve"> research question regarding the impact of rating analysts’ location on rating quality, w</w:t>
      </w:r>
      <w:r w:rsidR="00CF0293" w:rsidRPr="003A41B3">
        <w:t xml:space="preserve">e </w:t>
      </w:r>
      <w:r w:rsidR="002468CA" w:rsidRPr="003A41B3">
        <w:t xml:space="preserve">also </w:t>
      </w:r>
      <w:r w:rsidR="00CF0293" w:rsidRPr="003A41B3">
        <w:t xml:space="preserve">estimate Eq. </w:t>
      </w:r>
      <w:r w:rsidR="001940BF" w:rsidRPr="003A41B3">
        <w:t>(</w:t>
      </w:r>
      <w:r w:rsidR="00CF0293" w:rsidRPr="003A41B3">
        <w:t>2</w:t>
      </w:r>
      <w:r w:rsidR="001940BF" w:rsidRPr="003A41B3">
        <w:t>)</w:t>
      </w:r>
      <w:r w:rsidR="00510A48" w:rsidRPr="003A41B3">
        <w:t xml:space="preserve"> using a sub-sample for </w:t>
      </w:r>
      <w:r w:rsidR="00882592" w:rsidRPr="003A41B3">
        <w:t xml:space="preserve">the </w:t>
      </w:r>
      <w:r w:rsidR="00C52BC4" w:rsidRPr="003A41B3">
        <w:t>post-identifier</w:t>
      </w:r>
      <w:r w:rsidR="00510A48" w:rsidRPr="003A41B3">
        <w:t xml:space="preserve"> period for </w:t>
      </w:r>
      <w:r w:rsidR="00882592" w:rsidRPr="003A41B3">
        <w:t xml:space="preserve">the </w:t>
      </w:r>
      <w:r w:rsidR="00687C2D" w:rsidRPr="003A41B3">
        <w:t>two groups of countries</w:t>
      </w:r>
      <w:r w:rsidR="00510A48" w:rsidRPr="003A41B3">
        <w:t xml:space="preserve"> </w:t>
      </w:r>
      <w:r w:rsidR="00687C2D" w:rsidRPr="003A41B3">
        <w:t>(</w:t>
      </w:r>
      <w:r w:rsidR="00510A48" w:rsidRPr="003A41B3">
        <w:t>E</w:t>
      </w:r>
      <w:r w:rsidR="00CD1163" w:rsidRPr="003A41B3">
        <w:t>U</w:t>
      </w:r>
      <w:r w:rsidR="00687C2D" w:rsidRPr="003A41B3">
        <w:t xml:space="preserve">-originated </w:t>
      </w:r>
      <w:r w:rsidR="00510A48" w:rsidRPr="003A41B3">
        <w:t>and EU</w:t>
      </w:r>
      <w:r w:rsidR="00687C2D" w:rsidRPr="003A41B3">
        <w:t>-</w:t>
      </w:r>
      <w:r w:rsidR="00CD1163" w:rsidRPr="003A41B3">
        <w:t>endorsed</w:t>
      </w:r>
      <w:r w:rsidR="00510A48" w:rsidRPr="003A41B3">
        <w:t xml:space="preserve"> </w:t>
      </w:r>
      <w:r w:rsidR="00EF10A1" w:rsidRPr="003A41B3">
        <w:t>rating</w:t>
      </w:r>
      <w:r w:rsidR="00687C2D" w:rsidRPr="003A41B3">
        <w:t>s)</w:t>
      </w:r>
      <w:r w:rsidR="002468CA" w:rsidRPr="003A41B3">
        <w:t xml:space="preserve"> </w:t>
      </w:r>
      <w:r w:rsidR="00687C2D" w:rsidRPr="003A41B3">
        <w:t>with</w:t>
      </w:r>
      <w:r w:rsidR="002468CA" w:rsidRPr="003A41B3">
        <w:t xml:space="preserve"> the results presented in </w:t>
      </w:r>
      <w:r w:rsidR="00262BCC" w:rsidRPr="003A41B3">
        <w:t>Tables 7-9</w:t>
      </w:r>
      <w:r w:rsidR="00510A48" w:rsidRPr="003A41B3">
        <w:t>.</w:t>
      </w:r>
      <w:r w:rsidR="00C734FC" w:rsidRPr="003A41B3">
        <w:t xml:space="preserve"> </w:t>
      </w:r>
      <w:bookmarkStart w:id="60" w:name="_Hlk4765987"/>
      <w:bookmarkStart w:id="61" w:name="_Hlk4774088"/>
      <w:r w:rsidR="00262BCC" w:rsidRPr="003A41B3">
        <w:t>The results for</w:t>
      </w:r>
      <w:r w:rsidR="00D4293A" w:rsidRPr="003A41B3">
        <w:t xml:space="preserve"> </w:t>
      </w:r>
      <w:r w:rsidR="00D8655C" w:rsidRPr="003A41B3">
        <w:t>news from</w:t>
      </w:r>
      <w:r w:rsidR="001B5EC5" w:rsidRPr="003A41B3">
        <w:t xml:space="preserve"> </w:t>
      </w:r>
      <w:r w:rsidR="00D4293A" w:rsidRPr="003A41B3">
        <w:t>S&amp;P</w:t>
      </w:r>
      <w:r w:rsidR="001B5EC5" w:rsidRPr="003A41B3">
        <w:t xml:space="preserve"> (Table 7)</w:t>
      </w:r>
      <w:r w:rsidR="00D4293A" w:rsidRPr="003A41B3">
        <w:t xml:space="preserve"> </w:t>
      </w:r>
      <w:r w:rsidR="00D5491D" w:rsidRPr="003A41B3">
        <w:t xml:space="preserve">and Moody’s </w:t>
      </w:r>
      <w:r w:rsidR="001B5EC5" w:rsidRPr="003A41B3">
        <w:t>(Table 8)</w:t>
      </w:r>
      <w:r w:rsidR="00D4293A" w:rsidRPr="003A41B3">
        <w:t xml:space="preserve"> are inconsistent with </w:t>
      </w:r>
      <w:r w:rsidR="00D5491D" w:rsidRPr="003A41B3">
        <w:t>those of Eq</w:t>
      </w:r>
      <w:r w:rsidR="00EC09BB" w:rsidRPr="003A41B3">
        <w:t>.</w:t>
      </w:r>
      <w:r w:rsidR="00D5491D" w:rsidRPr="003A41B3">
        <w:t xml:space="preserve"> (1b) in Table 3.</w:t>
      </w:r>
      <w:r w:rsidR="00262BCC" w:rsidRPr="003A41B3">
        <w:t xml:space="preserve"> </w:t>
      </w:r>
      <w:r w:rsidR="00D8655C" w:rsidRPr="003A41B3">
        <w:t xml:space="preserve">The coefficient on </w:t>
      </w:r>
      <w:r w:rsidR="00262BCC" w:rsidRPr="003A41B3">
        <w:rPr>
          <w:i/>
        </w:rPr>
        <w:t xml:space="preserve">∆Rating </w:t>
      </w:r>
      <w:r w:rsidR="00D8655C" w:rsidRPr="003A41B3">
        <w:t xml:space="preserve">is </w:t>
      </w:r>
      <w:r w:rsidR="00262BCC" w:rsidRPr="003A41B3">
        <w:t>insignificant for S&amp;P</w:t>
      </w:r>
      <w:r w:rsidR="00356E68" w:rsidRPr="003A41B3">
        <w:t xml:space="preserve"> </w:t>
      </w:r>
      <w:r w:rsidR="00C734FC" w:rsidRPr="003A41B3">
        <w:t>positive events</w:t>
      </w:r>
      <w:r w:rsidR="00D5491D" w:rsidRPr="003A41B3">
        <w:t xml:space="preserve">, </w:t>
      </w:r>
      <w:r w:rsidR="00D8655C" w:rsidRPr="003A41B3">
        <w:t xml:space="preserve">and </w:t>
      </w:r>
      <w:r w:rsidR="00D5491D" w:rsidRPr="003A41B3">
        <w:t xml:space="preserve">with </w:t>
      </w:r>
      <w:r w:rsidR="007D756B" w:rsidRPr="003A41B3">
        <w:t xml:space="preserve">an </w:t>
      </w:r>
      <w:r w:rsidR="00D5491D" w:rsidRPr="003A41B3">
        <w:t>insignificant F-test</w:t>
      </w:r>
      <w:r w:rsidR="007D756B" w:rsidRPr="003A41B3">
        <w:t xml:space="preserve"> result</w:t>
      </w:r>
      <w:r w:rsidR="00D5491D" w:rsidRPr="003A41B3">
        <w:t xml:space="preserve">, </w:t>
      </w:r>
      <w:r w:rsidR="007D756B" w:rsidRPr="003A41B3">
        <w:t xml:space="preserve">thereby </w:t>
      </w:r>
      <w:r w:rsidR="00D5491D" w:rsidRPr="003A41B3">
        <w:t xml:space="preserve">suggesting </w:t>
      </w:r>
      <w:r w:rsidR="00D8655C" w:rsidRPr="003A41B3">
        <w:t xml:space="preserve">that </w:t>
      </w:r>
      <w:r w:rsidR="00D5491D" w:rsidRPr="003A41B3">
        <w:t xml:space="preserve">the location of S&amp;P analysts (inside or outside the EU) has </w:t>
      </w:r>
      <w:r w:rsidR="00D8655C" w:rsidRPr="003A41B3">
        <w:t xml:space="preserve">no significant </w:t>
      </w:r>
      <w:r w:rsidR="00D5491D" w:rsidRPr="003A41B3">
        <w:t>impact o</w:t>
      </w:r>
      <w:r w:rsidR="00EC09BB" w:rsidRPr="003A41B3">
        <w:t>n</w:t>
      </w:r>
      <w:r w:rsidR="00D5491D" w:rsidRPr="003A41B3">
        <w:t xml:space="preserve"> the </w:t>
      </w:r>
      <w:r w:rsidR="00D8655C" w:rsidRPr="003A41B3">
        <w:t xml:space="preserve">information content </w:t>
      </w:r>
      <w:r w:rsidR="00D5491D" w:rsidRPr="003A41B3">
        <w:t>of its positive events.</w:t>
      </w:r>
      <w:bookmarkEnd w:id="60"/>
      <w:r w:rsidR="00D5491D" w:rsidRPr="003A41B3">
        <w:t xml:space="preserve"> A positive and significant (at </w:t>
      </w:r>
      <w:r w:rsidR="00D8655C" w:rsidRPr="003A41B3">
        <w:t xml:space="preserve">the </w:t>
      </w:r>
      <w:r w:rsidR="00D5491D" w:rsidRPr="003A41B3">
        <w:t>10% level)</w:t>
      </w:r>
      <w:r w:rsidR="00D8655C" w:rsidRPr="003A41B3">
        <w:t xml:space="preserve"> coefficient on</w:t>
      </w:r>
      <w:r w:rsidR="00D5491D" w:rsidRPr="003A41B3">
        <w:t xml:space="preserve"> </w:t>
      </w:r>
      <w:r w:rsidR="00D5491D" w:rsidRPr="003A41B3">
        <w:rPr>
          <w:i/>
        </w:rPr>
        <w:t>∆Rating</w:t>
      </w:r>
      <w:r w:rsidR="00772CF6" w:rsidRPr="003A41B3">
        <w:t xml:space="preserve"> </w:t>
      </w:r>
      <w:r w:rsidR="00D5491D" w:rsidRPr="003A41B3">
        <w:t xml:space="preserve">for </w:t>
      </w:r>
      <w:r w:rsidR="00772CF6" w:rsidRPr="003A41B3">
        <w:t>S&amp;P negative events</w:t>
      </w:r>
      <w:r w:rsidR="00D5491D" w:rsidRPr="003A41B3">
        <w:t xml:space="preserve"> </w:t>
      </w:r>
      <w:r w:rsidR="00D8655C" w:rsidRPr="003A41B3">
        <w:t xml:space="preserve">is </w:t>
      </w:r>
      <w:r w:rsidR="006309D2" w:rsidRPr="003A41B3">
        <w:t>reported for</w:t>
      </w:r>
      <w:r w:rsidR="00D5491D" w:rsidRPr="003A41B3">
        <w:t xml:space="preserve"> </w:t>
      </w:r>
      <w:r w:rsidR="00D8655C" w:rsidRPr="003A41B3">
        <w:t xml:space="preserve">the </w:t>
      </w:r>
      <w:r w:rsidR="00D5491D" w:rsidRPr="003A41B3">
        <w:t>EE</w:t>
      </w:r>
      <w:r w:rsidR="00C02D86" w:rsidRPr="003A41B3">
        <w:t xml:space="preserve"> </w:t>
      </w:r>
      <w:r w:rsidR="00D5491D" w:rsidRPr="003A41B3">
        <w:t xml:space="preserve">sub-sample, suggesting </w:t>
      </w:r>
      <w:r w:rsidR="00D8655C" w:rsidRPr="003A41B3">
        <w:t>that this type of news is</w:t>
      </w:r>
      <w:r w:rsidR="00D5491D" w:rsidRPr="003A41B3">
        <w:t xml:space="preserve"> </w:t>
      </w:r>
      <w:r w:rsidR="00204911" w:rsidRPr="003A41B3">
        <w:t>more</w:t>
      </w:r>
      <w:r w:rsidR="00D5491D" w:rsidRPr="003A41B3">
        <w:t xml:space="preserve"> informative when S&amp;P analysts are located outside the EU</w:t>
      </w:r>
      <w:r w:rsidR="00C734FC" w:rsidRPr="003A41B3">
        <w:t>.</w:t>
      </w:r>
      <w:r w:rsidR="00D5491D" w:rsidRPr="003A41B3">
        <w:t xml:space="preserve"> </w:t>
      </w:r>
      <w:bookmarkStart w:id="62" w:name="_Hlk4766765"/>
      <w:bookmarkStart w:id="63" w:name="_Hlk5477746"/>
      <w:bookmarkStart w:id="64" w:name="_Hlk4768231"/>
      <w:bookmarkStart w:id="65" w:name="_Hlk4774113"/>
      <w:bookmarkEnd w:id="61"/>
      <w:r w:rsidR="007D756B" w:rsidRPr="003A41B3">
        <w:t xml:space="preserve">In Table 8, </w:t>
      </w:r>
      <w:r w:rsidRPr="003A41B3">
        <w:t>Moody’s positive events are more informative when their rating analysts are located in the EU</w:t>
      </w:r>
      <w:bookmarkEnd w:id="62"/>
      <w:r w:rsidRPr="003A41B3">
        <w:t xml:space="preserve"> (</w:t>
      </w:r>
      <w:r w:rsidR="00D8655C" w:rsidRPr="003A41B3">
        <w:t xml:space="preserve">the coefficient on </w:t>
      </w:r>
      <w:r w:rsidRPr="003A41B3">
        <w:rPr>
          <w:i/>
        </w:rPr>
        <w:t>∆Rating</w:t>
      </w:r>
      <w:r w:rsidRPr="003A41B3">
        <w:t xml:space="preserve"> </w:t>
      </w:r>
      <w:r w:rsidR="00D8655C" w:rsidRPr="003A41B3">
        <w:t>has</w:t>
      </w:r>
      <w:r w:rsidRPr="003A41B3">
        <w:t xml:space="preserve"> the expected negative sign and</w:t>
      </w:r>
      <w:r w:rsidR="00D8655C" w:rsidRPr="003A41B3">
        <w:t xml:space="preserve"> is</w:t>
      </w:r>
      <w:r w:rsidRPr="003A41B3">
        <w:t xml:space="preserve"> significant</w:t>
      </w:r>
      <w:r w:rsidR="00D8655C" w:rsidRPr="003A41B3">
        <w:t xml:space="preserve"> at the</w:t>
      </w:r>
      <w:r w:rsidRPr="003A41B3">
        <w:t xml:space="preserve"> 10% level).</w:t>
      </w:r>
      <w:bookmarkEnd w:id="63"/>
      <w:r w:rsidRPr="003A41B3">
        <w:rPr>
          <w:rStyle w:val="FootnoteReference"/>
        </w:rPr>
        <w:footnoteReference w:id="17"/>
      </w:r>
      <w:r w:rsidRPr="003A41B3">
        <w:rPr>
          <w:lang w:eastAsia="en-GB"/>
        </w:rPr>
        <w:t xml:space="preserve"> </w:t>
      </w:r>
    </w:p>
    <w:p w14:paraId="2756F05D" w14:textId="7E64CBA8" w:rsidR="00773D0A" w:rsidRPr="003A41B3" w:rsidRDefault="007D756B" w:rsidP="004E08C3">
      <w:pPr>
        <w:tabs>
          <w:tab w:val="left" w:pos="284"/>
        </w:tabs>
        <w:spacing w:line="480" w:lineRule="auto"/>
        <w:jc w:val="both"/>
        <w:rPr>
          <w:rFonts w:eastAsia="Times New Roman"/>
          <w:szCs w:val="18"/>
          <w:lang w:eastAsia="en-GB"/>
        </w:rPr>
      </w:pPr>
      <w:r w:rsidRPr="003A41B3">
        <w:rPr>
          <w:lang w:eastAsia="en-GB"/>
        </w:rPr>
        <w:tab/>
      </w:r>
      <w:r w:rsidR="00EA6A1F" w:rsidRPr="003A41B3">
        <w:t xml:space="preserve">On the other hand, </w:t>
      </w:r>
      <w:bookmarkStart w:id="66" w:name="_Hlk5477862"/>
      <w:bookmarkStart w:id="67" w:name="_Hlk5654941"/>
      <w:r w:rsidR="00D8655C" w:rsidRPr="003A41B3">
        <w:t xml:space="preserve">the coefficient on </w:t>
      </w:r>
      <w:r w:rsidR="00EA6A1F" w:rsidRPr="003A41B3">
        <w:rPr>
          <w:i/>
        </w:rPr>
        <w:t xml:space="preserve">∆Rating </w:t>
      </w:r>
      <w:r w:rsidR="00EA6A1F" w:rsidRPr="003A41B3">
        <w:t>is significant (with</w:t>
      </w:r>
      <w:r w:rsidR="00D8655C" w:rsidRPr="003A41B3">
        <w:t xml:space="preserve"> an</w:t>
      </w:r>
      <w:r w:rsidR="00EA6A1F" w:rsidRPr="003A41B3">
        <w:t xml:space="preserve"> unexpected positive sign) for</w:t>
      </w:r>
      <w:r w:rsidR="00EA6A1F" w:rsidRPr="003A41B3">
        <w:rPr>
          <w:i/>
        </w:rPr>
        <w:t xml:space="preserve"> </w:t>
      </w:r>
      <w:r w:rsidR="00EA6A1F" w:rsidRPr="003A41B3">
        <w:t>Fitch positive events for ratings with EE identifiers</w:t>
      </w:r>
      <w:r w:rsidR="005743ED" w:rsidRPr="003A41B3">
        <w:t xml:space="preserve"> (Table 9). This is</w:t>
      </w:r>
      <w:r w:rsidR="00EA6A1F" w:rsidRPr="003A41B3">
        <w:t xml:space="preserve"> consistent with the findings of Eq. (1b), indicating that these rating events are less informative</w:t>
      </w:r>
      <w:r w:rsidR="005743ED" w:rsidRPr="003A41B3">
        <w:t xml:space="preserve">, and is supported by a </w:t>
      </w:r>
      <w:r w:rsidR="003E6449" w:rsidRPr="003A41B3">
        <w:t xml:space="preserve">highly </w:t>
      </w:r>
      <w:bookmarkEnd w:id="66"/>
      <w:r w:rsidR="005743ED" w:rsidRPr="003A41B3">
        <w:t>s</w:t>
      </w:r>
      <w:r w:rsidR="00EA6A1F" w:rsidRPr="003A41B3">
        <w:t>ignificant F-test result</w:t>
      </w:r>
      <w:r w:rsidR="005743ED" w:rsidRPr="003A41B3">
        <w:t>.</w:t>
      </w:r>
      <w:r w:rsidR="00EA6A1F" w:rsidRPr="003A41B3">
        <w:t xml:space="preserve"> </w:t>
      </w:r>
      <w:bookmarkStart w:id="68" w:name="_Hlk5477911"/>
      <w:r w:rsidR="00C734FC" w:rsidRPr="003A41B3">
        <w:t xml:space="preserve">The magnitude of </w:t>
      </w:r>
      <w:r w:rsidR="00D8655C" w:rsidRPr="003A41B3">
        <w:t xml:space="preserve">the </w:t>
      </w:r>
      <w:r w:rsidR="00C734FC" w:rsidRPr="003A41B3">
        <w:rPr>
          <w:i/>
        </w:rPr>
        <w:t xml:space="preserve">∆Rating </w:t>
      </w:r>
      <w:r w:rsidR="00D8655C" w:rsidRPr="003A41B3">
        <w:t>coefficient f</w:t>
      </w:r>
      <w:r w:rsidR="00687C2D" w:rsidRPr="003A41B3">
        <w:t>or</w:t>
      </w:r>
      <w:r w:rsidR="00C734FC" w:rsidRPr="003A41B3">
        <w:t xml:space="preserve"> Fitch negative events suggest</w:t>
      </w:r>
      <w:r w:rsidR="00216330" w:rsidRPr="003A41B3">
        <w:t>s</w:t>
      </w:r>
      <w:r w:rsidR="00C734FC" w:rsidRPr="003A41B3">
        <w:t xml:space="preserve"> that</w:t>
      </w:r>
      <w:r w:rsidR="00CD1163" w:rsidRPr="003A41B3">
        <w:t xml:space="preserve"> </w:t>
      </w:r>
      <w:r w:rsidR="008954DD" w:rsidRPr="003A41B3">
        <w:t xml:space="preserve">they have </w:t>
      </w:r>
      <w:r w:rsidR="00F4201F" w:rsidRPr="003A41B3">
        <w:t xml:space="preserve">a </w:t>
      </w:r>
      <w:r w:rsidR="008954DD" w:rsidRPr="003A41B3">
        <w:t>stronger impact on widening bond spreads when Fitch’s rating analysts are located outside the EU</w:t>
      </w:r>
      <w:r w:rsidR="00C734FC" w:rsidRPr="003A41B3">
        <w:t xml:space="preserve"> </w:t>
      </w:r>
      <w:r w:rsidR="008954DD" w:rsidRPr="003A41B3">
        <w:t>(i.e. rating</w:t>
      </w:r>
      <w:r w:rsidR="003E6449" w:rsidRPr="003A41B3">
        <w:t>s</w:t>
      </w:r>
      <w:r w:rsidR="008954DD" w:rsidRPr="003A41B3">
        <w:t xml:space="preserve"> with </w:t>
      </w:r>
      <w:r w:rsidR="00C734FC" w:rsidRPr="003A41B3">
        <w:t xml:space="preserve">EE </w:t>
      </w:r>
      <w:r w:rsidR="00CD1163" w:rsidRPr="003A41B3">
        <w:t>identifiers</w:t>
      </w:r>
      <w:r w:rsidR="008954DD" w:rsidRPr="003A41B3">
        <w:t>)</w:t>
      </w:r>
      <w:r w:rsidR="006B1952" w:rsidRPr="003A41B3">
        <w:t xml:space="preserve">, and thus </w:t>
      </w:r>
      <w:r w:rsidR="0060636E" w:rsidRPr="003A41B3">
        <w:t xml:space="preserve">are </w:t>
      </w:r>
      <w:r w:rsidR="006B1952" w:rsidRPr="003A41B3">
        <w:t xml:space="preserve">of better </w:t>
      </w:r>
      <w:r w:rsidR="006B1952" w:rsidRPr="003A41B3">
        <w:lastRenderedPageBreak/>
        <w:t xml:space="preserve">quality than ratings </w:t>
      </w:r>
      <w:r w:rsidR="008954DD" w:rsidRPr="003A41B3">
        <w:t>issued by analysts located in the EU</w:t>
      </w:r>
      <w:bookmarkEnd w:id="64"/>
      <w:r w:rsidR="006B1952" w:rsidRPr="003A41B3">
        <w:t xml:space="preserve"> </w:t>
      </w:r>
      <w:r w:rsidR="00C734FC" w:rsidRPr="003A41B3">
        <w:t>(</w:t>
      </w:r>
      <w:r w:rsidR="008954DD" w:rsidRPr="003A41B3">
        <w:t>6</w:t>
      </w:r>
      <w:r w:rsidR="00C734FC" w:rsidRPr="003A41B3">
        <w:t>.0</w:t>
      </w:r>
      <w:r w:rsidR="008954DD" w:rsidRPr="003A41B3">
        <w:t>9</w:t>
      </w:r>
      <w:r w:rsidR="00C734FC" w:rsidRPr="003A41B3">
        <w:t>2</w:t>
      </w:r>
      <w:r w:rsidR="008954DD" w:rsidRPr="003A41B3">
        <w:t>**</w:t>
      </w:r>
      <w:r w:rsidR="00C734FC" w:rsidRPr="003A41B3">
        <w:t>*</w:t>
      </w:r>
      <w:r w:rsidR="00BE2653" w:rsidRPr="003A41B3">
        <w:t xml:space="preserve"> </w:t>
      </w:r>
      <w:r w:rsidR="003E6449" w:rsidRPr="003A41B3">
        <w:t xml:space="preserve">for </w:t>
      </w:r>
      <w:r w:rsidR="00BE2653" w:rsidRPr="003A41B3">
        <w:t>EE</w:t>
      </w:r>
      <w:r w:rsidR="00C734FC" w:rsidRPr="003A41B3">
        <w:t xml:space="preserve"> v</w:t>
      </w:r>
      <w:r w:rsidR="003E6449" w:rsidRPr="003A41B3">
        <w:t>ersu</w:t>
      </w:r>
      <w:r w:rsidR="00C734FC" w:rsidRPr="003A41B3">
        <w:t xml:space="preserve">s </w:t>
      </w:r>
      <w:r w:rsidR="008954DD" w:rsidRPr="003A41B3">
        <w:t>2</w:t>
      </w:r>
      <w:r w:rsidR="00C734FC" w:rsidRPr="003A41B3">
        <w:t>.</w:t>
      </w:r>
      <w:r w:rsidR="008954DD" w:rsidRPr="003A41B3">
        <w:t>114</w:t>
      </w:r>
      <w:r w:rsidR="00C734FC" w:rsidRPr="003A41B3">
        <w:t>*</w:t>
      </w:r>
      <w:r w:rsidR="00BE2653" w:rsidRPr="003A41B3">
        <w:t xml:space="preserve"> </w:t>
      </w:r>
      <w:r w:rsidR="003E6449" w:rsidRPr="003A41B3">
        <w:t xml:space="preserve">for </w:t>
      </w:r>
      <w:r w:rsidR="00BE2653" w:rsidRPr="003A41B3">
        <w:t>EU</w:t>
      </w:r>
      <w:r w:rsidR="00C734FC" w:rsidRPr="003A41B3">
        <w:t>).</w:t>
      </w:r>
      <w:r w:rsidR="008954DD" w:rsidRPr="003A41B3">
        <w:t xml:space="preserve"> </w:t>
      </w:r>
      <w:r w:rsidR="003E6449" w:rsidRPr="003A41B3">
        <w:t xml:space="preserve">The </w:t>
      </w:r>
      <w:r w:rsidR="008954DD" w:rsidRPr="003A41B3">
        <w:t>F-test result confirm</w:t>
      </w:r>
      <w:r w:rsidR="003E6449" w:rsidRPr="003A41B3">
        <w:t>s</w:t>
      </w:r>
      <w:r w:rsidR="008954DD" w:rsidRPr="003A41B3">
        <w:t xml:space="preserve"> that rating quality differs between </w:t>
      </w:r>
      <w:r w:rsidR="00D8655C" w:rsidRPr="003A41B3">
        <w:t xml:space="preserve">these </w:t>
      </w:r>
      <w:r w:rsidR="008954DD" w:rsidRPr="003A41B3">
        <w:t>EE- and EU- sub-samples (Prob&gt; Chi-squared = 0.096)</w:t>
      </w:r>
      <w:bookmarkEnd w:id="67"/>
      <w:r w:rsidR="008954DD" w:rsidRPr="003A41B3">
        <w:t>.</w:t>
      </w:r>
      <w:bookmarkEnd w:id="65"/>
      <w:r w:rsidR="008954DD" w:rsidRPr="003A41B3">
        <w:t xml:space="preserve"> </w:t>
      </w:r>
      <w:bookmarkEnd w:id="68"/>
      <w:r w:rsidR="008954DD" w:rsidRPr="003A41B3">
        <w:t xml:space="preserve"> </w:t>
      </w:r>
      <w:r w:rsidR="00C734FC" w:rsidRPr="003A41B3">
        <w:t xml:space="preserve"> </w:t>
      </w:r>
    </w:p>
    <w:p w14:paraId="04467747" w14:textId="15E54A20" w:rsidR="00E51A16" w:rsidRPr="003A41B3" w:rsidRDefault="00705D32" w:rsidP="00252A96">
      <w:pPr>
        <w:tabs>
          <w:tab w:val="left" w:pos="284"/>
        </w:tabs>
        <w:spacing w:line="480" w:lineRule="auto"/>
        <w:jc w:val="both"/>
      </w:pPr>
      <w:r w:rsidRPr="003A41B3">
        <w:tab/>
      </w:r>
      <w:r w:rsidR="00781EE5" w:rsidRPr="003A41B3">
        <w:t xml:space="preserve">   </w:t>
      </w:r>
      <w:r w:rsidR="006A12E5" w:rsidRPr="003A41B3">
        <w:t xml:space="preserve">We further investigate our </w:t>
      </w:r>
      <w:r w:rsidR="00204911" w:rsidRPr="003A41B3">
        <w:t>second</w:t>
      </w:r>
      <w:r w:rsidR="006A12E5" w:rsidRPr="003A41B3">
        <w:t xml:space="preserve"> research question</w:t>
      </w:r>
      <w:r w:rsidR="0086354E" w:rsidRPr="003A41B3">
        <w:t>,</w:t>
      </w:r>
      <w:r w:rsidR="006A12E5" w:rsidRPr="003A41B3">
        <w:t xml:space="preserve"> regarding the impact of the rating analysts’ location</w:t>
      </w:r>
      <w:r w:rsidR="0086354E" w:rsidRPr="003A41B3">
        <w:t>,</w:t>
      </w:r>
      <w:r w:rsidR="00393458" w:rsidRPr="003A41B3">
        <w:t xml:space="preserve"> by</w:t>
      </w:r>
      <w:r w:rsidR="006A12E5" w:rsidRPr="003A41B3">
        <w:t xml:space="preserve"> applying the difference-in-differences estimation of Eq. (3). </w:t>
      </w:r>
      <w:bookmarkStart w:id="69" w:name="_Hlk4766277"/>
      <w:bookmarkStart w:id="70" w:name="_Hlk5655013"/>
      <w:bookmarkStart w:id="71" w:name="_Hlk5478013"/>
      <w:r w:rsidR="00E56C67" w:rsidRPr="003A41B3">
        <w:t>T</w:t>
      </w:r>
      <w:r w:rsidRPr="003A41B3">
        <w:t>he results</w:t>
      </w:r>
      <w:r w:rsidR="00EC09BB" w:rsidRPr="003A41B3">
        <w:t xml:space="preserve">, </w:t>
      </w:r>
      <w:r w:rsidR="002D6DDB" w:rsidRPr="003A41B3">
        <w:t>reported</w:t>
      </w:r>
      <w:r w:rsidRPr="003A41B3">
        <w:t xml:space="preserve"> </w:t>
      </w:r>
      <w:r w:rsidR="00687C2D" w:rsidRPr="003A41B3">
        <w:t>in Table 10</w:t>
      </w:r>
      <w:r w:rsidR="00EC09BB" w:rsidRPr="003A41B3">
        <w:t>,</w:t>
      </w:r>
      <w:r w:rsidR="00687C2D" w:rsidRPr="003A41B3">
        <w:t xml:space="preserve"> </w:t>
      </w:r>
      <w:r w:rsidRPr="003A41B3">
        <w:t xml:space="preserve">support the earlier </w:t>
      </w:r>
      <w:r w:rsidR="007368B9" w:rsidRPr="003A41B3">
        <w:t xml:space="preserve">findings </w:t>
      </w:r>
      <w:r w:rsidR="00393458" w:rsidRPr="003A41B3">
        <w:t>based on</w:t>
      </w:r>
      <w:r w:rsidR="00391C4D" w:rsidRPr="003A41B3">
        <w:t xml:space="preserve"> </w:t>
      </w:r>
      <w:r w:rsidR="00295CF3" w:rsidRPr="003A41B3">
        <w:t>Eq.</w:t>
      </w:r>
      <w:r w:rsidR="002D6DDB" w:rsidRPr="003A41B3">
        <w:t xml:space="preserve"> </w:t>
      </w:r>
      <w:r w:rsidR="00391C4D" w:rsidRPr="003A41B3">
        <w:t>(</w:t>
      </w:r>
      <w:r w:rsidR="007C2F0D" w:rsidRPr="003A41B3">
        <w:t>1b)</w:t>
      </w:r>
      <w:r w:rsidR="00393458" w:rsidRPr="003A41B3">
        <w:t>. P</w:t>
      </w:r>
      <w:r w:rsidRPr="003A41B3">
        <w:t>ositive events by S&amp;P and Moody’s are less informative</w:t>
      </w:r>
      <w:r w:rsidR="00FF0E7E" w:rsidRPr="003A41B3">
        <w:t xml:space="preserve"> (lower quality)</w:t>
      </w:r>
      <w:r w:rsidR="00B52C71" w:rsidRPr="003A41B3">
        <w:t xml:space="preserve"> </w:t>
      </w:r>
      <w:r w:rsidR="00391C4D" w:rsidRPr="003A41B3">
        <w:t>in the post</w:t>
      </w:r>
      <w:r w:rsidR="00EE71D3" w:rsidRPr="003A41B3">
        <w:t>-identifier</w:t>
      </w:r>
      <w:r w:rsidR="00391C4D" w:rsidRPr="003A41B3">
        <w:t xml:space="preserve"> period</w:t>
      </w:r>
      <w:r w:rsidR="002D6DDB" w:rsidRPr="003A41B3">
        <w:t xml:space="preserve"> when S&amp;P rating analysts are located inside the EU and </w:t>
      </w:r>
      <w:r w:rsidR="0086354E" w:rsidRPr="003A41B3">
        <w:t xml:space="preserve">when </w:t>
      </w:r>
      <w:r w:rsidR="002D6DDB" w:rsidRPr="003A41B3">
        <w:t>Moody’s rating analysts are located outside the EU</w:t>
      </w:r>
      <w:r w:rsidRPr="003A41B3">
        <w:t>.</w:t>
      </w:r>
      <w:bookmarkEnd w:id="69"/>
      <w:r w:rsidRPr="003A41B3">
        <w:t xml:space="preserve"> </w:t>
      </w:r>
      <w:r w:rsidR="007368B9" w:rsidRPr="003A41B3">
        <w:t>Th</w:t>
      </w:r>
      <w:r w:rsidR="000814EF" w:rsidRPr="003A41B3">
        <w:t>is</w:t>
      </w:r>
      <w:r w:rsidR="007368B9" w:rsidRPr="003A41B3">
        <w:t xml:space="preserve"> effect is captured by</w:t>
      </w:r>
      <w:r w:rsidR="000814EF" w:rsidRPr="003A41B3">
        <w:t xml:space="preserve"> positive and significant coefficient</w:t>
      </w:r>
      <w:r w:rsidR="00EE71D3" w:rsidRPr="003A41B3">
        <w:t>s</w:t>
      </w:r>
      <w:r w:rsidR="00E57A11" w:rsidRPr="003A41B3">
        <w:t xml:space="preserve"> (implying wider spreads)</w:t>
      </w:r>
      <w:r w:rsidR="000814EF" w:rsidRPr="003A41B3">
        <w:t xml:space="preserve"> on</w:t>
      </w:r>
      <w:r w:rsidR="00EE71D3" w:rsidRPr="003A41B3">
        <w:t xml:space="preserve"> ∆Rating*EU and</w:t>
      </w:r>
      <w:r w:rsidR="007368B9" w:rsidRPr="003A41B3">
        <w:t xml:space="preserve"> ∆Rating*EE variable</w:t>
      </w:r>
      <w:r w:rsidR="00EE71D3" w:rsidRPr="003A41B3">
        <w:t>s</w:t>
      </w:r>
      <w:r w:rsidR="00EF1D52" w:rsidRPr="003A41B3">
        <w:t xml:space="preserve"> respectively</w:t>
      </w:r>
      <w:r w:rsidR="007028D3" w:rsidRPr="003A41B3">
        <w:t>.</w:t>
      </w:r>
      <w:r w:rsidR="002D6DDB" w:rsidRPr="003A41B3">
        <w:t xml:space="preserve"> However, </w:t>
      </w:r>
      <w:bookmarkStart w:id="72" w:name="_Hlk4766865"/>
      <w:r w:rsidR="003328CB" w:rsidRPr="003A41B3">
        <w:t>f</w:t>
      </w:r>
      <w:r w:rsidR="002D6DDB" w:rsidRPr="003A41B3">
        <w:t xml:space="preserve">or Fitch, the </w:t>
      </w:r>
      <w:r w:rsidR="0086354E" w:rsidRPr="003A41B3">
        <w:t xml:space="preserve">relevant </w:t>
      </w:r>
      <w:r w:rsidR="002D6DDB" w:rsidRPr="003A41B3">
        <w:t xml:space="preserve">results </w:t>
      </w:r>
      <w:r w:rsidR="0086354E" w:rsidRPr="003A41B3">
        <w:t>in</w:t>
      </w:r>
      <w:r w:rsidR="002D6DDB" w:rsidRPr="003A41B3">
        <w:t xml:space="preserve"> Table 10 </w:t>
      </w:r>
      <w:r w:rsidR="005D6DBE" w:rsidRPr="003A41B3">
        <w:t xml:space="preserve">are insignificant and </w:t>
      </w:r>
      <w:r w:rsidR="002D6DDB" w:rsidRPr="003A41B3">
        <w:t>do not support those of Table 3 (Eq. (1b)</w:t>
      </w:r>
      <w:r w:rsidR="003328CB" w:rsidRPr="003A41B3">
        <w:t>)</w:t>
      </w:r>
      <w:r w:rsidR="002D6DDB" w:rsidRPr="003A41B3">
        <w:t xml:space="preserve"> and </w:t>
      </w:r>
      <w:r w:rsidR="005D6DBE" w:rsidRPr="003A41B3">
        <w:t>Table 9 (</w:t>
      </w:r>
      <w:r w:rsidR="002D6DDB" w:rsidRPr="003A41B3">
        <w:t>Eq.</w:t>
      </w:r>
      <w:r w:rsidR="005D6DBE" w:rsidRPr="003A41B3">
        <w:t xml:space="preserve"> (2)) </w:t>
      </w:r>
      <w:bookmarkStart w:id="73" w:name="_Hlk4768176"/>
      <w:r w:rsidR="0086354E" w:rsidRPr="003A41B3">
        <w:t xml:space="preserve">which suggest </w:t>
      </w:r>
      <w:r w:rsidR="005D6DBE" w:rsidRPr="003A41B3">
        <w:t>that Fitch positive (negative) events are less (mor</w:t>
      </w:r>
      <w:r w:rsidR="00813489" w:rsidRPr="003A41B3">
        <w:t>e) informative when Fitch</w:t>
      </w:r>
      <w:r w:rsidR="005D6DBE" w:rsidRPr="003A41B3">
        <w:t xml:space="preserve"> rating analysts are located outside the EU.</w:t>
      </w:r>
      <w:bookmarkEnd w:id="70"/>
      <w:bookmarkEnd w:id="72"/>
      <w:bookmarkEnd w:id="73"/>
      <w:r w:rsidR="005D6DBE" w:rsidRPr="003A41B3">
        <w:t xml:space="preserve"> </w:t>
      </w:r>
      <w:bookmarkEnd w:id="71"/>
      <w:r w:rsidR="002D6DDB" w:rsidRPr="003A41B3">
        <w:t xml:space="preserve">  </w:t>
      </w:r>
    </w:p>
    <w:p w14:paraId="1E460E3D" w14:textId="7DF5E214" w:rsidR="00157669" w:rsidRPr="003A41B3" w:rsidRDefault="00157669">
      <w:pPr>
        <w:spacing w:after="160" w:line="259" w:lineRule="auto"/>
      </w:pPr>
    </w:p>
    <w:p w14:paraId="62C05003" w14:textId="77777777" w:rsidR="00B0209B" w:rsidRPr="003A41B3" w:rsidRDefault="00B0209B">
      <w:pPr>
        <w:spacing w:after="160" w:line="259" w:lineRule="auto"/>
      </w:pPr>
    </w:p>
    <w:p w14:paraId="3C6CF736" w14:textId="00AF8044" w:rsidR="000A712E" w:rsidRPr="003A41B3" w:rsidRDefault="006D330B" w:rsidP="00252A96">
      <w:pPr>
        <w:pStyle w:val="Heading1"/>
        <w:tabs>
          <w:tab w:val="left" w:pos="3104"/>
          <w:tab w:val="center" w:pos="4513"/>
        </w:tabs>
        <w:spacing w:before="0" w:line="480" w:lineRule="auto"/>
        <w:rPr>
          <w:rFonts w:cs="Times New Roman"/>
          <w:color w:val="auto"/>
        </w:rPr>
      </w:pPr>
      <w:r w:rsidRPr="003A41B3">
        <w:rPr>
          <w:rFonts w:cs="Times New Roman"/>
          <w:color w:val="auto"/>
        </w:rPr>
        <w:t xml:space="preserve">7. </w:t>
      </w:r>
      <w:r w:rsidR="0080071A" w:rsidRPr="003A41B3">
        <w:rPr>
          <w:rFonts w:cs="Times New Roman"/>
          <w:color w:val="auto"/>
        </w:rPr>
        <w:t>Conclusion</w:t>
      </w:r>
      <w:r w:rsidR="00EF44DA" w:rsidRPr="003A41B3">
        <w:rPr>
          <w:rFonts w:cs="Times New Roman"/>
          <w:color w:val="auto"/>
        </w:rPr>
        <w:t>s</w:t>
      </w:r>
      <w:r w:rsidR="0080071A" w:rsidRPr="003A41B3">
        <w:rPr>
          <w:rFonts w:cs="Times New Roman"/>
          <w:color w:val="auto"/>
        </w:rPr>
        <w:t xml:space="preserve"> </w:t>
      </w:r>
      <w:r w:rsidR="00EB599E" w:rsidRPr="003A41B3">
        <w:rPr>
          <w:rFonts w:cs="Times New Roman"/>
          <w:color w:val="auto"/>
        </w:rPr>
        <w:tab/>
      </w:r>
      <w:r w:rsidR="00715342" w:rsidRPr="003A41B3">
        <w:rPr>
          <w:rFonts w:cs="Times New Roman"/>
          <w:color w:val="auto"/>
        </w:rPr>
        <w:tab/>
      </w:r>
      <w:r w:rsidR="00904225" w:rsidRPr="003A41B3">
        <w:rPr>
          <w:rFonts w:cs="Times New Roman"/>
          <w:color w:val="auto"/>
        </w:rPr>
        <w:t xml:space="preserve"> </w:t>
      </w:r>
    </w:p>
    <w:p w14:paraId="3B5495C1" w14:textId="671BA8B9" w:rsidR="009435F7" w:rsidRPr="003A41B3" w:rsidRDefault="00505982" w:rsidP="00A31DFA">
      <w:pPr>
        <w:tabs>
          <w:tab w:val="left" w:pos="284"/>
        </w:tabs>
        <w:spacing w:line="480" w:lineRule="auto"/>
        <w:jc w:val="both"/>
      </w:pPr>
      <w:r w:rsidRPr="003A41B3">
        <w:tab/>
      </w:r>
      <w:r w:rsidR="00687C2D" w:rsidRPr="003A41B3">
        <w:t>This paper presents</w:t>
      </w:r>
      <w:r w:rsidR="00AF185F" w:rsidRPr="003A41B3">
        <w:t xml:space="preserve"> </w:t>
      </w:r>
      <w:r w:rsidR="004D1F10" w:rsidRPr="003A41B3">
        <w:t>a unique</w:t>
      </w:r>
      <w:r w:rsidR="00AF185F" w:rsidRPr="003A41B3">
        <w:t xml:space="preserve"> analysis of the impact of </w:t>
      </w:r>
      <w:r w:rsidR="0046732F" w:rsidRPr="003A41B3">
        <w:t>EU endorsement rules</w:t>
      </w:r>
      <w:r w:rsidR="00AF185F" w:rsidRPr="003A41B3">
        <w:t xml:space="preserve"> on the quality of </w:t>
      </w:r>
      <w:r w:rsidR="00EE71D3" w:rsidRPr="003A41B3">
        <w:t xml:space="preserve">credit </w:t>
      </w:r>
      <w:r w:rsidR="00AF185F" w:rsidRPr="003A41B3">
        <w:t>ratings</w:t>
      </w:r>
      <w:r w:rsidR="0046732F" w:rsidRPr="003A41B3">
        <w:t>.</w:t>
      </w:r>
      <w:r w:rsidR="00AF185F" w:rsidRPr="003A41B3">
        <w:t xml:space="preserve"> </w:t>
      </w:r>
      <w:r w:rsidR="0046732F" w:rsidRPr="003A41B3">
        <w:t>U</w:t>
      </w:r>
      <w:r w:rsidR="00AF185F" w:rsidRPr="003A41B3">
        <w:t xml:space="preserve">sing a rich dataset of sovereign rating actions from Fitch, Moody’s and S&amp;P </w:t>
      </w:r>
      <w:r w:rsidR="0001567C" w:rsidRPr="003A41B3">
        <w:t xml:space="preserve">for </w:t>
      </w:r>
      <w:r w:rsidR="00AF185F" w:rsidRPr="003A41B3">
        <w:t xml:space="preserve">70 countries </w:t>
      </w:r>
      <w:r w:rsidR="0001567C" w:rsidRPr="003A41B3">
        <w:t xml:space="preserve">during </w:t>
      </w:r>
      <w:r w:rsidR="00AF185F" w:rsidRPr="003A41B3">
        <w:t xml:space="preserve">the period </w:t>
      </w:r>
      <w:r w:rsidR="0001567C" w:rsidRPr="003A41B3">
        <w:t xml:space="preserve">of </w:t>
      </w:r>
      <w:r w:rsidR="00AF185F" w:rsidRPr="003A41B3">
        <w:t>2006-2016</w:t>
      </w:r>
      <w:r w:rsidR="0046732F" w:rsidRPr="003A41B3">
        <w:t>, this paper presents the first evidence on the influence of ESMA identifiers</w:t>
      </w:r>
      <w:r w:rsidR="00AF185F" w:rsidRPr="003A41B3">
        <w:t xml:space="preserve">. </w:t>
      </w:r>
      <w:bookmarkStart w:id="74" w:name="_Hlk5655978"/>
      <w:bookmarkStart w:id="75" w:name="_Hlk5079247"/>
      <w:r w:rsidR="00AF185F" w:rsidRPr="003A41B3">
        <w:t>We investigate whethe</w:t>
      </w:r>
      <w:r w:rsidR="007878C8" w:rsidRPr="003A41B3">
        <w:t xml:space="preserve">r rating quality has changed as </w:t>
      </w:r>
      <w:r w:rsidR="00AF185F" w:rsidRPr="003A41B3">
        <w:t>a consequence of the new disclosures</w:t>
      </w:r>
      <w:r w:rsidR="00EE71D3" w:rsidRPr="003A41B3">
        <w:t>, by</w:t>
      </w:r>
      <w:r w:rsidR="00AF185F" w:rsidRPr="003A41B3">
        <w:t xml:space="preserve"> </w:t>
      </w:r>
      <w:r w:rsidR="00CD20BD" w:rsidRPr="003A41B3">
        <w:t>utilizing</w:t>
      </w:r>
      <w:r w:rsidR="00AF185F" w:rsidRPr="003A41B3">
        <w:t xml:space="preserve"> the link between rating actions and bond yields</w:t>
      </w:r>
      <w:r w:rsidR="00DA2638" w:rsidRPr="003A41B3">
        <w:t xml:space="preserve">. </w:t>
      </w:r>
      <w:r w:rsidR="00E02FFA" w:rsidRPr="003A41B3">
        <w:t>We also examine whether the location of rating analysts</w:t>
      </w:r>
      <w:r w:rsidR="009A0665" w:rsidRPr="003A41B3">
        <w:t>,</w:t>
      </w:r>
      <w:r w:rsidR="00E02FFA" w:rsidRPr="003A41B3">
        <w:t xml:space="preserve"> inside versus outside the EU (i.e. ratings with EU versus EE identifiers)</w:t>
      </w:r>
      <w:r w:rsidR="009A0665" w:rsidRPr="003A41B3">
        <w:t>,</w:t>
      </w:r>
      <w:r w:rsidR="00E02FFA" w:rsidRPr="003A41B3">
        <w:t xml:space="preserve"> ha</w:t>
      </w:r>
      <w:r w:rsidR="00896848" w:rsidRPr="003A41B3">
        <w:t>s</w:t>
      </w:r>
      <w:r w:rsidR="00E02FFA" w:rsidRPr="003A41B3">
        <w:t xml:space="preserve"> a significant impact on rating informativeness.</w:t>
      </w:r>
      <w:bookmarkEnd w:id="74"/>
      <w:r w:rsidR="00E02FFA" w:rsidRPr="003A41B3">
        <w:t xml:space="preserve"> </w:t>
      </w:r>
      <w:bookmarkEnd w:id="75"/>
      <w:r w:rsidR="002040EB" w:rsidRPr="003A41B3">
        <w:t xml:space="preserve">One key aspect in which this </w:t>
      </w:r>
      <w:r w:rsidR="0046732F" w:rsidRPr="003A41B3">
        <w:t>paper</w:t>
      </w:r>
      <w:r w:rsidR="00DA2638" w:rsidRPr="003A41B3">
        <w:t xml:space="preserve"> </w:t>
      </w:r>
      <w:r w:rsidR="00687C2D" w:rsidRPr="003A41B3">
        <w:t xml:space="preserve">differs from </w:t>
      </w:r>
      <w:r w:rsidR="00D7400A" w:rsidRPr="003A41B3">
        <w:t xml:space="preserve">studies </w:t>
      </w:r>
      <w:r w:rsidR="00687C2D" w:rsidRPr="003A41B3">
        <w:t>based on</w:t>
      </w:r>
      <w:r w:rsidR="00D7400A" w:rsidRPr="003A41B3">
        <w:t xml:space="preserve"> US regulation i</w:t>
      </w:r>
      <w:r w:rsidR="002040EB" w:rsidRPr="003A41B3">
        <w:t>s</w:t>
      </w:r>
      <w:r w:rsidR="00D7400A" w:rsidRPr="003A41B3">
        <w:t xml:space="preserve"> that it </w:t>
      </w:r>
      <w:r w:rsidR="00A94164" w:rsidRPr="003A41B3">
        <w:t>investigates the direct effect of the disclosure rules on rating quality, rather than measuring</w:t>
      </w:r>
      <w:r w:rsidR="00D7400A" w:rsidRPr="003A41B3">
        <w:t xml:space="preserve"> the effect of changing competition amongst CRAs</w:t>
      </w:r>
      <w:r w:rsidR="00DA2638" w:rsidRPr="003A41B3">
        <w:t xml:space="preserve">. </w:t>
      </w:r>
    </w:p>
    <w:p w14:paraId="0F56D11F" w14:textId="4F58B0D4" w:rsidR="00896848" w:rsidRPr="003A41B3" w:rsidRDefault="009435F7" w:rsidP="0090077B">
      <w:pPr>
        <w:tabs>
          <w:tab w:val="left" w:pos="284"/>
        </w:tabs>
        <w:spacing w:line="480" w:lineRule="auto"/>
        <w:jc w:val="both"/>
      </w:pPr>
      <w:r w:rsidRPr="003A41B3">
        <w:lastRenderedPageBreak/>
        <w:tab/>
      </w:r>
      <w:r w:rsidR="00893975" w:rsidRPr="003A41B3">
        <w:t xml:space="preserve">Our results </w:t>
      </w:r>
      <w:r w:rsidR="000436D5" w:rsidRPr="003A41B3">
        <w:t xml:space="preserve">suggest that the use of endorsement </w:t>
      </w:r>
      <w:r w:rsidR="004D1F10" w:rsidRPr="003A41B3">
        <w:t xml:space="preserve">via identifiers </w:t>
      </w:r>
      <w:r w:rsidR="000436D5" w:rsidRPr="003A41B3">
        <w:t>does not achieve its objective of improved rating quality.</w:t>
      </w:r>
      <w:r w:rsidRPr="003A41B3">
        <w:t xml:space="preserve"> In fact</w:t>
      </w:r>
      <w:r w:rsidR="000A712E" w:rsidRPr="003A41B3">
        <w:t>,</w:t>
      </w:r>
      <w:r w:rsidRPr="003A41B3">
        <w:t xml:space="preserve"> there are cases </w:t>
      </w:r>
      <w:r w:rsidR="00687C2D" w:rsidRPr="003A41B3">
        <w:t xml:space="preserve">of significant </w:t>
      </w:r>
      <w:r w:rsidR="004D4A86" w:rsidRPr="003A41B3">
        <w:t>decreases</w:t>
      </w:r>
      <w:r w:rsidRPr="003A41B3">
        <w:t xml:space="preserve"> </w:t>
      </w:r>
      <w:r w:rsidR="00687C2D" w:rsidRPr="003A41B3">
        <w:t>in quality</w:t>
      </w:r>
      <w:r w:rsidRPr="003A41B3">
        <w:t xml:space="preserve"> after the disclosure rules</w:t>
      </w:r>
      <w:r w:rsidR="00CA6640" w:rsidRPr="003A41B3">
        <w:t xml:space="preserve"> </w:t>
      </w:r>
      <w:r w:rsidR="00EE71D3" w:rsidRPr="003A41B3">
        <w:t>were</w:t>
      </w:r>
      <w:r w:rsidR="00CA6640" w:rsidRPr="003A41B3">
        <w:t xml:space="preserve"> introduced</w:t>
      </w:r>
      <w:r w:rsidRPr="003A41B3">
        <w:t>.</w:t>
      </w:r>
      <w:r w:rsidR="00980101" w:rsidRPr="003A41B3">
        <w:t xml:space="preserve"> </w:t>
      </w:r>
      <w:r w:rsidR="004D1F10" w:rsidRPr="003A41B3">
        <w:t>P</w:t>
      </w:r>
      <w:r w:rsidR="00CA6640" w:rsidRPr="003A41B3">
        <w:t xml:space="preserve">oorer (less informative) </w:t>
      </w:r>
      <w:r w:rsidR="004D1F10" w:rsidRPr="003A41B3">
        <w:t>rating actions are</w:t>
      </w:r>
      <w:r w:rsidR="00CA6640" w:rsidRPr="003A41B3">
        <w:t xml:space="preserve"> </w:t>
      </w:r>
      <w:r w:rsidR="00570913" w:rsidRPr="003A41B3">
        <w:t xml:space="preserve">reported </w:t>
      </w:r>
      <w:r w:rsidR="00CA6640" w:rsidRPr="003A41B3">
        <w:t>for</w:t>
      </w:r>
      <w:r w:rsidR="00980101" w:rsidRPr="003A41B3">
        <w:t xml:space="preserve"> </w:t>
      </w:r>
      <w:r w:rsidR="00CA6640" w:rsidRPr="003A41B3">
        <w:t xml:space="preserve">positive events by </w:t>
      </w:r>
      <w:r w:rsidR="009A0665" w:rsidRPr="003A41B3">
        <w:t>all CRAs</w:t>
      </w:r>
      <w:r w:rsidR="00687C2D" w:rsidRPr="003A41B3">
        <w:t xml:space="preserve"> after the introduction date</w:t>
      </w:r>
      <w:r w:rsidR="00CA6640" w:rsidRPr="003A41B3">
        <w:t xml:space="preserve">. </w:t>
      </w:r>
      <w:bookmarkStart w:id="76" w:name="_Hlk5656092"/>
      <w:r w:rsidR="00570913" w:rsidRPr="003A41B3">
        <w:t>M</w:t>
      </w:r>
      <w:r w:rsidR="00CA6640" w:rsidRPr="003A41B3">
        <w:t xml:space="preserve">ore detailed tests </w:t>
      </w:r>
      <w:r w:rsidR="00570913" w:rsidRPr="003A41B3">
        <w:t>reveal</w:t>
      </w:r>
      <w:r w:rsidR="00CA6640" w:rsidRPr="003A41B3">
        <w:t xml:space="preserve"> </w:t>
      </w:r>
      <w:r w:rsidR="00270CB8" w:rsidRPr="003A41B3">
        <w:t xml:space="preserve">some limited evidence </w:t>
      </w:r>
      <w:r w:rsidR="00CA6640" w:rsidRPr="003A41B3">
        <w:t xml:space="preserve">that </w:t>
      </w:r>
      <w:r w:rsidR="009A0665" w:rsidRPr="003A41B3">
        <w:t xml:space="preserve">Moody’s and Fitch </w:t>
      </w:r>
      <w:r w:rsidR="00896848" w:rsidRPr="003A41B3">
        <w:t xml:space="preserve">rating actions </w:t>
      </w:r>
      <w:r w:rsidR="009A0665" w:rsidRPr="003A41B3">
        <w:t>are less informative when the analysts are based outside the EU</w:t>
      </w:r>
      <w:r w:rsidR="006933E9" w:rsidRPr="003A41B3">
        <w:t xml:space="preserve">. </w:t>
      </w:r>
      <w:r w:rsidR="00896848" w:rsidRPr="003A41B3">
        <w:t xml:space="preserve">Such </w:t>
      </w:r>
      <w:r w:rsidR="006933E9" w:rsidRPr="003A41B3">
        <w:t xml:space="preserve">inferior rating quality </w:t>
      </w:r>
      <w:r w:rsidR="00896848" w:rsidRPr="003A41B3">
        <w:t xml:space="preserve">might </w:t>
      </w:r>
      <w:r w:rsidR="006933E9" w:rsidRPr="003A41B3">
        <w:t xml:space="preserve">be </w:t>
      </w:r>
      <w:r w:rsidR="00896848" w:rsidRPr="003A41B3">
        <w:t xml:space="preserve">a consequence of </w:t>
      </w:r>
      <w:r w:rsidR="006933E9" w:rsidRPr="003A41B3">
        <w:t xml:space="preserve">third country CRA offices </w:t>
      </w:r>
      <w:r w:rsidR="00896848" w:rsidRPr="003A41B3">
        <w:t>facing</w:t>
      </w:r>
      <w:r w:rsidR="006933E9" w:rsidRPr="003A41B3">
        <w:t xml:space="preserve"> less scrutiny </w:t>
      </w:r>
      <w:r w:rsidR="00896848" w:rsidRPr="003A41B3">
        <w:t xml:space="preserve">than </w:t>
      </w:r>
      <w:r w:rsidR="006933E9" w:rsidRPr="003A41B3">
        <w:t>those in</w:t>
      </w:r>
      <w:r w:rsidR="009D4A79" w:rsidRPr="003A41B3">
        <w:t xml:space="preserve"> the</w:t>
      </w:r>
      <w:r w:rsidR="006933E9" w:rsidRPr="003A41B3">
        <w:t xml:space="preserve"> </w:t>
      </w:r>
      <w:r w:rsidR="009D4A79" w:rsidRPr="003A41B3">
        <w:t>EU</w:t>
      </w:r>
      <w:r w:rsidR="006933E9" w:rsidRPr="003A41B3">
        <w:t xml:space="preserve">. </w:t>
      </w:r>
      <w:r w:rsidR="00896848" w:rsidRPr="003A41B3">
        <w:t>In contrast</w:t>
      </w:r>
      <w:r w:rsidR="006933E9" w:rsidRPr="003A41B3">
        <w:t xml:space="preserve">, </w:t>
      </w:r>
      <w:r w:rsidR="00270CB8" w:rsidRPr="003A41B3">
        <w:t xml:space="preserve">less informative </w:t>
      </w:r>
      <w:r w:rsidR="00CA6640" w:rsidRPr="003A41B3">
        <w:t xml:space="preserve">positive events </w:t>
      </w:r>
      <w:r w:rsidR="00270CB8" w:rsidRPr="003A41B3">
        <w:t>by S&amp;P are those</w:t>
      </w:r>
      <w:r w:rsidR="0058623B" w:rsidRPr="003A41B3">
        <w:t xml:space="preserve"> with EU</w:t>
      </w:r>
      <w:r w:rsidR="008C57A2" w:rsidRPr="003A41B3">
        <w:t xml:space="preserve"> </w:t>
      </w:r>
      <w:r w:rsidR="00270CB8" w:rsidRPr="003A41B3">
        <w:t>identifiers</w:t>
      </w:r>
      <w:r w:rsidR="008C57A2" w:rsidRPr="003A41B3">
        <w:t>.</w:t>
      </w:r>
      <w:bookmarkEnd w:id="76"/>
      <w:r w:rsidR="006933E9" w:rsidRPr="003A41B3">
        <w:t xml:space="preserve"> </w:t>
      </w:r>
      <w:r w:rsidR="00291B48" w:rsidRPr="003A41B3">
        <w:t xml:space="preserve">These findings </w:t>
      </w:r>
      <w:r w:rsidR="00896848" w:rsidRPr="003A41B3">
        <w:t xml:space="preserve">are consistent </w:t>
      </w:r>
      <w:r w:rsidR="00291B48" w:rsidRPr="003A41B3">
        <w:t xml:space="preserve">with Dimitrov et al. (2015) who </w:t>
      </w:r>
      <w:r w:rsidR="00896848" w:rsidRPr="003A41B3">
        <w:t xml:space="preserve">report </w:t>
      </w:r>
      <w:r w:rsidR="00291B48" w:rsidRPr="003A41B3">
        <w:t xml:space="preserve">that the US Dodd-Frank Act did not result in more accurate nor more informative ratings. </w:t>
      </w:r>
      <w:r w:rsidR="00233124" w:rsidRPr="003A41B3">
        <w:t>T</w:t>
      </w:r>
      <w:r w:rsidR="00813CDF" w:rsidRPr="003A41B3">
        <w:t>o some extent</w:t>
      </w:r>
      <w:r w:rsidR="00233124" w:rsidRPr="003A41B3">
        <w:t>,</w:t>
      </w:r>
      <w:r w:rsidR="00813CDF" w:rsidRPr="003A41B3">
        <w:t xml:space="preserve"> </w:t>
      </w:r>
      <w:r w:rsidR="00896848" w:rsidRPr="003A41B3">
        <w:t>our results also resonate with</w:t>
      </w:r>
      <w:r w:rsidR="005A04B5" w:rsidRPr="003A41B3">
        <w:t xml:space="preserve"> </w:t>
      </w:r>
      <w:r w:rsidR="00291B48" w:rsidRPr="003A41B3">
        <w:t>Behr et al.</w:t>
      </w:r>
      <w:r w:rsidR="00570913" w:rsidRPr="003A41B3">
        <w:t>’s</w:t>
      </w:r>
      <w:r w:rsidR="00291B48" w:rsidRPr="003A41B3">
        <w:t xml:space="preserve"> (2</w:t>
      </w:r>
      <w:r w:rsidR="00A87BA7" w:rsidRPr="003A41B3">
        <w:t>018</w:t>
      </w:r>
      <w:r w:rsidR="00291B48" w:rsidRPr="003A41B3">
        <w:t>)</w:t>
      </w:r>
      <w:r w:rsidR="00570913" w:rsidRPr="003A41B3">
        <w:t xml:space="preserve"> </w:t>
      </w:r>
      <w:r w:rsidR="00291B48" w:rsidRPr="003A41B3">
        <w:t>find</w:t>
      </w:r>
      <w:r w:rsidR="00570913" w:rsidRPr="003A41B3">
        <w:t>ings</w:t>
      </w:r>
      <w:r w:rsidR="00291B48" w:rsidRPr="003A41B3">
        <w:t xml:space="preserve"> that</w:t>
      </w:r>
      <w:r w:rsidR="005C6097" w:rsidRPr="003A41B3">
        <w:t xml:space="preserve"> the </w:t>
      </w:r>
      <w:r w:rsidR="008C57A2" w:rsidRPr="003A41B3">
        <w:t xml:space="preserve">US </w:t>
      </w:r>
      <w:r w:rsidR="005A04B5" w:rsidRPr="003A41B3">
        <w:t>CRA regulation (</w:t>
      </w:r>
      <w:r w:rsidR="005C6097" w:rsidRPr="003A41B3">
        <w:t>SEC certification</w:t>
      </w:r>
      <w:r w:rsidR="005A04B5" w:rsidRPr="003A41B3">
        <w:t>)</w:t>
      </w:r>
      <w:r w:rsidR="005C6097" w:rsidRPr="003A41B3">
        <w:t xml:space="preserve"> </w:t>
      </w:r>
      <w:r w:rsidR="005A04B5" w:rsidRPr="003A41B3">
        <w:t>had</w:t>
      </w:r>
      <w:r w:rsidR="004D1F10" w:rsidRPr="003A41B3">
        <w:t xml:space="preserve"> an adverse effect on</w:t>
      </w:r>
      <w:r w:rsidR="005C6097" w:rsidRPr="003A41B3">
        <w:t xml:space="preserve"> quality </w:t>
      </w:r>
      <w:r w:rsidR="004D1F10" w:rsidRPr="003A41B3">
        <w:t>as revealed</w:t>
      </w:r>
      <w:r w:rsidR="005C6097" w:rsidRPr="003A41B3">
        <w:t xml:space="preserve"> via ratings inflation.</w:t>
      </w:r>
      <w:r w:rsidR="005F44E5" w:rsidRPr="003A41B3">
        <w:t xml:space="preserve"> </w:t>
      </w:r>
    </w:p>
    <w:p w14:paraId="1B5EF4FE" w14:textId="77777777" w:rsidR="005B4F0F" w:rsidRPr="003A41B3" w:rsidRDefault="00896848" w:rsidP="0090077B">
      <w:pPr>
        <w:tabs>
          <w:tab w:val="left" w:pos="284"/>
        </w:tabs>
        <w:spacing w:line="480" w:lineRule="auto"/>
        <w:jc w:val="both"/>
      </w:pPr>
      <w:r w:rsidRPr="003A41B3">
        <w:tab/>
      </w:r>
      <w:r w:rsidR="00570913" w:rsidRPr="003A41B3">
        <w:t>On the other hand</w:t>
      </w:r>
      <w:r w:rsidR="009445DB" w:rsidRPr="003A41B3">
        <w:t>, we find</w:t>
      </w:r>
      <w:r w:rsidR="00570913" w:rsidRPr="003A41B3">
        <w:t xml:space="preserve"> evidence of</w:t>
      </w:r>
      <w:r w:rsidR="009445DB" w:rsidRPr="003A41B3">
        <w:t xml:space="preserve"> </w:t>
      </w:r>
      <w:r w:rsidRPr="003A41B3">
        <w:t>improvements in information content</w:t>
      </w:r>
      <w:r w:rsidR="007E2232" w:rsidRPr="003A41B3">
        <w:t xml:space="preserve"> </w:t>
      </w:r>
      <w:r w:rsidR="004D1F10" w:rsidRPr="003A41B3">
        <w:t>in the cases of</w:t>
      </w:r>
      <w:r w:rsidR="001E61A3" w:rsidRPr="003A41B3">
        <w:t xml:space="preserve"> </w:t>
      </w:r>
      <w:r w:rsidR="009445DB" w:rsidRPr="003A41B3">
        <w:t xml:space="preserve">Moody’s </w:t>
      </w:r>
      <w:r w:rsidR="001E61A3" w:rsidRPr="003A41B3">
        <w:t xml:space="preserve">negative </w:t>
      </w:r>
      <w:r w:rsidR="004D1F10" w:rsidRPr="003A41B3">
        <w:t>rating action</w:t>
      </w:r>
      <w:r w:rsidR="001E61A3" w:rsidRPr="003A41B3">
        <w:t>s</w:t>
      </w:r>
      <w:r w:rsidR="009445DB" w:rsidRPr="003A41B3">
        <w:t>.</w:t>
      </w:r>
      <w:r w:rsidR="001E61A3" w:rsidRPr="003A41B3">
        <w:t xml:space="preserve"> </w:t>
      </w:r>
      <w:bookmarkStart w:id="77" w:name="_Hlk5656119"/>
      <w:r w:rsidR="00270CB8" w:rsidRPr="003A41B3">
        <w:t>Additionally, b</w:t>
      </w:r>
      <w:r w:rsidR="008600AE" w:rsidRPr="003A41B3">
        <w:t>etter quality</w:t>
      </w:r>
      <w:r w:rsidR="004D1F10" w:rsidRPr="003A41B3">
        <w:t xml:space="preserve"> rating downgrade actions are associated with Fitch </w:t>
      </w:r>
      <w:r w:rsidR="00270CB8" w:rsidRPr="003A41B3">
        <w:t xml:space="preserve">when their rating analysts are located outside the EU (i.e. with </w:t>
      </w:r>
      <w:r w:rsidR="004D1F10" w:rsidRPr="003A41B3">
        <w:t>‘EE’ categories</w:t>
      </w:r>
      <w:r w:rsidR="00270CB8" w:rsidRPr="003A41B3">
        <w:t>)</w:t>
      </w:r>
      <w:r w:rsidR="005E7DE6" w:rsidRPr="003A41B3">
        <w:t>.</w:t>
      </w:r>
      <w:r w:rsidR="00CB506C" w:rsidRPr="003A41B3">
        <w:t xml:space="preserve"> </w:t>
      </w:r>
      <w:r w:rsidR="00307C08" w:rsidRPr="003A41B3">
        <w:t>Third country CRA offices seeking to establish a strong reputation for rating quality m</w:t>
      </w:r>
      <w:r w:rsidRPr="003A41B3">
        <w:t>ight</w:t>
      </w:r>
      <w:r w:rsidR="00307C08" w:rsidRPr="003A41B3">
        <w:t xml:space="preserve"> explain </w:t>
      </w:r>
      <w:r w:rsidR="00B20D80" w:rsidRPr="003A41B3">
        <w:t xml:space="preserve">this </w:t>
      </w:r>
      <w:r w:rsidR="00307C08" w:rsidRPr="003A41B3">
        <w:t>outcome.</w:t>
      </w:r>
      <w:bookmarkEnd w:id="77"/>
      <w:r w:rsidR="00307C08" w:rsidRPr="003A41B3">
        <w:t xml:space="preserve"> </w:t>
      </w:r>
      <w:r w:rsidR="00A552CB" w:rsidRPr="003A41B3">
        <w:t xml:space="preserve">This is in line with the improved accuracy of downgrades reported by </w:t>
      </w:r>
      <w:proofErr w:type="spellStart"/>
      <w:r w:rsidR="00A552CB" w:rsidRPr="003A41B3">
        <w:t>Bedendo</w:t>
      </w:r>
      <w:proofErr w:type="spellEnd"/>
      <w:r w:rsidR="00A552CB" w:rsidRPr="003A41B3">
        <w:t xml:space="preserve"> et al. (2018) </w:t>
      </w:r>
      <w:r w:rsidR="0090077B" w:rsidRPr="003A41B3">
        <w:t xml:space="preserve">and de </w:t>
      </w:r>
      <w:proofErr w:type="spellStart"/>
      <w:r w:rsidR="0090077B" w:rsidRPr="003A41B3">
        <w:t>Haan</w:t>
      </w:r>
      <w:proofErr w:type="spellEnd"/>
      <w:r w:rsidR="0090077B" w:rsidRPr="003A41B3">
        <w:t xml:space="preserve"> (2017)</w:t>
      </w:r>
      <w:r w:rsidR="00175773" w:rsidRPr="003A41B3">
        <w:t xml:space="preserve"> for corporate ratings</w:t>
      </w:r>
      <w:r w:rsidR="0090077B" w:rsidRPr="003A41B3">
        <w:t xml:space="preserve">. </w:t>
      </w:r>
    </w:p>
    <w:p w14:paraId="69433E74" w14:textId="003E182A" w:rsidR="005B4F0F" w:rsidRPr="003A41B3" w:rsidRDefault="005B4F0F" w:rsidP="0090077B">
      <w:pPr>
        <w:tabs>
          <w:tab w:val="left" w:pos="284"/>
        </w:tabs>
        <w:spacing w:line="480" w:lineRule="auto"/>
        <w:jc w:val="both"/>
      </w:pPr>
      <w:r w:rsidRPr="003A41B3">
        <w:tab/>
      </w:r>
      <w:r w:rsidR="006309D2" w:rsidRPr="003A41B3">
        <w:t>ESMA’s identifiers are intended to improve rating quality, yet not to be affected by the location of ratings analysts.</w:t>
      </w:r>
      <w:r w:rsidR="006309D2" w:rsidRPr="003A41B3">
        <w:rPr>
          <w:rFonts w:eastAsia="Times New Roman"/>
          <w:lang w:eastAsia="en-GB"/>
        </w:rPr>
        <w:t xml:space="preserve"> </w:t>
      </w:r>
      <w:r w:rsidRPr="003A41B3">
        <w:t xml:space="preserve">Our mixed evidence on the impact of rating analysts’ location on rating informativeness clearly </w:t>
      </w:r>
      <w:r w:rsidRPr="003A41B3">
        <w:rPr>
          <w:rFonts w:eastAsia="Times New Roman"/>
          <w:lang w:eastAsia="en-GB"/>
        </w:rPr>
        <w:t xml:space="preserve">contributes towards an important stream of literature </w:t>
      </w:r>
      <w:r w:rsidR="006309D2" w:rsidRPr="003A41B3">
        <w:rPr>
          <w:rFonts w:eastAsia="Times New Roman"/>
          <w:lang w:eastAsia="en-GB"/>
        </w:rPr>
        <w:t xml:space="preserve">which assesses </w:t>
      </w:r>
      <w:r w:rsidRPr="003A41B3">
        <w:rPr>
          <w:rFonts w:eastAsia="Times New Roman"/>
          <w:lang w:eastAsia="en-GB"/>
        </w:rPr>
        <w:t>the effects of regulation on the quality of ratings</w:t>
      </w:r>
      <w:r w:rsidR="006309D2" w:rsidRPr="003A41B3">
        <w:rPr>
          <w:rFonts w:eastAsia="Times New Roman"/>
          <w:lang w:eastAsia="en-GB"/>
        </w:rPr>
        <w:t>. There has been no prior evidence on this</w:t>
      </w:r>
      <w:r w:rsidRPr="003A41B3">
        <w:rPr>
          <w:rFonts w:eastAsia="Times New Roman"/>
          <w:lang w:eastAsia="en-GB"/>
        </w:rPr>
        <w:t xml:space="preserve"> </w:t>
      </w:r>
      <w:r w:rsidR="006309D2" w:rsidRPr="003A41B3">
        <w:rPr>
          <w:rFonts w:eastAsia="Times New Roman"/>
          <w:lang w:eastAsia="en-GB"/>
        </w:rPr>
        <w:t xml:space="preserve">aspect </w:t>
      </w:r>
      <w:r w:rsidRPr="003A41B3">
        <w:rPr>
          <w:rFonts w:eastAsia="Times New Roman"/>
          <w:lang w:eastAsia="en-GB"/>
        </w:rPr>
        <w:t xml:space="preserve">in the context of European CRA regulation. </w:t>
      </w:r>
      <w:r w:rsidRPr="003A41B3">
        <w:t xml:space="preserve">Yet, it </w:t>
      </w:r>
      <w:r w:rsidR="006309D2" w:rsidRPr="003A41B3">
        <w:t xml:space="preserve">deserves </w:t>
      </w:r>
      <w:r w:rsidRPr="003A41B3">
        <w:t xml:space="preserve">further attention from both regulators and academic researchers. </w:t>
      </w:r>
      <w:r w:rsidR="00375F64" w:rsidRPr="003A41B3">
        <w:t>Further, our findings of</w:t>
      </w:r>
      <w:r w:rsidRPr="003A41B3">
        <w:t xml:space="preserve"> differing impact across different CRAs and rating events </w:t>
      </w:r>
      <w:r w:rsidR="00375F64" w:rsidRPr="003A41B3">
        <w:t>are</w:t>
      </w:r>
      <w:r w:rsidRPr="003A41B3">
        <w:t xml:space="preserve"> consistent with the findings of prior literature with regard </w:t>
      </w:r>
      <w:r w:rsidRPr="003A41B3">
        <w:lastRenderedPageBreak/>
        <w:t xml:space="preserve">to the varying impact of positive versus negative sovereign rating news on financial markets (e.g. Afonso et al., 2012; Baum et al., 2016; </w:t>
      </w:r>
      <w:proofErr w:type="spellStart"/>
      <w:r w:rsidRPr="003A41B3">
        <w:t>Bedendo</w:t>
      </w:r>
      <w:proofErr w:type="spellEnd"/>
      <w:r w:rsidRPr="003A41B3">
        <w:t xml:space="preserve"> et al., 2018).</w:t>
      </w:r>
    </w:p>
    <w:p w14:paraId="09DA95FD" w14:textId="233F2AA0" w:rsidR="00674DA4" w:rsidRPr="003A41B3" w:rsidRDefault="00327F52" w:rsidP="00674DA4">
      <w:pPr>
        <w:tabs>
          <w:tab w:val="left" w:pos="284"/>
        </w:tabs>
        <w:spacing w:line="480" w:lineRule="auto"/>
        <w:jc w:val="both"/>
      </w:pPr>
      <w:r w:rsidRPr="003A41B3">
        <w:tab/>
      </w:r>
      <w:r w:rsidR="00674DA4" w:rsidRPr="003A41B3">
        <w:t xml:space="preserve">Our findings are broadly in line with the theoretical predictions of </w:t>
      </w:r>
      <w:proofErr w:type="spellStart"/>
      <w:r w:rsidR="00674DA4" w:rsidRPr="003A41B3">
        <w:t>Opp</w:t>
      </w:r>
      <w:proofErr w:type="spellEnd"/>
      <w:r w:rsidR="00674DA4" w:rsidRPr="003A41B3">
        <w:t xml:space="preserve"> et al. (2013). </w:t>
      </w:r>
      <w:r w:rsidR="00046E5F" w:rsidRPr="003A41B3">
        <w:t>The</w:t>
      </w:r>
      <w:r w:rsidR="006309D2" w:rsidRPr="003A41B3">
        <w:t>se authors</w:t>
      </w:r>
      <w:r w:rsidR="00046E5F" w:rsidRPr="003A41B3">
        <w:t xml:space="preserve"> </w:t>
      </w:r>
      <w:r w:rsidR="00046E5F" w:rsidRPr="003A41B3">
        <w:rPr>
          <w:rFonts w:eastAsia="Times New Roman"/>
          <w:lang w:eastAsia="en-GB"/>
        </w:rPr>
        <w:t xml:space="preserve">suggest that the quality of ratings </w:t>
      </w:r>
      <w:r w:rsidR="006309D2" w:rsidRPr="003A41B3">
        <w:rPr>
          <w:rFonts w:eastAsia="Times New Roman"/>
          <w:lang w:eastAsia="en-GB"/>
        </w:rPr>
        <w:t xml:space="preserve">as revealed </w:t>
      </w:r>
      <w:r w:rsidR="00046E5F" w:rsidRPr="003A41B3">
        <w:rPr>
          <w:rFonts w:eastAsia="Times New Roman"/>
          <w:lang w:eastAsia="en-GB"/>
        </w:rPr>
        <w:t xml:space="preserve">by information content might </w:t>
      </w:r>
      <w:r w:rsidR="006309D2" w:rsidRPr="003A41B3">
        <w:rPr>
          <w:rFonts w:eastAsia="Times New Roman"/>
          <w:lang w:eastAsia="en-GB"/>
        </w:rPr>
        <w:t>improve or deteriorate</w:t>
      </w:r>
      <w:r w:rsidR="00046E5F" w:rsidRPr="003A41B3">
        <w:rPr>
          <w:rFonts w:eastAsia="Times New Roman"/>
          <w:lang w:eastAsia="en-GB"/>
        </w:rPr>
        <w:t xml:space="preserve"> depending on whether there </w:t>
      </w:r>
      <w:r w:rsidR="006309D2" w:rsidRPr="003A41B3">
        <w:rPr>
          <w:rFonts w:eastAsia="Times New Roman"/>
          <w:lang w:eastAsia="en-GB"/>
        </w:rPr>
        <w:t>are</w:t>
      </w:r>
      <w:r w:rsidR="00046E5F" w:rsidRPr="003A41B3">
        <w:rPr>
          <w:rFonts w:eastAsia="Times New Roman"/>
          <w:lang w:eastAsia="en-GB"/>
        </w:rPr>
        <w:t xml:space="preserve"> regulatory gain</w:t>
      </w:r>
      <w:r w:rsidR="006309D2" w:rsidRPr="003A41B3">
        <w:rPr>
          <w:rFonts w:eastAsia="Times New Roman"/>
          <w:lang w:eastAsia="en-GB"/>
        </w:rPr>
        <w:t>s for the CRA</w:t>
      </w:r>
      <w:r w:rsidR="00046E5F" w:rsidRPr="003A41B3">
        <w:rPr>
          <w:rFonts w:eastAsia="Times New Roman"/>
          <w:lang w:eastAsia="en-GB"/>
        </w:rPr>
        <w:t xml:space="preserve"> from collecting additional information. If the costs of acquiring additional information outweigh its benefits, CRAs might decide to inflate ratings instead (e.g., </w:t>
      </w:r>
      <w:r w:rsidR="006309D2" w:rsidRPr="003A41B3">
        <w:rPr>
          <w:rFonts w:eastAsia="Times New Roman"/>
          <w:lang w:eastAsia="en-GB"/>
        </w:rPr>
        <w:t>our findings on all CRAs’</w:t>
      </w:r>
      <w:r w:rsidR="00046E5F" w:rsidRPr="003A41B3">
        <w:rPr>
          <w:rFonts w:eastAsia="Times New Roman"/>
          <w:lang w:eastAsia="en-GB"/>
        </w:rPr>
        <w:t xml:space="preserve"> positive events). </w:t>
      </w:r>
      <w:r w:rsidR="00046E5F" w:rsidRPr="003A41B3">
        <w:t xml:space="preserve">They also argue </w:t>
      </w:r>
      <w:r w:rsidR="00674DA4" w:rsidRPr="003A41B3">
        <w:t>that when regulation promotes highly rated securities, the information content of rating</w:t>
      </w:r>
      <w:r w:rsidR="00C03D3D" w:rsidRPr="003A41B3">
        <w:t xml:space="preserve"> action</w:t>
      </w:r>
      <w:r w:rsidR="00674DA4" w:rsidRPr="003A41B3">
        <w:t xml:space="preserve">s (rating quality) may </w:t>
      </w:r>
      <w:r w:rsidR="006309D2" w:rsidRPr="003A41B3">
        <w:t>change</w:t>
      </w:r>
      <w:r w:rsidR="00674DA4" w:rsidRPr="003A41B3">
        <w:t xml:space="preserve"> depending on </w:t>
      </w:r>
      <w:r w:rsidR="00C03D3D" w:rsidRPr="003A41B3">
        <w:t>an</w:t>
      </w:r>
      <w:r w:rsidR="00674DA4" w:rsidRPr="003A41B3">
        <w:t xml:space="preserve"> endogenous threshold level of regulatory advantage. When the threshold has been crossed, the CRA no longer acquires information and enables regulatory arbitrage by inflating its ratings. Our results support the </w:t>
      </w:r>
      <w:r w:rsidR="00C03D3D" w:rsidRPr="003A41B3">
        <w:t xml:space="preserve">underlying </w:t>
      </w:r>
      <w:r w:rsidR="00674DA4" w:rsidRPr="003A41B3">
        <w:t xml:space="preserve">premise of this theory. On </w:t>
      </w:r>
      <w:r w:rsidR="009F2BE8" w:rsidRPr="003A41B3">
        <w:t xml:space="preserve">the </w:t>
      </w:r>
      <w:r w:rsidR="00674DA4" w:rsidRPr="003A41B3">
        <w:t xml:space="preserve">one hand, lower quality of upgrades by CRAs might suggest that the regulatory advantage of obtaining more information to issue such revisions is outweighed by the costs, and CRAs prefer to inflate the ratings instead. On the other hand, </w:t>
      </w:r>
      <w:r w:rsidR="00674DA4" w:rsidRPr="003A41B3">
        <w:rPr>
          <w:lang w:val="en-GB"/>
        </w:rPr>
        <w:t xml:space="preserve">since </w:t>
      </w:r>
      <w:r w:rsidR="00C03D3D" w:rsidRPr="003A41B3">
        <w:rPr>
          <w:lang w:val="en-GB"/>
        </w:rPr>
        <w:t>som</w:t>
      </w:r>
      <w:r w:rsidR="00674DA4" w:rsidRPr="003A41B3">
        <w:rPr>
          <w:lang w:val="en-GB"/>
        </w:rPr>
        <w:t>e negative events signal new and unanticipated information to the market and result in stronger market reactions, CRAs may be encouraged by the regulation to invest time and resources in ensuring the quality of rating downgrades.</w:t>
      </w:r>
    </w:p>
    <w:p w14:paraId="5D9600DD" w14:textId="0EEF6AE9" w:rsidR="00EE71D3" w:rsidRPr="003A41B3" w:rsidRDefault="003C1026" w:rsidP="00A468F3">
      <w:pPr>
        <w:tabs>
          <w:tab w:val="left" w:pos="284"/>
        </w:tabs>
        <w:spacing w:line="480" w:lineRule="auto"/>
        <w:jc w:val="both"/>
      </w:pPr>
      <w:r w:rsidRPr="003A41B3">
        <w:tab/>
      </w:r>
      <w:r w:rsidR="00046E5F" w:rsidRPr="003A41B3">
        <w:rPr>
          <w:rFonts w:eastAsia="Times New Roman"/>
          <w:lang w:eastAsia="en-GB"/>
        </w:rPr>
        <w:t xml:space="preserve">ESMA’s endorsement rules and </w:t>
      </w:r>
      <w:r w:rsidR="006309D2" w:rsidRPr="003A41B3">
        <w:rPr>
          <w:rFonts w:eastAsia="Times New Roman"/>
          <w:lang w:eastAsia="en-GB"/>
        </w:rPr>
        <w:t xml:space="preserve">the </w:t>
      </w:r>
      <w:r w:rsidR="00046E5F" w:rsidRPr="003A41B3">
        <w:rPr>
          <w:rFonts w:eastAsia="Times New Roman"/>
          <w:lang w:eastAsia="en-GB"/>
        </w:rPr>
        <w:t xml:space="preserve">introduction of identifiers are very specific </w:t>
      </w:r>
      <w:r w:rsidR="006309D2" w:rsidRPr="003A41B3">
        <w:rPr>
          <w:rFonts w:eastAsia="Times New Roman"/>
          <w:lang w:eastAsia="en-GB"/>
        </w:rPr>
        <w:t xml:space="preserve">regulatory initiatives </w:t>
      </w:r>
      <w:r w:rsidR="00046E5F" w:rsidRPr="003A41B3">
        <w:rPr>
          <w:rFonts w:eastAsia="Times New Roman"/>
          <w:lang w:eastAsia="en-GB"/>
        </w:rPr>
        <w:t xml:space="preserve">and cannot be directly compared to any regulations introduced in the US nor to any </w:t>
      </w:r>
      <w:r w:rsidR="006309D2" w:rsidRPr="003A41B3">
        <w:rPr>
          <w:rFonts w:eastAsia="Times New Roman"/>
          <w:lang w:eastAsia="en-GB"/>
        </w:rPr>
        <w:t xml:space="preserve">prior empirical </w:t>
      </w:r>
      <w:r w:rsidR="00046E5F" w:rsidRPr="003A41B3">
        <w:rPr>
          <w:rFonts w:eastAsia="Times New Roman"/>
          <w:lang w:eastAsia="en-GB"/>
        </w:rPr>
        <w:t xml:space="preserve">studies. </w:t>
      </w:r>
      <w:r w:rsidR="00EE71D3" w:rsidRPr="003A41B3">
        <w:t xml:space="preserve">Investigating the influence of </w:t>
      </w:r>
      <w:r w:rsidR="004D1F10" w:rsidRPr="003A41B3">
        <w:t xml:space="preserve">these </w:t>
      </w:r>
      <w:r w:rsidR="00EE71D3" w:rsidRPr="003A41B3">
        <w:t>endorsement rules on financial markets is of importance to policymakers, governments and market participants alike</w:t>
      </w:r>
      <w:r w:rsidR="004D1F10" w:rsidRPr="003A41B3">
        <w:t>.</w:t>
      </w:r>
      <w:r w:rsidR="00EE71D3" w:rsidRPr="003A41B3">
        <w:t xml:space="preserve"> </w:t>
      </w:r>
      <w:r w:rsidR="004D1F10" w:rsidRPr="003A41B3">
        <w:t>E</w:t>
      </w:r>
      <w:r w:rsidR="00EE71D3" w:rsidRPr="003A41B3">
        <w:t xml:space="preserve">ndorsement </w:t>
      </w:r>
      <w:r w:rsidR="006309D2" w:rsidRPr="003A41B3">
        <w:t xml:space="preserve">and </w:t>
      </w:r>
      <w:r w:rsidR="004D1F10" w:rsidRPr="003A41B3">
        <w:t>identifiers</w:t>
      </w:r>
      <w:r w:rsidR="00EE71D3" w:rsidRPr="003A41B3">
        <w:t xml:space="preserve"> could add credibility to CRAs</w:t>
      </w:r>
      <w:r w:rsidR="004D1F10" w:rsidRPr="003A41B3">
        <w:t>’ decisions, thereby</w:t>
      </w:r>
      <w:r w:rsidR="00EE71D3" w:rsidRPr="003A41B3">
        <w:t xml:space="preserve"> </w:t>
      </w:r>
      <w:r w:rsidR="00A366F2" w:rsidRPr="003A41B3">
        <w:t xml:space="preserve">increasing the influence of rating actions. This paper’s findings thereby make a unique contribution to the policy debate. </w:t>
      </w:r>
    </w:p>
    <w:p w14:paraId="49FE976F" w14:textId="54C3A84D" w:rsidR="00BF2106" w:rsidRPr="003A41B3" w:rsidRDefault="00BF2106" w:rsidP="00030638">
      <w:pPr>
        <w:pStyle w:val="Heading1"/>
        <w:spacing w:line="480" w:lineRule="auto"/>
        <w:rPr>
          <w:rFonts w:eastAsiaTheme="minorHAnsi" w:cs="Times New Roman"/>
          <w:b w:val="0"/>
          <w:bCs w:val="0"/>
          <w:color w:val="auto"/>
          <w:szCs w:val="24"/>
          <w:lang w:val="en-US"/>
        </w:rPr>
        <w:sectPr w:rsidR="00BF2106" w:rsidRPr="003A41B3" w:rsidSect="007A10A2">
          <w:footerReference w:type="default" r:id="rId8"/>
          <w:pgSz w:w="11906" w:h="16838" w:code="9"/>
          <w:pgMar w:top="1440" w:right="1440" w:bottom="1440" w:left="1440" w:header="709" w:footer="709" w:gutter="0"/>
          <w:pgNumType w:start="0"/>
          <w:cols w:space="708"/>
          <w:titlePg/>
          <w:docGrid w:linePitch="360"/>
        </w:sectPr>
      </w:pPr>
    </w:p>
    <w:p w14:paraId="755BD8B9" w14:textId="77777777" w:rsidR="00157669" w:rsidRPr="003A41B3" w:rsidRDefault="00157669">
      <w:pPr>
        <w:spacing w:after="160" w:line="259" w:lineRule="auto"/>
        <w:rPr>
          <w:rFonts w:eastAsiaTheme="majorEastAsia"/>
          <w:b/>
          <w:bCs/>
          <w:szCs w:val="28"/>
          <w:lang w:val="en-GB"/>
        </w:rPr>
      </w:pPr>
      <w:r w:rsidRPr="003A41B3">
        <w:br w:type="page"/>
      </w:r>
    </w:p>
    <w:p w14:paraId="79447022" w14:textId="6B985BE4" w:rsidR="00D53A2D" w:rsidRPr="003A41B3" w:rsidRDefault="00F308C1" w:rsidP="00D53A2D">
      <w:pPr>
        <w:pStyle w:val="Heading1"/>
        <w:spacing w:before="0" w:line="480" w:lineRule="auto"/>
        <w:rPr>
          <w:rFonts w:cs="Times New Roman"/>
          <w:color w:val="auto"/>
        </w:rPr>
      </w:pPr>
      <w:r w:rsidRPr="003A41B3">
        <w:rPr>
          <w:rFonts w:cs="Times New Roman"/>
          <w:color w:val="auto"/>
        </w:rPr>
        <w:lastRenderedPageBreak/>
        <w:t>R</w:t>
      </w:r>
      <w:r w:rsidR="0080071A" w:rsidRPr="003A41B3">
        <w:rPr>
          <w:rFonts w:cs="Times New Roman"/>
          <w:color w:val="auto"/>
        </w:rPr>
        <w:t>eferences</w:t>
      </w:r>
    </w:p>
    <w:p w14:paraId="5B3624FE" w14:textId="3A714611" w:rsidR="00D53A2D" w:rsidRPr="003A41B3" w:rsidRDefault="00D53A2D" w:rsidP="002C46D3">
      <w:pPr>
        <w:spacing w:line="336" w:lineRule="auto"/>
        <w:ind w:left="284" w:hanging="284"/>
        <w:jc w:val="both"/>
        <w:rPr>
          <w:szCs w:val="20"/>
        </w:rPr>
      </w:pPr>
      <w:r w:rsidRPr="003A41B3">
        <w:t xml:space="preserve">Abad, P., </w:t>
      </w:r>
      <w:proofErr w:type="spellStart"/>
      <w:r w:rsidRPr="003A41B3">
        <w:rPr>
          <w:rFonts w:eastAsia="Times New Roman"/>
          <w:lang w:val="en-GB" w:eastAsia="en-GB"/>
        </w:rPr>
        <w:t>Ferreras</w:t>
      </w:r>
      <w:proofErr w:type="spellEnd"/>
      <w:r w:rsidRPr="003A41B3">
        <w:rPr>
          <w:rFonts w:eastAsia="Times New Roman"/>
          <w:lang w:val="en-GB" w:eastAsia="en-GB"/>
        </w:rPr>
        <w:t xml:space="preserve">, R., Robles, M-D., 2019. </w:t>
      </w:r>
      <w:hyperlink r:id="rId9" w:history="1">
        <w:r w:rsidRPr="003A41B3">
          <w:rPr>
            <w:rStyle w:val="Hyperlink"/>
            <w:bCs/>
            <w:color w:val="auto"/>
            <w:u w:val="none"/>
          </w:rPr>
          <w:t>Informational role of rating revisions after reputational events and regulation reforms</w:t>
        </w:r>
      </w:hyperlink>
      <w:r w:rsidR="00E37830" w:rsidRPr="003A41B3">
        <w:rPr>
          <w:rStyle w:val="Hyperlink"/>
          <w:bCs/>
          <w:color w:val="auto"/>
          <w:u w:val="none"/>
        </w:rPr>
        <w:t>.</w:t>
      </w:r>
      <w:r w:rsidRPr="003A41B3">
        <w:rPr>
          <w:sz w:val="36"/>
          <w:szCs w:val="36"/>
          <w:lang w:val="en-GB"/>
        </w:rPr>
        <w:t xml:space="preserve"> </w:t>
      </w:r>
      <w:r w:rsidRPr="003A41B3">
        <w:rPr>
          <w:szCs w:val="20"/>
        </w:rPr>
        <w:t>International Review of Financial Analysis 62, 91-103.</w:t>
      </w:r>
    </w:p>
    <w:p w14:paraId="5253656A" w14:textId="493E5857" w:rsidR="00D53A2D" w:rsidRPr="003A41B3" w:rsidRDefault="00D53A2D" w:rsidP="002C46D3">
      <w:pPr>
        <w:spacing w:line="336" w:lineRule="auto"/>
        <w:ind w:left="284" w:hanging="284"/>
        <w:jc w:val="both"/>
      </w:pPr>
      <w:r w:rsidRPr="003A41B3">
        <w:t xml:space="preserve">Acharya, V., Almeida, H., </w:t>
      </w:r>
      <w:proofErr w:type="spellStart"/>
      <w:r w:rsidRPr="003A41B3">
        <w:t>Campello</w:t>
      </w:r>
      <w:proofErr w:type="spellEnd"/>
      <w:r w:rsidRPr="003A41B3">
        <w:t>, M., 2013. Aggregate risk and the choice between cash and lines of credit.</w:t>
      </w:r>
      <w:r w:rsidRPr="003A41B3">
        <w:rPr>
          <w:b/>
        </w:rPr>
        <w:t xml:space="preserve"> </w:t>
      </w:r>
      <w:r w:rsidRPr="003A41B3">
        <w:t>Journal of Finance 68, 2059-2116.</w:t>
      </w:r>
    </w:p>
    <w:p w14:paraId="01782976" w14:textId="77777777" w:rsidR="00D53A2D" w:rsidRPr="003A41B3" w:rsidRDefault="00D53A2D" w:rsidP="002C46D3">
      <w:pPr>
        <w:spacing w:line="336" w:lineRule="auto"/>
        <w:ind w:left="284" w:hanging="284"/>
        <w:jc w:val="both"/>
        <w:rPr>
          <w:szCs w:val="20"/>
        </w:rPr>
      </w:pPr>
      <w:r w:rsidRPr="003A41B3">
        <w:rPr>
          <w:szCs w:val="20"/>
        </w:rPr>
        <w:t xml:space="preserve">Afonso, A., </w:t>
      </w:r>
      <w:proofErr w:type="spellStart"/>
      <w:r w:rsidRPr="003A41B3">
        <w:rPr>
          <w:szCs w:val="20"/>
        </w:rPr>
        <w:t>Furceri</w:t>
      </w:r>
      <w:proofErr w:type="spellEnd"/>
      <w:r w:rsidRPr="003A41B3">
        <w:rPr>
          <w:szCs w:val="20"/>
        </w:rPr>
        <w:t xml:space="preserve">, D., Gomes, P., 2012. Sovereign credit ratings and financial markets linkages: Application to European data. Journal of International Money and Finance 31, 606-638. </w:t>
      </w:r>
    </w:p>
    <w:p w14:paraId="497BFDC1" w14:textId="1D31AB75" w:rsidR="00DB36EC" w:rsidRPr="003A41B3" w:rsidRDefault="00E37830" w:rsidP="002C46D3">
      <w:pPr>
        <w:spacing w:line="336" w:lineRule="auto"/>
        <w:ind w:left="284" w:hanging="284"/>
        <w:jc w:val="both"/>
        <w:rPr>
          <w:szCs w:val="20"/>
        </w:rPr>
      </w:pPr>
      <w:r w:rsidRPr="003A41B3">
        <w:rPr>
          <w:szCs w:val="20"/>
        </w:rPr>
        <w:t xml:space="preserve">Almeida, H., </w:t>
      </w:r>
      <w:r w:rsidR="0055183A" w:rsidRPr="003A41B3">
        <w:rPr>
          <w:szCs w:val="20"/>
        </w:rPr>
        <w:t>Ferreira</w:t>
      </w:r>
      <w:r w:rsidR="00460A4B" w:rsidRPr="003A41B3">
        <w:rPr>
          <w:szCs w:val="20"/>
        </w:rPr>
        <w:t>,</w:t>
      </w:r>
      <w:r w:rsidR="0055183A" w:rsidRPr="003A41B3">
        <w:rPr>
          <w:szCs w:val="20"/>
        </w:rPr>
        <w:t xml:space="preserve"> M</w:t>
      </w:r>
      <w:r w:rsidR="00460A4B" w:rsidRPr="003A41B3">
        <w:rPr>
          <w:szCs w:val="20"/>
        </w:rPr>
        <w:t>.</w:t>
      </w:r>
      <w:r w:rsidR="0055183A" w:rsidRPr="003A41B3">
        <w:rPr>
          <w:szCs w:val="20"/>
        </w:rPr>
        <w:t>A</w:t>
      </w:r>
      <w:r w:rsidR="00460A4B" w:rsidRPr="003A41B3">
        <w:rPr>
          <w:szCs w:val="20"/>
        </w:rPr>
        <w:t>.</w:t>
      </w:r>
      <w:r w:rsidR="0055183A" w:rsidRPr="003A41B3">
        <w:rPr>
          <w:szCs w:val="20"/>
        </w:rPr>
        <w:t>, Restrepo</w:t>
      </w:r>
      <w:r w:rsidR="00460A4B" w:rsidRPr="003A41B3">
        <w:rPr>
          <w:szCs w:val="20"/>
        </w:rPr>
        <w:t>,</w:t>
      </w:r>
      <w:r w:rsidR="0055183A" w:rsidRPr="003A41B3">
        <w:rPr>
          <w:szCs w:val="20"/>
        </w:rPr>
        <w:t xml:space="preserve"> F</w:t>
      </w:r>
      <w:r w:rsidR="00460A4B" w:rsidRPr="003A41B3">
        <w:rPr>
          <w:szCs w:val="20"/>
        </w:rPr>
        <w:t>.,</w:t>
      </w:r>
      <w:r w:rsidR="00DB36EC" w:rsidRPr="003A41B3">
        <w:rPr>
          <w:szCs w:val="20"/>
        </w:rPr>
        <w:t xml:space="preserve"> </w:t>
      </w:r>
      <w:r w:rsidR="00460A4B" w:rsidRPr="003A41B3">
        <w:rPr>
          <w:szCs w:val="20"/>
        </w:rPr>
        <w:t>2017</w:t>
      </w:r>
      <w:r w:rsidR="00C067B3" w:rsidRPr="003A41B3">
        <w:rPr>
          <w:szCs w:val="20"/>
        </w:rPr>
        <w:t>.</w:t>
      </w:r>
      <w:r w:rsidR="0055183A" w:rsidRPr="003A41B3">
        <w:rPr>
          <w:szCs w:val="20"/>
        </w:rPr>
        <w:t xml:space="preserve"> </w:t>
      </w:r>
      <w:r w:rsidR="00DB36EC" w:rsidRPr="003A41B3">
        <w:rPr>
          <w:szCs w:val="20"/>
        </w:rPr>
        <w:t xml:space="preserve">The real effects of credit ratings: </w:t>
      </w:r>
      <w:r w:rsidR="00C067B3" w:rsidRPr="003A41B3">
        <w:rPr>
          <w:szCs w:val="20"/>
        </w:rPr>
        <w:t>t</w:t>
      </w:r>
      <w:r w:rsidR="00DB36EC" w:rsidRPr="003A41B3">
        <w:rPr>
          <w:szCs w:val="20"/>
        </w:rPr>
        <w:t xml:space="preserve">he sovereign ceiling </w:t>
      </w:r>
      <w:r w:rsidR="0055183A" w:rsidRPr="003A41B3">
        <w:rPr>
          <w:szCs w:val="20"/>
        </w:rPr>
        <w:t>channel.</w:t>
      </w:r>
      <w:r w:rsidR="00DB36EC" w:rsidRPr="003A41B3">
        <w:rPr>
          <w:szCs w:val="20"/>
        </w:rPr>
        <w:t xml:space="preserve"> Journal of Finance</w:t>
      </w:r>
      <w:r w:rsidR="00733317" w:rsidRPr="003A41B3">
        <w:rPr>
          <w:szCs w:val="20"/>
        </w:rPr>
        <w:t xml:space="preserve"> </w:t>
      </w:r>
      <w:r w:rsidR="00C067B3" w:rsidRPr="003A41B3">
        <w:rPr>
          <w:szCs w:val="20"/>
        </w:rPr>
        <w:t xml:space="preserve">72, </w:t>
      </w:r>
      <w:r w:rsidR="00DB36EC" w:rsidRPr="003A41B3">
        <w:rPr>
          <w:szCs w:val="20"/>
        </w:rPr>
        <w:t>249-290.</w:t>
      </w:r>
    </w:p>
    <w:p w14:paraId="5A9863A8" w14:textId="0F220667" w:rsidR="009B66FD" w:rsidRPr="003A41B3" w:rsidRDefault="009B66FD" w:rsidP="002C46D3">
      <w:pPr>
        <w:spacing w:line="336" w:lineRule="auto"/>
        <w:ind w:left="284" w:hanging="284"/>
        <w:jc w:val="both"/>
        <w:rPr>
          <w:szCs w:val="20"/>
        </w:rPr>
      </w:pPr>
      <w:proofErr w:type="spellStart"/>
      <w:r w:rsidRPr="003A41B3">
        <w:rPr>
          <w:szCs w:val="20"/>
        </w:rPr>
        <w:t>Amstad</w:t>
      </w:r>
      <w:proofErr w:type="spellEnd"/>
      <w:r w:rsidRPr="003A41B3">
        <w:rPr>
          <w:szCs w:val="20"/>
        </w:rPr>
        <w:t>, M., Packer, F., 2015. Sovereign ratings of advanced and emerging economies after the crisis. BIS Quarterly Review, December 2015.</w:t>
      </w:r>
    </w:p>
    <w:p w14:paraId="57BDBCC6" w14:textId="210F73FA" w:rsidR="005816E5" w:rsidRPr="003A41B3" w:rsidRDefault="005816E5" w:rsidP="002C46D3">
      <w:pPr>
        <w:spacing w:line="336" w:lineRule="auto"/>
        <w:ind w:left="284" w:hanging="284"/>
        <w:jc w:val="both"/>
        <w:rPr>
          <w:szCs w:val="20"/>
        </w:rPr>
      </w:pPr>
      <w:proofErr w:type="spellStart"/>
      <w:r w:rsidRPr="003A41B3">
        <w:rPr>
          <w:szCs w:val="20"/>
        </w:rPr>
        <w:t>Arezki</w:t>
      </w:r>
      <w:proofErr w:type="spellEnd"/>
      <w:r w:rsidRPr="003A41B3">
        <w:rPr>
          <w:szCs w:val="20"/>
        </w:rPr>
        <w:t xml:space="preserve">, R., </w:t>
      </w:r>
      <w:proofErr w:type="spellStart"/>
      <w:r w:rsidRPr="003A41B3">
        <w:rPr>
          <w:szCs w:val="20"/>
        </w:rPr>
        <w:t>Candelon</w:t>
      </w:r>
      <w:proofErr w:type="spellEnd"/>
      <w:r w:rsidRPr="003A41B3">
        <w:rPr>
          <w:szCs w:val="20"/>
        </w:rPr>
        <w:t xml:space="preserve">, B., Sy, A., 2011. Sovereign rating news and financial markets spillovers: Evidence from the European debt crisis. International Monetary Fund (IMF), Working Paper No. 11/68, pp. 1-27. </w:t>
      </w:r>
    </w:p>
    <w:p w14:paraId="21E60792" w14:textId="77777777" w:rsidR="002C46D3" w:rsidRPr="003A41B3" w:rsidRDefault="0055183A" w:rsidP="002C46D3">
      <w:pPr>
        <w:spacing w:line="336" w:lineRule="auto"/>
        <w:ind w:left="284" w:hanging="284"/>
        <w:jc w:val="both"/>
        <w:rPr>
          <w:szCs w:val="20"/>
        </w:rPr>
      </w:pPr>
      <w:r w:rsidRPr="003A41B3">
        <w:rPr>
          <w:szCs w:val="20"/>
        </w:rPr>
        <w:t>Bae</w:t>
      </w:r>
      <w:r w:rsidR="00C067B3" w:rsidRPr="003A41B3">
        <w:rPr>
          <w:szCs w:val="20"/>
        </w:rPr>
        <w:t>,</w:t>
      </w:r>
      <w:r w:rsidRPr="003A41B3">
        <w:rPr>
          <w:szCs w:val="20"/>
        </w:rPr>
        <w:t xml:space="preserve"> K</w:t>
      </w:r>
      <w:r w:rsidR="00C067B3" w:rsidRPr="003A41B3">
        <w:rPr>
          <w:szCs w:val="20"/>
        </w:rPr>
        <w:t>.</w:t>
      </w:r>
      <w:r w:rsidRPr="003A41B3">
        <w:rPr>
          <w:szCs w:val="20"/>
        </w:rPr>
        <w:t>H</w:t>
      </w:r>
      <w:r w:rsidR="00C067B3" w:rsidRPr="003A41B3">
        <w:rPr>
          <w:szCs w:val="20"/>
        </w:rPr>
        <w:t>.</w:t>
      </w:r>
      <w:r w:rsidRPr="003A41B3">
        <w:rPr>
          <w:szCs w:val="20"/>
        </w:rPr>
        <w:t>, Kang</w:t>
      </w:r>
      <w:r w:rsidR="00C067B3" w:rsidRPr="003A41B3">
        <w:rPr>
          <w:szCs w:val="20"/>
        </w:rPr>
        <w:t>,</w:t>
      </w:r>
      <w:r w:rsidRPr="003A41B3">
        <w:rPr>
          <w:szCs w:val="20"/>
        </w:rPr>
        <w:t xml:space="preserve"> J</w:t>
      </w:r>
      <w:r w:rsidR="00C067B3" w:rsidRPr="003A41B3">
        <w:rPr>
          <w:szCs w:val="20"/>
        </w:rPr>
        <w:t>.</w:t>
      </w:r>
      <w:r w:rsidRPr="003A41B3">
        <w:rPr>
          <w:szCs w:val="20"/>
        </w:rPr>
        <w:t>K</w:t>
      </w:r>
      <w:r w:rsidR="00C067B3" w:rsidRPr="003A41B3">
        <w:rPr>
          <w:szCs w:val="20"/>
        </w:rPr>
        <w:t>.</w:t>
      </w:r>
      <w:r w:rsidRPr="003A41B3">
        <w:rPr>
          <w:szCs w:val="20"/>
        </w:rPr>
        <w:t>, Wang</w:t>
      </w:r>
      <w:r w:rsidR="00C067B3" w:rsidRPr="003A41B3">
        <w:rPr>
          <w:szCs w:val="20"/>
        </w:rPr>
        <w:t>,</w:t>
      </w:r>
      <w:r w:rsidRPr="003A41B3">
        <w:rPr>
          <w:szCs w:val="20"/>
        </w:rPr>
        <w:t xml:space="preserve"> J</w:t>
      </w:r>
      <w:r w:rsidR="00C067B3" w:rsidRPr="003A41B3">
        <w:rPr>
          <w:szCs w:val="20"/>
        </w:rPr>
        <w:t>.,</w:t>
      </w:r>
      <w:r w:rsidR="00DB36EC" w:rsidRPr="003A41B3">
        <w:rPr>
          <w:szCs w:val="20"/>
        </w:rPr>
        <w:t xml:space="preserve"> </w:t>
      </w:r>
      <w:r w:rsidR="00C067B3" w:rsidRPr="003A41B3">
        <w:rPr>
          <w:szCs w:val="20"/>
        </w:rPr>
        <w:t>2015.</w:t>
      </w:r>
      <w:r w:rsidRPr="003A41B3">
        <w:rPr>
          <w:szCs w:val="20"/>
        </w:rPr>
        <w:t xml:space="preserve"> </w:t>
      </w:r>
      <w:r w:rsidR="00DB36EC" w:rsidRPr="003A41B3">
        <w:rPr>
          <w:szCs w:val="20"/>
        </w:rPr>
        <w:t>Does increased competition affect credit ratings? A re-examination of the effect of Fitch’s market share on credit rating</w:t>
      </w:r>
      <w:r w:rsidRPr="003A41B3">
        <w:rPr>
          <w:szCs w:val="20"/>
        </w:rPr>
        <w:t>s in the corporate bond market.</w:t>
      </w:r>
      <w:r w:rsidR="00DB36EC" w:rsidRPr="003A41B3">
        <w:rPr>
          <w:szCs w:val="20"/>
        </w:rPr>
        <w:t xml:space="preserve"> Journal of Financial </w:t>
      </w:r>
      <w:r w:rsidR="00A366F2" w:rsidRPr="003A41B3">
        <w:rPr>
          <w:szCs w:val="20"/>
        </w:rPr>
        <w:t xml:space="preserve">and </w:t>
      </w:r>
      <w:r w:rsidR="00DB36EC" w:rsidRPr="003A41B3">
        <w:rPr>
          <w:szCs w:val="20"/>
        </w:rPr>
        <w:t>Quantitative Analysis</w:t>
      </w:r>
      <w:r w:rsidR="00C067B3" w:rsidRPr="003A41B3">
        <w:rPr>
          <w:szCs w:val="20"/>
        </w:rPr>
        <w:t xml:space="preserve"> 50, </w:t>
      </w:r>
      <w:r w:rsidR="00DB36EC" w:rsidRPr="003A41B3">
        <w:rPr>
          <w:szCs w:val="20"/>
        </w:rPr>
        <w:t>1011-1035.</w:t>
      </w:r>
    </w:p>
    <w:p w14:paraId="7A138CB0" w14:textId="6AC3F031" w:rsidR="002C46D3" w:rsidRPr="003A41B3" w:rsidRDefault="002C46D3" w:rsidP="002C46D3">
      <w:pPr>
        <w:spacing w:line="336" w:lineRule="auto"/>
        <w:ind w:left="284" w:hanging="284"/>
        <w:jc w:val="both"/>
        <w:rPr>
          <w:szCs w:val="20"/>
        </w:rPr>
      </w:pPr>
      <w:proofErr w:type="spellStart"/>
      <w:r w:rsidRPr="003A41B3">
        <w:rPr>
          <w:rFonts w:eastAsia="Times New Roman"/>
          <w:lang w:eastAsia="en-GB"/>
        </w:rPr>
        <w:t>Baghai</w:t>
      </w:r>
      <w:proofErr w:type="spellEnd"/>
      <w:r w:rsidRPr="003A41B3">
        <w:rPr>
          <w:rFonts w:eastAsia="Times New Roman"/>
          <w:lang w:eastAsia="en-GB"/>
        </w:rPr>
        <w:t xml:space="preserve">, R. P., </w:t>
      </w:r>
      <w:proofErr w:type="spellStart"/>
      <w:r w:rsidRPr="003A41B3">
        <w:rPr>
          <w:rFonts w:eastAsia="Times New Roman"/>
          <w:lang w:eastAsia="en-GB"/>
        </w:rPr>
        <w:t>Servaes</w:t>
      </w:r>
      <w:proofErr w:type="spellEnd"/>
      <w:r w:rsidRPr="003A41B3">
        <w:rPr>
          <w:rFonts w:eastAsia="Times New Roman"/>
          <w:lang w:eastAsia="en-GB"/>
        </w:rPr>
        <w:t>, H., Tamayo, A., 2014. Have rating agencies become more conservative? Implications for capital structure and debt pricing. Journal of Finance 69, 1961–2005.</w:t>
      </w:r>
    </w:p>
    <w:p w14:paraId="7505646F" w14:textId="77777777" w:rsidR="00BB2224" w:rsidRPr="003A41B3" w:rsidRDefault="00BB2224" w:rsidP="00BB2224">
      <w:pPr>
        <w:spacing w:line="336" w:lineRule="auto"/>
        <w:ind w:left="284" w:hanging="284"/>
        <w:jc w:val="both"/>
        <w:rPr>
          <w:szCs w:val="20"/>
        </w:rPr>
      </w:pPr>
      <w:r w:rsidRPr="003A41B3">
        <w:rPr>
          <w:szCs w:val="20"/>
        </w:rPr>
        <w:t xml:space="preserve">Bank for International Settlements (BIS) 2017. Basel III: </w:t>
      </w:r>
      <w:proofErr w:type="spellStart"/>
      <w:r w:rsidRPr="003A41B3">
        <w:rPr>
          <w:szCs w:val="20"/>
        </w:rPr>
        <w:t>Finalising</w:t>
      </w:r>
      <w:proofErr w:type="spellEnd"/>
      <w:r w:rsidRPr="003A41B3">
        <w:rPr>
          <w:szCs w:val="20"/>
        </w:rPr>
        <w:t xml:space="preserve"> post-crisis reforms. December 2017.</w:t>
      </w:r>
    </w:p>
    <w:p w14:paraId="6AEAFBC5" w14:textId="77777777" w:rsidR="00BB2224" w:rsidRPr="003A41B3" w:rsidRDefault="00BB2224" w:rsidP="00BB2224">
      <w:pPr>
        <w:spacing w:line="336" w:lineRule="auto"/>
        <w:ind w:left="284" w:hanging="284"/>
        <w:jc w:val="both"/>
        <w:rPr>
          <w:szCs w:val="20"/>
        </w:rPr>
      </w:pPr>
      <w:r w:rsidRPr="003A41B3">
        <w:rPr>
          <w:szCs w:val="20"/>
        </w:rPr>
        <w:t xml:space="preserve">Bank for International Settlements (BIS) 2014. Revisions to the </w:t>
      </w:r>
      <w:proofErr w:type="spellStart"/>
      <w:r w:rsidRPr="003A41B3">
        <w:rPr>
          <w:szCs w:val="20"/>
        </w:rPr>
        <w:t>Standardised</w:t>
      </w:r>
      <w:proofErr w:type="spellEnd"/>
      <w:r w:rsidRPr="003A41B3">
        <w:rPr>
          <w:szCs w:val="20"/>
        </w:rPr>
        <w:t xml:space="preserve"> Approach for credit risk. Basel Committee on Banking Supervision (BCBS) Consultative Document. December 2014.</w:t>
      </w:r>
    </w:p>
    <w:p w14:paraId="3DF12246" w14:textId="3146020C" w:rsidR="002C46D3" w:rsidRPr="003A41B3" w:rsidRDefault="002C46D3" w:rsidP="002C46D3">
      <w:pPr>
        <w:spacing w:line="336" w:lineRule="auto"/>
        <w:ind w:left="284" w:hanging="284"/>
        <w:jc w:val="both"/>
        <w:rPr>
          <w:szCs w:val="20"/>
        </w:rPr>
      </w:pPr>
      <w:proofErr w:type="spellStart"/>
      <w:r w:rsidRPr="003A41B3">
        <w:rPr>
          <w:rFonts w:eastAsia="Times New Roman"/>
          <w:lang w:eastAsia="en-GB"/>
        </w:rPr>
        <w:t>Bannier</w:t>
      </w:r>
      <w:proofErr w:type="spellEnd"/>
      <w:r w:rsidRPr="003A41B3">
        <w:rPr>
          <w:rFonts w:eastAsia="Times New Roman"/>
          <w:lang w:eastAsia="en-GB"/>
        </w:rPr>
        <w:t xml:space="preserve">, C., Behr. P., </w:t>
      </w:r>
      <w:proofErr w:type="spellStart"/>
      <w:r w:rsidRPr="003A41B3">
        <w:rPr>
          <w:rFonts w:eastAsia="Times New Roman"/>
          <w:lang w:eastAsia="en-GB"/>
        </w:rPr>
        <w:t>Güttler</w:t>
      </w:r>
      <w:proofErr w:type="spellEnd"/>
      <w:r w:rsidRPr="003A41B3">
        <w:rPr>
          <w:rFonts w:eastAsia="Times New Roman"/>
          <w:lang w:eastAsia="en-GB"/>
        </w:rPr>
        <w:t>, A., 2010. Rating opaque borrowers: Why are unsolicited ratings lower? Review of Finance 2, 263-294.</w:t>
      </w:r>
    </w:p>
    <w:p w14:paraId="15B4351B" w14:textId="44B8896B" w:rsidR="00330B58" w:rsidRPr="003A41B3" w:rsidRDefault="00330B58" w:rsidP="002C46D3">
      <w:pPr>
        <w:spacing w:line="336" w:lineRule="auto"/>
        <w:ind w:left="284" w:hanging="284"/>
        <w:jc w:val="both"/>
        <w:rPr>
          <w:szCs w:val="20"/>
        </w:rPr>
      </w:pPr>
      <w:r w:rsidRPr="003A41B3">
        <w:rPr>
          <w:szCs w:val="20"/>
        </w:rPr>
        <w:t xml:space="preserve">Baum, C.F., Schafer, D., Stephan, A., 2016. </w:t>
      </w:r>
      <w:r w:rsidRPr="003A41B3">
        <w:t xml:space="preserve">Credit rating agency downgrades and the Eurozone sovereign debt crises. </w:t>
      </w:r>
      <w:r w:rsidRPr="003A41B3">
        <w:rPr>
          <w:szCs w:val="20"/>
        </w:rPr>
        <w:t>Journal of Financial Stability 24, 117-131.</w:t>
      </w:r>
    </w:p>
    <w:p w14:paraId="2DDB0000" w14:textId="0C5E4745" w:rsidR="00DB36EC" w:rsidRPr="003A41B3" w:rsidRDefault="0055183A" w:rsidP="002C46D3">
      <w:pPr>
        <w:spacing w:line="336" w:lineRule="auto"/>
        <w:ind w:left="284" w:hanging="284"/>
        <w:jc w:val="both"/>
        <w:rPr>
          <w:szCs w:val="20"/>
        </w:rPr>
      </w:pPr>
      <w:r w:rsidRPr="003A41B3">
        <w:rPr>
          <w:szCs w:val="20"/>
        </w:rPr>
        <w:t>Becker</w:t>
      </w:r>
      <w:r w:rsidR="00C067B3" w:rsidRPr="003A41B3">
        <w:rPr>
          <w:szCs w:val="20"/>
        </w:rPr>
        <w:t>,</w:t>
      </w:r>
      <w:r w:rsidRPr="003A41B3">
        <w:rPr>
          <w:szCs w:val="20"/>
        </w:rPr>
        <w:t xml:space="preserve"> B</w:t>
      </w:r>
      <w:r w:rsidR="00C067B3" w:rsidRPr="003A41B3">
        <w:rPr>
          <w:szCs w:val="20"/>
        </w:rPr>
        <w:t>.</w:t>
      </w:r>
      <w:r w:rsidRPr="003A41B3">
        <w:rPr>
          <w:szCs w:val="20"/>
        </w:rPr>
        <w:t>, Milbourn</w:t>
      </w:r>
      <w:r w:rsidR="00C067B3" w:rsidRPr="003A41B3">
        <w:rPr>
          <w:szCs w:val="20"/>
        </w:rPr>
        <w:t>,</w:t>
      </w:r>
      <w:r w:rsidRPr="003A41B3">
        <w:rPr>
          <w:szCs w:val="20"/>
        </w:rPr>
        <w:t xml:space="preserve"> T</w:t>
      </w:r>
      <w:r w:rsidR="00C067B3" w:rsidRPr="003A41B3">
        <w:rPr>
          <w:szCs w:val="20"/>
        </w:rPr>
        <w:t>.,</w:t>
      </w:r>
      <w:r w:rsidR="00DB36EC" w:rsidRPr="003A41B3">
        <w:rPr>
          <w:szCs w:val="20"/>
        </w:rPr>
        <w:t xml:space="preserve"> </w:t>
      </w:r>
      <w:r w:rsidR="00C067B3" w:rsidRPr="003A41B3">
        <w:rPr>
          <w:szCs w:val="20"/>
        </w:rPr>
        <w:t>2011.</w:t>
      </w:r>
      <w:r w:rsidRPr="003A41B3">
        <w:rPr>
          <w:szCs w:val="20"/>
        </w:rPr>
        <w:t xml:space="preserve"> </w:t>
      </w:r>
      <w:r w:rsidR="00DB36EC" w:rsidRPr="003A41B3">
        <w:rPr>
          <w:szCs w:val="20"/>
        </w:rPr>
        <w:t>How did increased co</w:t>
      </w:r>
      <w:r w:rsidRPr="003A41B3">
        <w:rPr>
          <w:szCs w:val="20"/>
        </w:rPr>
        <w:t>mpetition affect credit ratings</w:t>
      </w:r>
      <w:r w:rsidR="00DB36EC" w:rsidRPr="003A41B3">
        <w:rPr>
          <w:szCs w:val="20"/>
        </w:rPr>
        <w:t xml:space="preserve">? </w:t>
      </w:r>
      <w:r w:rsidR="00C067B3" w:rsidRPr="003A41B3">
        <w:rPr>
          <w:szCs w:val="20"/>
        </w:rPr>
        <w:t xml:space="preserve">Journal of Financial Economics 101, </w:t>
      </w:r>
      <w:r w:rsidR="00DB36EC" w:rsidRPr="003A41B3">
        <w:rPr>
          <w:szCs w:val="20"/>
        </w:rPr>
        <w:t>493–514.</w:t>
      </w:r>
    </w:p>
    <w:p w14:paraId="17E0E19C" w14:textId="71180AEA" w:rsidR="00E84F6F" w:rsidRPr="003A41B3" w:rsidRDefault="00E84F6F" w:rsidP="002C46D3">
      <w:pPr>
        <w:spacing w:line="336" w:lineRule="auto"/>
        <w:ind w:left="284" w:hanging="284"/>
        <w:jc w:val="both"/>
        <w:rPr>
          <w:szCs w:val="20"/>
        </w:rPr>
      </w:pPr>
      <w:proofErr w:type="spellStart"/>
      <w:r w:rsidRPr="003A41B3">
        <w:rPr>
          <w:szCs w:val="20"/>
        </w:rPr>
        <w:t>Bedendo</w:t>
      </w:r>
      <w:proofErr w:type="spellEnd"/>
      <w:r w:rsidR="00B05F46" w:rsidRPr="003A41B3">
        <w:rPr>
          <w:szCs w:val="20"/>
        </w:rPr>
        <w:t xml:space="preserve">, M., </w:t>
      </w:r>
      <w:proofErr w:type="spellStart"/>
      <w:r w:rsidR="00B05F46" w:rsidRPr="003A41B3">
        <w:rPr>
          <w:szCs w:val="20"/>
        </w:rPr>
        <w:t>Cathcart</w:t>
      </w:r>
      <w:proofErr w:type="spellEnd"/>
      <w:r w:rsidR="00B05F46" w:rsidRPr="003A41B3">
        <w:rPr>
          <w:szCs w:val="20"/>
        </w:rPr>
        <w:t>, L., El-</w:t>
      </w:r>
      <w:proofErr w:type="spellStart"/>
      <w:r w:rsidR="00B05F46" w:rsidRPr="003A41B3">
        <w:rPr>
          <w:szCs w:val="20"/>
        </w:rPr>
        <w:t>Jahel</w:t>
      </w:r>
      <w:proofErr w:type="spellEnd"/>
      <w:r w:rsidR="00B05F46" w:rsidRPr="003A41B3">
        <w:rPr>
          <w:szCs w:val="20"/>
        </w:rPr>
        <w:t>. L., 2018. Reputational shocks and the information content of credit ratings.</w:t>
      </w:r>
      <w:r w:rsidR="00B05F46" w:rsidRPr="003A41B3">
        <w:t xml:space="preserve"> </w:t>
      </w:r>
      <w:r w:rsidR="00B05F46" w:rsidRPr="003A41B3">
        <w:rPr>
          <w:szCs w:val="20"/>
        </w:rPr>
        <w:t>Journal of Financial Stability 34, 44-60.</w:t>
      </w:r>
    </w:p>
    <w:p w14:paraId="459BD1E6" w14:textId="306973CB" w:rsidR="00DB36EC" w:rsidRPr="003A41B3" w:rsidRDefault="00AC1254" w:rsidP="002C46D3">
      <w:pPr>
        <w:spacing w:line="336" w:lineRule="auto"/>
        <w:ind w:left="284" w:hanging="284"/>
        <w:jc w:val="both"/>
        <w:rPr>
          <w:szCs w:val="20"/>
        </w:rPr>
      </w:pPr>
      <w:r w:rsidRPr="003A41B3">
        <w:rPr>
          <w:szCs w:val="20"/>
        </w:rPr>
        <w:lastRenderedPageBreak/>
        <w:t>Behr</w:t>
      </w:r>
      <w:r w:rsidR="00C067B3" w:rsidRPr="003A41B3">
        <w:rPr>
          <w:szCs w:val="20"/>
        </w:rPr>
        <w:t>,</w:t>
      </w:r>
      <w:r w:rsidRPr="003A41B3">
        <w:rPr>
          <w:szCs w:val="20"/>
        </w:rPr>
        <w:t xml:space="preserve"> P</w:t>
      </w:r>
      <w:r w:rsidR="00C067B3" w:rsidRPr="003A41B3">
        <w:rPr>
          <w:szCs w:val="20"/>
        </w:rPr>
        <w:t>.</w:t>
      </w:r>
      <w:r w:rsidR="00DB36EC" w:rsidRPr="003A41B3">
        <w:rPr>
          <w:szCs w:val="20"/>
        </w:rPr>
        <w:t xml:space="preserve">, </w:t>
      </w:r>
      <w:proofErr w:type="spellStart"/>
      <w:r w:rsidR="00DB36EC" w:rsidRPr="003A41B3">
        <w:rPr>
          <w:szCs w:val="20"/>
        </w:rPr>
        <w:t>Ki</w:t>
      </w:r>
      <w:r w:rsidRPr="003A41B3">
        <w:rPr>
          <w:szCs w:val="20"/>
        </w:rPr>
        <w:t>sgen</w:t>
      </w:r>
      <w:proofErr w:type="spellEnd"/>
      <w:r w:rsidR="00C067B3" w:rsidRPr="003A41B3">
        <w:rPr>
          <w:szCs w:val="20"/>
        </w:rPr>
        <w:t>,</w:t>
      </w:r>
      <w:r w:rsidRPr="003A41B3">
        <w:rPr>
          <w:szCs w:val="20"/>
        </w:rPr>
        <w:t xml:space="preserve"> D</w:t>
      </w:r>
      <w:r w:rsidR="00C067B3" w:rsidRPr="003A41B3">
        <w:rPr>
          <w:szCs w:val="20"/>
        </w:rPr>
        <w:t>.</w:t>
      </w:r>
      <w:r w:rsidRPr="003A41B3">
        <w:rPr>
          <w:szCs w:val="20"/>
        </w:rPr>
        <w:t xml:space="preserve">, </w:t>
      </w:r>
      <w:proofErr w:type="spellStart"/>
      <w:r w:rsidRPr="003A41B3">
        <w:rPr>
          <w:szCs w:val="20"/>
        </w:rPr>
        <w:t>Taillard</w:t>
      </w:r>
      <w:proofErr w:type="spellEnd"/>
      <w:r w:rsidR="00C067B3" w:rsidRPr="003A41B3">
        <w:rPr>
          <w:szCs w:val="20"/>
        </w:rPr>
        <w:t>,</w:t>
      </w:r>
      <w:r w:rsidRPr="003A41B3">
        <w:rPr>
          <w:szCs w:val="20"/>
        </w:rPr>
        <w:t xml:space="preserve"> J</w:t>
      </w:r>
      <w:r w:rsidR="00C067B3" w:rsidRPr="003A41B3">
        <w:rPr>
          <w:szCs w:val="20"/>
        </w:rPr>
        <w:t xml:space="preserve">., </w:t>
      </w:r>
      <w:r w:rsidR="0007655F" w:rsidRPr="003A41B3">
        <w:rPr>
          <w:szCs w:val="20"/>
        </w:rPr>
        <w:t>2018</w:t>
      </w:r>
      <w:r w:rsidR="00C067B3" w:rsidRPr="003A41B3">
        <w:rPr>
          <w:szCs w:val="20"/>
        </w:rPr>
        <w:t>.</w:t>
      </w:r>
      <w:r w:rsidRPr="003A41B3">
        <w:rPr>
          <w:szCs w:val="20"/>
        </w:rPr>
        <w:t xml:space="preserve"> </w:t>
      </w:r>
      <w:r w:rsidR="00DB36EC" w:rsidRPr="003A41B3">
        <w:rPr>
          <w:szCs w:val="20"/>
        </w:rPr>
        <w:t>Did government regulations lead to inflated cre</w:t>
      </w:r>
      <w:r w:rsidR="0091236B" w:rsidRPr="003A41B3">
        <w:rPr>
          <w:szCs w:val="20"/>
        </w:rPr>
        <w:t>dit ratings? Management Science 64, 1034-1054</w:t>
      </w:r>
      <w:r w:rsidR="00DB36EC" w:rsidRPr="003A41B3">
        <w:rPr>
          <w:szCs w:val="20"/>
        </w:rPr>
        <w:t>.</w:t>
      </w:r>
    </w:p>
    <w:p w14:paraId="05D02C7D" w14:textId="16C6C229" w:rsidR="00DB36EC" w:rsidRPr="003A41B3" w:rsidRDefault="007A077C" w:rsidP="002C46D3">
      <w:pPr>
        <w:spacing w:line="336" w:lineRule="auto"/>
        <w:ind w:left="426" w:hanging="426"/>
        <w:jc w:val="both"/>
        <w:rPr>
          <w:szCs w:val="20"/>
        </w:rPr>
      </w:pPr>
      <w:r w:rsidRPr="003A41B3">
        <w:rPr>
          <w:szCs w:val="20"/>
        </w:rPr>
        <w:t>Bolton</w:t>
      </w:r>
      <w:r w:rsidR="00C067B3" w:rsidRPr="003A41B3">
        <w:rPr>
          <w:szCs w:val="20"/>
        </w:rPr>
        <w:t>,</w:t>
      </w:r>
      <w:r w:rsidRPr="003A41B3">
        <w:rPr>
          <w:szCs w:val="20"/>
        </w:rPr>
        <w:t xml:space="preserve"> P</w:t>
      </w:r>
      <w:r w:rsidR="00C067B3" w:rsidRPr="003A41B3">
        <w:rPr>
          <w:szCs w:val="20"/>
        </w:rPr>
        <w:t>.</w:t>
      </w:r>
      <w:r w:rsidRPr="003A41B3">
        <w:rPr>
          <w:szCs w:val="20"/>
        </w:rPr>
        <w:t xml:space="preserve">, </w:t>
      </w:r>
      <w:proofErr w:type="spellStart"/>
      <w:r w:rsidRPr="003A41B3">
        <w:rPr>
          <w:szCs w:val="20"/>
        </w:rPr>
        <w:t>Freixas</w:t>
      </w:r>
      <w:proofErr w:type="spellEnd"/>
      <w:r w:rsidR="00C067B3" w:rsidRPr="003A41B3">
        <w:rPr>
          <w:szCs w:val="20"/>
        </w:rPr>
        <w:t>,</w:t>
      </w:r>
      <w:r w:rsidRPr="003A41B3">
        <w:rPr>
          <w:szCs w:val="20"/>
        </w:rPr>
        <w:t xml:space="preserve"> X</w:t>
      </w:r>
      <w:r w:rsidR="00C067B3" w:rsidRPr="003A41B3">
        <w:rPr>
          <w:szCs w:val="20"/>
        </w:rPr>
        <w:t>.</w:t>
      </w:r>
      <w:r w:rsidRPr="003A41B3">
        <w:rPr>
          <w:szCs w:val="20"/>
        </w:rPr>
        <w:t>, Shapiro</w:t>
      </w:r>
      <w:r w:rsidR="00C067B3" w:rsidRPr="003A41B3">
        <w:rPr>
          <w:szCs w:val="20"/>
        </w:rPr>
        <w:t>,</w:t>
      </w:r>
      <w:r w:rsidRPr="003A41B3">
        <w:rPr>
          <w:szCs w:val="20"/>
        </w:rPr>
        <w:t xml:space="preserve"> J</w:t>
      </w:r>
      <w:r w:rsidR="00C067B3" w:rsidRPr="003A41B3">
        <w:rPr>
          <w:szCs w:val="20"/>
        </w:rPr>
        <w:t>.,</w:t>
      </w:r>
      <w:r w:rsidR="00DB36EC" w:rsidRPr="003A41B3">
        <w:rPr>
          <w:szCs w:val="20"/>
        </w:rPr>
        <w:t xml:space="preserve"> </w:t>
      </w:r>
      <w:r w:rsidR="00C067B3" w:rsidRPr="003A41B3">
        <w:rPr>
          <w:szCs w:val="20"/>
        </w:rPr>
        <w:t>2012.</w:t>
      </w:r>
      <w:r w:rsidRPr="003A41B3">
        <w:rPr>
          <w:szCs w:val="20"/>
        </w:rPr>
        <w:t xml:space="preserve"> The credit ratings game.</w:t>
      </w:r>
      <w:r w:rsidR="00DB36EC" w:rsidRPr="003A41B3">
        <w:rPr>
          <w:szCs w:val="20"/>
        </w:rPr>
        <w:t xml:space="preserve"> Journal of Finance</w:t>
      </w:r>
      <w:r w:rsidR="00C067B3" w:rsidRPr="003A41B3">
        <w:rPr>
          <w:szCs w:val="20"/>
        </w:rPr>
        <w:t xml:space="preserve"> 67, </w:t>
      </w:r>
      <w:r w:rsidR="00DB36EC" w:rsidRPr="003A41B3">
        <w:rPr>
          <w:szCs w:val="20"/>
        </w:rPr>
        <w:t>85–112.</w:t>
      </w:r>
    </w:p>
    <w:p w14:paraId="1E477946" w14:textId="3F3C86AC" w:rsidR="00DB36EC" w:rsidRPr="003A41B3" w:rsidRDefault="007A077C" w:rsidP="002C46D3">
      <w:pPr>
        <w:spacing w:line="336" w:lineRule="auto"/>
        <w:ind w:left="284" w:hanging="284"/>
        <w:jc w:val="both"/>
        <w:rPr>
          <w:szCs w:val="20"/>
        </w:rPr>
      </w:pPr>
      <w:proofErr w:type="spellStart"/>
      <w:r w:rsidRPr="003A41B3">
        <w:rPr>
          <w:szCs w:val="20"/>
        </w:rPr>
        <w:t>Bongaerts</w:t>
      </w:r>
      <w:proofErr w:type="spellEnd"/>
      <w:r w:rsidR="00C067B3" w:rsidRPr="003A41B3">
        <w:rPr>
          <w:szCs w:val="20"/>
        </w:rPr>
        <w:t>,</w:t>
      </w:r>
      <w:r w:rsidRPr="003A41B3">
        <w:rPr>
          <w:szCs w:val="20"/>
        </w:rPr>
        <w:t xml:space="preserve"> D</w:t>
      </w:r>
      <w:r w:rsidR="00C067B3" w:rsidRPr="003A41B3">
        <w:rPr>
          <w:szCs w:val="20"/>
        </w:rPr>
        <w:t>.</w:t>
      </w:r>
      <w:r w:rsidRPr="003A41B3">
        <w:rPr>
          <w:szCs w:val="20"/>
        </w:rPr>
        <w:t xml:space="preserve">, </w:t>
      </w:r>
      <w:proofErr w:type="spellStart"/>
      <w:r w:rsidRPr="003A41B3">
        <w:rPr>
          <w:szCs w:val="20"/>
        </w:rPr>
        <w:t>Cremers</w:t>
      </w:r>
      <w:proofErr w:type="spellEnd"/>
      <w:r w:rsidR="00C067B3" w:rsidRPr="003A41B3">
        <w:rPr>
          <w:szCs w:val="20"/>
        </w:rPr>
        <w:t>,</w:t>
      </w:r>
      <w:r w:rsidRPr="003A41B3">
        <w:rPr>
          <w:szCs w:val="20"/>
        </w:rPr>
        <w:t xml:space="preserve"> M</w:t>
      </w:r>
      <w:r w:rsidR="00C067B3" w:rsidRPr="003A41B3">
        <w:rPr>
          <w:szCs w:val="20"/>
        </w:rPr>
        <w:t>.</w:t>
      </w:r>
      <w:r w:rsidRPr="003A41B3">
        <w:rPr>
          <w:szCs w:val="20"/>
        </w:rPr>
        <w:t xml:space="preserve">, </w:t>
      </w:r>
      <w:proofErr w:type="spellStart"/>
      <w:r w:rsidRPr="003A41B3">
        <w:rPr>
          <w:szCs w:val="20"/>
        </w:rPr>
        <w:t>Goetzmann</w:t>
      </w:r>
      <w:proofErr w:type="spellEnd"/>
      <w:r w:rsidR="00C067B3" w:rsidRPr="003A41B3">
        <w:rPr>
          <w:szCs w:val="20"/>
        </w:rPr>
        <w:t>,</w:t>
      </w:r>
      <w:r w:rsidRPr="003A41B3">
        <w:rPr>
          <w:szCs w:val="20"/>
        </w:rPr>
        <w:t xml:space="preserve"> W</w:t>
      </w:r>
      <w:r w:rsidR="00C067B3" w:rsidRPr="003A41B3">
        <w:rPr>
          <w:szCs w:val="20"/>
        </w:rPr>
        <w:t>.,</w:t>
      </w:r>
      <w:r w:rsidR="00DB36EC" w:rsidRPr="003A41B3">
        <w:rPr>
          <w:szCs w:val="20"/>
        </w:rPr>
        <w:t xml:space="preserve"> 2</w:t>
      </w:r>
      <w:r w:rsidR="00C067B3" w:rsidRPr="003A41B3">
        <w:rPr>
          <w:szCs w:val="20"/>
        </w:rPr>
        <w:t>012.</w:t>
      </w:r>
      <w:r w:rsidRPr="003A41B3">
        <w:rPr>
          <w:szCs w:val="20"/>
        </w:rPr>
        <w:t xml:space="preserve"> </w:t>
      </w:r>
      <w:r w:rsidR="00DB36EC" w:rsidRPr="003A41B3">
        <w:rPr>
          <w:szCs w:val="20"/>
        </w:rPr>
        <w:t>Tiebreaker: Certification and multiple credit ratings</w:t>
      </w:r>
      <w:r w:rsidRPr="003A41B3">
        <w:rPr>
          <w:szCs w:val="20"/>
        </w:rPr>
        <w:t>.</w:t>
      </w:r>
      <w:r w:rsidR="00DB36EC" w:rsidRPr="003A41B3">
        <w:rPr>
          <w:szCs w:val="20"/>
        </w:rPr>
        <w:t xml:space="preserve"> Journal of Finance</w:t>
      </w:r>
      <w:r w:rsidR="00C067B3" w:rsidRPr="003A41B3">
        <w:rPr>
          <w:szCs w:val="20"/>
        </w:rPr>
        <w:t xml:space="preserve"> 67, </w:t>
      </w:r>
      <w:r w:rsidR="00DB36EC" w:rsidRPr="003A41B3">
        <w:rPr>
          <w:szCs w:val="20"/>
        </w:rPr>
        <w:t>113-152.</w:t>
      </w:r>
    </w:p>
    <w:p w14:paraId="10074CF1" w14:textId="0C506368" w:rsidR="00B14C9A" w:rsidRPr="003A41B3" w:rsidRDefault="00B14C9A" w:rsidP="002C46D3">
      <w:pPr>
        <w:spacing w:line="336" w:lineRule="auto"/>
        <w:ind w:left="284" w:hanging="284"/>
        <w:jc w:val="both"/>
        <w:rPr>
          <w:szCs w:val="20"/>
        </w:rPr>
      </w:pPr>
      <w:proofErr w:type="spellStart"/>
      <w:r w:rsidRPr="003A41B3">
        <w:rPr>
          <w:szCs w:val="20"/>
        </w:rPr>
        <w:t>Borensztein</w:t>
      </w:r>
      <w:proofErr w:type="spellEnd"/>
      <w:r w:rsidRPr="003A41B3">
        <w:rPr>
          <w:szCs w:val="20"/>
        </w:rPr>
        <w:t>, E., Cowan, K., Valenzuela, P., 2013. Sovereign ceiling lite? The impact of sovereign ratings on corporate ratings in emerging market economies. Journal of Banking and Finance 37, 4014-4024.</w:t>
      </w:r>
    </w:p>
    <w:p w14:paraId="557E32DD" w14:textId="77777777" w:rsidR="002C46D3" w:rsidRPr="003A41B3" w:rsidRDefault="00F96B63" w:rsidP="002C46D3">
      <w:pPr>
        <w:spacing w:line="336" w:lineRule="auto"/>
        <w:ind w:left="284" w:hanging="284"/>
        <w:jc w:val="both"/>
        <w:rPr>
          <w:szCs w:val="20"/>
        </w:rPr>
      </w:pPr>
      <w:r w:rsidRPr="003A41B3">
        <w:rPr>
          <w:szCs w:val="20"/>
        </w:rPr>
        <w:t>Cai, P., Kim, S., Wu, E., 201</w:t>
      </w:r>
      <w:r w:rsidR="00E37830" w:rsidRPr="003A41B3">
        <w:rPr>
          <w:szCs w:val="20"/>
        </w:rPr>
        <w:t>9</w:t>
      </w:r>
      <w:r w:rsidRPr="003A41B3">
        <w:rPr>
          <w:szCs w:val="20"/>
        </w:rPr>
        <w:t>. Foreign direct investments from emerging markets: The push-pull effects of sovereign credit ratings. International Review of Financial Analysis</w:t>
      </w:r>
      <w:r w:rsidR="00D53A2D" w:rsidRPr="003A41B3">
        <w:rPr>
          <w:szCs w:val="20"/>
        </w:rPr>
        <w:t xml:space="preserve"> 61, 110-125</w:t>
      </w:r>
      <w:r w:rsidRPr="003A41B3">
        <w:rPr>
          <w:szCs w:val="20"/>
        </w:rPr>
        <w:t>.</w:t>
      </w:r>
    </w:p>
    <w:p w14:paraId="0C59FC4E" w14:textId="31873D24" w:rsidR="00613414" w:rsidRPr="003A41B3" w:rsidRDefault="00613414" w:rsidP="002C46D3">
      <w:pPr>
        <w:spacing w:line="336" w:lineRule="auto"/>
        <w:ind w:left="284" w:hanging="284"/>
        <w:jc w:val="both"/>
        <w:rPr>
          <w:szCs w:val="20"/>
        </w:rPr>
      </w:pPr>
      <w:r w:rsidRPr="003A41B3">
        <w:rPr>
          <w:szCs w:val="20"/>
        </w:rPr>
        <w:t xml:space="preserve">Chen, S., Chen, H., Chang, C., Yang, S., 2016. The relation between sovereign credit rating revisions and economic growth. Journal of Banking and Finance 64, 90–100. </w:t>
      </w:r>
    </w:p>
    <w:p w14:paraId="6FE1175D" w14:textId="77777777" w:rsidR="002C46D3" w:rsidRPr="003A41B3" w:rsidRDefault="001031B3" w:rsidP="002C46D3">
      <w:pPr>
        <w:spacing w:line="336" w:lineRule="auto"/>
        <w:ind w:left="284" w:hanging="284"/>
        <w:jc w:val="both"/>
        <w:rPr>
          <w:szCs w:val="20"/>
        </w:rPr>
      </w:pPr>
      <w:r w:rsidRPr="003A41B3">
        <w:rPr>
          <w:szCs w:val="20"/>
        </w:rPr>
        <w:t xml:space="preserve">Cheng, M., </w:t>
      </w:r>
      <w:proofErr w:type="spellStart"/>
      <w:r w:rsidRPr="003A41B3">
        <w:rPr>
          <w:szCs w:val="20"/>
        </w:rPr>
        <w:t>Neamtiu</w:t>
      </w:r>
      <w:proofErr w:type="spellEnd"/>
      <w:r w:rsidRPr="003A41B3">
        <w:rPr>
          <w:szCs w:val="20"/>
        </w:rPr>
        <w:t>, M., 2009. An empirical analysis of changes in credit rating properties: Timeliness, accuracy and volatility. Journal of Accounting and Economics 47, 108–130.</w:t>
      </w:r>
    </w:p>
    <w:p w14:paraId="710CF4F9" w14:textId="14595065" w:rsidR="0048588C" w:rsidRPr="003A41B3" w:rsidRDefault="0090077B" w:rsidP="002C46D3">
      <w:pPr>
        <w:spacing w:line="336" w:lineRule="auto"/>
        <w:ind w:left="284" w:hanging="284"/>
        <w:jc w:val="both"/>
        <w:rPr>
          <w:szCs w:val="20"/>
        </w:rPr>
      </w:pPr>
      <w:r w:rsidRPr="003A41B3">
        <w:rPr>
          <w:szCs w:val="20"/>
        </w:rPr>
        <w:t>D</w:t>
      </w:r>
      <w:r w:rsidR="0048588C" w:rsidRPr="003A41B3">
        <w:rPr>
          <w:szCs w:val="20"/>
        </w:rPr>
        <w:t>e</w:t>
      </w:r>
      <w:r w:rsidRPr="003A41B3">
        <w:rPr>
          <w:szCs w:val="20"/>
        </w:rPr>
        <w:t xml:space="preserve"> </w:t>
      </w:r>
      <w:proofErr w:type="spellStart"/>
      <w:r w:rsidR="0048588C" w:rsidRPr="003A41B3">
        <w:rPr>
          <w:szCs w:val="20"/>
        </w:rPr>
        <w:t>Haan</w:t>
      </w:r>
      <w:proofErr w:type="spellEnd"/>
      <w:r w:rsidR="0048588C" w:rsidRPr="003A41B3">
        <w:rPr>
          <w:szCs w:val="20"/>
        </w:rPr>
        <w:t>, E., 2017. The financial crisis and corporate credit ratings. The Accounting Review 92, 161–189.</w:t>
      </w:r>
    </w:p>
    <w:p w14:paraId="38FD7B1D" w14:textId="113F13E3" w:rsidR="00DB36EC" w:rsidRPr="003A41B3" w:rsidRDefault="007A077C" w:rsidP="002C46D3">
      <w:pPr>
        <w:spacing w:line="336" w:lineRule="auto"/>
        <w:ind w:left="284" w:hanging="284"/>
        <w:jc w:val="both"/>
        <w:rPr>
          <w:szCs w:val="20"/>
        </w:rPr>
      </w:pPr>
      <w:bookmarkStart w:id="78" w:name="_Hlk5078857"/>
      <w:r w:rsidRPr="003A41B3">
        <w:rPr>
          <w:szCs w:val="20"/>
        </w:rPr>
        <w:t>Dimitrov</w:t>
      </w:r>
      <w:bookmarkEnd w:id="78"/>
      <w:r w:rsidR="00C067B3" w:rsidRPr="003A41B3">
        <w:rPr>
          <w:szCs w:val="20"/>
        </w:rPr>
        <w:t>,</w:t>
      </w:r>
      <w:r w:rsidRPr="003A41B3">
        <w:rPr>
          <w:szCs w:val="20"/>
        </w:rPr>
        <w:t xml:space="preserve"> V</w:t>
      </w:r>
      <w:r w:rsidR="00C067B3" w:rsidRPr="003A41B3">
        <w:rPr>
          <w:szCs w:val="20"/>
        </w:rPr>
        <w:t>.</w:t>
      </w:r>
      <w:r w:rsidRPr="003A41B3">
        <w:rPr>
          <w:szCs w:val="20"/>
        </w:rPr>
        <w:t xml:space="preserve">, </w:t>
      </w:r>
      <w:proofErr w:type="spellStart"/>
      <w:r w:rsidRPr="003A41B3">
        <w:rPr>
          <w:szCs w:val="20"/>
        </w:rPr>
        <w:t>Palia</w:t>
      </w:r>
      <w:proofErr w:type="spellEnd"/>
      <w:r w:rsidR="00C067B3" w:rsidRPr="003A41B3">
        <w:rPr>
          <w:szCs w:val="20"/>
        </w:rPr>
        <w:t>,</w:t>
      </w:r>
      <w:r w:rsidRPr="003A41B3">
        <w:rPr>
          <w:szCs w:val="20"/>
        </w:rPr>
        <w:t xml:space="preserve"> D</w:t>
      </w:r>
      <w:r w:rsidR="00C067B3" w:rsidRPr="003A41B3">
        <w:rPr>
          <w:szCs w:val="20"/>
        </w:rPr>
        <w:t>.</w:t>
      </w:r>
      <w:r w:rsidRPr="003A41B3">
        <w:rPr>
          <w:szCs w:val="20"/>
        </w:rPr>
        <w:t>, Tang</w:t>
      </w:r>
      <w:r w:rsidR="00C067B3" w:rsidRPr="003A41B3">
        <w:rPr>
          <w:szCs w:val="20"/>
        </w:rPr>
        <w:t>,</w:t>
      </w:r>
      <w:r w:rsidRPr="003A41B3">
        <w:rPr>
          <w:szCs w:val="20"/>
        </w:rPr>
        <w:t xml:space="preserve"> L</w:t>
      </w:r>
      <w:r w:rsidR="00C067B3" w:rsidRPr="003A41B3">
        <w:rPr>
          <w:szCs w:val="20"/>
        </w:rPr>
        <w:t>.,</w:t>
      </w:r>
      <w:r w:rsidR="00DB36EC" w:rsidRPr="003A41B3">
        <w:rPr>
          <w:szCs w:val="20"/>
        </w:rPr>
        <w:t xml:space="preserve"> </w:t>
      </w:r>
      <w:r w:rsidR="00C067B3" w:rsidRPr="003A41B3">
        <w:rPr>
          <w:szCs w:val="20"/>
        </w:rPr>
        <w:t>2015.</w:t>
      </w:r>
      <w:r w:rsidRPr="003A41B3">
        <w:rPr>
          <w:szCs w:val="20"/>
        </w:rPr>
        <w:t xml:space="preserve"> </w:t>
      </w:r>
      <w:r w:rsidR="00DB36EC" w:rsidRPr="003A41B3">
        <w:rPr>
          <w:szCs w:val="20"/>
        </w:rPr>
        <w:t>Impact of the D</w:t>
      </w:r>
      <w:r w:rsidRPr="003A41B3">
        <w:rPr>
          <w:szCs w:val="20"/>
        </w:rPr>
        <w:t>odd-Frank Act on credit ratings</w:t>
      </w:r>
      <w:r w:rsidR="00733317" w:rsidRPr="003A41B3">
        <w:rPr>
          <w:szCs w:val="20"/>
        </w:rPr>
        <w:t>.</w:t>
      </w:r>
      <w:r w:rsidR="00DB36EC" w:rsidRPr="003A41B3">
        <w:rPr>
          <w:szCs w:val="20"/>
        </w:rPr>
        <w:t xml:space="preserve"> Journal of Financial Economics</w:t>
      </w:r>
      <w:r w:rsidR="00C067B3" w:rsidRPr="003A41B3">
        <w:rPr>
          <w:szCs w:val="20"/>
        </w:rPr>
        <w:t xml:space="preserve"> 115, </w:t>
      </w:r>
      <w:r w:rsidR="00DB36EC" w:rsidRPr="003A41B3">
        <w:rPr>
          <w:szCs w:val="20"/>
        </w:rPr>
        <w:t>505-520.</w:t>
      </w:r>
    </w:p>
    <w:p w14:paraId="421564A8" w14:textId="70D0AB33" w:rsidR="00E0476C" w:rsidRPr="003A41B3" w:rsidRDefault="00E0476C" w:rsidP="002C46D3">
      <w:pPr>
        <w:spacing w:line="336" w:lineRule="auto"/>
        <w:ind w:left="284" w:hanging="284"/>
        <w:jc w:val="both"/>
        <w:rPr>
          <w:szCs w:val="20"/>
        </w:rPr>
      </w:pPr>
      <w:r w:rsidRPr="003A41B3">
        <w:rPr>
          <w:szCs w:val="20"/>
        </w:rPr>
        <w:t xml:space="preserve">Dodd-Frank Act </w:t>
      </w:r>
      <w:r w:rsidR="009F2BE8" w:rsidRPr="003A41B3">
        <w:rPr>
          <w:szCs w:val="20"/>
        </w:rPr>
        <w:t>936</w:t>
      </w:r>
      <w:r w:rsidR="00CD2D41" w:rsidRPr="003A41B3">
        <w:rPr>
          <w:szCs w:val="20"/>
        </w:rPr>
        <w:t>, 2010</w:t>
      </w:r>
      <w:r w:rsidRPr="003A41B3">
        <w:rPr>
          <w:szCs w:val="20"/>
        </w:rPr>
        <w:t xml:space="preserve">. SEC. Qualification standards for credit rating analysts. </w:t>
      </w:r>
    </w:p>
    <w:p w14:paraId="6F68D0F6" w14:textId="19328497" w:rsidR="00DB36EC" w:rsidRPr="003A41B3" w:rsidRDefault="007A077C" w:rsidP="002C46D3">
      <w:pPr>
        <w:spacing w:line="336" w:lineRule="auto"/>
        <w:ind w:left="284" w:hanging="284"/>
        <w:jc w:val="both"/>
        <w:rPr>
          <w:szCs w:val="20"/>
        </w:rPr>
      </w:pPr>
      <w:r w:rsidRPr="003A41B3">
        <w:rPr>
          <w:szCs w:val="20"/>
        </w:rPr>
        <w:t>Doherty</w:t>
      </w:r>
      <w:r w:rsidR="00C067B3" w:rsidRPr="003A41B3">
        <w:rPr>
          <w:szCs w:val="20"/>
        </w:rPr>
        <w:t>,</w:t>
      </w:r>
      <w:r w:rsidRPr="003A41B3">
        <w:rPr>
          <w:szCs w:val="20"/>
        </w:rPr>
        <w:t xml:space="preserve"> N</w:t>
      </w:r>
      <w:r w:rsidR="00C067B3" w:rsidRPr="003A41B3">
        <w:rPr>
          <w:szCs w:val="20"/>
        </w:rPr>
        <w:t>.</w:t>
      </w:r>
      <w:r w:rsidRPr="003A41B3">
        <w:rPr>
          <w:szCs w:val="20"/>
        </w:rPr>
        <w:t xml:space="preserve">, </w:t>
      </w:r>
      <w:proofErr w:type="spellStart"/>
      <w:r w:rsidRPr="003A41B3">
        <w:rPr>
          <w:szCs w:val="20"/>
        </w:rPr>
        <w:t>Kartasheva</w:t>
      </w:r>
      <w:proofErr w:type="spellEnd"/>
      <w:r w:rsidR="00C067B3" w:rsidRPr="003A41B3">
        <w:rPr>
          <w:szCs w:val="20"/>
        </w:rPr>
        <w:t>,</w:t>
      </w:r>
      <w:r w:rsidRPr="003A41B3">
        <w:rPr>
          <w:szCs w:val="20"/>
        </w:rPr>
        <w:t xml:space="preserve"> A</w:t>
      </w:r>
      <w:r w:rsidR="00C067B3" w:rsidRPr="003A41B3">
        <w:rPr>
          <w:szCs w:val="20"/>
        </w:rPr>
        <w:t>.</w:t>
      </w:r>
      <w:r w:rsidRPr="003A41B3">
        <w:rPr>
          <w:szCs w:val="20"/>
        </w:rPr>
        <w:t>, Phillips</w:t>
      </w:r>
      <w:r w:rsidR="00C067B3" w:rsidRPr="003A41B3">
        <w:rPr>
          <w:szCs w:val="20"/>
        </w:rPr>
        <w:t>,</w:t>
      </w:r>
      <w:r w:rsidRPr="003A41B3">
        <w:rPr>
          <w:szCs w:val="20"/>
        </w:rPr>
        <w:t xml:space="preserve"> R</w:t>
      </w:r>
      <w:r w:rsidR="00C067B3" w:rsidRPr="003A41B3">
        <w:rPr>
          <w:szCs w:val="20"/>
        </w:rPr>
        <w:t>., 2012.</w:t>
      </w:r>
      <w:r w:rsidRPr="003A41B3">
        <w:rPr>
          <w:szCs w:val="20"/>
        </w:rPr>
        <w:t xml:space="preserve"> </w:t>
      </w:r>
      <w:r w:rsidR="00DB36EC" w:rsidRPr="003A41B3">
        <w:rPr>
          <w:szCs w:val="20"/>
        </w:rPr>
        <w:t>Information effect of entry into credit ratings market:</w:t>
      </w:r>
      <w:r w:rsidRPr="003A41B3">
        <w:rPr>
          <w:szCs w:val="20"/>
        </w:rPr>
        <w:t xml:space="preserve"> The case of insurers’ ratings.</w:t>
      </w:r>
      <w:r w:rsidR="00DB36EC" w:rsidRPr="003A41B3">
        <w:rPr>
          <w:szCs w:val="20"/>
        </w:rPr>
        <w:t xml:space="preserve"> Journal of Financial Economics</w:t>
      </w:r>
      <w:r w:rsidR="00C067B3" w:rsidRPr="003A41B3">
        <w:rPr>
          <w:szCs w:val="20"/>
        </w:rPr>
        <w:t xml:space="preserve"> 106, </w:t>
      </w:r>
      <w:r w:rsidR="00DB36EC" w:rsidRPr="003A41B3">
        <w:rPr>
          <w:szCs w:val="20"/>
        </w:rPr>
        <w:t>308-330.</w:t>
      </w:r>
    </w:p>
    <w:p w14:paraId="23256DDF" w14:textId="0D4FB5BF" w:rsidR="00DB36EC" w:rsidRPr="003A41B3" w:rsidRDefault="00DB36EC" w:rsidP="002C46D3">
      <w:pPr>
        <w:spacing w:line="336" w:lineRule="auto"/>
        <w:ind w:left="284" w:hanging="284"/>
        <w:jc w:val="both"/>
      </w:pPr>
      <w:r w:rsidRPr="003A41B3">
        <w:t>E</w:t>
      </w:r>
      <w:r w:rsidR="00C067B3" w:rsidRPr="003A41B3">
        <w:t xml:space="preserve">uropean Central Bank (ECB) </w:t>
      </w:r>
      <w:r w:rsidR="007A077C" w:rsidRPr="003A41B3">
        <w:t>2012</w:t>
      </w:r>
      <w:r w:rsidR="00C067B3" w:rsidRPr="003A41B3">
        <w:t>.</w:t>
      </w:r>
      <w:r w:rsidR="007A077C" w:rsidRPr="003A41B3">
        <w:t xml:space="preserve"> </w:t>
      </w:r>
      <w:r w:rsidRPr="003A41B3">
        <w:t>Opinion of the Europea</w:t>
      </w:r>
      <w:r w:rsidR="007A077C" w:rsidRPr="003A41B3">
        <w:t>n Central Bank of 2 April 2012.</w:t>
      </w:r>
      <w:r w:rsidRPr="003A41B3">
        <w:t xml:space="preserve"> Official Journal of the European Union</w:t>
      </w:r>
      <w:r w:rsidR="007A077C" w:rsidRPr="003A41B3">
        <w:t xml:space="preserve"> </w:t>
      </w:r>
      <w:r w:rsidRPr="003A41B3">
        <w:t>167</w:t>
      </w:r>
      <w:r w:rsidR="00C067B3" w:rsidRPr="003A41B3">
        <w:t xml:space="preserve">C, </w:t>
      </w:r>
      <w:r w:rsidRPr="003A41B3">
        <w:t>2-14.</w:t>
      </w:r>
    </w:p>
    <w:p w14:paraId="6DF4CB44" w14:textId="07FC930C" w:rsidR="00DB36EC" w:rsidRPr="003A41B3" w:rsidRDefault="00C067B3" w:rsidP="002C46D3">
      <w:pPr>
        <w:spacing w:line="336" w:lineRule="auto"/>
        <w:ind w:left="284" w:hanging="284"/>
        <w:jc w:val="both"/>
        <w:rPr>
          <w:szCs w:val="20"/>
        </w:rPr>
      </w:pPr>
      <w:r w:rsidRPr="003A41B3">
        <w:rPr>
          <w:szCs w:val="20"/>
        </w:rPr>
        <w:t>European Commission (EC) 2011.</w:t>
      </w:r>
      <w:r w:rsidR="007A077C" w:rsidRPr="003A41B3">
        <w:rPr>
          <w:szCs w:val="20"/>
        </w:rPr>
        <w:t xml:space="preserve"> </w:t>
      </w:r>
      <w:r w:rsidR="00DB36EC" w:rsidRPr="003A41B3">
        <w:rPr>
          <w:szCs w:val="20"/>
        </w:rPr>
        <w:t>Proposal for a regulation of the European Parliament and of the Council amending Regulation (EC) No 1060</w:t>
      </w:r>
      <w:r w:rsidR="007A077C" w:rsidRPr="003A41B3">
        <w:rPr>
          <w:szCs w:val="20"/>
        </w:rPr>
        <w:t>/2009 on credit rating agencies.</w:t>
      </w:r>
      <w:r w:rsidR="00DB36EC" w:rsidRPr="003A41B3">
        <w:rPr>
          <w:szCs w:val="20"/>
        </w:rPr>
        <w:t xml:space="preserve"> November 2011.</w:t>
      </w:r>
    </w:p>
    <w:p w14:paraId="615973D2" w14:textId="77777777" w:rsidR="00D169D4" w:rsidRPr="003A41B3" w:rsidRDefault="00D169D4" w:rsidP="002C46D3">
      <w:pPr>
        <w:spacing w:line="336" w:lineRule="auto"/>
        <w:ind w:left="284" w:hanging="284"/>
        <w:jc w:val="both"/>
        <w:rPr>
          <w:szCs w:val="20"/>
        </w:rPr>
      </w:pPr>
      <w:r w:rsidRPr="003A41B3">
        <w:t>European Securities and Markets Authority (</w:t>
      </w:r>
      <w:r w:rsidRPr="003A41B3">
        <w:rPr>
          <w:szCs w:val="20"/>
        </w:rPr>
        <w:t>ESMA) 2017a. ESMA clarifies endorsement regime for third-country credit ratings. Press Release. November 17 2017. ESMA71/99/642.</w:t>
      </w:r>
    </w:p>
    <w:p w14:paraId="6326E5F0" w14:textId="67C29E8D" w:rsidR="00DB36EC" w:rsidRPr="003A41B3" w:rsidRDefault="00DB36EC" w:rsidP="002C46D3">
      <w:pPr>
        <w:spacing w:line="336" w:lineRule="auto"/>
        <w:ind w:left="284" w:hanging="284"/>
        <w:jc w:val="both"/>
        <w:rPr>
          <w:szCs w:val="20"/>
        </w:rPr>
      </w:pPr>
      <w:r w:rsidRPr="003A41B3">
        <w:t>European Securities and Markets Authority (</w:t>
      </w:r>
      <w:r w:rsidRPr="003A41B3">
        <w:rPr>
          <w:szCs w:val="20"/>
        </w:rPr>
        <w:t>ESM</w:t>
      </w:r>
      <w:r w:rsidR="007A077C" w:rsidRPr="003A41B3">
        <w:rPr>
          <w:szCs w:val="20"/>
        </w:rPr>
        <w:t>A)</w:t>
      </w:r>
      <w:r w:rsidRPr="003A41B3">
        <w:rPr>
          <w:szCs w:val="20"/>
        </w:rPr>
        <w:t xml:space="preserve"> 2017</w:t>
      </w:r>
      <w:r w:rsidR="00D169D4" w:rsidRPr="003A41B3">
        <w:rPr>
          <w:szCs w:val="20"/>
        </w:rPr>
        <w:t>b</w:t>
      </w:r>
      <w:r w:rsidR="00C067B3" w:rsidRPr="003A41B3">
        <w:rPr>
          <w:szCs w:val="20"/>
        </w:rPr>
        <w:t>.</w:t>
      </w:r>
      <w:r w:rsidR="007A077C" w:rsidRPr="003A41B3">
        <w:rPr>
          <w:szCs w:val="20"/>
        </w:rPr>
        <w:t xml:space="preserve"> </w:t>
      </w:r>
      <w:r w:rsidRPr="003A41B3">
        <w:rPr>
          <w:szCs w:val="20"/>
        </w:rPr>
        <w:t>Update of the guidelines on the application of the endorsement regime under Article 4(3) of the Credit Rating Agencies</w:t>
      </w:r>
      <w:r w:rsidR="007A077C" w:rsidRPr="003A41B3">
        <w:rPr>
          <w:szCs w:val="20"/>
        </w:rPr>
        <w:t xml:space="preserve"> Regulation. </w:t>
      </w:r>
      <w:r w:rsidR="00816DD5" w:rsidRPr="003A41B3">
        <w:rPr>
          <w:szCs w:val="20"/>
        </w:rPr>
        <w:t>Final Report. November</w:t>
      </w:r>
      <w:r w:rsidR="007A077C" w:rsidRPr="003A41B3">
        <w:rPr>
          <w:szCs w:val="20"/>
        </w:rPr>
        <w:t xml:space="preserve"> 17</w:t>
      </w:r>
      <w:r w:rsidR="00816DD5" w:rsidRPr="003A41B3">
        <w:rPr>
          <w:szCs w:val="20"/>
        </w:rPr>
        <w:t xml:space="preserve"> 2017. ESMA33/9/205</w:t>
      </w:r>
      <w:r w:rsidRPr="003A41B3">
        <w:rPr>
          <w:szCs w:val="20"/>
        </w:rPr>
        <w:t>.</w:t>
      </w:r>
    </w:p>
    <w:p w14:paraId="6B8DCE48" w14:textId="77777777" w:rsidR="00D67B01" w:rsidRPr="003A41B3" w:rsidRDefault="00884593" w:rsidP="002C46D3">
      <w:pPr>
        <w:spacing w:line="336" w:lineRule="auto"/>
        <w:ind w:left="284" w:hanging="284"/>
        <w:jc w:val="both"/>
        <w:rPr>
          <w:szCs w:val="20"/>
        </w:rPr>
      </w:pPr>
      <w:r w:rsidRPr="003A41B3">
        <w:t>European Securities and Markets Authority (</w:t>
      </w:r>
      <w:r w:rsidRPr="003A41B3">
        <w:rPr>
          <w:szCs w:val="20"/>
        </w:rPr>
        <w:t>ESMA) 2017c. Final Report Technical advice on CRA regulatory equivalence – CRA 3 update.</w:t>
      </w:r>
      <w:r w:rsidRPr="003A41B3">
        <w:t xml:space="preserve"> </w:t>
      </w:r>
      <w:r w:rsidRPr="003A41B3">
        <w:rPr>
          <w:szCs w:val="20"/>
        </w:rPr>
        <w:t>November 17 2017. ESMA33/9/207.</w:t>
      </w:r>
    </w:p>
    <w:p w14:paraId="36CF0E47" w14:textId="09BE7B53" w:rsidR="00E3349D" w:rsidRPr="003A41B3" w:rsidRDefault="00E3349D" w:rsidP="002C46D3">
      <w:pPr>
        <w:spacing w:line="336" w:lineRule="auto"/>
        <w:ind w:left="284" w:hanging="284"/>
        <w:jc w:val="both"/>
        <w:rPr>
          <w:szCs w:val="20"/>
        </w:rPr>
      </w:pPr>
      <w:r w:rsidRPr="003A41B3">
        <w:lastRenderedPageBreak/>
        <w:t>European Securities and Markets Authority (</w:t>
      </w:r>
      <w:r w:rsidRPr="003A41B3">
        <w:rPr>
          <w:szCs w:val="20"/>
        </w:rPr>
        <w:t>ESMA) 2016. Competition and choice in the credit rating industry. Market share calculation required by Article 8d of Regulation 1060/2009 on Credit Rating Agencies as amended. December 16 2016. ESMA/2016/1662.</w:t>
      </w:r>
    </w:p>
    <w:p w14:paraId="0CFCB2A4" w14:textId="5E59BEE5" w:rsidR="009135F2" w:rsidRPr="003A41B3" w:rsidRDefault="00DB36EC" w:rsidP="002C46D3">
      <w:pPr>
        <w:spacing w:line="336" w:lineRule="auto"/>
        <w:ind w:left="284" w:hanging="284"/>
        <w:jc w:val="both"/>
      </w:pPr>
      <w:r w:rsidRPr="003A41B3">
        <w:t>European Securiti</w:t>
      </w:r>
      <w:r w:rsidR="007A077C" w:rsidRPr="003A41B3">
        <w:t>es and Markets Authority (ESMA)</w:t>
      </w:r>
      <w:r w:rsidRPr="003A41B3">
        <w:t xml:space="preserve"> </w:t>
      </w:r>
      <w:r w:rsidR="00121D59" w:rsidRPr="003A41B3">
        <w:t>2012</w:t>
      </w:r>
      <w:r w:rsidR="00C067B3" w:rsidRPr="003A41B3">
        <w:t>.</w:t>
      </w:r>
      <w:r w:rsidR="007A077C" w:rsidRPr="003A41B3">
        <w:t xml:space="preserve"> </w:t>
      </w:r>
      <w:r w:rsidRPr="003A41B3">
        <w:t>ESMA approves credit ratings from B</w:t>
      </w:r>
      <w:r w:rsidR="007A077C" w:rsidRPr="003A41B3">
        <w:t xml:space="preserve">razil for use in the EU. Press Release. </w:t>
      </w:r>
      <w:r w:rsidRPr="003A41B3">
        <w:t>April</w:t>
      </w:r>
      <w:r w:rsidR="007A077C" w:rsidRPr="003A41B3">
        <w:t xml:space="preserve"> 27</w:t>
      </w:r>
      <w:r w:rsidRPr="003A41B3">
        <w:t xml:space="preserve"> 2012. ESMA/2012/274.</w:t>
      </w:r>
    </w:p>
    <w:p w14:paraId="03AD3F70" w14:textId="3C3994E2" w:rsidR="00DB36EC" w:rsidRPr="003A41B3" w:rsidRDefault="00DB36EC" w:rsidP="002C46D3">
      <w:pPr>
        <w:spacing w:line="336" w:lineRule="auto"/>
        <w:ind w:left="284" w:hanging="284"/>
        <w:jc w:val="both"/>
      </w:pPr>
      <w:r w:rsidRPr="003A41B3">
        <w:t>European Securiti</w:t>
      </w:r>
      <w:r w:rsidR="007A077C" w:rsidRPr="003A41B3">
        <w:t>es and Markets Authority (ESMA)</w:t>
      </w:r>
      <w:r w:rsidRPr="003A41B3">
        <w:t xml:space="preserve"> </w:t>
      </w:r>
      <w:r w:rsidR="007C7E30" w:rsidRPr="003A41B3">
        <w:t>2011a</w:t>
      </w:r>
      <w:r w:rsidR="00C067B3" w:rsidRPr="003A41B3">
        <w:t>.</w:t>
      </w:r>
      <w:r w:rsidR="007A077C" w:rsidRPr="003A41B3">
        <w:t xml:space="preserve"> </w:t>
      </w:r>
      <w:r w:rsidRPr="003A41B3">
        <w:t>Guidelines on the application of the end</w:t>
      </w:r>
      <w:r w:rsidR="00A366F2" w:rsidRPr="003A41B3">
        <w:t>orsement regime under Article 4</w:t>
      </w:r>
      <w:r w:rsidRPr="003A41B3">
        <w:t>(3) of the Cred</w:t>
      </w:r>
      <w:r w:rsidR="007A077C" w:rsidRPr="003A41B3">
        <w:t>it Rating Regulation 1060/2009.</w:t>
      </w:r>
      <w:r w:rsidRPr="003A41B3">
        <w:t xml:space="preserve"> ESMA/2011/139.</w:t>
      </w:r>
    </w:p>
    <w:p w14:paraId="28675AF8" w14:textId="1670BAC4" w:rsidR="00DB36EC" w:rsidRPr="003A41B3" w:rsidRDefault="00DB36EC" w:rsidP="002C46D3">
      <w:pPr>
        <w:tabs>
          <w:tab w:val="left" w:pos="284"/>
        </w:tabs>
        <w:spacing w:line="336" w:lineRule="auto"/>
        <w:ind w:left="284" w:hanging="284"/>
        <w:jc w:val="both"/>
        <w:rPr>
          <w:szCs w:val="20"/>
        </w:rPr>
      </w:pPr>
      <w:r w:rsidRPr="003A41B3">
        <w:t>European Securities and Markets Authority (</w:t>
      </w:r>
      <w:r w:rsidR="007A077C" w:rsidRPr="003A41B3">
        <w:rPr>
          <w:szCs w:val="20"/>
        </w:rPr>
        <w:t>ESMA)</w:t>
      </w:r>
      <w:r w:rsidRPr="003A41B3">
        <w:rPr>
          <w:szCs w:val="20"/>
        </w:rPr>
        <w:t xml:space="preserve"> </w:t>
      </w:r>
      <w:r w:rsidR="007A077C" w:rsidRPr="003A41B3">
        <w:rPr>
          <w:szCs w:val="20"/>
        </w:rPr>
        <w:t>2011</w:t>
      </w:r>
      <w:r w:rsidR="007C7E30" w:rsidRPr="003A41B3">
        <w:rPr>
          <w:szCs w:val="20"/>
        </w:rPr>
        <w:t>b</w:t>
      </w:r>
      <w:r w:rsidR="00C067B3" w:rsidRPr="003A41B3">
        <w:rPr>
          <w:szCs w:val="20"/>
        </w:rPr>
        <w:t>.</w:t>
      </w:r>
      <w:r w:rsidR="007A077C" w:rsidRPr="003A41B3">
        <w:rPr>
          <w:szCs w:val="20"/>
        </w:rPr>
        <w:t xml:space="preserve"> </w:t>
      </w:r>
      <w:r w:rsidRPr="003A41B3">
        <w:rPr>
          <w:szCs w:val="20"/>
        </w:rPr>
        <w:t>ESMA allows EU-registered CRAs to endorse credit ratings issued in the US, C</w:t>
      </w:r>
      <w:r w:rsidR="007A077C" w:rsidRPr="003A41B3">
        <w:rPr>
          <w:szCs w:val="20"/>
        </w:rPr>
        <w:t>anada, Hong Kong and Singapore.</w:t>
      </w:r>
      <w:r w:rsidRPr="003A41B3">
        <w:rPr>
          <w:szCs w:val="20"/>
        </w:rPr>
        <w:t xml:space="preserve"> Press Release. ESMA/2012/158.</w:t>
      </w:r>
    </w:p>
    <w:p w14:paraId="132F1CFA" w14:textId="2A16E178" w:rsidR="00DB36EC" w:rsidRPr="003A41B3" w:rsidRDefault="00862359" w:rsidP="002C46D3">
      <w:pPr>
        <w:shd w:val="clear" w:color="auto" w:fill="FFFFFF"/>
        <w:spacing w:line="336" w:lineRule="auto"/>
        <w:ind w:left="284" w:hanging="284"/>
        <w:jc w:val="both"/>
        <w:textAlignment w:val="baseline"/>
      </w:pPr>
      <w:r w:rsidRPr="003A41B3">
        <w:t>Flynn</w:t>
      </w:r>
      <w:r w:rsidR="00C067B3" w:rsidRPr="003A41B3">
        <w:t>,</w:t>
      </w:r>
      <w:r w:rsidRPr="003A41B3">
        <w:t xml:space="preserve"> S</w:t>
      </w:r>
      <w:r w:rsidR="00C067B3" w:rsidRPr="003A41B3">
        <w:t>.</w:t>
      </w:r>
      <w:r w:rsidR="00DB36EC" w:rsidRPr="003A41B3">
        <w:t xml:space="preserve">, </w:t>
      </w:r>
      <w:r w:rsidRPr="003A41B3">
        <w:t>Ghent</w:t>
      </w:r>
      <w:r w:rsidR="00C067B3" w:rsidRPr="003A41B3">
        <w:t>,</w:t>
      </w:r>
      <w:r w:rsidRPr="003A41B3">
        <w:t xml:space="preserve"> A</w:t>
      </w:r>
      <w:r w:rsidR="00C067B3" w:rsidRPr="003A41B3">
        <w:t>.,</w:t>
      </w:r>
      <w:r w:rsidR="00A87BA7" w:rsidRPr="003A41B3">
        <w:t xml:space="preserve"> 2018</w:t>
      </w:r>
      <w:r w:rsidR="008E337C" w:rsidRPr="003A41B3">
        <w:t>.</w:t>
      </w:r>
      <w:r w:rsidR="00C067B3" w:rsidRPr="003A41B3">
        <w:t xml:space="preserve"> </w:t>
      </w:r>
      <w:r w:rsidR="00DB36EC" w:rsidRPr="003A41B3">
        <w:t>Competition and</w:t>
      </w:r>
      <w:r w:rsidR="00F63715" w:rsidRPr="003A41B3">
        <w:t xml:space="preserve"> credit ratings after the fall.</w:t>
      </w:r>
      <w:r w:rsidR="00DB36EC" w:rsidRPr="003A41B3">
        <w:t xml:space="preserve"> Management Science</w:t>
      </w:r>
      <w:r w:rsidR="0091236B" w:rsidRPr="003A41B3">
        <w:t xml:space="preserve"> 64, 1672-1692</w:t>
      </w:r>
      <w:r w:rsidR="00E1197C" w:rsidRPr="003A41B3">
        <w:t>.</w:t>
      </w:r>
    </w:p>
    <w:p w14:paraId="0825E896" w14:textId="77777777" w:rsidR="00BB2224" w:rsidRPr="003A41B3" w:rsidRDefault="00BB2224" w:rsidP="00BB2224">
      <w:pPr>
        <w:spacing w:line="336" w:lineRule="auto"/>
        <w:ind w:left="284" w:hanging="284"/>
        <w:jc w:val="both"/>
        <w:rPr>
          <w:szCs w:val="20"/>
        </w:rPr>
      </w:pPr>
      <w:proofErr w:type="spellStart"/>
      <w:r w:rsidRPr="003A41B3">
        <w:rPr>
          <w:rFonts w:eastAsia="Times New Roman"/>
          <w:lang w:eastAsia="en-GB"/>
        </w:rPr>
        <w:t>Gande</w:t>
      </w:r>
      <w:proofErr w:type="spellEnd"/>
      <w:r w:rsidRPr="003A41B3">
        <w:rPr>
          <w:rFonts w:eastAsia="Times New Roman"/>
          <w:lang w:eastAsia="en-GB"/>
        </w:rPr>
        <w:t>, A., Parsley, D.C., 2005. News spillovers in the sovereign debt market. Journal of Financial Economics 73, 691–734.</w:t>
      </w:r>
    </w:p>
    <w:p w14:paraId="3AEDD5C2" w14:textId="77777777" w:rsidR="00BB2224" w:rsidRPr="003A41B3" w:rsidRDefault="00BB2224" w:rsidP="00BB2224">
      <w:pPr>
        <w:spacing w:line="336" w:lineRule="auto"/>
        <w:ind w:left="284" w:hanging="284"/>
        <w:jc w:val="both"/>
        <w:rPr>
          <w:szCs w:val="20"/>
        </w:rPr>
      </w:pPr>
      <w:r w:rsidRPr="003A41B3">
        <w:rPr>
          <w:rFonts w:eastAsia="Times New Roman"/>
          <w:lang w:eastAsia="en-GB"/>
        </w:rPr>
        <w:t xml:space="preserve">Goel, A., </w:t>
      </w:r>
      <w:proofErr w:type="spellStart"/>
      <w:r w:rsidRPr="003A41B3">
        <w:rPr>
          <w:rFonts w:eastAsia="Times New Roman"/>
          <w:lang w:eastAsia="en-GB"/>
        </w:rPr>
        <w:t>Thakor</w:t>
      </w:r>
      <w:proofErr w:type="spellEnd"/>
      <w:r w:rsidRPr="003A41B3">
        <w:rPr>
          <w:rFonts w:eastAsia="Times New Roman"/>
          <w:lang w:eastAsia="en-GB"/>
        </w:rPr>
        <w:t>, A., 2011. Credit ratings and litigation risk. Working paper. Navigant Economics and Washington University, Saint Louis.</w:t>
      </w:r>
    </w:p>
    <w:p w14:paraId="186BEA18" w14:textId="77777777" w:rsidR="00D53A2D" w:rsidRPr="003A41B3" w:rsidRDefault="00F96B63" w:rsidP="002C46D3">
      <w:pPr>
        <w:shd w:val="clear" w:color="auto" w:fill="FFFFFF"/>
        <w:spacing w:line="336" w:lineRule="auto"/>
        <w:ind w:left="284" w:hanging="284"/>
        <w:jc w:val="both"/>
        <w:textAlignment w:val="baseline"/>
      </w:pPr>
      <w:r w:rsidRPr="003A41B3">
        <w:t xml:space="preserve">Hill, P., </w:t>
      </w:r>
      <w:proofErr w:type="spellStart"/>
      <w:r w:rsidRPr="003A41B3">
        <w:t>Bissoondoyal-Bheenick</w:t>
      </w:r>
      <w:proofErr w:type="spellEnd"/>
      <w:r w:rsidRPr="003A41B3">
        <w:t>, E., Faff, R., 2018. New evidence on sovereign to corporate credit rating spill-overs. International Review of Financial Analysis 55, 209-225.</w:t>
      </w:r>
    </w:p>
    <w:p w14:paraId="43C4C21F" w14:textId="4633DC24" w:rsidR="00D53A2D" w:rsidRPr="003A41B3" w:rsidRDefault="00D53A2D" w:rsidP="002C46D3">
      <w:pPr>
        <w:shd w:val="clear" w:color="auto" w:fill="FFFFFF"/>
        <w:spacing w:line="336" w:lineRule="auto"/>
        <w:ind w:left="284" w:hanging="284"/>
        <w:jc w:val="both"/>
        <w:textAlignment w:val="baseline"/>
      </w:pPr>
      <w:r w:rsidRPr="003A41B3">
        <w:t xml:space="preserve">Kahl, M., </w:t>
      </w:r>
      <w:proofErr w:type="spellStart"/>
      <w:r w:rsidRPr="003A41B3">
        <w:t>Shivdasani</w:t>
      </w:r>
      <w:proofErr w:type="spellEnd"/>
      <w:r w:rsidRPr="003A41B3">
        <w:t xml:space="preserve">, A., </w:t>
      </w:r>
      <w:proofErr w:type="spellStart"/>
      <w:r w:rsidRPr="003A41B3">
        <w:t>Yihui</w:t>
      </w:r>
      <w:proofErr w:type="spellEnd"/>
      <w:r w:rsidRPr="003A41B3">
        <w:t xml:space="preserve">, W., 2015. Short-term debt as bridge financing: </w:t>
      </w:r>
      <w:r w:rsidR="00E25387" w:rsidRPr="003A41B3">
        <w:t>E</w:t>
      </w:r>
      <w:r w:rsidRPr="003A41B3">
        <w:t>vidence from the commercial paper market. Journal of Finance</w:t>
      </w:r>
      <w:r w:rsidRPr="003A41B3">
        <w:rPr>
          <w:i/>
        </w:rPr>
        <w:t xml:space="preserve"> </w:t>
      </w:r>
      <w:r w:rsidRPr="003A41B3">
        <w:t>70, 211-255.</w:t>
      </w:r>
    </w:p>
    <w:p w14:paraId="7D2BADAF" w14:textId="58029D46" w:rsidR="00E47B6F" w:rsidRPr="003A41B3" w:rsidRDefault="00E47B6F" w:rsidP="002C46D3">
      <w:pPr>
        <w:spacing w:line="336" w:lineRule="auto"/>
        <w:ind w:left="284" w:hanging="284"/>
        <w:jc w:val="both"/>
        <w:rPr>
          <w:szCs w:val="20"/>
        </w:rPr>
      </w:pPr>
      <w:proofErr w:type="spellStart"/>
      <w:r w:rsidRPr="003A41B3">
        <w:rPr>
          <w:szCs w:val="20"/>
        </w:rPr>
        <w:t>Kiff</w:t>
      </w:r>
      <w:proofErr w:type="spellEnd"/>
      <w:r w:rsidRPr="003A41B3">
        <w:rPr>
          <w:szCs w:val="20"/>
        </w:rPr>
        <w:t xml:space="preserve">, J., Nowak, S., Schumacher, L., 2012. Are rating agencies powerful? An investigation into the impact and accuracy of sovereign ratings. International Monetary Fund </w:t>
      </w:r>
      <w:r w:rsidR="00030638" w:rsidRPr="003A41B3">
        <w:rPr>
          <w:szCs w:val="20"/>
        </w:rPr>
        <w:t>working paper,</w:t>
      </w:r>
      <w:r w:rsidRPr="003A41B3">
        <w:rPr>
          <w:szCs w:val="20"/>
        </w:rPr>
        <w:t xml:space="preserve"> </w:t>
      </w:r>
      <w:r w:rsidR="00030638" w:rsidRPr="003A41B3">
        <w:rPr>
          <w:szCs w:val="20"/>
        </w:rPr>
        <w:t>WP/</w:t>
      </w:r>
      <w:r w:rsidRPr="003A41B3">
        <w:rPr>
          <w:szCs w:val="20"/>
        </w:rPr>
        <w:t>12</w:t>
      </w:r>
      <w:r w:rsidR="00030638" w:rsidRPr="003A41B3">
        <w:rPr>
          <w:szCs w:val="20"/>
        </w:rPr>
        <w:t>/2</w:t>
      </w:r>
      <w:r w:rsidRPr="003A41B3">
        <w:rPr>
          <w:szCs w:val="20"/>
        </w:rPr>
        <w:t>3.</w:t>
      </w:r>
    </w:p>
    <w:p w14:paraId="311F4421" w14:textId="7E890B2C" w:rsidR="00DB36EC" w:rsidRPr="003A41B3" w:rsidRDefault="00F63715" w:rsidP="002C46D3">
      <w:pPr>
        <w:spacing w:line="336" w:lineRule="auto"/>
        <w:ind w:left="284" w:hanging="284"/>
        <w:jc w:val="both"/>
        <w:rPr>
          <w:szCs w:val="20"/>
        </w:rPr>
      </w:pPr>
      <w:proofErr w:type="spellStart"/>
      <w:r w:rsidRPr="003A41B3">
        <w:rPr>
          <w:szCs w:val="20"/>
        </w:rPr>
        <w:t>Kisgen</w:t>
      </w:r>
      <w:proofErr w:type="spellEnd"/>
      <w:r w:rsidR="00C067B3" w:rsidRPr="003A41B3">
        <w:rPr>
          <w:szCs w:val="20"/>
        </w:rPr>
        <w:t>,</w:t>
      </w:r>
      <w:r w:rsidRPr="003A41B3">
        <w:rPr>
          <w:szCs w:val="20"/>
        </w:rPr>
        <w:t xml:space="preserve"> D</w:t>
      </w:r>
      <w:r w:rsidR="00C067B3" w:rsidRPr="003A41B3">
        <w:rPr>
          <w:szCs w:val="20"/>
        </w:rPr>
        <w:t>.</w:t>
      </w:r>
      <w:r w:rsidRPr="003A41B3">
        <w:rPr>
          <w:szCs w:val="20"/>
        </w:rPr>
        <w:t>J</w:t>
      </w:r>
      <w:r w:rsidR="00C067B3" w:rsidRPr="003A41B3">
        <w:rPr>
          <w:szCs w:val="20"/>
        </w:rPr>
        <w:t>.</w:t>
      </w:r>
      <w:r w:rsidRPr="003A41B3">
        <w:rPr>
          <w:szCs w:val="20"/>
        </w:rPr>
        <w:t>, Strahan</w:t>
      </w:r>
      <w:r w:rsidR="00C067B3" w:rsidRPr="003A41B3">
        <w:rPr>
          <w:szCs w:val="20"/>
        </w:rPr>
        <w:t>,</w:t>
      </w:r>
      <w:r w:rsidRPr="003A41B3">
        <w:rPr>
          <w:szCs w:val="20"/>
        </w:rPr>
        <w:t xml:space="preserve"> P</w:t>
      </w:r>
      <w:r w:rsidR="00C067B3" w:rsidRPr="003A41B3">
        <w:rPr>
          <w:szCs w:val="20"/>
        </w:rPr>
        <w:t>.</w:t>
      </w:r>
      <w:r w:rsidRPr="003A41B3">
        <w:rPr>
          <w:szCs w:val="20"/>
        </w:rPr>
        <w:t>E</w:t>
      </w:r>
      <w:r w:rsidR="00C067B3" w:rsidRPr="003A41B3">
        <w:rPr>
          <w:szCs w:val="20"/>
        </w:rPr>
        <w:t>.,</w:t>
      </w:r>
      <w:r w:rsidR="00DB36EC" w:rsidRPr="003A41B3">
        <w:rPr>
          <w:szCs w:val="20"/>
        </w:rPr>
        <w:t xml:space="preserve"> </w:t>
      </w:r>
      <w:r w:rsidR="00C067B3" w:rsidRPr="003A41B3">
        <w:rPr>
          <w:szCs w:val="20"/>
        </w:rPr>
        <w:t>2010.</w:t>
      </w:r>
      <w:r w:rsidRPr="003A41B3">
        <w:rPr>
          <w:szCs w:val="20"/>
        </w:rPr>
        <w:t xml:space="preserve"> </w:t>
      </w:r>
      <w:r w:rsidR="00DB36EC" w:rsidRPr="003A41B3">
        <w:rPr>
          <w:szCs w:val="20"/>
        </w:rPr>
        <w:t>Do regulations based on credit ratings affect</w:t>
      </w:r>
      <w:r w:rsidRPr="003A41B3">
        <w:rPr>
          <w:szCs w:val="20"/>
        </w:rPr>
        <w:t xml:space="preserve"> a firm's cost of capital? </w:t>
      </w:r>
      <w:r w:rsidR="00DB36EC" w:rsidRPr="003A41B3">
        <w:rPr>
          <w:szCs w:val="20"/>
        </w:rPr>
        <w:t>Review of Financial Studies</w:t>
      </w:r>
      <w:r w:rsidR="00C067B3" w:rsidRPr="003A41B3">
        <w:rPr>
          <w:szCs w:val="20"/>
        </w:rPr>
        <w:t xml:space="preserve"> 23, </w:t>
      </w:r>
      <w:r w:rsidR="00DB36EC" w:rsidRPr="003A41B3">
        <w:rPr>
          <w:szCs w:val="20"/>
        </w:rPr>
        <w:t>4324-4347.</w:t>
      </w:r>
    </w:p>
    <w:p w14:paraId="5FF8D29D" w14:textId="376F8F51" w:rsidR="00136D7D" w:rsidRPr="003A41B3" w:rsidRDefault="00136D7D" w:rsidP="002C46D3">
      <w:pPr>
        <w:spacing w:line="336" w:lineRule="auto"/>
        <w:ind w:left="284" w:hanging="284"/>
        <w:jc w:val="both"/>
        <w:rPr>
          <w:lang w:val="en-GB"/>
        </w:rPr>
      </w:pPr>
      <w:r w:rsidRPr="003A41B3">
        <w:rPr>
          <w:lang w:val="en-GB"/>
        </w:rPr>
        <w:t xml:space="preserve">Livingston, M., Wei, D., Zhou, L., 2010. Moody’s and S&amp;P ratings: Are they equivalent? Conservative ratings and split rated bond yields. </w:t>
      </w:r>
      <w:r w:rsidRPr="003A41B3">
        <w:rPr>
          <w:iCs/>
          <w:lang w:val="en-GB"/>
        </w:rPr>
        <w:t xml:space="preserve">Journal of Money, Credit and Banking </w:t>
      </w:r>
      <w:r w:rsidRPr="003A41B3">
        <w:rPr>
          <w:lang w:val="en-GB"/>
        </w:rPr>
        <w:t>42, 1267-1293.</w:t>
      </w:r>
    </w:p>
    <w:p w14:paraId="2F8FABF6" w14:textId="70EE5FAA" w:rsidR="001A1348" w:rsidRPr="003A41B3" w:rsidRDefault="001A1348" w:rsidP="002C46D3">
      <w:pPr>
        <w:spacing w:line="336" w:lineRule="auto"/>
        <w:ind w:left="284" w:hanging="284"/>
        <w:jc w:val="both"/>
        <w:rPr>
          <w:lang w:val="en-GB"/>
        </w:rPr>
      </w:pPr>
      <w:r w:rsidRPr="003A41B3">
        <w:rPr>
          <w:lang w:val="en-GB"/>
        </w:rPr>
        <w:t>Official Journal of the European Union (OJEU) 2013. Regulation (EU) No 462/2013 of the European Parliament and of the Council of 21 May 2013 amending Regulation (EC) No 1060/2009 on credit rating agencies. Regulation Legislative Acts 146/1, 31 May 2013.</w:t>
      </w:r>
    </w:p>
    <w:p w14:paraId="4A266E2E" w14:textId="7BD0079E" w:rsidR="00A46DC5" w:rsidRPr="003A41B3" w:rsidRDefault="00F63715" w:rsidP="002C46D3">
      <w:pPr>
        <w:spacing w:line="336" w:lineRule="auto"/>
        <w:ind w:left="284" w:hanging="284"/>
        <w:jc w:val="both"/>
      </w:pPr>
      <w:proofErr w:type="spellStart"/>
      <w:r w:rsidRPr="003A41B3">
        <w:rPr>
          <w:szCs w:val="20"/>
        </w:rPr>
        <w:t>Opp</w:t>
      </w:r>
      <w:proofErr w:type="spellEnd"/>
      <w:r w:rsidR="00C067B3" w:rsidRPr="003A41B3">
        <w:rPr>
          <w:szCs w:val="20"/>
        </w:rPr>
        <w:t>,</w:t>
      </w:r>
      <w:r w:rsidRPr="003A41B3">
        <w:rPr>
          <w:szCs w:val="20"/>
        </w:rPr>
        <w:t xml:space="preserve"> C</w:t>
      </w:r>
      <w:r w:rsidR="00C067B3" w:rsidRPr="003A41B3">
        <w:rPr>
          <w:szCs w:val="20"/>
        </w:rPr>
        <w:t>.</w:t>
      </w:r>
      <w:r w:rsidRPr="003A41B3">
        <w:rPr>
          <w:szCs w:val="20"/>
        </w:rPr>
        <w:t>C</w:t>
      </w:r>
      <w:r w:rsidR="00C067B3" w:rsidRPr="003A41B3">
        <w:rPr>
          <w:szCs w:val="20"/>
        </w:rPr>
        <w:t>.</w:t>
      </w:r>
      <w:r w:rsidRPr="003A41B3">
        <w:rPr>
          <w:szCs w:val="20"/>
        </w:rPr>
        <w:t xml:space="preserve">, </w:t>
      </w:r>
      <w:proofErr w:type="spellStart"/>
      <w:r w:rsidRPr="003A41B3">
        <w:rPr>
          <w:szCs w:val="20"/>
        </w:rPr>
        <w:t>Opp</w:t>
      </w:r>
      <w:proofErr w:type="spellEnd"/>
      <w:r w:rsidR="00C067B3" w:rsidRPr="003A41B3">
        <w:rPr>
          <w:szCs w:val="20"/>
        </w:rPr>
        <w:t>,</w:t>
      </w:r>
      <w:r w:rsidRPr="003A41B3">
        <w:rPr>
          <w:szCs w:val="20"/>
        </w:rPr>
        <w:t xml:space="preserve"> M</w:t>
      </w:r>
      <w:r w:rsidR="00C067B3" w:rsidRPr="003A41B3">
        <w:rPr>
          <w:szCs w:val="20"/>
        </w:rPr>
        <w:t>.</w:t>
      </w:r>
      <w:r w:rsidRPr="003A41B3">
        <w:rPr>
          <w:szCs w:val="20"/>
        </w:rPr>
        <w:t>M</w:t>
      </w:r>
      <w:r w:rsidR="00C067B3" w:rsidRPr="003A41B3">
        <w:rPr>
          <w:szCs w:val="20"/>
        </w:rPr>
        <w:t>.</w:t>
      </w:r>
      <w:r w:rsidRPr="003A41B3">
        <w:rPr>
          <w:szCs w:val="20"/>
        </w:rPr>
        <w:t>, Harris</w:t>
      </w:r>
      <w:r w:rsidR="00C067B3" w:rsidRPr="003A41B3">
        <w:rPr>
          <w:szCs w:val="20"/>
        </w:rPr>
        <w:t>,</w:t>
      </w:r>
      <w:r w:rsidRPr="003A41B3">
        <w:rPr>
          <w:szCs w:val="20"/>
        </w:rPr>
        <w:t xml:space="preserve"> M</w:t>
      </w:r>
      <w:r w:rsidR="00C067B3" w:rsidRPr="003A41B3">
        <w:rPr>
          <w:szCs w:val="20"/>
        </w:rPr>
        <w:t>., 2013.</w:t>
      </w:r>
      <w:r w:rsidRPr="003A41B3">
        <w:rPr>
          <w:szCs w:val="20"/>
        </w:rPr>
        <w:t xml:space="preserve"> </w:t>
      </w:r>
      <w:r w:rsidR="00DB36EC" w:rsidRPr="003A41B3">
        <w:rPr>
          <w:szCs w:val="20"/>
        </w:rPr>
        <w:t>Rating agen</w:t>
      </w:r>
      <w:r w:rsidRPr="003A41B3">
        <w:rPr>
          <w:szCs w:val="20"/>
        </w:rPr>
        <w:t>cies in the face of regulation.</w:t>
      </w:r>
      <w:r w:rsidR="00DB36EC" w:rsidRPr="003A41B3">
        <w:rPr>
          <w:szCs w:val="20"/>
        </w:rPr>
        <w:t xml:space="preserve"> Journal of </w:t>
      </w:r>
      <w:r w:rsidR="00DB36EC" w:rsidRPr="003A41B3">
        <w:t>Financial Economics</w:t>
      </w:r>
      <w:r w:rsidR="00C067B3" w:rsidRPr="003A41B3">
        <w:t xml:space="preserve"> 108, </w:t>
      </w:r>
      <w:r w:rsidR="00DB36EC" w:rsidRPr="003A41B3">
        <w:t>46-61.</w:t>
      </w:r>
    </w:p>
    <w:p w14:paraId="0629D694" w14:textId="122A5202" w:rsidR="00B151A8" w:rsidRPr="003A41B3" w:rsidRDefault="00B151A8" w:rsidP="002C46D3">
      <w:pPr>
        <w:spacing w:line="396" w:lineRule="auto"/>
        <w:jc w:val="both"/>
        <w:rPr>
          <w:szCs w:val="20"/>
        </w:rPr>
      </w:pPr>
    </w:p>
    <w:p w14:paraId="7C98D583" w14:textId="77777777" w:rsidR="00417CCC" w:rsidRPr="003A41B3" w:rsidRDefault="00417CCC" w:rsidP="002C46D3">
      <w:pPr>
        <w:spacing w:line="396" w:lineRule="auto"/>
        <w:jc w:val="both"/>
        <w:rPr>
          <w:szCs w:val="20"/>
        </w:rPr>
      </w:pPr>
    </w:p>
    <w:p w14:paraId="02159898" w14:textId="3D0B9B09" w:rsidR="00222633" w:rsidRPr="003A41B3" w:rsidRDefault="00222633" w:rsidP="00030638">
      <w:pPr>
        <w:spacing w:line="360" w:lineRule="auto"/>
        <w:jc w:val="both"/>
        <w:rPr>
          <w:b/>
        </w:rPr>
      </w:pPr>
      <w:r w:rsidRPr="003A41B3">
        <w:rPr>
          <w:b/>
        </w:rPr>
        <w:lastRenderedPageBreak/>
        <w:t>Table 1</w:t>
      </w:r>
      <w:r w:rsidR="00030638" w:rsidRPr="003A41B3">
        <w:rPr>
          <w:b/>
        </w:rPr>
        <w:t xml:space="preserve">. </w:t>
      </w:r>
      <w:r w:rsidR="00CB5F15" w:rsidRPr="003A41B3">
        <w:rPr>
          <w:b/>
        </w:rPr>
        <w:t xml:space="preserve">Sovereign </w:t>
      </w:r>
      <w:r w:rsidR="00043B18" w:rsidRPr="003A41B3">
        <w:rPr>
          <w:b/>
        </w:rPr>
        <w:t xml:space="preserve">credit rating actions </w:t>
      </w:r>
      <w:r w:rsidR="00CB5F15" w:rsidRPr="003A41B3">
        <w:rPr>
          <w:b/>
        </w:rPr>
        <w:t>by CRAs</w:t>
      </w:r>
      <w:r w:rsidRPr="003A41B3">
        <w:rPr>
          <w:b/>
        </w:rPr>
        <w:t xml:space="preserve"> </w:t>
      </w:r>
    </w:p>
    <w:tbl>
      <w:tblPr>
        <w:tblStyle w:val="PlainTable21"/>
        <w:tblW w:w="0" w:type="auto"/>
        <w:tblBorders>
          <w:top w:val="none" w:sz="0" w:space="0" w:color="auto"/>
          <w:bottom w:val="none" w:sz="0" w:space="0" w:color="auto"/>
        </w:tblBorders>
        <w:tblLayout w:type="fixed"/>
        <w:tblLook w:val="04A0" w:firstRow="1" w:lastRow="0" w:firstColumn="1" w:lastColumn="0" w:noHBand="0" w:noVBand="1"/>
      </w:tblPr>
      <w:tblGrid>
        <w:gridCol w:w="2991"/>
        <w:gridCol w:w="730"/>
        <w:gridCol w:w="1582"/>
        <w:gridCol w:w="793"/>
        <w:gridCol w:w="1036"/>
        <w:gridCol w:w="682"/>
        <w:gridCol w:w="1212"/>
      </w:tblGrid>
      <w:tr w:rsidR="00CB6B13" w:rsidRPr="003A41B3" w14:paraId="38B61DB7" w14:textId="77777777" w:rsidTr="006C0841">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single" w:sz="4" w:space="0" w:color="000000"/>
            </w:tcBorders>
            <w:shd w:val="clear" w:color="auto" w:fill="auto"/>
            <w:noWrap/>
            <w:hideMark/>
          </w:tcPr>
          <w:p w14:paraId="118BB28C" w14:textId="77777777" w:rsidR="00222633" w:rsidRPr="003A41B3" w:rsidRDefault="00222633" w:rsidP="00030638">
            <w:pPr>
              <w:spacing w:line="276" w:lineRule="auto"/>
              <w:rPr>
                <w:sz w:val="22"/>
                <w:szCs w:val="20"/>
              </w:rPr>
            </w:pPr>
            <w:r w:rsidRPr="003A41B3">
              <w:rPr>
                <w:sz w:val="22"/>
                <w:szCs w:val="20"/>
              </w:rPr>
              <w:t>Entire sample</w:t>
            </w:r>
          </w:p>
        </w:tc>
        <w:tc>
          <w:tcPr>
            <w:tcW w:w="2312" w:type="dxa"/>
            <w:gridSpan w:val="2"/>
            <w:tcBorders>
              <w:top w:val="single" w:sz="4" w:space="0" w:color="000000"/>
              <w:bottom w:val="single" w:sz="4" w:space="0" w:color="000000"/>
            </w:tcBorders>
            <w:shd w:val="clear" w:color="auto" w:fill="auto"/>
            <w:noWrap/>
            <w:hideMark/>
          </w:tcPr>
          <w:p w14:paraId="374D6899" w14:textId="77777777" w:rsidR="00222633" w:rsidRPr="003A41B3" w:rsidRDefault="00222633" w:rsidP="00030638">
            <w:pPr>
              <w:spacing w:line="276" w:lineRule="auto"/>
              <w:cnfStyle w:val="100000000000" w:firstRow="1" w:lastRow="0" w:firstColumn="0" w:lastColumn="0" w:oddVBand="0" w:evenVBand="0" w:oddHBand="0" w:evenHBand="0" w:firstRowFirstColumn="0" w:firstRowLastColumn="0" w:lastRowFirstColumn="0" w:lastRowLastColumn="0"/>
              <w:rPr>
                <w:sz w:val="22"/>
                <w:szCs w:val="20"/>
              </w:rPr>
            </w:pPr>
            <w:r w:rsidRPr="003A41B3">
              <w:rPr>
                <w:sz w:val="22"/>
                <w:szCs w:val="20"/>
              </w:rPr>
              <w:t>S&amp;P</w:t>
            </w:r>
          </w:p>
        </w:tc>
        <w:tc>
          <w:tcPr>
            <w:tcW w:w="1829" w:type="dxa"/>
            <w:gridSpan w:val="2"/>
            <w:tcBorders>
              <w:top w:val="single" w:sz="4" w:space="0" w:color="000000"/>
              <w:bottom w:val="single" w:sz="4" w:space="0" w:color="000000"/>
            </w:tcBorders>
            <w:shd w:val="clear" w:color="auto" w:fill="auto"/>
            <w:noWrap/>
            <w:hideMark/>
          </w:tcPr>
          <w:p w14:paraId="2FB287DB" w14:textId="77777777" w:rsidR="00222633" w:rsidRPr="003A41B3" w:rsidRDefault="00222633" w:rsidP="00030638">
            <w:pPr>
              <w:spacing w:line="276" w:lineRule="auto"/>
              <w:cnfStyle w:val="100000000000" w:firstRow="1" w:lastRow="0" w:firstColumn="0" w:lastColumn="0" w:oddVBand="0" w:evenVBand="0" w:oddHBand="0" w:evenHBand="0" w:firstRowFirstColumn="0" w:firstRowLastColumn="0" w:lastRowFirstColumn="0" w:lastRowLastColumn="0"/>
              <w:rPr>
                <w:sz w:val="22"/>
                <w:szCs w:val="20"/>
              </w:rPr>
            </w:pPr>
            <w:r w:rsidRPr="003A41B3">
              <w:rPr>
                <w:sz w:val="22"/>
                <w:szCs w:val="20"/>
              </w:rPr>
              <w:t>Moody's</w:t>
            </w:r>
          </w:p>
        </w:tc>
        <w:tc>
          <w:tcPr>
            <w:tcW w:w="1894" w:type="dxa"/>
            <w:gridSpan w:val="2"/>
            <w:tcBorders>
              <w:top w:val="single" w:sz="4" w:space="0" w:color="000000"/>
              <w:bottom w:val="none" w:sz="0" w:space="0" w:color="auto"/>
            </w:tcBorders>
            <w:shd w:val="clear" w:color="auto" w:fill="auto"/>
            <w:noWrap/>
            <w:hideMark/>
          </w:tcPr>
          <w:p w14:paraId="6F12A0F7" w14:textId="77777777" w:rsidR="00222633" w:rsidRPr="003A41B3" w:rsidRDefault="00222633" w:rsidP="00030638">
            <w:pPr>
              <w:spacing w:line="276" w:lineRule="auto"/>
              <w:cnfStyle w:val="100000000000" w:firstRow="1" w:lastRow="0" w:firstColumn="0" w:lastColumn="0" w:oddVBand="0" w:evenVBand="0" w:oddHBand="0" w:evenHBand="0" w:firstRowFirstColumn="0" w:firstRowLastColumn="0" w:lastRowFirstColumn="0" w:lastRowLastColumn="0"/>
              <w:rPr>
                <w:sz w:val="22"/>
                <w:szCs w:val="20"/>
              </w:rPr>
            </w:pPr>
            <w:r w:rsidRPr="003A41B3">
              <w:rPr>
                <w:sz w:val="22"/>
                <w:szCs w:val="20"/>
              </w:rPr>
              <w:t>Fitch</w:t>
            </w:r>
          </w:p>
        </w:tc>
      </w:tr>
      <w:tr w:rsidR="0072669F" w:rsidRPr="003A41B3" w14:paraId="3E27EE67" w14:textId="77777777" w:rsidTr="006C084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none" w:sz="0" w:space="0" w:color="auto"/>
            </w:tcBorders>
            <w:shd w:val="clear" w:color="auto" w:fill="auto"/>
            <w:noWrap/>
            <w:hideMark/>
          </w:tcPr>
          <w:p w14:paraId="3D9EC43B" w14:textId="77777777" w:rsidR="00222633" w:rsidRPr="003A41B3" w:rsidRDefault="00222633" w:rsidP="00367E75">
            <w:pPr>
              <w:rPr>
                <w:b w:val="0"/>
                <w:sz w:val="20"/>
                <w:szCs w:val="20"/>
              </w:rPr>
            </w:pPr>
            <w:r w:rsidRPr="003A41B3">
              <w:rPr>
                <w:b w:val="0"/>
                <w:sz w:val="20"/>
                <w:szCs w:val="20"/>
              </w:rPr>
              <w:t>Observations</w:t>
            </w:r>
          </w:p>
        </w:tc>
        <w:tc>
          <w:tcPr>
            <w:tcW w:w="730" w:type="dxa"/>
            <w:tcBorders>
              <w:top w:val="single" w:sz="4" w:space="0" w:color="000000"/>
              <w:bottom w:val="none" w:sz="0" w:space="0" w:color="auto"/>
            </w:tcBorders>
            <w:shd w:val="clear" w:color="auto" w:fill="auto"/>
            <w:noWrap/>
            <w:vAlign w:val="center"/>
          </w:tcPr>
          <w:p w14:paraId="0EDAE19B" w14:textId="77777777" w:rsidR="00222633" w:rsidRPr="003A41B3" w:rsidRDefault="00222633"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346</w:t>
            </w:r>
          </w:p>
        </w:tc>
        <w:tc>
          <w:tcPr>
            <w:tcW w:w="1582" w:type="dxa"/>
            <w:tcBorders>
              <w:top w:val="single" w:sz="4" w:space="0" w:color="000000"/>
              <w:bottom w:val="none" w:sz="0" w:space="0" w:color="auto"/>
            </w:tcBorders>
            <w:shd w:val="clear" w:color="auto" w:fill="auto"/>
            <w:noWrap/>
          </w:tcPr>
          <w:p w14:paraId="7E0DA66F" w14:textId="77777777" w:rsidR="00222633" w:rsidRPr="003A41B3" w:rsidRDefault="00222633"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793" w:type="dxa"/>
            <w:tcBorders>
              <w:top w:val="single" w:sz="4" w:space="0" w:color="000000"/>
              <w:bottom w:val="none" w:sz="0" w:space="0" w:color="auto"/>
            </w:tcBorders>
            <w:shd w:val="clear" w:color="auto" w:fill="auto"/>
            <w:noWrap/>
            <w:vAlign w:val="center"/>
          </w:tcPr>
          <w:p w14:paraId="6CB6FA31" w14:textId="77777777" w:rsidR="00222633" w:rsidRPr="003A41B3" w:rsidRDefault="00222633"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245</w:t>
            </w:r>
          </w:p>
        </w:tc>
        <w:tc>
          <w:tcPr>
            <w:tcW w:w="1036" w:type="dxa"/>
            <w:tcBorders>
              <w:top w:val="single" w:sz="4" w:space="0" w:color="000000"/>
              <w:bottom w:val="none" w:sz="0" w:space="0" w:color="auto"/>
            </w:tcBorders>
            <w:shd w:val="clear" w:color="auto" w:fill="auto"/>
            <w:noWrap/>
          </w:tcPr>
          <w:p w14:paraId="42A90C08" w14:textId="77777777" w:rsidR="00222633" w:rsidRPr="003A41B3" w:rsidRDefault="00222633"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682" w:type="dxa"/>
            <w:tcBorders>
              <w:top w:val="single" w:sz="4" w:space="0" w:color="000000"/>
              <w:bottom w:val="none" w:sz="0" w:space="0" w:color="auto"/>
            </w:tcBorders>
            <w:shd w:val="clear" w:color="auto" w:fill="auto"/>
            <w:noWrap/>
            <w:vAlign w:val="center"/>
          </w:tcPr>
          <w:p w14:paraId="6A3F6DD7" w14:textId="77777777" w:rsidR="00222633" w:rsidRPr="003A41B3" w:rsidRDefault="00222633"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232</w:t>
            </w:r>
          </w:p>
        </w:tc>
        <w:tc>
          <w:tcPr>
            <w:tcW w:w="1212" w:type="dxa"/>
            <w:tcBorders>
              <w:top w:val="single" w:sz="4" w:space="0" w:color="000000"/>
              <w:bottom w:val="none" w:sz="0" w:space="0" w:color="auto"/>
            </w:tcBorders>
            <w:shd w:val="clear" w:color="auto" w:fill="auto"/>
            <w:noWrap/>
          </w:tcPr>
          <w:p w14:paraId="1E65B044" w14:textId="77777777" w:rsidR="00222633" w:rsidRPr="003A41B3" w:rsidRDefault="00222633"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72669F" w:rsidRPr="003A41B3" w14:paraId="451E3298" w14:textId="77777777" w:rsidTr="0072669F">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hideMark/>
          </w:tcPr>
          <w:p w14:paraId="1CF1CD1F" w14:textId="77777777" w:rsidR="00222633" w:rsidRPr="003A41B3" w:rsidRDefault="00222633" w:rsidP="00367E75">
            <w:pPr>
              <w:rPr>
                <w:b w:val="0"/>
                <w:sz w:val="20"/>
                <w:szCs w:val="20"/>
              </w:rPr>
            </w:pPr>
            <w:r w:rsidRPr="003A41B3">
              <w:rPr>
                <w:b w:val="0"/>
                <w:sz w:val="20"/>
                <w:szCs w:val="20"/>
              </w:rPr>
              <w:t xml:space="preserve">Average numerical rating </w:t>
            </w:r>
          </w:p>
        </w:tc>
        <w:tc>
          <w:tcPr>
            <w:tcW w:w="730" w:type="dxa"/>
            <w:shd w:val="clear" w:color="auto" w:fill="auto"/>
            <w:noWrap/>
            <w:vAlign w:val="center"/>
          </w:tcPr>
          <w:p w14:paraId="0356E0BA" w14:textId="77777777" w:rsidR="00222633" w:rsidRPr="003A41B3" w:rsidRDefault="00222633"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27.4</w:t>
            </w:r>
            <w:r w:rsidR="0093412E" w:rsidRPr="003A41B3">
              <w:rPr>
                <w:sz w:val="20"/>
                <w:szCs w:val="20"/>
              </w:rPr>
              <w:t>1</w:t>
            </w:r>
          </w:p>
        </w:tc>
        <w:tc>
          <w:tcPr>
            <w:tcW w:w="1582" w:type="dxa"/>
            <w:shd w:val="clear" w:color="auto" w:fill="auto"/>
            <w:noWrap/>
          </w:tcPr>
          <w:p w14:paraId="36F7F778" w14:textId="77777777" w:rsidR="00222633" w:rsidRPr="003A41B3" w:rsidRDefault="00222633"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793" w:type="dxa"/>
            <w:shd w:val="clear" w:color="auto" w:fill="auto"/>
            <w:noWrap/>
            <w:vAlign w:val="center"/>
          </w:tcPr>
          <w:p w14:paraId="61DD7D66" w14:textId="77777777" w:rsidR="00222633" w:rsidRPr="003A41B3" w:rsidRDefault="00222633"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28.1</w:t>
            </w:r>
            <w:r w:rsidR="0072669F" w:rsidRPr="003A41B3">
              <w:rPr>
                <w:sz w:val="20"/>
                <w:szCs w:val="20"/>
              </w:rPr>
              <w:t>3</w:t>
            </w:r>
          </w:p>
        </w:tc>
        <w:tc>
          <w:tcPr>
            <w:tcW w:w="1036" w:type="dxa"/>
            <w:shd w:val="clear" w:color="auto" w:fill="auto"/>
            <w:noWrap/>
          </w:tcPr>
          <w:p w14:paraId="0920A4D9" w14:textId="77777777" w:rsidR="00222633" w:rsidRPr="003A41B3" w:rsidRDefault="00222633"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682" w:type="dxa"/>
            <w:shd w:val="clear" w:color="auto" w:fill="auto"/>
            <w:noWrap/>
            <w:vAlign w:val="center"/>
          </w:tcPr>
          <w:p w14:paraId="4460D6CC" w14:textId="77777777" w:rsidR="00222633" w:rsidRPr="003A41B3" w:rsidRDefault="00222633"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29.</w:t>
            </w:r>
            <w:r w:rsidR="0072669F" w:rsidRPr="003A41B3">
              <w:rPr>
                <w:sz w:val="20"/>
                <w:szCs w:val="20"/>
              </w:rPr>
              <w:t>07</w:t>
            </w:r>
          </w:p>
        </w:tc>
        <w:tc>
          <w:tcPr>
            <w:tcW w:w="1212" w:type="dxa"/>
            <w:shd w:val="clear" w:color="auto" w:fill="auto"/>
            <w:noWrap/>
          </w:tcPr>
          <w:p w14:paraId="521D3244" w14:textId="77777777" w:rsidR="00222633" w:rsidRPr="003A41B3" w:rsidRDefault="00222633"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E042C0" w:rsidRPr="003A41B3" w14:paraId="0242C11A"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3287CD88" w14:textId="77777777" w:rsidR="00E042C0" w:rsidRPr="003A41B3" w:rsidRDefault="00E042C0" w:rsidP="00367E75">
            <w:pPr>
              <w:rPr>
                <w:b w:val="0"/>
                <w:sz w:val="20"/>
                <w:szCs w:val="20"/>
              </w:rPr>
            </w:pPr>
            <w:r w:rsidRPr="003A41B3">
              <w:rPr>
                <w:rFonts w:eastAsia="Times New Roman"/>
                <w:b w:val="0"/>
                <w:bCs w:val="0"/>
                <w:sz w:val="20"/>
                <w:szCs w:val="20"/>
              </w:rPr>
              <w:t>Positive events</w:t>
            </w:r>
          </w:p>
        </w:tc>
        <w:tc>
          <w:tcPr>
            <w:tcW w:w="730" w:type="dxa"/>
            <w:tcBorders>
              <w:top w:val="none" w:sz="0" w:space="0" w:color="auto"/>
              <w:bottom w:val="none" w:sz="0" w:space="0" w:color="auto"/>
            </w:tcBorders>
            <w:shd w:val="clear" w:color="auto" w:fill="auto"/>
            <w:noWrap/>
            <w:vAlign w:val="center"/>
          </w:tcPr>
          <w:p w14:paraId="1EE4ABDB"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152</w:t>
            </w:r>
          </w:p>
        </w:tc>
        <w:tc>
          <w:tcPr>
            <w:tcW w:w="1582" w:type="dxa"/>
            <w:tcBorders>
              <w:top w:val="none" w:sz="0" w:space="0" w:color="auto"/>
              <w:bottom w:val="none" w:sz="0" w:space="0" w:color="auto"/>
            </w:tcBorders>
            <w:shd w:val="clear" w:color="auto" w:fill="auto"/>
            <w:noWrap/>
            <w:vAlign w:val="center"/>
          </w:tcPr>
          <w:p w14:paraId="45A1B50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43.93%</w:t>
            </w:r>
          </w:p>
        </w:tc>
        <w:tc>
          <w:tcPr>
            <w:tcW w:w="793" w:type="dxa"/>
            <w:tcBorders>
              <w:top w:val="none" w:sz="0" w:space="0" w:color="auto"/>
              <w:bottom w:val="none" w:sz="0" w:space="0" w:color="auto"/>
            </w:tcBorders>
            <w:shd w:val="clear" w:color="auto" w:fill="auto"/>
            <w:noWrap/>
            <w:vAlign w:val="center"/>
          </w:tcPr>
          <w:p w14:paraId="67AB4195"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141</w:t>
            </w:r>
          </w:p>
        </w:tc>
        <w:tc>
          <w:tcPr>
            <w:tcW w:w="1036" w:type="dxa"/>
            <w:tcBorders>
              <w:top w:val="none" w:sz="0" w:space="0" w:color="auto"/>
              <w:bottom w:val="none" w:sz="0" w:space="0" w:color="auto"/>
            </w:tcBorders>
            <w:shd w:val="clear" w:color="auto" w:fill="auto"/>
            <w:noWrap/>
            <w:vAlign w:val="center"/>
          </w:tcPr>
          <w:p w14:paraId="2FFFE21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57.55%</w:t>
            </w:r>
          </w:p>
        </w:tc>
        <w:tc>
          <w:tcPr>
            <w:tcW w:w="682" w:type="dxa"/>
            <w:tcBorders>
              <w:top w:val="none" w:sz="0" w:space="0" w:color="auto"/>
              <w:bottom w:val="none" w:sz="0" w:space="0" w:color="auto"/>
            </w:tcBorders>
            <w:shd w:val="clear" w:color="auto" w:fill="auto"/>
            <w:noWrap/>
            <w:vAlign w:val="center"/>
          </w:tcPr>
          <w:p w14:paraId="069295C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116</w:t>
            </w:r>
          </w:p>
        </w:tc>
        <w:tc>
          <w:tcPr>
            <w:tcW w:w="1212" w:type="dxa"/>
            <w:tcBorders>
              <w:top w:val="none" w:sz="0" w:space="0" w:color="auto"/>
              <w:bottom w:val="none" w:sz="0" w:space="0" w:color="auto"/>
            </w:tcBorders>
            <w:shd w:val="clear" w:color="auto" w:fill="auto"/>
            <w:noWrap/>
            <w:vAlign w:val="center"/>
          </w:tcPr>
          <w:p w14:paraId="4089D1C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50.00%</w:t>
            </w:r>
          </w:p>
        </w:tc>
      </w:tr>
      <w:tr w:rsidR="00E042C0" w:rsidRPr="003A41B3" w14:paraId="4FF78BE0"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55F6C02F" w14:textId="77777777" w:rsidR="00E042C0" w:rsidRPr="003A41B3" w:rsidRDefault="00E042C0" w:rsidP="00367E75">
            <w:pPr>
              <w:rPr>
                <w:b w:val="0"/>
                <w:sz w:val="20"/>
                <w:szCs w:val="20"/>
              </w:rPr>
            </w:pPr>
            <w:r w:rsidRPr="003A41B3">
              <w:rPr>
                <w:rFonts w:eastAsia="Times New Roman"/>
                <w:b w:val="0"/>
                <w:bCs w:val="0"/>
                <w:sz w:val="20"/>
                <w:szCs w:val="20"/>
              </w:rPr>
              <w:t>Upgrade by 1 CCR point</w:t>
            </w:r>
          </w:p>
        </w:tc>
        <w:tc>
          <w:tcPr>
            <w:tcW w:w="730" w:type="dxa"/>
            <w:shd w:val="clear" w:color="auto" w:fill="auto"/>
            <w:noWrap/>
            <w:vAlign w:val="center"/>
          </w:tcPr>
          <w:p w14:paraId="7637BEB0"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77</w:t>
            </w:r>
          </w:p>
        </w:tc>
        <w:tc>
          <w:tcPr>
            <w:tcW w:w="1582" w:type="dxa"/>
            <w:shd w:val="clear" w:color="auto" w:fill="auto"/>
            <w:noWrap/>
            <w:vAlign w:val="center"/>
          </w:tcPr>
          <w:p w14:paraId="539B613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22.25%</w:t>
            </w:r>
            <w:r w:rsidRPr="003A41B3">
              <w:rPr>
                <w:rFonts w:eastAsia="Times New Roman"/>
                <w:sz w:val="16"/>
                <w:szCs w:val="16"/>
              </w:rPr>
              <w:t>  </w:t>
            </w:r>
          </w:p>
        </w:tc>
        <w:tc>
          <w:tcPr>
            <w:tcW w:w="793" w:type="dxa"/>
            <w:shd w:val="clear" w:color="auto" w:fill="auto"/>
            <w:noWrap/>
            <w:vAlign w:val="center"/>
          </w:tcPr>
          <w:p w14:paraId="0AEC8D5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74</w:t>
            </w:r>
          </w:p>
        </w:tc>
        <w:tc>
          <w:tcPr>
            <w:tcW w:w="1036" w:type="dxa"/>
            <w:shd w:val="clear" w:color="auto" w:fill="auto"/>
            <w:noWrap/>
            <w:vAlign w:val="center"/>
          </w:tcPr>
          <w:p w14:paraId="2FF7E63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30.20%</w:t>
            </w:r>
          </w:p>
        </w:tc>
        <w:tc>
          <w:tcPr>
            <w:tcW w:w="682" w:type="dxa"/>
            <w:shd w:val="clear" w:color="auto" w:fill="auto"/>
            <w:noWrap/>
            <w:vAlign w:val="center"/>
          </w:tcPr>
          <w:p w14:paraId="544816C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52</w:t>
            </w:r>
          </w:p>
        </w:tc>
        <w:tc>
          <w:tcPr>
            <w:tcW w:w="1212" w:type="dxa"/>
            <w:shd w:val="clear" w:color="auto" w:fill="auto"/>
            <w:noWrap/>
            <w:vAlign w:val="center"/>
          </w:tcPr>
          <w:p w14:paraId="6C9FF7E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22.42%</w:t>
            </w:r>
          </w:p>
        </w:tc>
      </w:tr>
      <w:tr w:rsidR="00E042C0" w:rsidRPr="003A41B3" w14:paraId="3F3D3E8F"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66BDFA8C" w14:textId="77777777" w:rsidR="00E042C0" w:rsidRPr="003A41B3" w:rsidRDefault="00E042C0" w:rsidP="00367E75">
            <w:pPr>
              <w:rPr>
                <w:b w:val="0"/>
                <w:sz w:val="20"/>
                <w:szCs w:val="20"/>
              </w:rPr>
            </w:pPr>
            <w:r w:rsidRPr="003A41B3">
              <w:rPr>
                <w:rFonts w:eastAsia="Times New Roman"/>
                <w:b w:val="0"/>
                <w:sz w:val="20"/>
                <w:szCs w:val="20"/>
              </w:rPr>
              <w:t>Upgrade by 2 CCR point</w:t>
            </w:r>
          </w:p>
        </w:tc>
        <w:tc>
          <w:tcPr>
            <w:tcW w:w="730" w:type="dxa"/>
            <w:tcBorders>
              <w:top w:val="none" w:sz="0" w:space="0" w:color="auto"/>
              <w:bottom w:val="none" w:sz="0" w:space="0" w:color="auto"/>
            </w:tcBorders>
            <w:shd w:val="clear" w:color="auto" w:fill="auto"/>
            <w:noWrap/>
            <w:vAlign w:val="center"/>
          </w:tcPr>
          <w:p w14:paraId="2141B576"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36</w:t>
            </w:r>
          </w:p>
        </w:tc>
        <w:tc>
          <w:tcPr>
            <w:tcW w:w="1582" w:type="dxa"/>
            <w:tcBorders>
              <w:top w:val="none" w:sz="0" w:space="0" w:color="auto"/>
              <w:bottom w:val="none" w:sz="0" w:space="0" w:color="auto"/>
            </w:tcBorders>
            <w:shd w:val="clear" w:color="auto" w:fill="auto"/>
            <w:noWrap/>
            <w:vAlign w:val="center"/>
          </w:tcPr>
          <w:p w14:paraId="70DB393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10.41%</w:t>
            </w:r>
          </w:p>
        </w:tc>
        <w:tc>
          <w:tcPr>
            <w:tcW w:w="793" w:type="dxa"/>
            <w:tcBorders>
              <w:top w:val="none" w:sz="0" w:space="0" w:color="auto"/>
              <w:bottom w:val="none" w:sz="0" w:space="0" w:color="auto"/>
            </w:tcBorders>
            <w:shd w:val="clear" w:color="auto" w:fill="auto"/>
            <w:noWrap/>
            <w:vAlign w:val="center"/>
          </w:tcPr>
          <w:p w14:paraId="252F12E1"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41</w:t>
            </w:r>
          </w:p>
        </w:tc>
        <w:tc>
          <w:tcPr>
            <w:tcW w:w="1036" w:type="dxa"/>
            <w:tcBorders>
              <w:top w:val="none" w:sz="0" w:space="0" w:color="auto"/>
              <w:bottom w:val="none" w:sz="0" w:space="0" w:color="auto"/>
            </w:tcBorders>
            <w:shd w:val="clear" w:color="auto" w:fill="auto"/>
            <w:noWrap/>
            <w:vAlign w:val="center"/>
          </w:tcPr>
          <w:p w14:paraId="19F40D3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16.73%</w:t>
            </w:r>
          </w:p>
        </w:tc>
        <w:tc>
          <w:tcPr>
            <w:tcW w:w="682" w:type="dxa"/>
            <w:tcBorders>
              <w:top w:val="none" w:sz="0" w:space="0" w:color="auto"/>
              <w:bottom w:val="none" w:sz="0" w:space="0" w:color="auto"/>
            </w:tcBorders>
            <w:shd w:val="clear" w:color="auto" w:fill="auto"/>
            <w:noWrap/>
            <w:vAlign w:val="center"/>
          </w:tcPr>
          <w:p w14:paraId="42AAE745"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35</w:t>
            </w:r>
          </w:p>
        </w:tc>
        <w:tc>
          <w:tcPr>
            <w:tcW w:w="1212" w:type="dxa"/>
            <w:tcBorders>
              <w:top w:val="none" w:sz="0" w:space="0" w:color="auto"/>
              <w:bottom w:val="none" w:sz="0" w:space="0" w:color="auto"/>
            </w:tcBorders>
            <w:shd w:val="clear" w:color="auto" w:fill="auto"/>
            <w:noWrap/>
            <w:vAlign w:val="center"/>
          </w:tcPr>
          <w:p w14:paraId="31770D1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15.08%</w:t>
            </w:r>
          </w:p>
        </w:tc>
      </w:tr>
      <w:tr w:rsidR="00E042C0" w:rsidRPr="003A41B3" w14:paraId="1E45E6FF"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2B95D7AE" w14:textId="77777777" w:rsidR="00E042C0" w:rsidRPr="003A41B3" w:rsidRDefault="00E042C0" w:rsidP="00367E75">
            <w:pPr>
              <w:rPr>
                <w:b w:val="0"/>
                <w:sz w:val="20"/>
                <w:szCs w:val="20"/>
              </w:rPr>
            </w:pPr>
            <w:r w:rsidRPr="003A41B3">
              <w:rPr>
                <w:rFonts w:eastAsia="Times New Roman"/>
                <w:b w:val="0"/>
                <w:bCs w:val="0"/>
                <w:sz w:val="20"/>
                <w:szCs w:val="20"/>
              </w:rPr>
              <w:t>Upgrade by &gt; 2 CCR point</w:t>
            </w:r>
          </w:p>
        </w:tc>
        <w:tc>
          <w:tcPr>
            <w:tcW w:w="730" w:type="dxa"/>
            <w:shd w:val="clear" w:color="auto" w:fill="auto"/>
            <w:noWrap/>
            <w:vAlign w:val="center"/>
          </w:tcPr>
          <w:p w14:paraId="2E7FFEFC"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39</w:t>
            </w:r>
          </w:p>
        </w:tc>
        <w:tc>
          <w:tcPr>
            <w:tcW w:w="1582" w:type="dxa"/>
            <w:shd w:val="clear" w:color="auto" w:fill="auto"/>
            <w:noWrap/>
            <w:vAlign w:val="center"/>
          </w:tcPr>
          <w:p w14:paraId="7F65DC0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11.27%</w:t>
            </w:r>
          </w:p>
        </w:tc>
        <w:tc>
          <w:tcPr>
            <w:tcW w:w="793" w:type="dxa"/>
            <w:shd w:val="clear" w:color="auto" w:fill="auto"/>
            <w:noWrap/>
            <w:vAlign w:val="center"/>
          </w:tcPr>
          <w:p w14:paraId="01B76B51"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26</w:t>
            </w:r>
          </w:p>
        </w:tc>
        <w:tc>
          <w:tcPr>
            <w:tcW w:w="1036" w:type="dxa"/>
            <w:shd w:val="clear" w:color="auto" w:fill="auto"/>
            <w:noWrap/>
            <w:vAlign w:val="center"/>
          </w:tcPr>
          <w:p w14:paraId="749CA351"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10.61%</w:t>
            </w:r>
          </w:p>
        </w:tc>
        <w:tc>
          <w:tcPr>
            <w:tcW w:w="682" w:type="dxa"/>
            <w:shd w:val="clear" w:color="auto" w:fill="auto"/>
            <w:noWrap/>
            <w:vAlign w:val="center"/>
          </w:tcPr>
          <w:p w14:paraId="383250A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29</w:t>
            </w:r>
          </w:p>
        </w:tc>
        <w:tc>
          <w:tcPr>
            <w:tcW w:w="1212" w:type="dxa"/>
            <w:shd w:val="clear" w:color="auto" w:fill="auto"/>
            <w:noWrap/>
            <w:vAlign w:val="center"/>
          </w:tcPr>
          <w:p w14:paraId="7D4D6C6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12.50%</w:t>
            </w:r>
          </w:p>
        </w:tc>
      </w:tr>
      <w:tr w:rsidR="00E042C0" w:rsidRPr="003A41B3" w14:paraId="737A945E"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7ABB8419" w14:textId="77777777" w:rsidR="00E042C0" w:rsidRPr="003A41B3" w:rsidRDefault="00E042C0" w:rsidP="00367E75">
            <w:pPr>
              <w:rPr>
                <w:b w:val="0"/>
                <w:sz w:val="20"/>
                <w:szCs w:val="20"/>
              </w:rPr>
            </w:pPr>
            <w:r w:rsidRPr="003A41B3">
              <w:rPr>
                <w:rFonts w:eastAsia="Times New Roman"/>
                <w:b w:val="0"/>
                <w:bCs w:val="0"/>
                <w:sz w:val="20"/>
                <w:szCs w:val="20"/>
              </w:rPr>
              <w:t>Negative events</w:t>
            </w:r>
          </w:p>
        </w:tc>
        <w:tc>
          <w:tcPr>
            <w:tcW w:w="730" w:type="dxa"/>
            <w:tcBorders>
              <w:top w:val="none" w:sz="0" w:space="0" w:color="auto"/>
              <w:bottom w:val="none" w:sz="0" w:space="0" w:color="auto"/>
            </w:tcBorders>
            <w:shd w:val="clear" w:color="auto" w:fill="auto"/>
            <w:noWrap/>
            <w:vAlign w:val="center"/>
          </w:tcPr>
          <w:p w14:paraId="06C7AD85"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194</w:t>
            </w:r>
          </w:p>
        </w:tc>
        <w:tc>
          <w:tcPr>
            <w:tcW w:w="1582" w:type="dxa"/>
            <w:tcBorders>
              <w:top w:val="none" w:sz="0" w:space="0" w:color="auto"/>
              <w:bottom w:val="none" w:sz="0" w:space="0" w:color="auto"/>
            </w:tcBorders>
            <w:shd w:val="clear" w:color="auto" w:fill="auto"/>
            <w:noWrap/>
            <w:vAlign w:val="center"/>
          </w:tcPr>
          <w:p w14:paraId="3558734D"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56.07%</w:t>
            </w:r>
          </w:p>
        </w:tc>
        <w:tc>
          <w:tcPr>
            <w:tcW w:w="793" w:type="dxa"/>
            <w:tcBorders>
              <w:top w:val="none" w:sz="0" w:space="0" w:color="auto"/>
              <w:bottom w:val="none" w:sz="0" w:space="0" w:color="auto"/>
            </w:tcBorders>
            <w:shd w:val="clear" w:color="auto" w:fill="auto"/>
            <w:noWrap/>
            <w:vAlign w:val="center"/>
          </w:tcPr>
          <w:p w14:paraId="1D4C1C5A"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104</w:t>
            </w:r>
          </w:p>
        </w:tc>
        <w:tc>
          <w:tcPr>
            <w:tcW w:w="1036" w:type="dxa"/>
            <w:tcBorders>
              <w:top w:val="none" w:sz="0" w:space="0" w:color="auto"/>
              <w:bottom w:val="none" w:sz="0" w:space="0" w:color="auto"/>
            </w:tcBorders>
            <w:shd w:val="clear" w:color="auto" w:fill="auto"/>
            <w:noWrap/>
            <w:vAlign w:val="center"/>
          </w:tcPr>
          <w:p w14:paraId="0BE8783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42.45%</w:t>
            </w:r>
          </w:p>
        </w:tc>
        <w:tc>
          <w:tcPr>
            <w:tcW w:w="682" w:type="dxa"/>
            <w:tcBorders>
              <w:top w:val="none" w:sz="0" w:space="0" w:color="auto"/>
              <w:bottom w:val="none" w:sz="0" w:space="0" w:color="auto"/>
            </w:tcBorders>
            <w:shd w:val="clear" w:color="auto" w:fill="auto"/>
            <w:noWrap/>
            <w:vAlign w:val="center"/>
          </w:tcPr>
          <w:p w14:paraId="7057E549"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116</w:t>
            </w:r>
          </w:p>
        </w:tc>
        <w:tc>
          <w:tcPr>
            <w:tcW w:w="1212" w:type="dxa"/>
            <w:tcBorders>
              <w:top w:val="none" w:sz="0" w:space="0" w:color="auto"/>
              <w:bottom w:val="none" w:sz="0" w:space="0" w:color="auto"/>
            </w:tcBorders>
            <w:shd w:val="clear" w:color="auto" w:fill="auto"/>
            <w:noWrap/>
            <w:vAlign w:val="center"/>
          </w:tcPr>
          <w:p w14:paraId="77041A8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50.00%</w:t>
            </w:r>
          </w:p>
        </w:tc>
      </w:tr>
      <w:tr w:rsidR="00E042C0" w:rsidRPr="003A41B3" w14:paraId="19F0493F"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tcPr>
          <w:p w14:paraId="409AC692" w14:textId="77777777" w:rsidR="00E042C0" w:rsidRPr="003A41B3" w:rsidRDefault="00E042C0" w:rsidP="00367E75">
            <w:pPr>
              <w:rPr>
                <w:rFonts w:eastAsia="Times New Roman"/>
                <w:b w:val="0"/>
                <w:bCs w:val="0"/>
                <w:sz w:val="20"/>
                <w:szCs w:val="20"/>
              </w:rPr>
            </w:pPr>
            <w:r w:rsidRPr="003A41B3">
              <w:rPr>
                <w:rFonts w:eastAsia="Times New Roman"/>
                <w:b w:val="0"/>
                <w:bCs w:val="0"/>
                <w:sz w:val="20"/>
                <w:szCs w:val="20"/>
              </w:rPr>
              <w:t>Downgrade by 1 CCR point</w:t>
            </w:r>
          </w:p>
        </w:tc>
        <w:tc>
          <w:tcPr>
            <w:tcW w:w="730" w:type="dxa"/>
            <w:shd w:val="clear" w:color="auto" w:fill="auto"/>
            <w:noWrap/>
            <w:vAlign w:val="center"/>
          </w:tcPr>
          <w:p w14:paraId="0CC0A296"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94</w:t>
            </w:r>
          </w:p>
        </w:tc>
        <w:tc>
          <w:tcPr>
            <w:tcW w:w="1582" w:type="dxa"/>
            <w:shd w:val="clear" w:color="auto" w:fill="auto"/>
            <w:noWrap/>
            <w:vAlign w:val="center"/>
          </w:tcPr>
          <w:p w14:paraId="552A1C4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27.17%</w:t>
            </w:r>
          </w:p>
        </w:tc>
        <w:tc>
          <w:tcPr>
            <w:tcW w:w="793" w:type="dxa"/>
            <w:shd w:val="clear" w:color="auto" w:fill="auto"/>
            <w:noWrap/>
            <w:vAlign w:val="center"/>
          </w:tcPr>
          <w:p w14:paraId="4B8B83B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47</w:t>
            </w:r>
          </w:p>
        </w:tc>
        <w:tc>
          <w:tcPr>
            <w:tcW w:w="1036" w:type="dxa"/>
            <w:shd w:val="clear" w:color="auto" w:fill="auto"/>
            <w:noWrap/>
            <w:vAlign w:val="center"/>
          </w:tcPr>
          <w:p w14:paraId="4248FEF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19.18%</w:t>
            </w:r>
          </w:p>
        </w:tc>
        <w:tc>
          <w:tcPr>
            <w:tcW w:w="682" w:type="dxa"/>
            <w:shd w:val="clear" w:color="auto" w:fill="auto"/>
            <w:noWrap/>
            <w:vAlign w:val="center"/>
          </w:tcPr>
          <w:p w14:paraId="056A0A6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57</w:t>
            </w:r>
          </w:p>
        </w:tc>
        <w:tc>
          <w:tcPr>
            <w:tcW w:w="1212" w:type="dxa"/>
            <w:shd w:val="clear" w:color="auto" w:fill="auto"/>
            <w:noWrap/>
            <w:vAlign w:val="center"/>
          </w:tcPr>
          <w:p w14:paraId="501D952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24.57%</w:t>
            </w:r>
          </w:p>
        </w:tc>
      </w:tr>
      <w:tr w:rsidR="00E042C0" w:rsidRPr="003A41B3" w14:paraId="6B7C5464"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tcPr>
          <w:p w14:paraId="3236B953" w14:textId="77777777" w:rsidR="00E042C0" w:rsidRPr="003A41B3" w:rsidRDefault="00E042C0" w:rsidP="00367E75">
            <w:pPr>
              <w:rPr>
                <w:rFonts w:eastAsia="Times New Roman"/>
                <w:b w:val="0"/>
                <w:bCs w:val="0"/>
                <w:sz w:val="20"/>
                <w:szCs w:val="20"/>
              </w:rPr>
            </w:pPr>
            <w:r w:rsidRPr="003A41B3">
              <w:rPr>
                <w:rFonts w:eastAsia="Times New Roman"/>
                <w:b w:val="0"/>
                <w:bCs w:val="0"/>
                <w:sz w:val="20"/>
                <w:szCs w:val="20"/>
              </w:rPr>
              <w:t>Downgrade by 2 CCR point</w:t>
            </w:r>
          </w:p>
        </w:tc>
        <w:tc>
          <w:tcPr>
            <w:tcW w:w="730" w:type="dxa"/>
            <w:tcBorders>
              <w:top w:val="none" w:sz="0" w:space="0" w:color="auto"/>
              <w:bottom w:val="none" w:sz="0" w:space="0" w:color="auto"/>
            </w:tcBorders>
            <w:shd w:val="clear" w:color="auto" w:fill="auto"/>
            <w:noWrap/>
            <w:vAlign w:val="center"/>
          </w:tcPr>
          <w:p w14:paraId="78706AE8"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43</w:t>
            </w:r>
          </w:p>
        </w:tc>
        <w:tc>
          <w:tcPr>
            <w:tcW w:w="1582" w:type="dxa"/>
            <w:tcBorders>
              <w:top w:val="none" w:sz="0" w:space="0" w:color="auto"/>
              <w:bottom w:val="none" w:sz="0" w:space="0" w:color="auto"/>
            </w:tcBorders>
            <w:shd w:val="clear" w:color="auto" w:fill="auto"/>
            <w:noWrap/>
            <w:vAlign w:val="center"/>
          </w:tcPr>
          <w:p w14:paraId="0BC24A9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12.43%</w:t>
            </w:r>
          </w:p>
        </w:tc>
        <w:tc>
          <w:tcPr>
            <w:tcW w:w="793" w:type="dxa"/>
            <w:tcBorders>
              <w:top w:val="none" w:sz="0" w:space="0" w:color="auto"/>
              <w:bottom w:val="none" w:sz="0" w:space="0" w:color="auto"/>
            </w:tcBorders>
            <w:shd w:val="clear" w:color="auto" w:fill="auto"/>
            <w:noWrap/>
            <w:vAlign w:val="center"/>
          </w:tcPr>
          <w:p w14:paraId="37B4EDC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35</w:t>
            </w:r>
          </w:p>
        </w:tc>
        <w:tc>
          <w:tcPr>
            <w:tcW w:w="1036" w:type="dxa"/>
            <w:tcBorders>
              <w:top w:val="none" w:sz="0" w:space="0" w:color="auto"/>
              <w:bottom w:val="none" w:sz="0" w:space="0" w:color="auto"/>
            </w:tcBorders>
            <w:shd w:val="clear" w:color="auto" w:fill="auto"/>
            <w:noWrap/>
            <w:vAlign w:val="center"/>
          </w:tcPr>
          <w:p w14:paraId="3311EFF6"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14.29%</w:t>
            </w:r>
          </w:p>
        </w:tc>
        <w:tc>
          <w:tcPr>
            <w:tcW w:w="682" w:type="dxa"/>
            <w:tcBorders>
              <w:top w:val="none" w:sz="0" w:space="0" w:color="auto"/>
              <w:bottom w:val="none" w:sz="0" w:space="0" w:color="auto"/>
            </w:tcBorders>
            <w:shd w:val="clear" w:color="auto" w:fill="auto"/>
            <w:noWrap/>
            <w:vAlign w:val="center"/>
          </w:tcPr>
          <w:p w14:paraId="522F8AF4"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22</w:t>
            </w:r>
          </w:p>
        </w:tc>
        <w:tc>
          <w:tcPr>
            <w:tcW w:w="1212" w:type="dxa"/>
            <w:tcBorders>
              <w:top w:val="none" w:sz="0" w:space="0" w:color="auto"/>
              <w:bottom w:val="none" w:sz="0" w:space="0" w:color="auto"/>
            </w:tcBorders>
            <w:shd w:val="clear" w:color="auto" w:fill="auto"/>
            <w:noWrap/>
            <w:vAlign w:val="center"/>
          </w:tcPr>
          <w:p w14:paraId="04F2A3A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9.48%</w:t>
            </w:r>
          </w:p>
        </w:tc>
      </w:tr>
      <w:tr w:rsidR="00E042C0" w:rsidRPr="003A41B3" w14:paraId="3037F2AF" w14:textId="77777777" w:rsidTr="00E042C0">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tcPr>
          <w:p w14:paraId="1BBE78AA" w14:textId="77777777" w:rsidR="00E042C0" w:rsidRPr="003A41B3" w:rsidRDefault="00E042C0" w:rsidP="00367E75">
            <w:pPr>
              <w:rPr>
                <w:b w:val="0"/>
                <w:sz w:val="20"/>
                <w:szCs w:val="20"/>
              </w:rPr>
            </w:pPr>
            <w:r w:rsidRPr="003A41B3">
              <w:rPr>
                <w:b w:val="0"/>
                <w:sz w:val="20"/>
                <w:szCs w:val="20"/>
              </w:rPr>
              <w:t>Downgrade by &gt; 2 CCR point</w:t>
            </w:r>
          </w:p>
        </w:tc>
        <w:tc>
          <w:tcPr>
            <w:tcW w:w="730" w:type="dxa"/>
            <w:shd w:val="clear" w:color="auto" w:fill="auto"/>
            <w:noWrap/>
            <w:vAlign w:val="center"/>
          </w:tcPr>
          <w:p w14:paraId="7527E0CE"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57</w:t>
            </w:r>
          </w:p>
        </w:tc>
        <w:tc>
          <w:tcPr>
            <w:tcW w:w="1582" w:type="dxa"/>
            <w:shd w:val="clear" w:color="auto" w:fill="auto"/>
            <w:noWrap/>
            <w:vAlign w:val="center"/>
          </w:tcPr>
          <w:p w14:paraId="15E830E1"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16.47%</w:t>
            </w:r>
          </w:p>
        </w:tc>
        <w:tc>
          <w:tcPr>
            <w:tcW w:w="793" w:type="dxa"/>
            <w:shd w:val="clear" w:color="auto" w:fill="auto"/>
            <w:noWrap/>
            <w:vAlign w:val="center"/>
          </w:tcPr>
          <w:p w14:paraId="07A7ECE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w:t>
            </w:r>
          </w:p>
        </w:tc>
        <w:tc>
          <w:tcPr>
            <w:tcW w:w="1036" w:type="dxa"/>
            <w:shd w:val="clear" w:color="auto" w:fill="auto"/>
            <w:noWrap/>
            <w:vAlign w:val="center"/>
          </w:tcPr>
          <w:p w14:paraId="50380021"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8.98%</w:t>
            </w:r>
          </w:p>
        </w:tc>
        <w:tc>
          <w:tcPr>
            <w:tcW w:w="682" w:type="dxa"/>
            <w:shd w:val="clear" w:color="auto" w:fill="auto"/>
            <w:noWrap/>
            <w:vAlign w:val="center"/>
          </w:tcPr>
          <w:p w14:paraId="0F69E44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37</w:t>
            </w:r>
          </w:p>
        </w:tc>
        <w:tc>
          <w:tcPr>
            <w:tcW w:w="1212" w:type="dxa"/>
            <w:shd w:val="clear" w:color="auto" w:fill="auto"/>
            <w:noWrap/>
            <w:vAlign w:val="center"/>
          </w:tcPr>
          <w:p w14:paraId="6C666B8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15.95%</w:t>
            </w:r>
          </w:p>
        </w:tc>
      </w:tr>
      <w:tr w:rsidR="00E042C0" w:rsidRPr="003A41B3" w14:paraId="7B4282E5" w14:textId="77777777" w:rsidTr="00DF524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single" w:sz="4" w:space="0" w:color="000000"/>
            </w:tcBorders>
            <w:shd w:val="clear" w:color="auto" w:fill="auto"/>
            <w:noWrap/>
            <w:hideMark/>
          </w:tcPr>
          <w:p w14:paraId="6D65F8EA" w14:textId="77777777" w:rsidR="00E042C0" w:rsidRPr="003A41B3" w:rsidRDefault="00E042C0" w:rsidP="00367E75">
            <w:pPr>
              <w:rPr>
                <w:b w:val="0"/>
                <w:sz w:val="20"/>
                <w:szCs w:val="20"/>
              </w:rPr>
            </w:pPr>
            <w:r w:rsidRPr="003A41B3">
              <w:rPr>
                <w:b w:val="0"/>
                <w:sz w:val="20"/>
                <w:szCs w:val="20"/>
              </w:rPr>
              <w:t>Total no of events</w:t>
            </w:r>
          </w:p>
        </w:tc>
        <w:tc>
          <w:tcPr>
            <w:tcW w:w="730" w:type="dxa"/>
            <w:tcBorders>
              <w:top w:val="none" w:sz="0" w:space="0" w:color="auto"/>
              <w:bottom w:val="single" w:sz="4" w:space="0" w:color="000000"/>
            </w:tcBorders>
            <w:shd w:val="clear" w:color="auto" w:fill="auto"/>
            <w:noWrap/>
            <w:vAlign w:val="center"/>
          </w:tcPr>
          <w:p w14:paraId="7C0B24F0"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346</w:t>
            </w:r>
          </w:p>
        </w:tc>
        <w:tc>
          <w:tcPr>
            <w:tcW w:w="1582" w:type="dxa"/>
            <w:tcBorders>
              <w:top w:val="none" w:sz="0" w:space="0" w:color="auto"/>
              <w:bottom w:val="single" w:sz="4" w:space="0" w:color="000000"/>
            </w:tcBorders>
            <w:shd w:val="clear" w:color="auto" w:fill="auto"/>
            <w:noWrap/>
            <w:vAlign w:val="center"/>
          </w:tcPr>
          <w:p w14:paraId="5294F5C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793" w:type="dxa"/>
            <w:tcBorders>
              <w:top w:val="none" w:sz="0" w:space="0" w:color="auto"/>
              <w:bottom w:val="single" w:sz="4" w:space="0" w:color="000000"/>
            </w:tcBorders>
            <w:shd w:val="clear" w:color="auto" w:fill="auto"/>
            <w:noWrap/>
            <w:vAlign w:val="center"/>
          </w:tcPr>
          <w:p w14:paraId="37A6F25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245</w:t>
            </w:r>
          </w:p>
        </w:tc>
        <w:tc>
          <w:tcPr>
            <w:tcW w:w="1036" w:type="dxa"/>
            <w:tcBorders>
              <w:top w:val="none" w:sz="0" w:space="0" w:color="auto"/>
              <w:bottom w:val="single" w:sz="4" w:space="0" w:color="000000"/>
            </w:tcBorders>
            <w:shd w:val="clear" w:color="auto" w:fill="auto"/>
            <w:noWrap/>
            <w:vAlign w:val="center"/>
          </w:tcPr>
          <w:p w14:paraId="1AAB11C0"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682" w:type="dxa"/>
            <w:tcBorders>
              <w:top w:val="none" w:sz="0" w:space="0" w:color="auto"/>
              <w:bottom w:val="single" w:sz="4" w:space="0" w:color="000000"/>
            </w:tcBorders>
            <w:shd w:val="clear" w:color="auto" w:fill="auto"/>
            <w:noWrap/>
            <w:vAlign w:val="center"/>
          </w:tcPr>
          <w:p w14:paraId="2FD4C40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232</w:t>
            </w:r>
          </w:p>
        </w:tc>
        <w:tc>
          <w:tcPr>
            <w:tcW w:w="1212" w:type="dxa"/>
            <w:tcBorders>
              <w:top w:val="none" w:sz="0" w:space="0" w:color="auto"/>
              <w:bottom w:val="single" w:sz="4" w:space="0" w:color="000000"/>
            </w:tcBorders>
            <w:shd w:val="clear" w:color="auto" w:fill="auto"/>
            <w:noWrap/>
            <w:vAlign w:val="center"/>
          </w:tcPr>
          <w:p w14:paraId="1071DD46"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r>
      <w:tr w:rsidR="00E042C0" w:rsidRPr="003A41B3" w14:paraId="65126761" w14:textId="77777777" w:rsidTr="00DF524C">
        <w:trPr>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single" w:sz="4" w:space="0" w:color="000000"/>
            </w:tcBorders>
            <w:shd w:val="clear" w:color="auto" w:fill="auto"/>
            <w:noWrap/>
            <w:hideMark/>
          </w:tcPr>
          <w:p w14:paraId="41A47B6F" w14:textId="77777777" w:rsidR="00E042C0" w:rsidRPr="003A41B3" w:rsidRDefault="00E042C0" w:rsidP="00030638">
            <w:pPr>
              <w:spacing w:before="120" w:line="276" w:lineRule="auto"/>
              <w:rPr>
                <w:sz w:val="20"/>
                <w:szCs w:val="20"/>
              </w:rPr>
            </w:pPr>
            <w:r w:rsidRPr="003A41B3">
              <w:rPr>
                <w:sz w:val="22"/>
                <w:szCs w:val="20"/>
              </w:rPr>
              <w:t>Pre-identifier</w:t>
            </w:r>
          </w:p>
        </w:tc>
        <w:tc>
          <w:tcPr>
            <w:tcW w:w="730" w:type="dxa"/>
            <w:tcBorders>
              <w:top w:val="single" w:sz="4" w:space="0" w:color="000000"/>
              <w:bottom w:val="single" w:sz="4" w:space="0" w:color="000000"/>
            </w:tcBorders>
            <w:shd w:val="clear" w:color="auto" w:fill="auto"/>
            <w:noWrap/>
            <w:vAlign w:val="center"/>
          </w:tcPr>
          <w:p w14:paraId="5E202F0F"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582" w:type="dxa"/>
            <w:tcBorders>
              <w:top w:val="single" w:sz="4" w:space="0" w:color="000000"/>
              <w:bottom w:val="single" w:sz="4" w:space="0" w:color="000000"/>
            </w:tcBorders>
            <w:shd w:val="clear" w:color="auto" w:fill="auto"/>
            <w:noWrap/>
            <w:hideMark/>
          </w:tcPr>
          <w:p w14:paraId="13BA353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793" w:type="dxa"/>
            <w:tcBorders>
              <w:top w:val="single" w:sz="4" w:space="0" w:color="000000"/>
              <w:bottom w:val="single" w:sz="4" w:space="0" w:color="000000"/>
            </w:tcBorders>
            <w:shd w:val="clear" w:color="auto" w:fill="auto"/>
            <w:noWrap/>
            <w:hideMark/>
          </w:tcPr>
          <w:p w14:paraId="6997F52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Borders>
              <w:top w:val="single" w:sz="4" w:space="0" w:color="000000"/>
              <w:bottom w:val="single" w:sz="4" w:space="0" w:color="000000"/>
            </w:tcBorders>
            <w:shd w:val="clear" w:color="auto" w:fill="auto"/>
            <w:noWrap/>
            <w:hideMark/>
          </w:tcPr>
          <w:p w14:paraId="05A52DF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682" w:type="dxa"/>
            <w:tcBorders>
              <w:top w:val="single" w:sz="4" w:space="0" w:color="000000"/>
              <w:bottom w:val="single" w:sz="4" w:space="0" w:color="000000"/>
            </w:tcBorders>
            <w:shd w:val="clear" w:color="auto" w:fill="auto"/>
            <w:noWrap/>
            <w:hideMark/>
          </w:tcPr>
          <w:p w14:paraId="2CE1312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Borders>
              <w:top w:val="single" w:sz="4" w:space="0" w:color="000000"/>
              <w:bottom w:val="single" w:sz="4" w:space="0" w:color="000000"/>
            </w:tcBorders>
            <w:shd w:val="clear" w:color="auto" w:fill="auto"/>
            <w:noWrap/>
            <w:hideMark/>
          </w:tcPr>
          <w:p w14:paraId="56285A0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E042C0" w:rsidRPr="003A41B3" w14:paraId="4A0E3A6D" w14:textId="77777777" w:rsidTr="00DF524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none" w:sz="0" w:space="0" w:color="auto"/>
            </w:tcBorders>
            <w:shd w:val="clear" w:color="auto" w:fill="auto"/>
            <w:noWrap/>
            <w:hideMark/>
          </w:tcPr>
          <w:p w14:paraId="0E14CDDB" w14:textId="77777777" w:rsidR="00E042C0" w:rsidRPr="003A41B3" w:rsidRDefault="00E042C0" w:rsidP="00367E75">
            <w:pPr>
              <w:rPr>
                <w:b w:val="0"/>
                <w:sz w:val="20"/>
                <w:szCs w:val="20"/>
              </w:rPr>
            </w:pPr>
            <w:r w:rsidRPr="003A41B3">
              <w:rPr>
                <w:b w:val="0"/>
                <w:sz w:val="20"/>
                <w:szCs w:val="20"/>
              </w:rPr>
              <w:t>Observations</w:t>
            </w:r>
          </w:p>
        </w:tc>
        <w:tc>
          <w:tcPr>
            <w:tcW w:w="730" w:type="dxa"/>
            <w:tcBorders>
              <w:top w:val="single" w:sz="4" w:space="0" w:color="000000"/>
              <w:bottom w:val="none" w:sz="0" w:space="0" w:color="auto"/>
            </w:tcBorders>
            <w:shd w:val="clear" w:color="auto" w:fill="auto"/>
            <w:noWrap/>
            <w:vAlign w:val="center"/>
          </w:tcPr>
          <w:p w14:paraId="4F2A0753"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181</w:t>
            </w:r>
          </w:p>
        </w:tc>
        <w:tc>
          <w:tcPr>
            <w:tcW w:w="1582" w:type="dxa"/>
            <w:tcBorders>
              <w:top w:val="single" w:sz="4" w:space="0" w:color="000000"/>
              <w:bottom w:val="none" w:sz="0" w:space="0" w:color="auto"/>
            </w:tcBorders>
            <w:shd w:val="clear" w:color="auto" w:fill="auto"/>
            <w:noWrap/>
          </w:tcPr>
          <w:p w14:paraId="1A67E0E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793" w:type="dxa"/>
            <w:tcBorders>
              <w:top w:val="single" w:sz="4" w:space="0" w:color="000000"/>
              <w:bottom w:val="none" w:sz="0" w:space="0" w:color="auto"/>
            </w:tcBorders>
            <w:shd w:val="clear" w:color="auto" w:fill="auto"/>
            <w:noWrap/>
            <w:vAlign w:val="center"/>
          </w:tcPr>
          <w:p w14:paraId="1E2BF16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121</w:t>
            </w:r>
          </w:p>
        </w:tc>
        <w:tc>
          <w:tcPr>
            <w:tcW w:w="1036" w:type="dxa"/>
            <w:tcBorders>
              <w:top w:val="single" w:sz="4" w:space="0" w:color="000000"/>
              <w:bottom w:val="none" w:sz="0" w:space="0" w:color="auto"/>
            </w:tcBorders>
            <w:shd w:val="clear" w:color="auto" w:fill="auto"/>
            <w:noWrap/>
          </w:tcPr>
          <w:p w14:paraId="16D812E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682" w:type="dxa"/>
            <w:tcBorders>
              <w:top w:val="single" w:sz="4" w:space="0" w:color="000000"/>
              <w:bottom w:val="none" w:sz="0" w:space="0" w:color="auto"/>
            </w:tcBorders>
            <w:shd w:val="clear" w:color="auto" w:fill="auto"/>
            <w:noWrap/>
            <w:vAlign w:val="center"/>
          </w:tcPr>
          <w:p w14:paraId="7A5AA4C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124</w:t>
            </w:r>
          </w:p>
        </w:tc>
        <w:tc>
          <w:tcPr>
            <w:tcW w:w="1212" w:type="dxa"/>
            <w:tcBorders>
              <w:top w:val="single" w:sz="4" w:space="0" w:color="000000"/>
              <w:bottom w:val="none" w:sz="0" w:space="0" w:color="auto"/>
            </w:tcBorders>
            <w:shd w:val="clear" w:color="auto" w:fill="auto"/>
            <w:noWrap/>
          </w:tcPr>
          <w:p w14:paraId="027127BD"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E042C0" w:rsidRPr="003A41B3" w14:paraId="3379F1DC" w14:textId="77777777" w:rsidTr="0072669F">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hideMark/>
          </w:tcPr>
          <w:p w14:paraId="1EE44D5B" w14:textId="77777777" w:rsidR="00E042C0" w:rsidRPr="003A41B3" w:rsidRDefault="00E042C0" w:rsidP="00367E75">
            <w:pPr>
              <w:rPr>
                <w:b w:val="0"/>
                <w:sz w:val="20"/>
                <w:szCs w:val="20"/>
              </w:rPr>
            </w:pPr>
            <w:r w:rsidRPr="003A41B3">
              <w:rPr>
                <w:b w:val="0"/>
                <w:sz w:val="20"/>
                <w:szCs w:val="20"/>
              </w:rPr>
              <w:t xml:space="preserve">Average numerical rating </w:t>
            </w:r>
          </w:p>
        </w:tc>
        <w:tc>
          <w:tcPr>
            <w:tcW w:w="730" w:type="dxa"/>
            <w:shd w:val="clear" w:color="auto" w:fill="auto"/>
            <w:noWrap/>
            <w:vAlign w:val="center"/>
          </w:tcPr>
          <w:p w14:paraId="377859CD"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28.27</w:t>
            </w:r>
          </w:p>
        </w:tc>
        <w:tc>
          <w:tcPr>
            <w:tcW w:w="1582" w:type="dxa"/>
            <w:shd w:val="clear" w:color="auto" w:fill="auto"/>
            <w:noWrap/>
          </w:tcPr>
          <w:p w14:paraId="1F19DAB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793" w:type="dxa"/>
            <w:shd w:val="clear" w:color="auto" w:fill="auto"/>
            <w:noWrap/>
            <w:vAlign w:val="center"/>
          </w:tcPr>
          <w:p w14:paraId="3DE8CF7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29.92</w:t>
            </w:r>
          </w:p>
        </w:tc>
        <w:tc>
          <w:tcPr>
            <w:tcW w:w="1036" w:type="dxa"/>
            <w:shd w:val="clear" w:color="auto" w:fill="auto"/>
            <w:noWrap/>
          </w:tcPr>
          <w:p w14:paraId="276BBD0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682" w:type="dxa"/>
            <w:shd w:val="clear" w:color="auto" w:fill="auto"/>
            <w:noWrap/>
            <w:vAlign w:val="center"/>
          </w:tcPr>
          <w:p w14:paraId="6B409E1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30.37</w:t>
            </w:r>
          </w:p>
        </w:tc>
        <w:tc>
          <w:tcPr>
            <w:tcW w:w="1212" w:type="dxa"/>
            <w:shd w:val="clear" w:color="auto" w:fill="auto"/>
            <w:noWrap/>
          </w:tcPr>
          <w:p w14:paraId="28FE010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E042C0" w:rsidRPr="003A41B3" w14:paraId="289DEB1D"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684064FA" w14:textId="77777777" w:rsidR="00E042C0" w:rsidRPr="003A41B3" w:rsidRDefault="00E042C0" w:rsidP="00367E75">
            <w:pPr>
              <w:rPr>
                <w:b w:val="0"/>
                <w:sz w:val="20"/>
                <w:szCs w:val="20"/>
              </w:rPr>
            </w:pPr>
            <w:r w:rsidRPr="003A41B3">
              <w:rPr>
                <w:rFonts w:eastAsia="Times New Roman"/>
                <w:b w:val="0"/>
                <w:bCs w:val="0"/>
                <w:sz w:val="20"/>
                <w:szCs w:val="20"/>
              </w:rPr>
              <w:t>Positive events</w:t>
            </w:r>
          </w:p>
        </w:tc>
        <w:tc>
          <w:tcPr>
            <w:tcW w:w="730" w:type="dxa"/>
            <w:tcBorders>
              <w:top w:val="none" w:sz="0" w:space="0" w:color="auto"/>
              <w:bottom w:val="none" w:sz="0" w:space="0" w:color="auto"/>
            </w:tcBorders>
            <w:shd w:val="clear" w:color="auto" w:fill="auto"/>
            <w:noWrap/>
            <w:vAlign w:val="center"/>
          </w:tcPr>
          <w:p w14:paraId="096EC5C8"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83</w:t>
            </w:r>
          </w:p>
        </w:tc>
        <w:tc>
          <w:tcPr>
            <w:tcW w:w="1582" w:type="dxa"/>
            <w:tcBorders>
              <w:top w:val="none" w:sz="0" w:space="0" w:color="auto"/>
              <w:bottom w:val="none" w:sz="0" w:space="0" w:color="auto"/>
            </w:tcBorders>
            <w:shd w:val="clear" w:color="auto" w:fill="auto"/>
            <w:noWrap/>
            <w:vAlign w:val="center"/>
          </w:tcPr>
          <w:p w14:paraId="79A63FE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45.86%</w:t>
            </w:r>
          </w:p>
        </w:tc>
        <w:tc>
          <w:tcPr>
            <w:tcW w:w="793" w:type="dxa"/>
            <w:tcBorders>
              <w:top w:val="none" w:sz="0" w:space="0" w:color="auto"/>
              <w:bottom w:val="none" w:sz="0" w:space="0" w:color="auto"/>
            </w:tcBorders>
            <w:shd w:val="clear" w:color="auto" w:fill="auto"/>
            <w:noWrap/>
            <w:vAlign w:val="center"/>
          </w:tcPr>
          <w:p w14:paraId="79EE6E3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81</w:t>
            </w:r>
          </w:p>
        </w:tc>
        <w:tc>
          <w:tcPr>
            <w:tcW w:w="1036" w:type="dxa"/>
            <w:tcBorders>
              <w:top w:val="none" w:sz="0" w:space="0" w:color="auto"/>
              <w:bottom w:val="none" w:sz="0" w:space="0" w:color="auto"/>
            </w:tcBorders>
            <w:shd w:val="clear" w:color="auto" w:fill="auto"/>
            <w:noWrap/>
            <w:vAlign w:val="center"/>
          </w:tcPr>
          <w:p w14:paraId="4B07F499"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66.94%</w:t>
            </w:r>
          </w:p>
        </w:tc>
        <w:tc>
          <w:tcPr>
            <w:tcW w:w="682" w:type="dxa"/>
            <w:tcBorders>
              <w:top w:val="none" w:sz="0" w:space="0" w:color="auto"/>
              <w:bottom w:val="none" w:sz="0" w:space="0" w:color="auto"/>
            </w:tcBorders>
            <w:shd w:val="clear" w:color="auto" w:fill="auto"/>
            <w:noWrap/>
            <w:vAlign w:val="center"/>
          </w:tcPr>
          <w:p w14:paraId="0B3F74B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64</w:t>
            </w:r>
          </w:p>
        </w:tc>
        <w:tc>
          <w:tcPr>
            <w:tcW w:w="1212" w:type="dxa"/>
            <w:tcBorders>
              <w:top w:val="none" w:sz="0" w:space="0" w:color="auto"/>
              <w:bottom w:val="none" w:sz="0" w:space="0" w:color="auto"/>
            </w:tcBorders>
            <w:shd w:val="clear" w:color="auto" w:fill="auto"/>
            <w:noWrap/>
            <w:vAlign w:val="center"/>
          </w:tcPr>
          <w:p w14:paraId="1C6D4FD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51.61%</w:t>
            </w:r>
          </w:p>
        </w:tc>
      </w:tr>
      <w:tr w:rsidR="00E042C0" w:rsidRPr="003A41B3" w14:paraId="259CFAE6"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4D518DDA" w14:textId="77777777" w:rsidR="00E042C0" w:rsidRPr="003A41B3" w:rsidRDefault="00E042C0" w:rsidP="00367E75">
            <w:pPr>
              <w:rPr>
                <w:b w:val="0"/>
                <w:sz w:val="20"/>
                <w:szCs w:val="20"/>
              </w:rPr>
            </w:pPr>
            <w:r w:rsidRPr="003A41B3">
              <w:rPr>
                <w:rFonts w:eastAsia="Times New Roman"/>
                <w:b w:val="0"/>
                <w:bCs w:val="0"/>
                <w:sz w:val="20"/>
                <w:szCs w:val="20"/>
              </w:rPr>
              <w:t>Upgrade by 1 CCR point</w:t>
            </w:r>
          </w:p>
        </w:tc>
        <w:tc>
          <w:tcPr>
            <w:tcW w:w="730" w:type="dxa"/>
            <w:shd w:val="clear" w:color="auto" w:fill="auto"/>
            <w:noWrap/>
            <w:vAlign w:val="center"/>
          </w:tcPr>
          <w:p w14:paraId="4CBBC7A0"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40</w:t>
            </w:r>
          </w:p>
        </w:tc>
        <w:tc>
          <w:tcPr>
            <w:tcW w:w="1582" w:type="dxa"/>
            <w:shd w:val="clear" w:color="auto" w:fill="auto"/>
            <w:noWrap/>
            <w:vAlign w:val="center"/>
          </w:tcPr>
          <w:p w14:paraId="5AE62063"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22.10%</w:t>
            </w:r>
          </w:p>
        </w:tc>
        <w:tc>
          <w:tcPr>
            <w:tcW w:w="793" w:type="dxa"/>
            <w:shd w:val="clear" w:color="auto" w:fill="auto"/>
            <w:noWrap/>
            <w:vAlign w:val="center"/>
          </w:tcPr>
          <w:p w14:paraId="497558F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47</w:t>
            </w:r>
          </w:p>
        </w:tc>
        <w:tc>
          <w:tcPr>
            <w:tcW w:w="1036" w:type="dxa"/>
            <w:shd w:val="clear" w:color="auto" w:fill="auto"/>
            <w:noWrap/>
            <w:vAlign w:val="center"/>
          </w:tcPr>
          <w:p w14:paraId="35E213BB"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38.84%</w:t>
            </w:r>
          </w:p>
        </w:tc>
        <w:tc>
          <w:tcPr>
            <w:tcW w:w="682" w:type="dxa"/>
            <w:shd w:val="clear" w:color="auto" w:fill="auto"/>
            <w:noWrap/>
            <w:vAlign w:val="center"/>
          </w:tcPr>
          <w:p w14:paraId="3D1BC24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29</w:t>
            </w:r>
          </w:p>
        </w:tc>
        <w:tc>
          <w:tcPr>
            <w:tcW w:w="1212" w:type="dxa"/>
            <w:shd w:val="clear" w:color="auto" w:fill="auto"/>
            <w:noWrap/>
            <w:vAlign w:val="center"/>
          </w:tcPr>
          <w:p w14:paraId="6CF8F35C"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23.39%</w:t>
            </w:r>
          </w:p>
        </w:tc>
      </w:tr>
      <w:tr w:rsidR="00E042C0" w:rsidRPr="003A41B3" w14:paraId="587D1F9F"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12520161" w14:textId="77777777" w:rsidR="00E042C0" w:rsidRPr="003A41B3" w:rsidRDefault="00E042C0" w:rsidP="00367E75">
            <w:pPr>
              <w:rPr>
                <w:b w:val="0"/>
                <w:sz w:val="20"/>
                <w:szCs w:val="20"/>
              </w:rPr>
            </w:pPr>
            <w:r w:rsidRPr="003A41B3">
              <w:rPr>
                <w:rFonts w:eastAsia="Times New Roman"/>
                <w:b w:val="0"/>
                <w:bCs w:val="0"/>
                <w:sz w:val="20"/>
                <w:szCs w:val="20"/>
              </w:rPr>
              <w:t>Upgrade by 2 CCR point</w:t>
            </w:r>
          </w:p>
        </w:tc>
        <w:tc>
          <w:tcPr>
            <w:tcW w:w="730" w:type="dxa"/>
            <w:tcBorders>
              <w:top w:val="none" w:sz="0" w:space="0" w:color="auto"/>
              <w:bottom w:val="none" w:sz="0" w:space="0" w:color="auto"/>
            </w:tcBorders>
            <w:shd w:val="clear" w:color="auto" w:fill="auto"/>
            <w:noWrap/>
            <w:vAlign w:val="center"/>
          </w:tcPr>
          <w:p w14:paraId="6F0BA613"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18</w:t>
            </w:r>
          </w:p>
        </w:tc>
        <w:tc>
          <w:tcPr>
            <w:tcW w:w="1582" w:type="dxa"/>
            <w:tcBorders>
              <w:top w:val="none" w:sz="0" w:space="0" w:color="auto"/>
              <w:bottom w:val="none" w:sz="0" w:space="0" w:color="auto"/>
            </w:tcBorders>
            <w:shd w:val="clear" w:color="auto" w:fill="auto"/>
            <w:noWrap/>
            <w:vAlign w:val="center"/>
          </w:tcPr>
          <w:p w14:paraId="2CEF1DD1"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9.95%</w:t>
            </w:r>
          </w:p>
        </w:tc>
        <w:tc>
          <w:tcPr>
            <w:tcW w:w="793" w:type="dxa"/>
            <w:tcBorders>
              <w:top w:val="none" w:sz="0" w:space="0" w:color="auto"/>
              <w:bottom w:val="none" w:sz="0" w:space="0" w:color="auto"/>
            </w:tcBorders>
            <w:shd w:val="clear" w:color="auto" w:fill="auto"/>
            <w:noWrap/>
            <w:vAlign w:val="center"/>
          </w:tcPr>
          <w:p w14:paraId="6C57989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24</w:t>
            </w:r>
          </w:p>
        </w:tc>
        <w:tc>
          <w:tcPr>
            <w:tcW w:w="1036" w:type="dxa"/>
            <w:tcBorders>
              <w:top w:val="none" w:sz="0" w:space="0" w:color="auto"/>
              <w:bottom w:val="none" w:sz="0" w:space="0" w:color="auto"/>
            </w:tcBorders>
            <w:shd w:val="clear" w:color="auto" w:fill="auto"/>
            <w:noWrap/>
            <w:vAlign w:val="center"/>
          </w:tcPr>
          <w:p w14:paraId="7785C580"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19.84%</w:t>
            </w:r>
          </w:p>
        </w:tc>
        <w:tc>
          <w:tcPr>
            <w:tcW w:w="682" w:type="dxa"/>
            <w:tcBorders>
              <w:top w:val="none" w:sz="0" w:space="0" w:color="auto"/>
              <w:bottom w:val="none" w:sz="0" w:space="0" w:color="auto"/>
            </w:tcBorders>
            <w:shd w:val="clear" w:color="auto" w:fill="auto"/>
            <w:noWrap/>
            <w:vAlign w:val="center"/>
          </w:tcPr>
          <w:p w14:paraId="61F6A806"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21</w:t>
            </w:r>
          </w:p>
        </w:tc>
        <w:tc>
          <w:tcPr>
            <w:tcW w:w="1212" w:type="dxa"/>
            <w:tcBorders>
              <w:top w:val="none" w:sz="0" w:space="0" w:color="auto"/>
              <w:bottom w:val="none" w:sz="0" w:space="0" w:color="auto"/>
            </w:tcBorders>
            <w:shd w:val="clear" w:color="auto" w:fill="auto"/>
            <w:noWrap/>
            <w:vAlign w:val="center"/>
          </w:tcPr>
          <w:p w14:paraId="4E98D701"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16.93%</w:t>
            </w:r>
          </w:p>
        </w:tc>
      </w:tr>
      <w:tr w:rsidR="00E042C0" w:rsidRPr="003A41B3" w14:paraId="08C2569C"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533303EE" w14:textId="77777777" w:rsidR="00E042C0" w:rsidRPr="003A41B3" w:rsidRDefault="00E042C0" w:rsidP="00367E75">
            <w:pPr>
              <w:rPr>
                <w:b w:val="0"/>
                <w:sz w:val="20"/>
                <w:szCs w:val="20"/>
              </w:rPr>
            </w:pPr>
            <w:r w:rsidRPr="003A41B3">
              <w:rPr>
                <w:rFonts w:eastAsia="Times New Roman"/>
                <w:b w:val="0"/>
                <w:bCs w:val="0"/>
                <w:sz w:val="20"/>
                <w:szCs w:val="20"/>
              </w:rPr>
              <w:t>Upgrade by &gt; 2 CCR point</w:t>
            </w:r>
          </w:p>
        </w:tc>
        <w:tc>
          <w:tcPr>
            <w:tcW w:w="730" w:type="dxa"/>
            <w:shd w:val="clear" w:color="auto" w:fill="auto"/>
            <w:noWrap/>
            <w:vAlign w:val="center"/>
          </w:tcPr>
          <w:p w14:paraId="672AB440"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25</w:t>
            </w:r>
          </w:p>
        </w:tc>
        <w:tc>
          <w:tcPr>
            <w:tcW w:w="1582" w:type="dxa"/>
            <w:shd w:val="clear" w:color="auto" w:fill="auto"/>
            <w:noWrap/>
            <w:vAlign w:val="center"/>
          </w:tcPr>
          <w:p w14:paraId="6C51DF94"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13.81%</w:t>
            </w:r>
          </w:p>
        </w:tc>
        <w:tc>
          <w:tcPr>
            <w:tcW w:w="793" w:type="dxa"/>
            <w:shd w:val="clear" w:color="auto" w:fill="auto"/>
            <w:noWrap/>
            <w:vAlign w:val="center"/>
          </w:tcPr>
          <w:p w14:paraId="1BFB12E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10</w:t>
            </w:r>
          </w:p>
        </w:tc>
        <w:tc>
          <w:tcPr>
            <w:tcW w:w="1036" w:type="dxa"/>
            <w:shd w:val="clear" w:color="auto" w:fill="auto"/>
            <w:noWrap/>
            <w:vAlign w:val="center"/>
          </w:tcPr>
          <w:p w14:paraId="0A11BFC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8.26%</w:t>
            </w:r>
          </w:p>
        </w:tc>
        <w:tc>
          <w:tcPr>
            <w:tcW w:w="682" w:type="dxa"/>
            <w:shd w:val="clear" w:color="auto" w:fill="auto"/>
            <w:noWrap/>
            <w:vAlign w:val="center"/>
          </w:tcPr>
          <w:p w14:paraId="65F6F92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14</w:t>
            </w:r>
          </w:p>
        </w:tc>
        <w:tc>
          <w:tcPr>
            <w:tcW w:w="1212" w:type="dxa"/>
            <w:shd w:val="clear" w:color="auto" w:fill="auto"/>
            <w:noWrap/>
            <w:vAlign w:val="center"/>
          </w:tcPr>
          <w:p w14:paraId="4EC222E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11.29%</w:t>
            </w:r>
          </w:p>
        </w:tc>
      </w:tr>
      <w:tr w:rsidR="00E042C0" w:rsidRPr="003A41B3" w14:paraId="0D0750E1"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22814BDB" w14:textId="77777777" w:rsidR="00E042C0" w:rsidRPr="003A41B3" w:rsidRDefault="00E042C0" w:rsidP="00367E75">
            <w:pPr>
              <w:rPr>
                <w:b w:val="0"/>
                <w:sz w:val="20"/>
                <w:szCs w:val="20"/>
              </w:rPr>
            </w:pPr>
            <w:r w:rsidRPr="003A41B3">
              <w:rPr>
                <w:rFonts w:eastAsia="Times New Roman"/>
                <w:b w:val="0"/>
                <w:bCs w:val="0"/>
                <w:sz w:val="20"/>
                <w:szCs w:val="20"/>
              </w:rPr>
              <w:t>Negative events</w:t>
            </w:r>
          </w:p>
        </w:tc>
        <w:tc>
          <w:tcPr>
            <w:tcW w:w="730" w:type="dxa"/>
            <w:tcBorders>
              <w:top w:val="none" w:sz="0" w:space="0" w:color="auto"/>
              <w:bottom w:val="none" w:sz="0" w:space="0" w:color="auto"/>
            </w:tcBorders>
            <w:shd w:val="clear" w:color="auto" w:fill="auto"/>
            <w:noWrap/>
            <w:vAlign w:val="center"/>
          </w:tcPr>
          <w:p w14:paraId="5547D857"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98</w:t>
            </w:r>
          </w:p>
        </w:tc>
        <w:tc>
          <w:tcPr>
            <w:tcW w:w="1582" w:type="dxa"/>
            <w:tcBorders>
              <w:top w:val="none" w:sz="0" w:space="0" w:color="auto"/>
              <w:bottom w:val="none" w:sz="0" w:space="0" w:color="auto"/>
            </w:tcBorders>
            <w:shd w:val="clear" w:color="auto" w:fill="auto"/>
            <w:noWrap/>
            <w:vAlign w:val="center"/>
          </w:tcPr>
          <w:p w14:paraId="40435BE5"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54.14%</w:t>
            </w:r>
          </w:p>
        </w:tc>
        <w:tc>
          <w:tcPr>
            <w:tcW w:w="793" w:type="dxa"/>
            <w:tcBorders>
              <w:top w:val="none" w:sz="0" w:space="0" w:color="auto"/>
              <w:bottom w:val="none" w:sz="0" w:space="0" w:color="auto"/>
            </w:tcBorders>
            <w:shd w:val="clear" w:color="auto" w:fill="auto"/>
            <w:noWrap/>
            <w:vAlign w:val="center"/>
          </w:tcPr>
          <w:p w14:paraId="7329354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40</w:t>
            </w:r>
          </w:p>
        </w:tc>
        <w:tc>
          <w:tcPr>
            <w:tcW w:w="1036" w:type="dxa"/>
            <w:tcBorders>
              <w:top w:val="none" w:sz="0" w:space="0" w:color="auto"/>
              <w:bottom w:val="none" w:sz="0" w:space="0" w:color="auto"/>
            </w:tcBorders>
            <w:shd w:val="clear" w:color="auto" w:fill="auto"/>
            <w:noWrap/>
            <w:vAlign w:val="center"/>
          </w:tcPr>
          <w:p w14:paraId="0EEEFEB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33.06%</w:t>
            </w:r>
          </w:p>
        </w:tc>
        <w:tc>
          <w:tcPr>
            <w:tcW w:w="682" w:type="dxa"/>
            <w:tcBorders>
              <w:top w:val="none" w:sz="0" w:space="0" w:color="auto"/>
              <w:bottom w:val="none" w:sz="0" w:space="0" w:color="auto"/>
            </w:tcBorders>
            <w:shd w:val="clear" w:color="auto" w:fill="auto"/>
            <w:noWrap/>
            <w:vAlign w:val="center"/>
          </w:tcPr>
          <w:p w14:paraId="01AEF61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60</w:t>
            </w:r>
          </w:p>
        </w:tc>
        <w:tc>
          <w:tcPr>
            <w:tcW w:w="1212" w:type="dxa"/>
            <w:tcBorders>
              <w:top w:val="none" w:sz="0" w:space="0" w:color="auto"/>
              <w:bottom w:val="none" w:sz="0" w:space="0" w:color="auto"/>
            </w:tcBorders>
            <w:shd w:val="clear" w:color="auto" w:fill="auto"/>
            <w:noWrap/>
            <w:vAlign w:val="center"/>
          </w:tcPr>
          <w:p w14:paraId="3024C0D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48.39%</w:t>
            </w:r>
          </w:p>
        </w:tc>
      </w:tr>
      <w:tr w:rsidR="00E042C0" w:rsidRPr="003A41B3" w14:paraId="76EC8058"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6CB67E82" w14:textId="77777777" w:rsidR="00E042C0" w:rsidRPr="003A41B3" w:rsidRDefault="00E042C0" w:rsidP="00367E75">
            <w:pPr>
              <w:rPr>
                <w:b w:val="0"/>
                <w:sz w:val="20"/>
                <w:szCs w:val="20"/>
              </w:rPr>
            </w:pPr>
            <w:r w:rsidRPr="003A41B3">
              <w:rPr>
                <w:rFonts w:eastAsia="Times New Roman"/>
                <w:b w:val="0"/>
                <w:bCs w:val="0"/>
                <w:sz w:val="20"/>
                <w:szCs w:val="20"/>
              </w:rPr>
              <w:t>Downgrade by 1 CCR point</w:t>
            </w:r>
          </w:p>
        </w:tc>
        <w:tc>
          <w:tcPr>
            <w:tcW w:w="730" w:type="dxa"/>
            <w:shd w:val="clear" w:color="auto" w:fill="auto"/>
            <w:noWrap/>
            <w:vAlign w:val="center"/>
          </w:tcPr>
          <w:p w14:paraId="302038F7"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45</w:t>
            </w:r>
          </w:p>
        </w:tc>
        <w:tc>
          <w:tcPr>
            <w:tcW w:w="1582" w:type="dxa"/>
            <w:shd w:val="clear" w:color="auto" w:fill="auto"/>
            <w:noWrap/>
            <w:vAlign w:val="center"/>
          </w:tcPr>
          <w:p w14:paraId="5F36196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24.86%</w:t>
            </w:r>
          </w:p>
        </w:tc>
        <w:tc>
          <w:tcPr>
            <w:tcW w:w="793" w:type="dxa"/>
            <w:shd w:val="clear" w:color="auto" w:fill="auto"/>
            <w:noWrap/>
            <w:vAlign w:val="center"/>
          </w:tcPr>
          <w:p w14:paraId="3979245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w:t>
            </w:r>
          </w:p>
        </w:tc>
        <w:tc>
          <w:tcPr>
            <w:tcW w:w="1036" w:type="dxa"/>
            <w:shd w:val="clear" w:color="auto" w:fill="auto"/>
            <w:noWrap/>
            <w:vAlign w:val="center"/>
          </w:tcPr>
          <w:p w14:paraId="7773DF9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18.18%</w:t>
            </w:r>
          </w:p>
        </w:tc>
        <w:tc>
          <w:tcPr>
            <w:tcW w:w="682" w:type="dxa"/>
            <w:shd w:val="clear" w:color="auto" w:fill="auto"/>
            <w:noWrap/>
            <w:vAlign w:val="center"/>
          </w:tcPr>
          <w:p w14:paraId="33568B3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31</w:t>
            </w:r>
          </w:p>
        </w:tc>
        <w:tc>
          <w:tcPr>
            <w:tcW w:w="1212" w:type="dxa"/>
            <w:shd w:val="clear" w:color="auto" w:fill="auto"/>
            <w:noWrap/>
            <w:vAlign w:val="center"/>
          </w:tcPr>
          <w:p w14:paraId="1A27762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25.00%</w:t>
            </w:r>
          </w:p>
        </w:tc>
      </w:tr>
      <w:tr w:rsidR="00E042C0" w:rsidRPr="003A41B3" w14:paraId="38450A09"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tcPr>
          <w:p w14:paraId="6A04A96D" w14:textId="77777777" w:rsidR="00E042C0" w:rsidRPr="003A41B3" w:rsidRDefault="00E042C0" w:rsidP="00367E75">
            <w:pPr>
              <w:rPr>
                <w:b w:val="0"/>
                <w:sz w:val="20"/>
                <w:szCs w:val="20"/>
              </w:rPr>
            </w:pPr>
            <w:r w:rsidRPr="003A41B3">
              <w:rPr>
                <w:rFonts w:eastAsia="Times New Roman"/>
                <w:b w:val="0"/>
                <w:bCs w:val="0"/>
                <w:sz w:val="20"/>
                <w:szCs w:val="20"/>
              </w:rPr>
              <w:t>Downgrade by 2 CCR point</w:t>
            </w:r>
          </w:p>
        </w:tc>
        <w:tc>
          <w:tcPr>
            <w:tcW w:w="730" w:type="dxa"/>
            <w:tcBorders>
              <w:top w:val="none" w:sz="0" w:space="0" w:color="auto"/>
              <w:bottom w:val="none" w:sz="0" w:space="0" w:color="auto"/>
            </w:tcBorders>
            <w:shd w:val="clear" w:color="auto" w:fill="auto"/>
            <w:noWrap/>
            <w:vAlign w:val="center"/>
          </w:tcPr>
          <w:p w14:paraId="4FE4A55F"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22</w:t>
            </w:r>
          </w:p>
        </w:tc>
        <w:tc>
          <w:tcPr>
            <w:tcW w:w="1582" w:type="dxa"/>
            <w:tcBorders>
              <w:top w:val="none" w:sz="0" w:space="0" w:color="auto"/>
              <w:bottom w:val="none" w:sz="0" w:space="0" w:color="auto"/>
            </w:tcBorders>
            <w:shd w:val="clear" w:color="auto" w:fill="auto"/>
            <w:noWrap/>
            <w:vAlign w:val="center"/>
          </w:tcPr>
          <w:p w14:paraId="11A9012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12.15%</w:t>
            </w:r>
          </w:p>
        </w:tc>
        <w:tc>
          <w:tcPr>
            <w:tcW w:w="793" w:type="dxa"/>
            <w:tcBorders>
              <w:top w:val="none" w:sz="0" w:space="0" w:color="auto"/>
              <w:bottom w:val="none" w:sz="0" w:space="0" w:color="auto"/>
            </w:tcBorders>
            <w:shd w:val="clear" w:color="auto" w:fill="auto"/>
            <w:noWrap/>
            <w:vAlign w:val="center"/>
          </w:tcPr>
          <w:p w14:paraId="1B9D441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18</w:t>
            </w:r>
          </w:p>
        </w:tc>
        <w:tc>
          <w:tcPr>
            <w:tcW w:w="1036" w:type="dxa"/>
            <w:tcBorders>
              <w:top w:val="none" w:sz="0" w:space="0" w:color="auto"/>
              <w:bottom w:val="none" w:sz="0" w:space="0" w:color="auto"/>
            </w:tcBorders>
            <w:shd w:val="clear" w:color="auto" w:fill="auto"/>
            <w:noWrap/>
            <w:vAlign w:val="center"/>
          </w:tcPr>
          <w:p w14:paraId="7B4A6F9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14.88%</w:t>
            </w:r>
          </w:p>
        </w:tc>
        <w:tc>
          <w:tcPr>
            <w:tcW w:w="682" w:type="dxa"/>
            <w:tcBorders>
              <w:top w:val="none" w:sz="0" w:space="0" w:color="auto"/>
              <w:bottom w:val="none" w:sz="0" w:space="0" w:color="auto"/>
            </w:tcBorders>
            <w:shd w:val="clear" w:color="auto" w:fill="auto"/>
            <w:noWrap/>
            <w:vAlign w:val="center"/>
          </w:tcPr>
          <w:p w14:paraId="71A8AF8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10</w:t>
            </w:r>
          </w:p>
        </w:tc>
        <w:tc>
          <w:tcPr>
            <w:tcW w:w="1212" w:type="dxa"/>
            <w:tcBorders>
              <w:top w:val="none" w:sz="0" w:space="0" w:color="auto"/>
              <w:bottom w:val="none" w:sz="0" w:space="0" w:color="auto"/>
            </w:tcBorders>
            <w:shd w:val="clear" w:color="auto" w:fill="auto"/>
            <w:noWrap/>
            <w:vAlign w:val="center"/>
          </w:tcPr>
          <w:p w14:paraId="6F62B19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8.06%</w:t>
            </w:r>
          </w:p>
        </w:tc>
      </w:tr>
      <w:tr w:rsidR="00E042C0" w:rsidRPr="003A41B3" w14:paraId="3038E6A1"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tcPr>
          <w:p w14:paraId="4B9EDD0D" w14:textId="77777777" w:rsidR="00E042C0" w:rsidRPr="003A41B3" w:rsidRDefault="00E042C0" w:rsidP="00367E75">
            <w:pPr>
              <w:rPr>
                <w:b w:val="0"/>
                <w:sz w:val="20"/>
                <w:szCs w:val="20"/>
              </w:rPr>
            </w:pPr>
            <w:r w:rsidRPr="003A41B3">
              <w:rPr>
                <w:rFonts w:eastAsia="Times New Roman"/>
                <w:b w:val="0"/>
                <w:bCs w:val="0"/>
                <w:sz w:val="20"/>
                <w:szCs w:val="20"/>
              </w:rPr>
              <w:t>Downgrade by &gt; 2 CCR point</w:t>
            </w:r>
          </w:p>
        </w:tc>
        <w:tc>
          <w:tcPr>
            <w:tcW w:w="730" w:type="dxa"/>
            <w:shd w:val="clear" w:color="auto" w:fill="auto"/>
            <w:noWrap/>
            <w:vAlign w:val="center"/>
          </w:tcPr>
          <w:p w14:paraId="28931723"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31</w:t>
            </w:r>
          </w:p>
        </w:tc>
        <w:tc>
          <w:tcPr>
            <w:tcW w:w="1582" w:type="dxa"/>
            <w:shd w:val="clear" w:color="auto" w:fill="auto"/>
            <w:noWrap/>
            <w:vAlign w:val="center"/>
          </w:tcPr>
          <w:p w14:paraId="2DEB644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17.13%</w:t>
            </w:r>
          </w:p>
        </w:tc>
        <w:tc>
          <w:tcPr>
            <w:tcW w:w="793" w:type="dxa"/>
            <w:shd w:val="clear" w:color="auto" w:fill="auto"/>
            <w:noWrap/>
            <w:vAlign w:val="center"/>
          </w:tcPr>
          <w:p w14:paraId="3A727AA4"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0</w:t>
            </w:r>
          </w:p>
        </w:tc>
        <w:tc>
          <w:tcPr>
            <w:tcW w:w="1036" w:type="dxa"/>
            <w:shd w:val="clear" w:color="auto" w:fill="auto"/>
            <w:noWrap/>
            <w:vAlign w:val="center"/>
          </w:tcPr>
          <w:p w14:paraId="54D7BBAB"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0.00%</w:t>
            </w:r>
          </w:p>
        </w:tc>
        <w:tc>
          <w:tcPr>
            <w:tcW w:w="682" w:type="dxa"/>
            <w:shd w:val="clear" w:color="auto" w:fill="auto"/>
            <w:noWrap/>
            <w:vAlign w:val="center"/>
          </w:tcPr>
          <w:p w14:paraId="7347840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19</w:t>
            </w:r>
          </w:p>
        </w:tc>
        <w:tc>
          <w:tcPr>
            <w:tcW w:w="1212" w:type="dxa"/>
            <w:shd w:val="clear" w:color="auto" w:fill="auto"/>
            <w:noWrap/>
            <w:vAlign w:val="center"/>
          </w:tcPr>
          <w:p w14:paraId="19A0285B"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15.32%</w:t>
            </w:r>
          </w:p>
        </w:tc>
      </w:tr>
      <w:tr w:rsidR="00E042C0" w:rsidRPr="003A41B3" w14:paraId="7CB092F3" w14:textId="77777777" w:rsidTr="00DF524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single" w:sz="4" w:space="0" w:color="000000"/>
            </w:tcBorders>
            <w:shd w:val="clear" w:color="auto" w:fill="auto"/>
            <w:noWrap/>
            <w:hideMark/>
          </w:tcPr>
          <w:p w14:paraId="11F4717A" w14:textId="77777777" w:rsidR="00E042C0" w:rsidRPr="003A41B3" w:rsidRDefault="00E042C0" w:rsidP="00367E75">
            <w:pPr>
              <w:rPr>
                <w:b w:val="0"/>
                <w:sz w:val="20"/>
                <w:szCs w:val="20"/>
              </w:rPr>
            </w:pPr>
            <w:r w:rsidRPr="003A41B3">
              <w:rPr>
                <w:b w:val="0"/>
                <w:sz w:val="20"/>
                <w:szCs w:val="20"/>
              </w:rPr>
              <w:t>Total no of events</w:t>
            </w:r>
          </w:p>
        </w:tc>
        <w:tc>
          <w:tcPr>
            <w:tcW w:w="730" w:type="dxa"/>
            <w:tcBorders>
              <w:top w:val="none" w:sz="0" w:space="0" w:color="auto"/>
              <w:bottom w:val="single" w:sz="4" w:space="0" w:color="000000"/>
            </w:tcBorders>
            <w:shd w:val="clear" w:color="auto" w:fill="auto"/>
            <w:noWrap/>
            <w:vAlign w:val="center"/>
          </w:tcPr>
          <w:p w14:paraId="69B217A1"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181</w:t>
            </w:r>
          </w:p>
        </w:tc>
        <w:tc>
          <w:tcPr>
            <w:tcW w:w="1582" w:type="dxa"/>
            <w:tcBorders>
              <w:top w:val="none" w:sz="0" w:space="0" w:color="auto"/>
              <w:bottom w:val="single" w:sz="4" w:space="0" w:color="000000"/>
            </w:tcBorders>
            <w:shd w:val="clear" w:color="auto" w:fill="auto"/>
            <w:noWrap/>
            <w:vAlign w:val="center"/>
          </w:tcPr>
          <w:p w14:paraId="7041722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793" w:type="dxa"/>
            <w:tcBorders>
              <w:top w:val="none" w:sz="0" w:space="0" w:color="auto"/>
              <w:bottom w:val="single" w:sz="4" w:space="0" w:color="000000"/>
            </w:tcBorders>
            <w:shd w:val="clear" w:color="auto" w:fill="auto"/>
            <w:noWrap/>
            <w:vAlign w:val="center"/>
          </w:tcPr>
          <w:p w14:paraId="19C5F766"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121</w:t>
            </w:r>
          </w:p>
        </w:tc>
        <w:tc>
          <w:tcPr>
            <w:tcW w:w="1036" w:type="dxa"/>
            <w:tcBorders>
              <w:top w:val="none" w:sz="0" w:space="0" w:color="auto"/>
              <w:bottom w:val="single" w:sz="4" w:space="0" w:color="000000"/>
            </w:tcBorders>
            <w:shd w:val="clear" w:color="auto" w:fill="auto"/>
            <w:noWrap/>
            <w:vAlign w:val="center"/>
          </w:tcPr>
          <w:p w14:paraId="5AB0CFCE"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682" w:type="dxa"/>
            <w:tcBorders>
              <w:top w:val="none" w:sz="0" w:space="0" w:color="auto"/>
              <w:bottom w:val="single" w:sz="4" w:space="0" w:color="000000"/>
            </w:tcBorders>
            <w:shd w:val="clear" w:color="auto" w:fill="auto"/>
            <w:noWrap/>
            <w:vAlign w:val="center"/>
          </w:tcPr>
          <w:p w14:paraId="4C21042D"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124</w:t>
            </w:r>
          </w:p>
        </w:tc>
        <w:tc>
          <w:tcPr>
            <w:tcW w:w="1212" w:type="dxa"/>
            <w:tcBorders>
              <w:top w:val="none" w:sz="0" w:space="0" w:color="auto"/>
              <w:bottom w:val="single" w:sz="4" w:space="0" w:color="000000"/>
            </w:tcBorders>
            <w:shd w:val="clear" w:color="auto" w:fill="auto"/>
            <w:noWrap/>
            <w:vAlign w:val="center"/>
          </w:tcPr>
          <w:p w14:paraId="29AA133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r>
      <w:tr w:rsidR="00E042C0" w:rsidRPr="003A41B3" w14:paraId="005B7F24" w14:textId="77777777" w:rsidTr="00DF524C">
        <w:trPr>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single" w:sz="4" w:space="0" w:color="000000"/>
            </w:tcBorders>
            <w:shd w:val="clear" w:color="auto" w:fill="auto"/>
            <w:noWrap/>
            <w:hideMark/>
          </w:tcPr>
          <w:p w14:paraId="1D027049" w14:textId="77777777" w:rsidR="00E042C0" w:rsidRPr="003A41B3" w:rsidRDefault="00E042C0" w:rsidP="00030638">
            <w:pPr>
              <w:spacing w:before="120" w:line="276" w:lineRule="auto"/>
              <w:rPr>
                <w:sz w:val="20"/>
                <w:szCs w:val="20"/>
              </w:rPr>
            </w:pPr>
            <w:r w:rsidRPr="003A41B3">
              <w:rPr>
                <w:sz w:val="22"/>
                <w:szCs w:val="20"/>
              </w:rPr>
              <w:t>Post-identifier</w:t>
            </w:r>
          </w:p>
        </w:tc>
        <w:tc>
          <w:tcPr>
            <w:tcW w:w="730" w:type="dxa"/>
            <w:tcBorders>
              <w:top w:val="single" w:sz="4" w:space="0" w:color="000000"/>
              <w:bottom w:val="single" w:sz="4" w:space="0" w:color="000000"/>
            </w:tcBorders>
            <w:shd w:val="clear" w:color="auto" w:fill="auto"/>
            <w:noWrap/>
          </w:tcPr>
          <w:p w14:paraId="019A6BAD"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582" w:type="dxa"/>
            <w:tcBorders>
              <w:top w:val="single" w:sz="4" w:space="0" w:color="000000"/>
              <w:bottom w:val="single" w:sz="4" w:space="0" w:color="000000"/>
            </w:tcBorders>
            <w:shd w:val="clear" w:color="auto" w:fill="auto"/>
            <w:noWrap/>
            <w:hideMark/>
          </w:tcPr>
          <w:p w14:paraId="1C21867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793" w:type="dxa"/>
            <w:tcBorders>
              <w:top w:val="single" w:sz="4" w:space="0" w:color="000000"/>
              <w:bottom w:val="single" w:sz="4" w:space="0" w:color="000000"/>
            </w:tcBorders>
            <w:shd w:val="clear" w:color="auto" w:fill="auto"/>
            <w:noWrap/>
            <w:hideMark/>
          </w:tcPr>
          <w:p w14:paraId="4D2F788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Borders>
              <w:top w:val="single" w:sz="4" w:space="0" w:color="000000"/>
              <w:bottom w:val="single" w:sz="4" w:space="0" w:color="000000"/>
            </w:tcBorders>
            <w:shd w:val="clear" w:color="auto" w:fill="auto"/>
            <w:noWrap/>
            <w:hideMark/>
          </w:tcPr>
          <w:p w14:paraId="3130232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682" w:type="dxa"/>
            <w:tcBorders>
              <w:top w:val="single" w:sz="4" w:space="0" w:color="000000"/>
              <w:bottom w:val="single" w:sz="4" w:space="0" w:color="000000"/>
            </w:tcBorders>
            <w:shd w:val="clear" w:color="auto" w:fill="auto"/>
            <w:noWrap/>
            <w:hideMark/>
          </w:tcPr>
          <w:p w14:paraId="1EC18F99"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Borders>
              <w:top w:val="single" w:sz="4" w:space="0" w:color="000000"/>
              <w:bottom w:val="single" w:sz="4" w:space="0" w:color="000000"/>
            </w:tcBorders>
            <w:shd w:val="clear" w:color="auto" w:fill="auto"/>
            <w:noWrap/>
            <w:hideMark/>
          </w:tcPr>
          <w:p w14:paraId="02AEA0C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E042C0" w:rsidRPr="003A41B3" w14:paraId="22CE3972" w14:textId="77777777" w:rsidTr="00DF524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000000"/>
              <w:bottom w:val="none" w:sz="0" w:space="0" w:color="auto"/>
            </w:tcBorders>
            <w:shd w:val="clear" w:color="auto" w:fill="auto"/>
            <w:noWrap/>
            <w:hideMark/>
          </w:tcPr>
          <w:p w14:paraId="51293111" w14:textId="77777777" w:rsidR="00E042C0" w:rsidRPr="003A41B3" w:rsidRDefault="00E042C0" w:rsidP="00367E75">
            <w:pPr>
              <w:rPr>
                <w:b w:val="0"/>
                <w:sz w:val="20"/>
                <w:szCs w:val="20"/>
              </w:rPr>
            </w:pPr>
            <w:r w:rsidRPr="003A41B3">
              <w:rPr>
                <w:b w:val="0"/>
                <w:sz w:val="20"/>
                <w:szCs w:val="20"/>
              </w:rPr>
              <w:t>Observations</w:t>
            </w:r>
          </w:p>
        </w:tc>
        <w:tc>
          <w:tcPr>
            <w:tcW w:w="730" w:type="dxa"/>
            <w:tcBorders>
              <w:top w:val="single" w:sz="4" w:space="0" w:color="000000"/>
              <w:bottom w:val="none" w:sz="0" w:space="0" w:color="auto"/>
            </w:tcBorders>
            <w:shd w:val="clear" w:color="auto" w:fill="auto"/>
            <w:noWrap/>
          </w:tcPr>
          <w:p w14:paraId="344C315D"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rPr>
              <w:t>165</w:t>
            </w:r>
          </w:p>
        </w:tc>
        <w:tc>
          <w:tcPr>
            <w:tcW w:w="1582" w:type="dxa"/>
            <w:tcBorders>
              <w:top w:val="single" w:sz="4" w:space="0" w:color="000000"/>
              <w:bottom w:val="none" w:sz="0" w:space="0" w:color="auto"/>
            </w:tcBorders>
            <w:shd w:val="clear" w:color="auto" w:fill="auto"/>
            <w:noWrap/>
          </w:tcPr>
          <w:p w14:paraId="6A0E7E5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793" w:type="dxa"/>
            <w:tcBorders>
              <w:top w:val="single" w:sz="4" w:space="0" w:color="000000"/>
              <w:bottom w:val="none" w:sz="0" w:space="0" w:color="auto"/>
            </w:tcBorders>
            <w:shd w:val="clear" w:color="auto" w:fill="auto"/>
            <w:noWrap/>
            <w:vAlign w:val="center"/>
          </w:tcPr>
          <w:p w14:paraId="4911F3B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124</w:t>
            </w:r>
          </w:p>
        </w:tc>
        <w:tc>
          <w:tcPr>
            <w:tcW w:w="1036" w:type="dxa"/>
            <w:tcBorders>
              <w:top w:val="single" w:sz="4" w:space="0" w:color="000000"/>
              <w:bottom w:val="none" w:sz="0" w:space="0" w:color="auto"/>
            </w:tcBorders>
            <w:shd w:val="clear" w:color="auto" w:fill="auto"/>
            <w:noWrap/>
          </w:tcPr>
          <w:p w14:paraId="50BEEBEC"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682" w:type="dxa"/>
            <w:tcBorders>
              <w:top w:val="single" w:sz="4" w:space="0" w:color="000000"/>
              <w:bottom w:val="none" w:sz="0" w:space="0" w:color="auto"/>
            </w:tcBorders>
            <w:shd w:val="clear" w:color="auto" w:fill="auto"/>
            <w:noWrap/>
            <w:vAlign w:val="center"/>
          </w:tcPr>
          <w:p w14:paraId="476DAB0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108</w:t>
            </w:r>
          </w:p>
        </w:tc>
        <w:tc>
          <w:tcPr>
            <w:tcW w:w="1212" w:type="dxa"/>
            <w:tcBorders>
              <w:top w:val="single" w:sz="4" w:space="0" w:color="000000"/>
              <w:bottom w:val="none" w:sz="0" w:space="0" w:color="auto"/>
            </w:tcBorders>
            <w:shd w:val="clear" w:color="auto" w:fill="auto"/>
            <w:noWrap/>
          </w:tcPr>
          <w:p w14:paraId="554713C4"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E042C0" w:rsidRPr="003A41B3" w14:paraId="7F2E582C" w14:textId="77777777" w:rsidTr="0072669F">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hideMark/>
          </w:tcPr>
          <w:p w14:paraId="5C7E8BD3" w14:textId="77777777" w:rsidR="00E042C0" w:rsidRPr="003A41B3" w:rsidRDefault="00E042C0" w:rsidP="00367E75">
            <w:pPr>
              <w:rPr>
                <w:b w:val="0"/>
                <w:sz w:val="20"/>
                <w:szCs w:val="20"/>
              </w:rPr>
            </w:pPr>
            <w:r w:rsidRPr="003A41B3">
              <w:rPr>
                <w:b w:val="0"/>
                <w:sz w:val="20"/>
                <w:szCs w:val="20"/>
              </w:rPr>
              <w:t xml:space="preserve">Average numerical rating </w:t>
            </w:r>
          </w:p>
        </w:tc>
        <w:tc>
          <w:tcPr>
            <w:tcW w:w="730" w:type="dxa"/>
            <w:shd w:val="clear" w:color="auto" w:fill="auto"/>
            <w:noWrap/>
            <w:vAlign w:val="center"/>
          </w:tcPr>
          <w:p w14:paraId="7DC70D71"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26.46</w:t>
            </w:r>
          </w:p>
        </w:tc>
        <w:tc>
          <w:tcPr>
            <w:tcW w:w="1582" w:type="dxa"/>
            <w:shd w:val="clear" w:color="auto" w:fill="auto"/>
            <w:noWrap/>
          </w:tcPr>
          <w:p w14:paraId="585BA88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793" w:type="dxa"/>
            <w:shd w:val="clear" w:color="auto" w:fill="auto"/>
            <w:noWrap/>
            <w:vAlign w:val="center"/>
          </w:tcPr>
          <w:p w14:paraId="4F5E16D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26.38</w:t>
            </w:r>
          </w:p>
        </w:tc>
        <w:tc>
          <w:tcPr>
            <w:tcW w:w="1036" w:type="dxa"/>
            <w:shd w:val="clear" w:color="auto" w:fill="auto"/>
            <w:noWrap/>
          </w:tcPr>
          <w:p w14:paraId="679F2C5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682" w:type="dxa"/>
            <w:shd w:val="clear" w:color="auto" w:fill="auto"/>
            <w:noWrap/>
            <w:vAlign w:val="center"/>
          </w:tcPr>
          <w:p w14:paraId="6074F79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sz w:val="20"/>
                <w:szCs w:val="20"/>
              </w:rPr>
              <w:t>27.58</w:t>
            </w:r>
          </w:p>
        </w:tc>
        <w:tc>
          <w:tcPr>
            <w:tcW w:w="1212" w:type="dxa"/>
            <w:shd w:val="clear" w:color="auto" w:fill="auto"/>
            <w:noWrap/>
          </w:tcPr>
          <w:p w14:paraId="024A8072"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E042C0" w:rsidRPr="003A41B3" w14:paraId="46761DED"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2FF98A1F" w14:textId="77777777" w:rsidR="00E042C0" w:rsidRPr="003A41B3" w:rsidRDefault="00E042C0" w:rsidP="00367E75">
            <w:pPr>
              <w:rPr>
                <w:b w:val="0"/>
                <w:sz w:val="20"/>
                <w:szCs w:val="20"/>
              </w:rPr>
            </w:pPr>
            <w:r w:rsidRPr="003A41B3">
              <w:rPr>
                <w:rFonts w:eastAsia="Times New Roman"/>
                <w:b w:val="0"/>
                <w:bCs w:val="0"/>
                <w:sz w:val="20"/>
                <w:szCs w:val="20"/>
              </w:rPr>
              <w:t>Positive events</w:t>
            </w:r>
          </w:p>
        </w:tc>
        <w:tc>
          <w:tcPr>
            <w:tcW w:w="730" w:type="dxa"/>
            <w:tcBorders>
              <w:top w:val="none" w:sz="0" w:space="0" w:color="auto"/>
              <w:bottom w:val="none" w:sz="0" w:space="0" w:color="auto"/>
            </w:tcBorders>
            <w:shd w:val="clear" w:color="auto" w:fill="auto"/>
            <w:noWrap/>
            <w:vAlign w:val="center"/>
          </w:tcPr>
          <w:p w14:paraId="133494AA"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69</w:t>
            </w:r>
          </w:p>
        </w:tc>
        <w:tc>
          <w:tcPr>
            <w:tcW w:w="1582" w:type="dxa"/>
            <w:tcBorders>
              <w:top w:val="none" w:sz="0" w:space="0" w:color="auto"/>
              <w:bottom w:val="none" w:sz="0" w:space="0" w:color="auto"/>
            </w:tcBorders>
            <w:shd w:val="clear" w:color="auto" w:fill="auto"/>
            <w:noWrap/>
            <w:vAlign w:val="center"/>
          </w:tcPr>
          <w:p w14:paraId="63380995"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41.82%</w:t>
            </w:r>
          </w:p>
        </w:tc>
        <w:tc>
          <w:tcPr>
            <w:tcW w:w="793" w:type="dxa"/>
            <w:tcBorders>
              <w:top w:val="none" w:sz="0" w:space="0" w:color="auto"/>
              <w:bottom w:val="none" w:sz="0" w:space="0" w:color="auto"/>
            </w:tcBorders>
            <w:shd w:val="clear" w:color="auto" w:fill="auto"/>
            <w:noWrap/>
            <w:vAlign w:val="center"/>
          </w:tcPr>
          <w:p w14:paraId="77D4926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60</w:t>
            </w:r>
          </w:p>
        </w:tc>
        <w:tc>
          <w:tcPr>
            <w:tcW w:w="1036" w:type="dxa"/>
            <w:tcBorders>
              <w:top w:val="none" w:sz="0" w:space="0" w:color="auto"/>
              <w:bottom w:val="none" w:sz="0" w:space="0" w:color="auto"/>
            </w:tcBorders>
            <w:shd w:val="clear" w:color="auto" w:fill="auto"/>
            <w:noWrap/>
            <w:vAlign w:val="center"/>
          </w:tcPr>
          <w:p w14:paraId="3102AF73"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48.39%</w:t>
            </w:r>
          </w:p>
        </w:tc>
        <w:tc>
          <w:tcPr>
            <w:tcW w:w="682" w:type="dxa"/>
            <w:tcBorders>
              <w:top w:val="none" w:sz="0" w:space="0" w:color="auto"/>
              <w:bottom w:val="none" w:sz="0" w:space="0" w:color="auto"/>
            </w:tcBorders>
            <w:shd w:val="clear" w:color="auto" w:fill="auto"/>
            <w:noWrap/>
            <w:vAlign w:val="center"/>
          </w:tcPr>
          <w:p w14:paraId="4F11A3D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52</w:t>
            </w:r>
          </w:p>
        </w:tc>
        <w:tc>
          <w:tcPr>
            <w:tcW w:w="1212" w:type="dxa"/>
            <w:tcBorders>
              <w:top w:val="none" w:sz="0" w:space="0" w:color="auto"/>
              <w:bottom w:val="none" w:sz="0" w:space="0" w:color="auto"/>
            </w:tcBorders>
            <w:shd w:val="clear" w:color="auto" w:fill="auto"/>
            <w:noWrap/>
            <w:vAlign w:val="center"/>
          </w:tcPr>
          <w:p w14:paraId="72C68F5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48.15%</w:t>
            </w:r>
          </w:p>
        </w:tc>
      </w:tr>
      <w:tr w:rsidR="00E042C0" w:rsidRPr="003A41B3" w14:paraId="0A3F4411"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3C66E9C9" w14:textId="77777777" w:rsidR="00E042C0" w:rsidRPr="003A41B3" w:rsidRDefault="00E042C0" w:rsidP="00367E75">
            <w:pPr>
              <w:rPr>
                <w:b w:val="0"/>
                <w:sz w:val="20"/>
                <w:szCs w:val="20"/>
              </w:rPr>
            </w:pPr>
            <w:r w:rsidRPr="003A41B3">
              <w:rPr>
                <w:rFonts w:eastAsia="Times New Roman"/>
                <w:b w:val="0"/>
                <w:bCs w:val="0"/>
                <w:sz w:val="20"/>
                <w:szCs w:val="20"/>
              </w:rPr>
              <w:t>Upgrade by 1 CCR point</w:t>
            </w:r>
          </w:p>
        </w:tc>
        <w:tc>
          <w:tcPr>
            <w:tcW w:w="730" w:type="dxa"/>
            <w:shd w:val="clear" w:color="auto" w:fill="auto"/>
            <w:noWrap/>
            <w:vAlign w:val="center"/>
          </w:tcPr>
          <w:p w14:paraId="532391F2"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37</w:t>
            </w:r>
          </w:p>
        </w:tc>
        <w:tc>
          <w:tcPr>
            <w:tcW w:w="1582" w:type="dxa"/>
            <w:shd w:val="clear" w:color="auto" w:fill="auto"/>
            <w:noWrap/>
            <w:vAlign w:val="center"/>
          </w:tcPr>
          <w:p w14:paraId="16A2C729"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22.42%</w:t>
            </w:r>
          </w:p>
        </w:tc>
        <w:tc>
          <w:tcPr>
            <w:tcW w:w="793" w:type="dxa"/>
            <w:shd w:val="clear" w:color="auto" w:fill="auto"/>
            <w:noWrap/>
            <w:vAlign w:val="center"/>
          </w:tcPr>
          <w:p w14:paraId="7DBF25F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27</w:t>
            </w:r>
          </w:p>
        </w:tc>
        <w:tc>
          <w:tcPr>
            <w:tcW w:w="1036" w:type="dxa"/>
            <w:shd w:val="clear" w:color="auto" w:fill="auto"/>
            <w:noWrap/>
            <w:vAlign w:val="center"/>
          </w:tcPr>
          <w:p w14:paraId="292160A9"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21.77%</w:t>
            </w:r>
          </w:p>
        </w:tc>
        <w:tc>
          <w:tcPr>
            <w:tcW w:w="682" w:type="dxa"/>
            <w:shd w:val="clear" w:color="auto" w:fill="auto"/>
            <w:noWrap/>
            <w:vAlign w:val="center"/>
          </w:tcPr>
          <w:p w14:paraId="0085EFB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23</w:t>
            </w:r>
          </w:p>
        </w:tc>
        <w:tc>
          <w:tcPr>
            <w:tcW w:w="1212" w:type="dxa"/>
            <w:shd w:val="clear" w:color="auto" w:fill="auto"/>
            <w:noWrap/>
            <w:vAlign w:val="center"/>
          </w:tcPr>
          <w:p w14:paraId="2D49FB6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21.30%</w:t>
            </w:r>
          </w:p>
        </w:tc>
      </w:tr>
      <w:tr w:rsidR="00E042C0" w:rsidRPr="003A41B3" w14:paraId="22E1012E"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3822F962" w14:textId="77777777" w:rsidR="00E042C0" w:rsidRPr="003A41B3" w:rsidRDefault="00E042C0" w:rsidP="00367E75">
            <w:pPr>
              <w:rPr>
                <w:b w:val="0"/>
                <w:sz w:val="20"/>
                <w:szCs w:val="20"/>
              </w:rPr>
            </w:pPr>
            <w:r w:rsidRPr="003A41B3">
              <w:rPr>
                <w:rFonts w:eastAsia="Times New Roman"/>
                <w:b w:val="0"/>
                <w:bCs w:val="0"/>
                <w:sz w:val="20"/>
                <w:szCs w:val="20"/>
              </w:rPr>
              <w:t>Upgrade by 2 CCR point</w:t>
            </w:r>
          </w:p>
        </w:tc>
        <w:tc>
          <w:tcPr>
            <w:tcW w:w="730" w:type="dxa"/>
            <w:tcBorders>
              <w:top w:val="none" w:sz="0" w:space="0" w:color="auto"/>
              <w:bottom w:val="none" w:sz="0" w:space="0" w:color="auto"/>
            </w:tcBorders>
            <w:shd w:val="clear" w:color="auto" w:fill="auto"/>
            <w:noWrap/>
            <w:vAlign w:val="center"/>
          </w:tcPr>
          <w:p w14:paraId="30C60573"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18</w:t>
            </w:r>
          </w:p>
        </w:tc>
        <w:tc>
          <w:tcPr>
            <w:tcW w:w="1582" w:type="dxa"/>
            <w:tcBorders>
              <w:top w:val="none" w:sz="0" w:space="0" w:color="auto"/>
              <w:bottom w:val="none" w:sz="0" w:space="0" w:color="auto"/>
            </w:tcBorders>
            <w:shd w:val="clear" w:color="auto" w:fill="auto"/>
            <w:noWrap/>
            <w:vAlign w:val="center"/>
          </w:tcPr>
          <w:p w14:paraId="37CBCAAB"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10.91%</w:t>
            </w:r>
          </w:p>
        </w:tc>
        <w:tc>
          <w:tcPr>
            <w:tcW w:w="793" w:type="dxa"/>
            <w:tcBorders>
              <w:top w:val="none" w:sz="0" w:space="0" w:color="auto"/>
              <w:bottom w:val="none" w:sz="0" w:space="0" w:color="auto"/>
            </w:tcBorders>
            <w:shd w:val="clear" w:color="auto" w:fill="auto"/>
            <w:noWrap/>
            <w:vAlign w:val="center"/>
          </w:tcPr>
          <w:p w14:paraId="202ADD50"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17</w:t>
            </w:r>
          </w:p>
        </w:tc>
        <w:tc>
          <w:tcPr>
            <w:tcW w:w="1036" w:type="dxa"/>
            <w:tcBorders>
              <w:top w:val="none" w:sz="0" w:space="0" w:color="auto"/>
              <w:bottom w:val="none" w:sz="0" w:space="0" w:color="auto"/>
            </w:tcBorders>
            <w:shd w:val="clear" w:color="auto" w:fill="auto"/>
            <w:noWrap/>
            <w:vAlign w:val="center"/>
          </w:tcPr>
          <w:p w14:paraId="2778FBB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13.71%</w:t>
            </w:r>
          </w:p>
        </w:tc>
        <w:tc>
          <w:tcPr>
            <w:tcW w:w="682" w:type="dxa"/>
            <w:tcBorders>
              <w:top w:val="none" w:sz="0" w:space="0" w:color="auto"/>
              <w:bottom w:val="none" w:sz="0" w:space="0" w:color="auto"/>
            </w:tcBorders>
            <w:shd w:val="clear" w:color="auto" w:fill="auto"/>
            <w:noWrap/>
            <w:vAlign w:val="center"/>
          </w:tcPr>
          <w:p w14:paraId="675D510D"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14</w:t>
            </w:r>
          </w:p>
        </w:tc>
        <w:tc>
          <w:tcPr>
            <w:tcW w:w="1212" w:type="dxa"/>
            <w:tcBorders>
              <w:top w:val="none" w:sz="0" w:space="0" w:color="auto"/>
              <w:bottom w:val="none" w:sz="0" w:space="0" w:color="auto"/>
            </w:tcBorders>
            <w:shd w:val="clear" w:color="auto" w:fill="auto"/>
            <w:noWrap/>
            <w:vAlign w:val="center"/>
          </w:tcPr>
          <w:p w14:paraId="01FB5B0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12.96%</w:t>
            </w:r>
          </w:p>
        </w:tc>
      </w:tr>
      <w:tr w:rsidR="00E042C0" w:rsidRPr="003A41B3" w14:paraId="3BD37EEB"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2CF6F411" w14:textId="77777777" w:rsidR="00E042C0" w:rsidRPr="003A41B3" w:rsidRDefault="00E042C0" w:rsidP="00367E75">
            <w:pPr>
              <w:rPr>
                <w:b w:val="0"/>
                <w:sz w:val="20"/>
                <w:szCs w:val="20"/>
              </w:rPr>
            </w:pPr>
            <w:r w:rsidRPr="003A41B3">
              <w:rPr>
                <w:rFonts w:eastAsia="Times New Roman"/>
                <w:b w:val="0"/>
                <w:bCs w:val="0"/>
                <w:sz w:val="20"/>
                <w:szCs w:val="20"/>
              </w:rPr>
              <w:t>Upgrade by &gt; 2 CCR point</w:t>
            </w:r>
          </w:p>
        </w:tc>
        <w:tc>
          <w:tcPr>
            <w:tcW w:w="730" w:type="dxa"/>
            <w:shd w:val="clear" w:color="auto" w:fill="auto"/>
            <w:noWrap/>
            <w:vAlign w:val="center"/>
          </w:tcPr>
          <w:p w14:paraId="18FDFD0E"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14</w:t>
            </w:r>
          </w:p>
        </w:tc>
        <w:tc>
          <w:tcPr>
            <w:tcW w:w="1582" w:type="dxa"/>
            <w:shd w:val="clear" w:color="auto" w:fill="auto"/>
            <w:noWrap/>
            <w:vAlign w:val="center"/>
          </w:tcPr>
          <w:p w14:paraId="62E1C37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8.48%</w:t>
            </w:r>
          </w:p>
        </w:tc>
        <w:tc>
          <w:tcPr>
            <w:tcW w:w="793" w:type="dxa"/>
            <w:shd w:val="clear" w:color="auto" w:fill="auto"/>
            <w:noWrap/>
            <w:vAlign w:val="center"/>
          </w:tcPr>
          <w:p w14:paraId="0A15CEEF"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16</w:t>
            </w:r>
          </w:p>
        </w:tc>
        <w:tc>
          <w:tcPr>
            <w:tcW w:w="1036" w:type="dxa"/>
            <w:shd w:val="clear" w:color="auto" w:fill="auto"/>
            <w:noWrap/>
            <w:vAlign w:val="center"/>
          </w:tcPr>
          <w:p w14:paraId="01B05A9B"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12.90%</w:t>
            </w:r>
          </w:p>
        </w:tc>
        <w:tc>
          <w:tcPr>
            <w:tcW w:w="682" w:type="dxa"/>
            <w:shd w:val="clear" w:color="auto" w:fill="auto"/>
            <w:noWrap/>
            <w:vAlign w:val="center"/>
          </w:tcPr>
          <w:p w14:paraId="65908D20"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15</w:t>
            </w:r>
          </w:p>
        </w:tc>
        <w:tc>
          <w:tcPr>
            <w:tcW w:w="1212" w:type="dxa"/>
            <w:shd w:val="clear" w:color="auto" w:fill="auto"/>
            <w:noWrap/>
            <w:vAlign w:val="center"/>
          </w:tcPr>
          <w:p w14:paraId="7582F3E5"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13.89%</w:t>
            </w:r>
          </w:p>
        </w:tc>
      </w:tr>
      <w:tr w:rsidR="00E042C0" w:rsidRPr="003A41B3" w14:paraId="3C7E4D9B"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hideMark/>
          </w:tcPr>
          <w:p w14:paraId="3BB8D869" w14:textId="77777777" w:rsidR="00E042C0" w:rsidRPr="003A41B3" w:rsidRDefault="00E042C0" w:rsidP="00367E75">
            <w:pPr>
              <w:rPr>
                <w:b w:val="0"/>
                <w:sz w:val="20"/>
                <w:szCs w:val="20"/>
              </w:rPr>
            </w:pPr>
            <w:r w:rsidRPr="003A41B3">
              <w:rPr>
                <w:rFonts w:eastAsia="Times New Roman"/>
                <w:b w:val="0"/>
                <w:bCs w:val="0"/>
                <w:sz w:val="20"/>
                <w:szCs w:val="20"/>
              </w:rPr>
              <w:t>Negative events</w:t>
            </w:r>
          </w:p>
        </w:tc>
        <w:tc>
          <w:tcPr>
            <w:tcW w:w="730" w:type="dxa"/>
            <w:tcBorders>
              <w:top w:val="none" w:sz="0" w:space="0" w:color="auto"/>
              <w:bottom w:val="none" w:sz="0" w:space="0" w:color="auto"/>
            </w:tcBorders>
            <w:shd w:val="clear" w:color="auto" w:fill="auto"/>
            <w:noWrap/>
            <w:vAlign w:val="center"/>
          </w:tcPr>
          <w:p w14:paraId="3D530238"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96</w:t>
            </w:r>
          </w:p>
        </w:tc>
        <w:tc>
          <w:tcPr>
            <w:tcW w:w="1582" w:type="dxa"/>
            <w:tcBorders>
              <w:top w:val="none" w:sz="0" w:space="0" w:color="auto"/>
              <w:bottom w:val="none" w:sz="0" w:space="0" w:color="auto"/>
            </w:tcBorders>
            <w:shd w:val="clear" w:color="auto" w:fill="auto"/>
            <w:noWrap/>
            <w:vAlign w:val="center"/>
          </w:tcPr>
          <w:p w14:paraId="34890286"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58.18%</w:t>
            </w:r>
          </w:p>
        </w:tc>
        <w:tc>
          <w:tcPr>
            <w:tcW w:w="793" w:type="dxa"/>
            <w:tcBorders>
              <w:top w:val="none" w:sz="0" w:space="0" w:color="auto"/>
              <w:bottom w:val="none" w:sz="0" w:space="0" w:color="auto"/>
            </w:tcBorders>
            <w:shd w:val="clear" w:color="auto" w:fill="auto"/>
            <w:noWrap/>
            <w:vAlign w:val="center"/>
          </w:tcPr>
          <w:p w14:paraId="0732A2E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64</w:t>
            </w:r>
          </w:p>
        </w:tc>
        <w:tc>
          <w:tcPr>
            <w:tcW w:w="1036" w:type="dxa"/>
            <w:tcBorders>
              <w:top w:val="none" w:sz="0" w:space="0" w:color="auto"/>
              <w:bottom w:val="none" w:sz="0" w:space="0" w:color="auto"/>
            </w:tcBorders>
            <w:shd w:val="clear" w:color="auto" w:fill="auto"/>
            <w:noWrap/>
            <w:vAlign w:val="center"/>
          </w:tcPr>
          <w:p w14:paraId="3CA031B0"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51.61%</w:t>
            </w:r>
          </w:p>
        </w:tc>
        <w:tc>
          <w:tcPr>
            <w:tcW w:w="682" w:type="dxa"/>
            <w:tcBorders>
              <w:top w:val="none" w:sz="0" w:space="0" w:color="auto"/>
              <w:bottom w:val="none" w:sz="0" w:space="0" w:color="auto"/>
            </w:tcBorders>
            <w:shd w:val="clear" w:color="auto" w:fill="auto"/>
            <w:noWrap/>
            <w:vAlign w:val="center"/>
          </w:tcPr>
          <w:p w14:paraId="689F087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56</w:t>
            </w:r>
          </w:p>
        </w:tc>
        <w:tc>
          <w:tcPr>
            <w:tcW w:w="1212" w:type="dxa"/>
            <w:tcBorders>
              <w:top w:val="none" w:sz="0" w:space="0" w:color="auto"/>
              <w:bottom w:val="none" w:sz="0" w:space="0" w:color="auto"/>
            </w:tcBorders>
            <w:shd w:val="clear" w:color="auto" w:fill="auto"/>
            <w:noWrap/>
            <w:vAlign w:val="center"/>
          </w:tcPr>
          <w:p w14:paraId="3815EEFE"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51.85%</w:t>
            </w:r>
          </w:p>
        </w:tc>
      </w:tr>
      <w:tr w:rsidR="00E042C0" w:rsidRPr="003A41B3" w14:paraId="7A953BD9"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hideMark/>
          </w:tcPr>
          <w:p w14:paraId="54740A26" w14:textId="77777777" w:rsidR="00E042C0" w:rsidRPr="003A41B3" w:rsidRDefault="00E042C0" w:rsidP="00367E75">
            <w:pPr>
              <w:rPr>
                <w:b w:val="0"/>
                <w:sz w:val="20"/>
                <w:szCs w:val="20"/>
              </w:rPr>
            </w:pPr>
            <w:r w:rsidRPr="003A41B3">
              <w:rPr>
                <w:rFonts w:eastAsia="Times New Roman"/>
                <w:b w:val="0"/>
                <w:bCs w:val="0"/>
                <w:sz w:val="20"/>
                <w:szCs w:val="20"/>
              </w:rPr>
              <w:t>Downgrade by 1 CCR point</w:t>
            </w:r>
          </w:p>
        </w:tc>
        <w:tc>
          <w:tcPr>
            <w:tcW w:w="730" w:type="dxa"/>
            <w:shd w:val="clear" w:color="auto" w:fill="auto"/>
            <w:noWrap/>
            <w:vAlign w:val="center"/>
          </w:tcPr>
          <w:p w14:paraId="02B641A7"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49</w:t>
            </w:r>
          </w:p>
        </w:tc>
        <w:tc>
          <w:tcPr>
            <w:tcW w:w="1582" w:type="dxa"/>
            <w:shd w:val="clear" w:color="auto" w:fill="auto"/>
            <w:noWrap/>
            <w:vAlign w:val="center"/>
          </w:tcPr>
          <w:p w14:paraId="2501621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29.70%</w:t>
            </w:r>
          </w:p>
        </w:tc>
        <w:tc>
          <w:tcPr>
            <w:tcW w:w="793" w:type="dxa"/>
            <w:shd w:val="clear" w:color="auto" w:fill="auto"/>
            <w:noWrap/>
            <w:vAlign w:val="center"/>
          </w:tcPr>
          <w:p w14:paraId="411CA53C"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25</w:t>
            </w:r>
          </w:p>
        </w:tc>
        <w:tc>
          <w:tcPr>
            <w:tcW w:w="1036" w:type="dxa"/>
            <w:shd w:val="clear" w:color="auto" w:fill="auto"/>
            <w:noWrap/>
            <w:vAlign w:val="center"/>
          </w:tcPr>
          <w:p w14:paraId="02FBC4F8"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20.16%</w:t>
            </w:r>
          </w:p>
        </w:tc>
        <w:tc>
          <w:tcPr>
            <w:tcW w:w="682" w:type="dxa"/>
            <w:shd w:val="clear" w:color="auto" w:fill="auto"/>
            <w:noWrap/>
            <w:vAlign w:val="center"/>
          </w:tcPr>
          <w:p w14:paraId="0FC00D3A"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26</w:t>
            </w:r>
          </w:p>
        </w:tc>
        <w:tc>
          <w:tcPr>
            <w:tcW w:w="1212" w:type="dxa"/>
            <w:shd w:val="clear" w:color="auto" w:fill="auto"/>
            <w:noWrap/>
            <w:vAlign w:val="center"/>
          </w:tcPr>
          <w:p w14:paraId="55C82737"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24.07%</w:t>
            </w:r>
          </w:p>
        </w:tc>
      </w:tr>
      <w:tr w:rsidR="00E042C0" w:rsidRPr="003A41B3" w14:paraId="40A23F74"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none" w:sz="0" w:space="0" w:color="auto"/>
            </w:tcBorders>
            <w:shd w:val="clear" w:color="auto" w:fill="auto"/>
            <w:noWrap/>
            <w:vAlign w:val="center"/>
          </w:tcPr>
          <w:p w14:paraId="4A25EFFD" w14:textId="77777777" w:rsidR="00E042C0" w:rsidRPr="003A41B3" w:rsidRDefault="00E042C0" w:rsidP="00367E75">
            <w:pPr>
              <w:rPr>
                <w:b w:val="0"/>
                <w:sz w:val="20"/>
                <w:szCs w:val="20"/>
              </w:rPr>
            </w:pPr>
            <w:r w:rsidRPr="003A41B3">
              <w:rPr>
                <w:rFonts w:eastAsia="Times New Roman"/>
                <w:b w:val="0"/>
                <w:bCs w:val="0"/>
                <w:sz w:val="20"/>
                <w:szCs w:val="20"/>
              </w:rPr>
              <w:t>Downgrade by 2 CCR point</w:t>
            </w:r>
          </w:p>
        </w:tc>
        <w:tc>
          <w:tcPr>
            <w:tcW w:w="730" w:type="dxa"/>
            <w:tcBorders>
              <w:top w:val="none" w:sz="0" w:space="0" w:color="auto"/>
              <w:bottom w:val="none" w:sz="0" w:space="0" w:color="auto"/>
            </w:tcBorders>
            <w:shd w:val="clear" w:color="auto" w:fill="auto"/>
            <w:noWrap/>
            <w:vAlign w:val="center"/>
          </w:tcPr>
          <w:p w14:paraId="2C749600"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21</w:t>
            </w:r>
          </w:p>
        </w:tc>
        <w:tc>
          <w:tcPr>
            <w:tcW w:w="1582" w:type="dxa"/>
            <w:tcBorders>
              <w:top w:val="none" w:sz="0" w:space="0" w:color="auto"/>
              <w:bottom w:val="none" w:sz="0" w:space="0" w:color="auto"/>
            </w:tcBorders>
            <w:shd w:val="clear" w:color="auto" w:fill="auto"/>
            <w:noWrap/>
            <w:vAlign w:val="center"/>
          </w:tcPr>
          <w:p w14:paraId="0FAB56B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12.72%</w:t>
            </w:r>
          </w:p>
        </w:tc>
        <w:tc>
          <w:tcPr>
            <w:tcW w:w="793" w:type="dxa"/>
            <w:tcBorders>
              <w:top w:val="none" w:sz="0" w:space="0" w:color="auto"/>
              <w:bottom w:val="none" w:sz="0" w:space="0" w:color="auto"/>
            </w:tcBorders>
            <w:shd w:val="clear" w:color="auto" w:fill="auto"/>
            <w:noWrap/>
            <w:vAlign w:val="center"/>
          </w:tcPr>
          <w:p w14:paraId="3B2A86B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17</w:t>
            </w:r>
          </w:p>
        </w:tc>
        <w:tc>
          <w:tcPr>
            <w:tcW w:w="1036" w:type="dxa"/>
            <w:tcBorders>
              <w:top w:val="none" w:sz="0" w:space="0" w:color="auto"/>
              <w:bottom w:val="none" w:sz="0" w:space="0" w:color="auto"/>
            </w:tcBorders>
            <w:shd w:val="clear" w:color="auto" w:fill="auto"/>
            <w:noWrap/>
            <w:vAlign w:val="center"/>
          </w:tcPr>
          <w:p w14:paraId="697F0B5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13.71%</w:t>
            </w:r>
          </w:p>
        </w:tc>
        <w:tc>
          <w:tcPr>
            <w:tcW w:w="682" w:type="dxa"/>
            <w:tcBorders>
              <w:top w:val="none" w:sz="0" w:space="0" w:color="auto"/>
              <w:bottom w:val="none" w:sz="0" w:space="0" w:color="auto"/>
            </w:tcBorders>
            <w:shd w:val="clear" w:color="auto" w:fill="auto"/>
            <w:noWrap/>
            <w:vAlign w:val="center"/>
          </w:tcPr>
          <w:p w14:paraId="49E237C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12</w:t>
            </w:r>
          </w:p>
        </w:tc>
        <w:tc>
          <w:tcPr>
            <w:tcW w:w="1212" w:type="dxa"/>
            <w:tcBorders>
              <w:top w:val="none" w:sz="0" w:space="0" w:color="auto"/>
              <w:bottom w:val="none" w:sz="0" w:space="0" w:color="auto"/>
            </w:tcBorders>
            <w:shd w:val="clear" w:color="auto" w:fill="auto"/>
            <w:noWrap/>
            <w:vAlign w:val="center"/>
          </w:tcPr>
          <w:p w14:paraId="0681E7B2"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rFonts w:eastAsia="Times New Roman"/>
                <w:sz w:val="20"/>
                <w:szCs w:val="20"/>
              </w:rPr>
              <w:t>11.11%</w:t>
            </w:r>
          </w:p>
        </w:tc>
      </w:tr>
      <w:tr w:rsidR="00E042C0" w:rsidRPr="003A41B3" w14:paraId="5B3CA87B" w14:textId="77777777" w:rsidTr="00B674B8">
        <w:trPr>
          <w:trHeight w:val="325"/>
        </w:trPr>
        <w:tc>
          <w:tcPr>
            <w:cnfStyle w:val="001000000000" w:firstRow="0" w:lastRow="0" w:firstColumn="1" w:lastColumn="0" w:oddVBand="0" w:evenVBand="0" w:oddHBand="0" w:evenHBand="0" w:firstRowFirstColumn="0" w:firstRowLastColumn="0" w:lastRowFirstColumn="0" w:lastRowLastColumn="0"/>
            <w:tcW w:w="2991" w:type="dxa"/>
            <w:shd w:val="clear" w:color="auto" w:fill="auto"/>
            <w:noWrap/>
            <w:vAlign w:val="center"/>
          </w:tcPr>
          <w:p w14:paraId="2B6909ED" w14:textId="77777777" w:rsidR="00E042C0" w:rsidRPr="003A41B3" w:rsidRDefault="00E042C0" w:rsidP="00367E75">
            <w:pPr>
              <w:rPr>
                <w:b w:val="0"/>
                <w:sz w:val="20"/>
                <w:szCs w:val="20"/>
              </w:rPr>
            </w:pPr>
            <w:r w:rsidRPr="003A41B3">
              <w:rPr>
                <w:rFonts w:eastAsia="Times New Roman"/>
                <w:b w:val="0"/>
                <w:bCs w:val="0"/>
                <w:sz w:val="20"/>
                <w:szCs w:val="20"/>
              </w:rPr>
              <w:t>Downgrade by &gt; 2 CCR point</w:t>
            </w:r>
          </w:p>
        </w:tc>
        <w:tc>
          <w:tcPr>
            <w:tcW w:w="730" w:type="dxa"/>
            <w:shd w:val="clear" w:color="auto" w:fill="auto"/>
            <w:noWrap/>
            <w:vAlign w:val="center"/>
          </w:tcPr>
          <w:p w14:paraId="77AE9931" w14:textId="77777777" w:rsidR="00E042C0" w:rsidRPr="003A41B3" w:rsidRDefault="00E042C0" w:rsidP="00367E75">
            <w:pPr>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26</w:t>
            </w:r>
          </w:p>
        </w:tc>
        <w:tc>
          <w:tcPr>
            <w:tcW w:w="1582" w:type="dxa"/>
            <w:shd w:val="clear" w:color="auto" w:fill="auto"/>
            <w:noWrap/>
            <w:vAlign w:val="center"/>
          </w:tcPr>
          <w:p w14:paraId="0037F3A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15.76%</w:t>
            </w:r>
          </w:p>
        </w:tc>
        <w:tc>
          <w:tcPr>
            <w:tcW w:w="793" w:type="dxa"/>
            <w:shd w:val="clear" w:color="auto" w:fill="auto"/>
            <w:noWrap/>
            <w:vAlign w:val="center"/>
          </w:tcPr>
          <w:p w14:paraId="7D8BE586"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22</w:t>
            </w:r>
          </w:p>
        </w:tc>
        <w:tc>
          <w:tcPr>
            <w:tcW w:w="1036" w:type="dxa"/>
            <w:shd w:val="clear" w:color="auto" w:fill="auto"/>
            <w:noWrap/>
            <w:vAlign w:val="center"/>
          </w:tcPr>
          <w:p w14:paraId="7AF12FED"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17.74%</w:t>
            </w:r>
          </w:p>
        </w:tc>
        <w:tc>
          <w:tcPr>
            <w:tcW w:w="682" w:type="dxa"/>
            <w:shd w:val="clear" w:color="auto" w:fill="auto"/>
            <w:noWrap/>
            <w:vAlign w:val="center"/>
          </w:tcPr>
          <w:p w14:paraId="11C8950E"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18</w:t>
            </w:r>
          </w:p>
        </w:tc>
        <w:tc>
          <w:tcPr>
            <w:tcW w:w="1212" w:type="dxa"/>
            <w:shd w:val="clear" w:color="auto" w:fill="auto"/>
            <w:noWrap/>
            <w:vAlign w:val="center"/>
          </w:tcPr>
          <w:p w14:paraId="570AFA99" w14:textId="77777777" w:rsidR="00E042C0" w:rsidRPr="003A41B3" w:rsidRDefault="00E042C0" w:rsidP="00367E75">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3A41B3">
              <w:rPr>
                <w:rFonts w:eastAsia="Times New Roman"/>
                <w:sz w:val="20"/>
                <w:szCs w:val="20"/>
              </w:rPr>
              <w:t>16.67%</w:t>
            </w:r>
          </w:p>
        </w:tc>
      </w:tr>
      <w:tr w:rsidR="00E042C0" w:rsidRPr="003A41B3" w14:paraId="7C16CEB5" w14:textId="77777777" w:rsidTr="00367E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1" w:type="dxa"/>
            <w:tcBorders>
              <w:top w:val="none" w:sz="0" w:space="0" w:color="auto"/>
              <w:bottom w:val="single" w:sz="4" w:space="0" w:color="000000" w:themeColor="text1"/>
            </w:tcBorders>
            <w:shd w:val="clear" w:color="auto" w:fill="auto"/>
            <w:noWrap/>
            <w:hideMark/>
          </w:tcPr>
          <w:p w14:paraId="41185BE9" w14:textId="77777777" w:rsidR="00E042C0" w:rsidRPr="003A41B3" w:rsidRDefault="00E042C0" w:rsidP="00367E75">
            <w:pPr>
              <w:rPr>
                <w:b w:val="0"/>
                <w:sz w:val="20"/>
                <w:szCs w:val="20"/>
              </w:rPr>
            </w:pPr>
            <w:r w:rsidRPr="003A41B3">
              <w:rPr>
                <w:b w:val="0"/>
                <w:sz w:val="20"/>
                <w:szCs w:val="20"/>
              </w:rPr>
              <w:t>Total no of events</w:t>
            </w:r>
          </w:p>
        </w:tc>
        <w:tc>
          <w:tcPr>
            <w:tcW w:w="730" w:type="dxa"/>
            <w:tcBorders>
              <w:top w:val="none" w:sz="0" w:space="0" w:color="auto"/>
              <w:bottom w:val="single" w:sz="4" w:space="0" w:color="000000" w:themeColor="text1"/>
            </w:tcBorders>
            <w:shd w:val="clear" w:color="auto" w:fill="auto"/>
            <w:noWrap/>
            <w:vAlign w:val="center"/>
          </w:tcPr>
          <w:p w14:paraId="5E8AE2B1" w14:textId="77777777" w:rsidR="00E042C0" w:rsidRPr="003A41B3" w:rsidRDefault="00E042C0" w:rsidP="00367E75">
            <w:pPr>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165</w:t>
            </w:r>
          </w:p>
        </w:tc>
        <w:tc>
          <w:tcPr>
            <w:tcW w:w="1582" w:type="dxa"/>
            <w:tcBorders>
              <w:top w:val="none" w:sz="0" w:space="0" w:color="auto"/>
              <w:bottom w:val="single" w:sz="4" w:space="0" w:color="000000" w:themeColor="text1"/>
            </w:tcBorders>
            <w:shd w:val="clear" w:color="auto" w:fill="auto"/>
            <w:noWrap/>
            <w:vAlign w:val="center"/>
          </w:tcPr>
          <w:p w14:paraId="11279378"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793" w:type="dxa"/>
            <w:tcBorders>
              <w:top w:val="none" w:sz="0" w:space="0" w:color="auto"/>
              <w:bottom w:val="single" w:sz="4" w:space="0" w:color="000000" w:themeColor="text1"/>
            </w:tcBorders>
            <w:shd w:val="clear" w:color="auto" w:fill="auto"/>
            <w:noWrap/>
            <w:vAlign w:val="center"/>
          </w:tcPr>
          <w:p w14:paraId="36511D0A"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124</w:t>
            </w:r>
          </w:p>
        </w:tc>
        <w:tc>
          <w:tcPr>
            <w:tcW w:w="1036" w:type="dxa"/>
            <w:tcBorders>
              <w:top w:val="none" w:sz="0" w:space="0" w:color="auto"/>
              <w:bottom w:val="single" w:sz="4" w:space="0" w:color="000000" w:themeColor="text1"/>
            </w:tcBorders>
            <w:shd w:val="clear" w:color="auto" w:fill="auto"/>
            <w:noWrap/>
            <w:vAlign w:val="center"/>
          </w:tcPr>
          <w:p w14:paraId="60D3D62F"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c>
          <w:tcPr>
            <w:tcW w:w="682" w:type="dxa"/>
            <w:tcBorders>
              <w:top w:val="none" w:sz="0" w:space="0" w:color="auto"/>
              <w:bottom w:val="single" w:sz="4" w:space="0" w:color="000000" w:themeColor="text1"/>
            </w:tcBorders>
            <w:shd w:val="clear" w:color="auto" w:fill="auto"/>
            <w:noWrap/>
            <w:vAlign w:val="center"/>
          </w:tcPr>
          <w:p w14:paraId="39CCA2D7"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108</w:t>
            </w:r>
          </w:p>
        </w:tc>
        <w:tc>
          <w:tcPr>
            <w:tcW w:w="1212" w:type="dxa"/>
            <w:tcBorders>
              <w:top w:val="none" w:sz="0" w:space="0" w:color="auto"/>
              <w:bottom w:val="single" w:sz="4" w:space="0" w:color="000000" w:themeColor="text1"/>
            </w:tcBorders>
            <w:shd w:val="clear" w:color="auto" w:fill="auto"/>
            <w:noWrap/>
            <w:vAlign w:val="center"/>
          </w:tcPr>
          <w:p w14:paraId="7A8FDCCE" w14:textId="77777777" w:rsidR="00E042C0" w:rsidRPr="003A41B3" w:rsidRDefault="00E042C0" w:rsidP="00367E75">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A41B3">
              <w:rPr>
                <w:sz w:val="20"/>
                <w:szCs w:val="20"/>
              </w:rPr>
              <w:t>100.00%</w:t>
            </w:r>
          </w:p>
        </w:tc>
      </w:tr>
    </w:tbl>
    <w:p w14:paraId="24994D8F" w14:textId="77777777" w:rsidR="00FA7B9E" w:rsidRPr="003A41B3" w:rsidRDefault="00FA7B9E" w:rsidP="00222633">
      <w:pPr>
        <w:jc w:val="both"/>
        <w:rPr>
          <w:i/>
          <w:sz w:val="10"/>
          <w:szCs w:val="10"/>
        </w:rPr>
      </w:pPr>
    </w:p>
    <w:p w14:paraId="1204E9F9" w14:textId="03A679BF" w:rsidR="00222633" w:rsidRPr="003A41B3" w:rsidRDefault="00222633" w:rsidP="00222633">
      <w:pPr>
        <w:jc w:val="both"/>
        <w:rPr>
          <w:sz w:val="22"/>
          <w:szCs w:val="22"/>
        </w:rPr>
      </w:pPr>
      <w:r w:rsidRPr="003A41B3">
        <w:rPr>
          <w:i/>
          <w:sz w:val="22"/>
          <w:szCs w:val="22"/>
        </w:rPr>
        <w:t>Note</w:t>
      </w:r>
      <w:r w:rsidR="00CB5F15" w:rsidRPr="003A41B3">
        <w:rPr>
          <w:sz w:val="22"/>
          <w:szCs w:val="22"/>
        </w:rPr>
        <w:t>:</w:t>
      </w:r>
      <w:r w:rsidRPr="003A41B3">
        <w:rPr>
          <w:sz w:val="22"/>
          <w:szCs w:val="22"/>
        </w:rPr>
        <w:t xml:space="preserve"> This table presents summary statistics for the credit rating dataset, which includes daily sovereign rating observations including outlook and watch by S&amp;P, Moody’s and Fitch for 70 countries for </w:t>
      </w:r>
      <w:r w:rsidR="00C52BC4" w:rsidRPr="003A41B3">
        <w:rPr>
          <w:sz w:val="22"/>
          <w:szCs w:val="22"/>
        </w:rPr>
        <w:t>pre-identifier</w:t>
      </w:r>
      <w:r w:rsidRPr="003A41B3">
        <w:rPr>
          <w:sz w:val="22"/>
          <w:szCs w:val="22"/>
        </w:rPr>
        <w:t xml:space="preserve"> (Jan 2006-April 2012) and </w:t>
      </w:r>
      <w:r w:rsidR="00C52BC4" w:rsidRPr="003A41B3">
        <w:rPr>
          <w:sz w:val="22"/>
          <w:szCs w:val="22"/>
        </w:rPr>
        <w:t>post-identifier</w:t>
      </w:r>
      <w:r w:rsidRPr="003A41B3">
        <w:rPr>
          <w:sz w:val="22"/>
          <w:szCs w:val="22"/>
        </w:rPr>
        <w:t xml:space="preserve"> (May 2012-June 2016) periods.</w:t>
      </w:r>
    </w:p>
    <w:p w14:paraId="61909E71" w14:textId="77777777" w:rsidR="00222633" w:rsidRPr="003A41B3" w:rsidRDefault="00222633" w:rsidP="00222633">
      <w:pPr>
        <w:rPr>
          <w:sz w:val="18"/>
        </w:rPr>
      </w:pPr>
    </w:p>
    <w:p w14:paraId="041B3C9B" w14:textId="77777777" w:rsidR="00222633" w:rsidRPr="003A41B3" w:rsidRDefault="00222633" w:rsidP="00222633">
      <w:pPr>
        <w:rPr>
          <w:sz w:val="18"/>
        </w:rPr>
      </w:pPr>
    </w:p>
    <w:p w14:paraId="30DD38C7" w14:textId="618759B8" w:rsidR="00222633" w:rsidRPr="003A41B3" w:rsidRDefault="00222633" w:rsidP="00030638">
      <w:pPr>
        <w:pStyle w:val="Caption"/>
        <w:keepNext/>
        <w:tabs>
          <w:tab w:val="center" w:pos="4513"/>
        </w:tabs>
        <w:spacing w:after="0" w:line="360" w:lineRule="auto"/>
        <w:rPr>
          <w:rFonts w:cs="Times New Roman"/>
          <w:b/>
          <w:i w:val="0"/>
          <w:color w:val="auto"/>
          <w:sz w:val="24"/>
          <w:szCs w:val="24"/>
        </w:rPr>
      </w:pPr>
      <w:r w:rsidRPr="003A41B3">
        <w:rPr>
          <w:rFonts w:cs="Times New Roman"/>
          <w:b/>
          <w:i w:val="0"/>
          <w:color w:val="auto"/>
          <w:sz w:val="24"/>
          <w:szCs w:val="24"/>
        </w:rPr>
        <w:lastRenderedPageBreak/>
        <w:t>Table 2</w:t>
      </w:r>
      <w:r w:rsidR="00030638" w:rsidRPr="003A41B3">
        <w:rPr>
          <w:rFonts w:cs="Times New Roman"/>
          <w:b/>
          <w:i w:val="0"/>
          <w:color w:val="auto"/>
          <w:sz w:val="24"/>
          <w:szCs w:val="24"/>
        </w:rPr>
        <w:t xml:space="preserve">. </w:t>
      </w:r>
      <w:r w:rsidR="00735572" w:rsidRPr="003A41B3">
        <w:rPr>
          <w:rFonts w:cs="Times New Roman"/>
          <w:b/>
          <w:i w:val="0"/>
          <w:color w:val="auto"/>
          <w:sz w:val="24"/>
          <w:szCs w:val="24"/>
        </w:rPr>
        <w:t xml:space="preserve">Summary </w:t>
      </w:r>
      <w:r w:rsidR="00043B18" w:rsidRPr="003A41B3">
        <w:rPr>
          <w:rFonts w:cs="Times New Roman"/>
          <w:b/>
          <w:i w:val="0"/>
          <w:color w:val="auto"/>
          <w:sz w:val="24"/>
          <w:szCs w:val="24"/>
        </w:rPr>
        <w:t xml:space="preserve">statistics of credit events by </w:t>
      </w:r>
      <w:r w:rsidR="00DC349F" w:rsidRPr="003A41B3">
        <w:rPr>
          <w:rFonts w:cs="Times New Roman"/>
          <w:b/>
          <w:i w:val="0"/>
          <w:color w:val="auto"/>
          <w:sz w:val="24"/>
          <w:szCs w:val="24"/>
        </w:rPr>
        <w:t>CRA</w:t>
      </w:r>
      <w:r w:rsidR="000F0D55" w:rsidRPr="003A41B3">
        <w:rPr>
          <w:rFonts w:cs="Times New Roman"/>
          <w:b/>
          <w:i w:val="0"/>
          <w:color w:val="auto"/>
          <w:sz w:val="24"/>
          <w:szCs w:val="24"/>
        </w:rPr>
        <w:t>s</w:t>
      </w:r>
      <w:r w:rsidR="00DC349F" w:rsidRPr="003A41B3">
        <w:rPr>
          <w:rFonts w:cs="Times New Roman"/>
          <w:b/>
          <w:i w:val="0"/>
          <w:color w:val="auto"/>
          <w:sz w:val="24"/>
          <w:szCs w:val="24"/>
        </w:rPr>
        <w:tab/>
      </w:r>
    </w:p>
    <w:tbl>
      <w:tblPr>
        <w:tblStyle w:val="PlainTable21"/>
        <w:tblW w:w="9026" w:type="dxa"/>
        <w:tblBorders>
          <w:top w:val="none" w:sz="0" w:space="0" w:color="auto"/>
          <w:bottom w:val="none" w:sz="0" w:space="0" w:color="auto"/>
        </w:tblBorders>
        <w:tblLook w:val="04A0" w:firstRow="1" w:lastRow="0" w:firstColumn="1" w:lastColumn="0" w:noHBand="0" w:noVBand="1"/>
      </w:tblPr>
      <w:tblGrid>
        <w:gridCol w:w="3857"/>
        <w:gridCol w:w="2133"/>
        <w:gridCol w:w="1552"/>
        <w:gridCol w:w="1484"/>
      </w:tblGrid>
      <w:tr w:rsidR="00222633" w:rsidRPr="003A41B3" w14:paraId="3DE0275D" w14:textId="77777777" w:rsidTr="001040E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single" w:sz="4" w:space="0" w:color="auto"/>
            </w:tcBorders>
            <w:shd w:val="clear" w:color="auto" w:fill="auto"/>
            <w:noWrap/>
            <w:hideMark/>
          </w:tcPr>
          <w:p w14:paraId="31D7FF0A" w14:textId="77777777" w:rsidR="00222633" w:rsidRPr="003A41B3" w:rsidRDefault="00222633" w:rsidP="00B40F9A">
            <w:pPr>
              <w:spacing w:line="360" w:lineRule="auto"/>
              <w:rPr>
                <w:rFonts w:eastAsia="Times New Roman"/>
                <w:sz w:val="22"/>
                <w:lang w:eastAsia="en-GB"/>
              </w:rPr>
            </w:pPr>
            <w:r w:rsidRPr="003A41B3">
              <w:rPr>
                <w:rFonts w:eastAsia="Times New Roman"/>
                <w:sz w:val="22"/>
                <w:lang w:eastAsia="en-GB"/>
              </w:rPr>
              <w:t>Sample</w:t>
            </w:r>
          </w:p>
        </w:tc>
        <w:tc>
          <w:tcPr>
            <w:tcW w:w="2133" w:type="dxa"/>
            <w:tcBorders>
              <w:top w:val="single" w:sz="4" w:space="0" w:color="auto"/>
            </w:tcBorders>
            <w:shd w:val="clear" w:color="auto" w:fill="auto"/>
            <w:noWrap/>
            <w:hideMark/>
          </w:tcPr>
          <w:p w14:paraId="465FE6D1" w14:textId="77777777" w:rsidR="00222633" w:rsidRPr="003A41B3" w:rsidRDefault="00222633" w:rsidP="00B40F9A">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sz w:val="22"/>
                <w:lang w:eastAsia="en-GB"/>
              </w:rPr>
            </w:pPr>
            <w:r w:rsidRPr="003A41B3">
              <w:rPr>
                <w:rFonts w:eastAsia="Times New Roman"/>
                <w:sz w:val="22"/>
                <w:lang w:eastAsia="en-GB"/>
              </w:rPr>
              <w:t>S&amp;P</w:t>
            </w:r>
          </w:p>
        </w:tc>
        <w:tc>
          <w:tcPr>
            <w:tcW w:w="1552" w:type="dxa"/>
            <w:tcBorders>
              <w:top w:val="single" w:sz="4" w:space="0" w:color="auto"/>
            </w:tcBorders>
            <w:shd w:val="clear" w:color="auto" w:fill="auto"/>
            <w:noWrap/>
            <w:hideMark/>
          </w:tcPr>
          <w:p w14:paraId="6826C500" w14:textId="77777777" w:rsidR="00222633" w:rsidRPr="003A41B3" w:rsidRDefault="00222633" w:rsidP="00B40F9A">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sz w:val="22"/>
                <w:lang w:eastAsia="en-GB"/>
              </w:rPr>
            </w:pPr>
            <w:r w:rsidRPr="003A41B3">
              <w:rPr>
                <w:rFonts w:eastAsia="Times New Roman"/>
                <w:sz w:val="22"/>
                <w:lang w:eastAsia="en-GB"/>
              </w:rPr>
              <w:t>Moody's</w:t>
            </w:r>
          </w:p>
        </w:tc>
        <w:tc>
          <w:tcPr>
            <w:tcW w:w="1484" w:type="dxa"/>
            <w:tcBorders>
              <w:top w:val="single" w:sz="4" w:space="0" w:color="auto"/>
            </w:tcBorders>
            <w:shd w:val="clear" w:color="auto" w:fill="auto"/>
            <w:noWrap/>
            <w:hideMark/>
          </w:tcPr>
          <w:p w14:paraId="3260927A" w14:textId="77777777" w:rsidR="00222633" w:rsidRPr="003A41B3" w:rsidRDefault="00222633" w:rsidP="00B40F9A">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sz w:val="22"/>
                <w:lang w:eastAsia="en-GB"/>
              </w:rPr>
            </w:pPr>
            <w:r w:rsidRPr="003A41B3">
              <w:rPr>
                <w:rFonts w:eastAsia="Times New Roman"/>
                <w:sz w:val="22"/>
                <w:lang w:eastAsia="en-GB"/>
              </w:rPr>
              <w:t>Fitch</w:t>
            </w:r>
          </w:p>
        </w:tc>
      </w:tr>
      <w:tr w:rsidR="00222633" w:rsidRPr="003A41B3" w14:paraId="19A038F4"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5B52FAD8"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No of countries</w:t>
            </w:r>
          </w:p>
        </w:tc>
        <w:tc>
          <w:tcPr>
            <w:tcW w:w="2133" w:type="dxa"/>
            <w:tcBorders>
              <w:top w:val="none" w:sz="0" w:space="0" w:color="auto"/>
              <w:bottom w:val="none" w:sz="0" w:space="0" w:color="auto"/>
            </w:tcBorders>
            <w:shd w:val="clear" w:color="auto" w:fill="auto"/>
            <w:noWrap/>
            <w:hideMark/>
          </w:tcPr>
          <w:p w14:paraId="196E0511"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rFonts w:eastAsia="Times New Roman"/>
                <w:sz w:val="20"/>
                <w:szCs w:val="20"/>
                <w:lang w:eastAsia="en-GB"/>
              </w:rPr>
              <w:t>66</w:t>
            </w:r>
          </w:p>
        </w:tc>
        <w:tc>
          <w:tcPr>
            <w:tcW w:w="1552" w:type="dxa"/>
            <w:tcBorders>
              <w:top w:val="none" w:sz="0" w:space="0" w:color="auto"/>
              <w:bottom w:val="none" w:sz="0" w:space="0" w:color="auto"/>
            </w:tcBorders>
            <w:shd w:val="clear" w:color="auto" w:fill="auto"/>
            <w:noWrap/>
            <w:vAlign w:val="center"/>
            <w:hideMark/>
          </w:tcPr>
          <w:p w14:paraId="2CC5136D"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sz w:val="20"/>
                <w:szCs w:val="20"/>
              </w:rPr>
              <w:t>54</w:t>
            </w:r>
          </w:p>
        </w:tc>
        <w:tc>
          <w:tcPr>
            <w:tcW w:w="1484" w:type="dxa"/>
            <w:tcBorders>
              <w:top w:val="none" w:sz="0" w:space="0" w:color="auto"/>
              <w:bottom w:val="none" w:sz="0" w:space="0" w:color="auto"/>
            </w:tcBorders>
            <w:shd w:val="clear" w:color="auto" w:fill="auto"/>
            <w:noWrap/>
            <w:vAlign w:val="center"/>
            <w:hideMark/>
          </w:tcPr>
          <w:p w14:paraId="1F87038F"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sz w:val="20"/>
                <w:szCs w:val="20"/>
              </w:rPr>
              <w:t>51</w:t>
            </w:r>
          </w:p>
        </w:tc>
      </w:tr>
      <w:tr w:rsidR="00222633" w:rsidRPr="003A41B3" w14:paraId="4204F221"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32B59E5E"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No of sovereign bonds</w:t>
            </w:r>
          </w:p>
        </w:tc>
        <w:tc>
          <w:tcPr>
            <w:tcW w:w="2133" w:type="dxa"/>
            <w:shd w:val="clear" w:color="auto" w:fill="auto"/>
            <w:noWrap/>
            <w:hideMark/>
          </w:tcPr>
          <w:p w14:paraId="7C8938B0"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GB"/>
              </w:rPr>
            </w:pPr>
            <w:r w:rsidRPr="003A41B3">
              <w:rPr>
                <w:rFonts w:eastAsia="Times New Roman"/>
                <w:sz w:val="20"/>
                <w:szCs w:val="20"/>
                <w:lang w:eastAsia="en-GB"/>
              </w:rPr>
              <w:t>130</w:t>
            </w:r>
          </w:p>
        </w:tc>
        <w:tc>
          <w:tcPr>
            <w:tcW w:w="1552" w:type="dxa"/>
            <w:shd w:val="clear" w:color="auto" w:fill="auto"/>
            <w:noWrap/>
            <w:vAlign w:val="center"/>
            <w:hideMark/>
          </w:tcPr>
          <w:p w14:paraId="3750AF26"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GB"/>
              </w:rPr>
            </w:pPr>
            <w:r w:rsidRPr="003A41B3">
              <w:rPr>
                <w:sz w:val="20"/>
                <w:szCs w:val="20"/>
              </w:rPr>
              <w:t>96</w:t>
            </w:r>
          </w:p>
        </w:tc>
        <w:tc>
          <w:tcPr>
            <w:tcW w:w="1484" w:type="dxa"/>
            <w:shd w:val="clear" w:color="auto" w:fill="auto"/>
            <w:noWrap/>
            <w:vAlign w:val="center"/>
            <w:hideMark/>
          </w:tcPr>
          <w:p w14:paraId="2D5C1E58"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GB"/>
              </w:rPr>
            </w:pPr>
            <w:r w:rsidRPr="003A41B3">
              <w:rPr>
                <w:sz w:val="20"/>
                <w:szCs w:val="20"/>
              </w:rPr>
              <w:t>92</w:t>
            </w:r>
          </w:p>
        </w:tc>
      </w:tr>
      <w:tr w:rsidR="00222633" w:rsidRPr="003A41B3" w14:paraId="6E1E15BD"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52C9C5DC"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No of benchmark bonds</w:t>
            </w:r>
          </w:p>
        </w:tc>
        <w:tc>
          <w:tcPr>
            <w:tcW w:w="2133" w:type="dxa"/>
            <w:tcBorders>
              <w:top w:val="none" w:sz="0" w:space="0" w:color="auto"/>
              <w:bottom w:val="none" w:sz="0" w:space="0" w:color="auto"/>
            </w:tcBorders>
            <w:shd w:val="clear" w:color="auto" w:fill="auto"/>
            <w:noWrap/>
            <w:hideMark/>
          </w:tcPr>
          <w:p w14:paraId="21B87C04"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rFonts w:eastAsia="Times New Roman"/>
                <w:sz w:val="20"/>
                <w:szCs w:val="20"/>
                <w:lang w:eastAsia="en-GB"/>
              </w:rPr>
              <w:t>65</w:t>
            </w:r>
          </w:p>
        </w:tc>
        <w:tc>
          <w:tcPr>
            <w:tcW w:w="1552" w:type="dxa"/>
            <w:tcBorders>
              <w:top w:val="none" w:sz="0" w:space="0" w:color="auto"/>
              <w:bottom w:val="none" w:sz="0" w:space="0" w:color="auto"/>
            </w:tcBorders>
            <w:shd w:val="clear" w:color="auto" w:fill="auto"/>
            <w:noWrap/>
            <w:vAlign w:val="center"/>
            <w:hideMark/>
          </w:tcPr>
          <w:p w14:paraId="3D7A58EE"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sz w:val="20"/>
                <w:szCs w:val="20"/>
              </w:rPr>
              <w:t>56</w:t>
            </w:r>
          </w:p>
        </w:tc>
        <w:tc>
          <w:tcPr>
            <w:tcW w:w="1484" w:type="dxa"/>
            <w:tcBorders>
              <w:top w:val="none" w:sz="0" w:space="0" w:color="auto"/>
              <w:bottom w:val="none" w:sz="0" w:space="0" w:color="auto"/>
            </w:tcBorders>
            <w:shd w:val="clear" w:color="auto" w:fill="auto"/>
            <w:noWrap/>
            <w:vAlign w:val="center"/>
            <w:hideMark/>
          </w:tcPr>
          <w:p w14:paraId="19B27423"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3A41B3">
              <w:rPr>
                <w:sz w:val="20"/>
                <w:szCs w:val="20"/>
              </w:rPr>
              <w:t>52</w:t>
            </w:r>
          </w:p>
        </w:tc>
      </w:tr>
      <w:tr w:rsidR="00222633" w:rsidRPr="003A41B3" w14:paraId="3B70AAAC"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1334E840"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Mean ∆Yield</w:t>
            </w:r>
          </w:p>
        </w:tc>
        <w:tc>
          <w:tcPr>
            <w:tcW w:w="2133" w:type="dxa"/>
            <w:shd w:val="clear" w:color="auto" w:fill="auto"/>
            <w:noWrap/>
            <w:vAlign w:val="center"/>
          </w:tcPr>
          <w:p w14:paraId="6FBEAB00"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0.47</w:t>
            </w:r>
          </w:p>
        </w:tc>
        <w:tc>
          <w:tcPr>
            <w:tcW w:w="1552" w:type="dxa"/>
            <w:shd w:val="clear" w:color="auto" w:fill="auto"/>
            <w:noWrap/>
            <w:vAlign w:val="center"/>
          </w:tcPr>
          <w:p w14:paraId="00B31158"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1.68</w:t>
            </w:r>
          </w:p>
        </w:tc>
        <w:tc>
          <w:tcPr>
            <w:tcW w:w="1484" w:type="dxa"/>
            <w:shd w:val="clear" w:color="auto" w:fill="auto"/>
            <w:noWrap/>
            <w:vAlign w:val="center"/>
          </w:tcPr>
          <w:p w14:paraId="70AD17A3"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2.22</w:t>
            </w:r>
          </w:p>
        </w:tc>
      </w:tr>
      <w:tr w:rsidR="00222633" w:rsidRPr="003A41B3" w14:paraId="2E66B4D0"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6C50616C"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S.D. ∆Yield</w:t>
            </w:r>
          </w:p>
        </w:tc>
        <w:tc>
          <w:tcPr>
            <w:tcW w:w="2133" w:type="dxa"/>
            <w:tcBorders>
              <w:top w:val="none" w:sz="0" w:space="0" w:color="auto"/>
              <w:bottom w:val="none" w:sz="0" w:space="0" w:color="auto"/>
            </w:tcBorders>
            <w:shd w:val="clear" w:color="auto" w:fill="auto"/>
            <w:noWrap/>
            <w:vAlign w:val="center"/>
          </w:tcPr>
          <w:p w14:paraId="62B65D60"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23.14</w:t>
            </w:r>
          </w:p>
        </w:tc>
        <w:tc>
          <w:tcPr>
            <w:tcW w:w="1552" w:type="dxa"/>
            <w:tcBorders>
              <w:top w:val="none" w:sz="0" w:space="0" w:color="auto"/>
              <w:bottom w:val="none" w:sz="0" w:space="0" w:color="auto"/>
            </w:tcBorders>
            <w:shd w:val="clear" w:color="auto" w:fill="auto"/>
            <w:noWrap/>
            <w:vAlign w:val="center"/>
          </w:tcPr>
          <w:p w14:paraId="09291082"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23.36</w:t>
            </w:r>
          </w:p>
        </w:tc>
        <w:tc>
          <w:tcPr>
            <w:tcW w:w="1484" w:type="dxa"/>
            <w:tcBorders>
              <w:top w:val="none" w:sz="0" w:space="0" w:color="auto"/>
              <w:bottom w:val="none" w:sz="0" w:space="0" w:color="auto"/>
            </w:tcBorders>
            <w:shd w:val="clear" w:color="auto" w:fill="auto"/>
            <w:noWrap/>
            <w:vAlign w:val="center"/>
          </w:tcPr>
          <w:p w14:paraId="076AFC88"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16.70</w:t>
            </w:r>
          </w:p>
        </w:tc>
      </w:tr>
      <w:tr w:rsidR="00222633" w:rsidRPr="003A41B3" w14:paraId="26626359"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35336D60"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Mean Rating58 (1-58)</w:t>
            </w:r>
          </w:p>
        </w:tc>
        <w:tc>
          <w:tcPr>
            <w:tcW w:w="2133" w:type="dxa"/>
            <w:shd w:val="clear" w:color="auto" w:fill="auto"/>
            <w:noWrap/>
            <w:vAlign w:val="center"/>
          </w:tcPr>
          <w:p w14:paraId="10F7BF3D"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27.4</w:t>
            </w:r>
            <w:r w:rsidR="001D07F5" w:rsidRPr="003A41B3">
              <w:rPr>
                <w:sz w:val="20"/>
                <w:szCs w:val="20"/>
              </w:rPr>
              <w:t>1</w:t>
            </w:r>
          </w:p>
        </w:tc>
        <w:tc>
          <w:tcPr>
            <w:tcW w:w="1552" w:type="dxa"/>
            <w:shd w:val="clear" w:color="auto" w:fill="auto"/>
            <w:noWrap/>
            <w:vAlign w:val="center"/>
          </w:tcPr>
          <w:p w14:paraId="0B7045F4"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28.13</w:t>
            </w:r>
          </w:p>
        </w:tc>
        <w:tc>
          <w:tcPr>
            <w:tcW w:w="1484" w:type="dxa"/>
            <w:shd w:val="clear" w:color="auto" w:fill="auto"/>
            <w:noWrap/>
            <w:vAlign w:val="center"/>
          </w:tcPr>
          <w:p w14:paraId="6D385D5B" w14:textId="77777777" w:rsidR="00222633" w:rsidRPr="003A41B3" w:rsidRDefault="0072669F"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29.07</w:t>
            </w:r>
          </w:p>
        </w:tc>
      </w:tr>
      <w:tr w:rsidR="00222633" w:rsidRPr="003A41B3" w14:paraId="1EFF290A"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278A0767"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S.D. Rating58 (1-58)</w:t>
            </w:r>
          </w:p>
        </w:tc>
        <w:tc>
          <w:tcPr>
            <w:tcW w:w="2133" w:type="dxa"/>
            <w:tcBorders>
              <w:top w:val="none" w:sz="0" w:space="0" w:color="auto"/>
              <w:bottom w:val="none" w:sz="0" w:space="0" w:color="auto"/>
            </w:tcBorders>
            <w:shd w:val="clear" w:color="auto" w:fill="auto"/>
            <w:noWrap/>
            <w:vAlign w:val="center"/>
          </w:tcPr>
          <w:p w14:paraId="754ACB7D"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12.06</w:t>
            </w:r>
          </w:p>
        </w:tc>
        <w:tc>
          <w:tcPr>
            <w:tcW w:w="1552" w:type="dxa"/>
            <w:tcBorders>
              <w:top w:val="none" w:sz="0" w:space="0" w:color="auto"/>
              <w:bottom w:val="none" w:sz="0" w:space="0" w:color="auto"/>
            </w:tcBorders>
            <w:shd w:val="clear" w:color="auto" w:fill="auto"/>
            <w:noWrap/>
            <w:vAlign w:val="center"/>
          </w:tcPr>
          <w:p w14:paraId="516D68C7"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12.47</w:t>
            </w:r>
          </w:p>
        </w:tc>
        <w:tc>
          <w:tcPr>
            <w:tcW w:w="1484" w:type="dxa"/>
            <w:tcBorders>
              <w:top w:val="none" w:sz="0" w:space="0" w:color="auto"/>
              <w:bottom w:val="none" w:sz="0" w:space="0" w:color="auto"/>
            </w:tcBorders>
            <w:shd w:val="clear" w:color="auto" w:fill="auto"/>
            <w:noWrap/>
            <w:vAlign w:val="center"/>
          </w:tcPr>
          <w:p w14:paraId="6D59898F"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11.58</w:t>
            </w:r>
          </w:p>
        </w:tc>
      </w:tr>
      <w:tr w:rsidR="00222633" w:rsidRPr="003A41B3" w14:paraId="76C3ABBD"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3DD6224D" w14:textId="1E362C1A" w:rsidR="00222633" w:rsidRPr="003A41B3" w:rsidRDefault="00876F92" w:rsidP="00B40F9A">
            <w:pPr>
              <w:spacing w:line="360" w:lineRule="auto"/>
              <w:rPr>
                <w:rFonts w:eastAsia="Times New Roman"/>
                <w:b w:val="0"/>
                <w:sz w:val="20"/>
                <w:szCs w:val="20"/>
                <w:lang w:eastAsia="en-GB"/>
              </w:rPr>
            </w:pPr>
            <w:r w:rsidRPr="003A41B3">
              <w:rPr>
                <w:rFonts w:eastAsia="Times New Roman"/>
                <w:b w:val="0"/>
                <w:sz w:val="20"/>
                <w:szCs w:val="20"/>
                <w:lang w:eastAsia="en-GB"/>
              </w:rPr>
              <w:t xml:space="preserve">Mean term to maturity </w:t>
            </w:r>
            <w:r w:rsidR="00222633" w:rsidRPr="003A41B3">
              <w:rPr>
                <w:rFonts w:eastAsia="Times New Roman"/>
                <w:b w:val="0"/>
                <w:sz w:val="20"/>
                <w:szCs w:val="20"/>
                <w:lang w:eastAsia="en-GB"/>
              </w:rPr>
              <w:t>(years)</w:t>
            </w:r>
          </w:p>
        </w:tc>
        <w:tc>
          <w:tcPr>
            <w:tcW w:w="2133" w:type="dxa"/>
            <w:shd w:val="clear" w:color="auto" w:fill="auto"/>
            <w:noWrap/>
            <w:vAlign w:val="center"/>
          </w:tcPr>
          <w:p w14:paraId="5AEEAA41"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7.39</w:t>
            </w:r>
          </w:p>
        </w:tc>
        <w:tc>
          <w:tcPr>
            <w:tcW w:w="1552" w:type="dxa"/>
            <w:shd w:val="clear" w:color="auto" w:fill="auto"/>
            <w:noWrap/>
            <w:vAlign w:val="center"/>
          </w:tcPr>
          <w:p w14:paraId="110667FE"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6.79</w:t>
            </w:r>
          </w:p>
        </w:tc>
        <w:tc>
          <w:tcPr>
            <w:tcW w:w="1484" w:type="dxa"/>
            <w:shd w:val="clear" w:color="auto" w:fill="auto"/>
            <w:noWrap/>
            <w:vAlign w:val="center"/>
          </w:tcPr>
          <w:p w14:paraId="3DD02FB9"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6.98</w:t>
            </w:r>
          </w:p>
        </w:tc>
      </w:tr>
      <w:tr w:rsidR="00222633" w:rsidRPr="003A41B3" w14:paraId="6B89FB68"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4BA06234"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S.D. term to maturity (years)</w:t>
            </w:r>
          </w:p>
        </w:tc>
        <w:tc>
          <w:tcPr>
            <w:tcW w:w="2133" w:type="dxa"/>
            <w:tcBorders>
              <w:top w:val="none" w:sz="0" w:space="0" w:color="auto"/>
              <w:bottom w:val="none" w:sz="0" w:space="0" w:color="auto"/>
            </w:tcBorders>
            <w:shd w:val="clear" w:color="auto" w:fill="auto"/>
            <w:noWrap/>
            <w:vAlign w:val="center"/>
          </w:tcPr>
          <w:p w14:paraId="62E43822"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6.49</w:t>
            </w:r>
          </w:p>
        </w:tc>
        <w:tc>
          <w:tcPr>
            <w:tcW w:w="1552" w:type="dxa"/>
            <w:tcBorders>
              <w:top w:val="none" w:sz="0" w:space="0" w:color="auto"/>
              <w:bottom w:val="none" w:sz="0" w:space="0" w:color="auto"/>
            </w:tcBorders>
            <w:shd w:val="clear" w:color="auto" w:fill="auto"/>
            <w:noWrap/>
            <w:vAlign w:val="center"/>
          </w:tcPr>
          <w:p w14:paraId="684A68FC"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6.20</w:t>
            </w:r>
          </w:p>
        </w:tc>
        <w:tc>
          <w:tcPr>
            <w:tcW w:w="1484" w:type="dxa"/>
            <w:tcBorders>
              <w:top w:val="none" w:sz="0" w:space="0" w:color="auto"/>
              <w:bottom w:val="none" w:sz="0" w:space="0" w:color="auto"/>
            </w:tcBorders>
            <w:shd w:val="clear" w:color="auto" w:fill="auto"/>
            <w:noWrap/>
            <w:vAlign w:val="center"/>
          </w:tcPr>
          <w:p w14:paraId="09AA7653"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5.99</w:t>
            </w:r>
          </w:p>
        </w:tc>
      </w:tr>
      <w:tr w:rsidR="00222633" w:rsidRPr="003A41B3" w14:paraId="4BE45206"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277EB9E5"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Mean coupon rate (%)</w:t>
            </w:r>
          </w:p>
        </w:tc>
        <w:tc>
          <w:tcPr>
            <w:tcW w:w="2133" w:type="dxa"/>
            <w:shd w:val="clear" w:color="auto" w:fill="auto"/>
            <w:noWrap/>
            <w:vAlign w:val="center"/>
          </w:tcPr>
          <w:p w14:paraId="43AE5C6F"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6.82</w:t>
            </w:r>
          </w:p>
        </w:tc>
        <w:tc>
          <w:tcPr>
            <w:tcW w:w="1552" w:type="dxa"/>
            <w:shd w:val="clear" w:color="auto" w:fill="auto"/>
            <w:noWrap/>
            <w:vAlign w:val="center"/>
          </w:tcPr>
          <w:p w14:paraId="131CEACA"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6.98</w:t>
            </w:r>
          </w:p>
        </w:tc>
        <w:tc>
          <w:tcPr>
            <w:tcW w:w="1484" w:type="dxa"/>
            <w:shd w:val="clear" w:color="auto" w:fill="auto"/>
            <w:noWrap/>
            <w:vAlign w:val="center"/>
          </w:tcPr>
          <w:p w14:paraId="57680067"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6.78</w:t>
            </w:r>
          </w:p>
        </w:tc>
      </w:tr>
      <w:tr w:rsidR="00222633" w:rsidRPr="003A41B3" w14:paraId="6918D328"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shd w:val="clear" w:color="auto" w:fill="auto"/>
            <w:noWrap/>
            <w:hideMark/>
          </w:tcPr>
          <w:p w14:paraId="112B8B85"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S.D. coupon rate (%)</w:t>
            </w:r>
          </w:p>
        </w:tc>
        <w:tc>
          <w:tcPr>
            <w:tcW w:w="2133" w:type="dxa"/>
            <w:tcBorders>
              <w:top w:val="none" w:sz="0" w:space="0" w:color="auto"/>
              <w:bottom w:val="none" w:sz="0" w:space="0" w:color="auto"/>
            </w:tcBorders>
            <w:shd w:val="clear" w:color="auto" w:fill="auto"/>
            <w:noWrap/>
            <w:vAlign w:val="center"/>
          </w:tcPr>
          <w:p w14:paraId="4E9430E7"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2.3</w:t>
            </w:r>
            <w:r w:rsidR="0093412E" w:rsidRPr="003A41B3">
              <w:rPr>
                <w:sz w:val="20"/>
                <w:szCs w:val="20"/>
              </w:rPr>
              <w:t>0</w:t>
            </w:r>
          </w:p>
        </w:tc>
        <w:tc>
          <w:tcPr>
            <w:tcW w:w="1552" w:type="dxa"/>
            <w:tcBorders>
              <w:top w:val="none" w:sz="0" w:space="0" w:color="auto"/>
              <w:bottom w:val="none" w:sz="0" w:space="0" w:color="auto"/>
            </w:tcBorders>
            <w:shd w:val="clear" w:color="auto" w:fill="auto"/>
            <w:noWrap/>
            <w:vAlign w:val="center"/>
          </w:tcPr>
          <w:p w14:paraId="2624E19D"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2.33</w:t>
            </w:r>
          </w:p>
        </w:tc>
        <w:tc>
          <w:tcPr>
            <w:tcW w:w="1484" w:type="dxa"/>
            <w:tcBorders>
              <w:top w:val="none" w:sz="0" w:space="0" w:color="auto"/>
              <w:bottom w:val="none" w:sz="0" w:space="0" w:color="auto"/>
            </w:tcBorders>
            <w:shd w:val="clear" w:color="auto" w:fill="auto"/>
            <w:noWrap/>
            <w:vAlign w:val="center"/>
          </w:tcPr>
          <w:p w14:paraId="6FF019C0"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2.25</w:t>
            </w:r>
          </w:p>
        </w:tc>
      </w:tr>
      <w:tr w:rsidR="00222633" w:rsidRPr="003A41B3" w14:paraId="29A455C7" w14:textId="77777777" w:rsidTr="001040EE">
        <w:trPr>
          <w:trHeight w:val="304"/>
        </w:trPr>
        <w:tc>
          <w:tcPr>
            <w:cnfStyle w:val="001000000000" w:firstRow="0" w:lastRow="0" w:firstColumn="1" w:lastColumn="0" w:oddVBand="0" w:evenVBand="0" w:oddHBand="0" w:evenHBand="0" w:firstRowFirstColumn="0" w:firstRowLastColumn="0" w:lastRowFirstColumn="0" w:lastRowLastColumn="0"/>
            <w:tcW w:w="3857" w:type="dxa"/>
            <w:shd w:val="clear" w:color="auto" w:fill="auto"/>
            <w:noWrap/>
            <w:hideMark/>
          </w:tcPr>
          <w:p w14:paraId="7869A1D6"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Mean amount issued (billion USD)</w:t>
            </w:r>
          </w:p>
        </w:tc>
        <w:tc>
          <w:tcPr>
            <w:tcW w:w="2133" w:type="dxa"/>
            <w:shd w:val="clear" w:color="auto" w:fill="auto"/>
            <w:noWrap/>
            <w:vAlign w:val="center"/>
          </w:tcPr>
          <w:p w14:paraId="077275B3"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1.19</w:t>
            </w:r>
          </w:p>
        </w:tc>
        <w:tc>
          <w:tcPr>
            <w:tcW w:w="1552" w:type="dxa"/>
            <w:shd w:val="clear" w:color="auto" w:fill="auto"/>
            <w:noWrap/>
            <w:vAlign w:val="center"/>
          </w:tcPr>
          <w:p w14:paraId="4D19F751"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1.13</w:t>
            </w:r>
          </w:p>
        </w:tc>
        <w:tc>
          <w:tcPr>
            <w:tcW w:w="1484" w:type="dxa"/>
            <w:shd w:val="clear" w:color="auto" w:fill="auto"/>
            <w:noWrap/>
            <w:vAlign w:val="center"/>
          </w:tcPr>
          <w:p w14:paraId="7831CD77" w14:textId="77777777" w:rsidR="00222633" w:rsidRPr="003A41B3" w:rsidRDefault="00222633" w:rsidP="00B40F9A">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strike/>
                <w:sz w:val="20"/>
                <w:szCs w:val="20"/>
                <w:lang w:eastAsia="en-GB"/>
              </w:rPr>
            </w:pPr>
            <w:r w:rsidRPr="003A41B3">
              <w:rPr>
                <w:sz w:val="20"/>
                <w:szCs w:val="20"/>
              </w:rPr>
              <w:t>1.23</w:t>
            </w:r>
          </w:p>
        </w:tc>
      </w:tr>
      <w:tr w:rsidR="00222633" w:rsidRPr="003A41B3" w14:paraId="504A89F7" w14:textId="77777777" w:rsidTr="001040E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single" w:sz="4" w:space="0" w:color="auto"/>
            </w:tcBorders>
            <w:shd w:val="clear" w:color="auto" w:fill="auto"/>
            <w:noWrap/>
            <w:hideMark/>
          </w:tcPr>
          <w:p w14:paraId="207B7D66" w14:textId="77777777" w:rsidR="00222633" w:rsidRPr="003A41B3" w:rsidRDefault="00222633" w:rsidP="00B40F9A">
            <w:pPr>
              <w:spacing w:line="360" w:lineRule="auto"/>
              <w:rPr>
                <w:rFonts w:eastAsia="Times New Roman"/>
                <w:b w:val="0"/>
                <w:sz w:val="20"/>
                <w:szCs w:val="20"/>
                <w:lang w:eastAsia="en-GB"/>
              </w:rPr>
            </w:pPr>
            <w:r w:rsidRPr="003A41B3">
              <w:rPr>
                <w:rFonts w:eastAsia="Times New Roman"/>
                <w:b w:val="0"/>
                <w:sz w:val="20"/>
                <w:szCs w:val="20"/>
                <w:lang w:eastAsia="en-GB"/>
              </w:rPr>
              <w:t>S.D. amount issued (billion USD)</w:t>
            </w:r>
          </w:p>
        </w:tc>
        <w:tc>
          <w:tcPr>
            <w:tcW w:w="2133" w:type="dxa"/>
            <w:tcBorders>
              <w:top w:val="none" w:sz="0" w:space="0" w:color="auto"/>
              <w:bottom w:val="single" w:sz="4" w:space="0" w:color="auto"/>
            </w:tcBorders>
            <w:shd w:val="clear" w:color="auto" w:fill="auto"/>
            <w:noWrap/>
            <w:vAlign w:val="center"/>
          </w:tcPr>
          <w:p w14:paraId="3C867E2F"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1.07</w:t>
            </w:r>
          </w:p>
        </w:tc>
        <w:tc>
          <w:tcPr>
            <w:tcW w:w="1552" w:type="dxa"/>
            <w:tcBorders>
              <w:top w:val="none" w:sz="0" w:space="0" w:color="auto"/>
              <w:bottom w:val="single" w:sz="4" w:space="0" w:color="auto"/>
            </w:tcBorders>
            <w:shd w:val="clear" w:color="auto" w:fill="auto"/>
            <w:noWrap/>
            <w:vAlign w:val="center"/>
          </w:tcPr>
          <w:p w14:paraId="0EA39989"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1.04</w:t>
            </w:r>
          </w:p>
        </w:tc>
        <w:tc>
          <w:tcPr>
            <w:tcW w:w="1484" w:type="dxa"/>
            <w:tcBorders>
              <w:top w:val="none" w:sz="0" w:space="0" w:color="auto"/>
              <w:bottom w:val="single" w:sz="4" w:space="0" w:color="auto"/>
            </w:tcBorders>
            <w:shd w:val="clear" w:color="auto" w:fill="auto"/>
            <w:noWrap/>
            <w:vAlign w:val="center"/>
          </w:tcPr>
          <w:p w14:paraId="3545C2AF" w14:textId="77777777" w:rsidR="00222633" w:rsidRPr="003A41B3" w:rsidRDefault="00222633" w:rsidP="00B40F9A">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strike/>
                <w:sz w:val="20"/>
                <w:szCs w:val="20"/>
                <w:lang w:eastAsia="en-GB"/>
              </w:rPr>
            </w:pPr>
            <w:r w:rsidRPr="003A41B3">
              <w:rPr>
                <w:sz w:val="20"/>
                <w:szCs w:val="20"/>
              </w:rPr>
              <w:t>1.05</w:t>
            </w:r>
          </w:p>
        </w:tc>
      </w:tr>
    </w:tbl>
    <w:p w14:paraId="569BB321" w14:textId="77777777" w:rsidR="00222633" w:rsidRPr="003A41B3" w:rsidRDefault="00222633" w:rsidP="00E92536">
      <w:pPr>
        <w:spacing w:before="120" w:line="276" w:lineRule="auto"/>
        <w:jc w:val="both"/>
        <w:rPr>
          <w:sz w:val="22"/>
          <w:szCs w:val="22"/>
        </w:rPr>
      </w:pPr>
      <w:r w:rsidRPr="003A41B3">
        <w:rPr>
          <w:i/>
          <w:sz w:val="22"/>
          <w:szCs w:val="22"/>
        </w:rPr>
        <w:t>Notes</w:t>
      </w:r>
      <w:r w:rsidRPr="003A41B3">
        <w:rPr>
          <w:sz w:val="22"/>
          <w:szCs w:val="22"/>
        </w:rPr>
        <w:t>. This table presents summary statistics of credit events for each CRA for 70 sovereigns from Jan 2006 to June 2016</w:t>
      </w:r>
      <w:r w:rsidR="008179C8" w:rsidRPr="003A41B3">
        <w:rPr>
          <w:sz w:val="22"/>
          <w:szCs w:val="22"/>
        </w:rPr>
        <w:t>.</w:t>
      </w:r>
      <w:r w:rsidR="00316231" w:rsidRPr="003A41B3">
        <w:rPr>
          <w:sz w:val="22"/>
          <w:szCs w:val="22"/>
        </w:rPr>
        <w:t xml:space="preserve"> </w:t>
      </w:r>
      <w:r w:rsidR="00316231" w:rsidRPr="003A41B3">
        <w:rPr>
          <w:rFonts w:eastAsia="Times New Roman"/>
          <w:b/>
          <w:sz w:val="22"/>
          <w:szCs w:val="22"/>
          <w:lang w:eastAsia="en-GB"/>
        </w:rPr>
        <w:t>∆</w:t>
      </w:r>
      <w:r w:rsidR="00316231" w:rsidRPr="003A41B3">
        <w:rPr>
          <w:i/>
          <w:sz w:val="22"/>
          <w:szCs w:val="22"/>
        </w:rPr>
        <w:t>Yield</w:t>
      </w:r>
      <w:r w:rsidR="00316231" w:rsidRPr="003A41B3">
        <w:rPr>
          <w:sz w:val="22"/>
          <w:szCs w:val="22"/>
        </w:rPr>
        <w:t xml:space="preserve"> </w:t>
      </w:r>
      <w:r w:rsidRPr="003A41B3">
        <w:rPr>
          <w:sz w:val="22"/>
          <w:szCs w:val="22"/>
        </w:rPr>
        <w:t xml:space="preserve">is the change in yield spread to the closest maturity Treasury </w:t>
      </w:r>
      <w:r w:rsidR="00A551E5" w:rsidRPr="003A41B3">
        <w:rPr>
          <w:sz w:val="22"/>
          <w:szCs w:val="22"/>
        </w:rPr>
        <w:t>Bond in the time window [0, +1]</w:t>
      </w:r>
      <w:r w:rsidRPr="003A41B3">
        <w:rPr>
          <w:sz w:val="22"/>
          <w:szCs w:val="22"/>
        </w:rPr>
        <w:t>.</w:t>
      </w:r>
      <w:r w:rsidR="00C74941" w:rsidRPr="003A41B3">
        <w:rPr>
          <w:sz w:val="22"/>
          <w:szCs w:val="22"/>
        </w:rPr>
        <w:t xml:space="preserve"> </w:t>
      </w:r>
      <w:r w:rsidRPr="003A41B3">
        <w:rPr>
          <w:i/>
          <w:sz w:val="22"/>
          <w:szCs w:val="22"/>
        </w:rPr>
        <w:t>Rating58</w:t>
      </w:r>
      <w:r w:rsidRPr="003A41B3">
        <w:rPr>
          <w:sz w:val="22"/>
          <w:szCs w:val="22"/>
        </w:rPr>
        <w:t xml:space="preserve"> represents sovereign’s CCR taking values 1-58. </w:t>
      </w:r>
      <w:r w:rsidR="007E2232" w:rsidRPr="003A41B3">
        <w:rPr>
          <w:i/>
          <w:sz w:val="22"/>
          <w:szCs w:val="22"/>
        </w:rPr>
        <w:t>Maturity</w:t>
      </w:r>
      <w:r w:rsidR="007E2232" w:rsidRPr="003A41B3">
        <w:rPr>
          <w:sz w:val="22"/>
          <w:szCs w:val="22"/>
        </w:rPr>
        <w:t xml:space="preserve"> i</w:t>
      </w:r>
      <w:r w:rsidRPr="003A41B3">
        <w:rPr>
          <w:sz w:val="22"/>
          <w:szCs w:val="22"/>
        </w:rPr>
        <w:t xml:space="preserve">s bond’s time to maturity. </w:t>
      </w:r>
    </w:p>
    <w:p w14:paraId="2E33D022" w14:textId="77777777" w:rsidR="00222633" w:rsidRPr="003A41B3" w:rsidRDefault="00222633" w:rsidP="00222633">
      <w:pPr>
        <w:sectPr w:rsidR="00222633" w:rsidRPr="003A41B3" w:rsidSect="006E7CDF">
          <w:headerReference w:type="default" r:id="rId10"/>
          <w:headerReference w:type="first" r:id="rId11"/>
          <w:footerReference w:type="first" r:id="rId12"/>
          <w:type w:val="continuous"/>
          <w:pgSz w:w="11906" w:h="16838" w:code="9"/>
          <w:pgMar w:top="1440" w:right="1440" w:bottom="1440" w:left="1440" w:header="709" w:footer="709" w:gutter="0"/>
          <w:cols w:space="708"/>
          <w:titlePg/>
          <w:docGrid w:linePitch="360"/>
        </w:sectPr>
      </w:pPr>
    </w:p>
    <w:p w14:paraId="22B13A1A" w14:textId="77777777" w:rsidR="00950423" w:rsidRPr="003A41B3" w:rsidRDefault="00950423" w:rsidP="00950423">
      <w:pPr>
        <w:spacing w:line="360" w:lineRule="auto"/>
        <w:rPr>
          <w:rFonts w:eastAsia="Times New Roman"/>
          <w:b/>
          <w:lang w:eastAsia="en-GB"/>
        </w:rPr>
      </w:pPr>
      <w:r w:rsidRPr="003A41B3">
        <w:rPr>
          <w:rFonts w:eastAsia="Times New Roman"/>
          <w:b/>
          <w:lang w:eastAsia="en-GB"/>
        </w:rPr>
        <w:lastRenderedPageBreak/>
        <w:t>Table 3. Impact of identifiers on the quality of ratings as measured by bond yields</w:t>
      </w:r>
    </w:p>
    <w:p w14:paraId="040ECA3F" w14:textId="77777777" w:rsidR="00950423" w:rsidRPr="003A41B3" w:rsidRDefault="00950423" w:rsidP="00950423">
      <w:r w:rsidRPr="003A41B3">
        <w:rPr>
          <w:rFonts w:eastAsia="Times New Roman"/>
          <w:b/>
          <w:sz w:val="22"/>
          <w:lang w:eastAsia="en-GB"/>
        </w:rPr>
        <w:t>Panel I: Positive events</w:t>
      </w:r>
    </w:p>
    <w:p w14:paraId="46717B59" w14:textId="77777777" w:rsidR="00950423" w:rsidRPr="003A41B3" w:rsidRDefault="00950423" w:rsidP="00950423"/>
    <w:tbl>
      <w:tblPr>
        <w:tblW w:w="5000" w:type="pct"/>
        <w:tblLayout w:type="fixed"/>
        <w:tblLook w:val="04A0" w:firstRow="1" w:lastRow="0" w:firstColumn="1" w:lastColumn="0" w:noHBand="0" w:noVBand="1"/>
      </w:tblPr>
      <w:tblGrid>
        <w:gridCol w:w="1708"/>
        <w:gridCol w:w="59"/>
        <w:gridCol w:w="1507"/>
        <w:gridCol w:w="2115"/>
        <w:gridCol w:w="1842"/>
        <w:gridCol w:w="2255"/>
        <w:gridCol w:w="2140"/>
        <w:gridCol w:w="2327"/>
      </w:tblGrid>
      <w:tr w:rsidR="00950423" w:rsidRPr="003A41B3" w14:paraId="509F39DB" w14:textId="77777777" w:rsidTr="00950423">
        <w:trPr>
          <w:trHeight w:val="330"/>
        </w:trPr>
        <w:tc>
          <w:tcPr>
            <w:tcW w:w="633" w:type="pct"/>
            <w:gridSpan w:val="2"/>
            <w:tcBorders>
              <w:top w:val="single" w:sz="4" w:space="0" w:color="auto"/>
              <w:left w:val="nil"/>
              <w:bottom w:val="single" w:sz="4" w:space="0" w:color="auto"/>
              <w:right w:val="nil"/>
            </w:tcBorders>
            <w:shd w:val="clear" w:color="auto" w:fill="auto"/>
            <w:noWrap/>
            <w:vAlign w:val="center"/>
            <w:hideMark/>
          </w:tcPr>
          <w:p w14:paraId="0A95E279"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 </w:t>
            </w:r>
          </w:p>
        </w:tc>
        <w:tc>
          <w:tcPr>
            <w:tcW w:w="12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1DE6F8"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S&amp;P</w:t>
            </w:r>
          </w:p>
        </w:tc>
        <w:tc>
          <w:tcPr>
            <w:tcW w:w="146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32759D"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Moody's</w:t>
            </w:r>
          </w:p>
        </w:tc>
        <w:tc>
          <w:tcPr>
            <w:tcW w:w="1601"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33D6C062"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Fitch</w:t>
            </w:r>
          </w:p>
        </w:tc>
      </w:tr>
      <w:tr w:rsidR="00950423" w:rsidRPr="003A41B3" w14:paraId="133784B3" w14:textId="77777777" w:rsidTr="00950423">
        <w:trPr>
          <w:trHeight w:val="300"/>
        </w:trPr>
        <w:tc>
          <w:tcPr>
            <w:tcW w:w="633" w:type="pct"/>
            <w:gridSpan w:val="2"/>
            <w:tcBorders>
              <w:top w:val="nil"/>
              <w:left w:val="nil"/>
              <w:bottom w:val="nil"/>
              <w:right w:val="nil"/>
            </w:tcBorders>
            <w:shd w:val="clear" w:color="auto" w:fill="auto"/>
            <w:noWrap/>
            <w:vAlign w:val="center"/>
            <w:hideMark/>
          </w:tcPr>
          <w:p w14:paraId="077B60A0"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VARIABLES</w:t>
            </w:r>
          </w:p>
        </w:tc>
        <w:tc>
          <w:tcPr>
            <w:tcW w:w="540" w:type="pct"/>
            <w:tcBorders>
              <w:top w:val="nil"/>
              <w:left w:val="nil"/>
              <w:bottom w:val="single" w:sz="4" w:space="0" w:color="auto"/>
              <w:right w:val="single" w:sz="4" w:space="0" w:color="FFFFFF"/>
            </w:tcBorders>
            <w:shd w:val="clear" w:color="auto" w:fill="auto"/>
            <w:noWrap/>
            <w:vAlign w:val="center"/>
            <w:hideMark/>
          </w:tcPr>
          <w:p w14:paraId="23369A57"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758" w:type="pct"/>
            <w:tcBorders>
              <w:top w:val="nil"/>
              <w:left w:val="single" w:sz="4" w:space="0" w:color="FFFFFF"/>
              <w:bottom w:val="single" w:sz="4" w:space="0" w:color="auto"/>
              <w:right w:val="single" w:sz="4" w:space="0" w:color="auto"/>
            </w:tcBorders>
            <w:shd w:val="clear" w:color="auto" w:fill="auto"/>
            <w:noWrap/>
            <w:vAlign w:val="center"/>
            <w:hideMark/>
          </w:tcPr>
          <w:p w14:paraId="00CBC8A3"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c>
          <w:tcPr>
            <w:tcW w:w="660" w:type="pct"/>
            <w:tcBorders>
              <w:top w:val="nil"/>
              <w:left w:val="single" w:sz="4" w:space="0" w:color="auto"/>
              <w:bottom w:val="single" w:sz="4" w:space="0" w:color="auto"/>
              <w:right w:val="single" w:sz="4" w:space="0" w:color="FFFFFF"/>
            </w:tcBorders>
            <w:shd w:val="clear" w:color="auto" w:fill="auto"/>
            <w:noWrap/>
            <w:vAlign w:val="center"/>
            <w:hideMark/>
          </w:tcPr>
          <w:p w14:paraId="24DCBE34"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808" w:type="pct"/>
            <w:tcBorders>
              <w:top w:val="nil"/>
              <w:left w:val="nil"/>
              <w:bottom w:val="single" w:sz="4" w:space="0" w:color="auto"/>
              <w:right w:val="single" w:sz="4" w:space="0" w:color="auto"/>
            </w:tcBorders>
            <w:shd w:val="clear" w:color="auto" w:fill="auto"/>
            <w:noWrap/>
            <w:vAlign w:val="center"/>
            <w:hideMark/>
          </w:tcPr>
          <w:p w14:paraId="43799214"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c>
          <w:tcPr>
            <w:tcW w:w="767" w:type="pct"/>
            <w:tcBorders>
              <w:top w:val="nil"/>
              <w:left w:val="nil"/>
              <w:bottom w:val="single" w:sz="4" w:space="0" w:color="auto"/>
              <w:right w:val="single" w:sz="4" w:space="0" w:color="FFFFFF"/>
            </w:tcBorders>
            <w:shd w:val="clear" w:color="auto" w:fill="auto"/>
            <w:noWrap/>
            <w:vAlign w:val="center"/>
            <w:hideMark/>
          </w:tcPr>
          <w:p w14:paraId="29E5EFA8"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835" w:type="pct"/>
            <w:tcBorders>
              <w:top w:val="nil"/>
              <w:left w:val="nil"/>
              <w:bottom w:val="single" w:sz="4" w:space="0" w:color="auto"/>
              <w:right w:val="single" w:sz="4" w:space="0" w:color="FFFFFF"/>
            </w:tcBorders>
            <w:shd w:val="clear" w:color="auto" w:fill="auto"/>
            <w:noWrap/>
            <w:vAlign w:val="center"/>
            <w:hideMark/>
          </w:tcPr>
          <w:p w14:paraId="7527CEDA"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r>
      <w:tr w:rsidR="00950423" w:rsidRPr="003A41B3" w14:paraId="690F5E08" w14:textId="77777777" w:rsidTr="00950423">
        <w:trPr>
          <w:trHeight w:val="339"/>
        </w:trPr>
        <w:tc>
          <w:tcPr>
            <w:tcW w:w="633" w:type="pct"/>
            <w:gridSpan w:val="2"/>
            <w:tcBorders>
              <w:top w:val="single" w:sz="4" w:space="0" w:color="auto"/>
              <w:left w:val="nil"/>
              <w:bottom w:val="nil"/>
              <w:right w:val="nil"/>
            </w:tcBorders>
            <w:shd w:val="clear" w:color="auto" w:fill="auto"/>
            <w:noWrap/>
            <w:vAlign w:val="center"/>
            <w:hideMark/>
          </w:tcPr>
          <w:p w14:paraId="53EA721C"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∆Rating</w:t>
            </w:r>
          </w:p>
        </w:tc>
        <w:tc>
          <w:tcPr>
            <w:tcW w:w="540" w:type="pct"/>
            <w:tcBorders>
              <w:top w:val="nil"/>
              <w:left w:val="nil"/>
              <w:bottom w:val="nil"/>
              <w:right w:val="nil"/>
            </w:tcBorders>
            <w:shd w:val="clear" w:color="auto" w:fill="auto"/>
            <w:noWrap/>
            <w:vAlign w:val="bottom"/>
          </w:tcPr>
          <w:p w14:paraId="64288705" w14:textId="17583180" w:rsidR="00950423" w:rsidRPr="003A41B3" w:rsidRDefault="00876F92" w:rsidP="00154091">
            <w:pPr>
              <w:contextualSpacing/>
              <w:jc w:val="center"/>
              <w:rPr>
                <w:rFonts w:eastAsia="Times New Roman"/>
                <w:sz w:val="20"/>
                <w:szCs w:val="20"/>
                <w:lang w:eastAsia="en-GB"/>
              </w:rPr>
            </w:pPr>
            <w:r w:rsidRPr="003A41B3">
              <w:rPr>
                <w:sz w:val="20"/>
                <w:szCs w:val="20"/>
              </w:rPr>
              <w:t>-3.420</w:t>
            </w:r>
            <w:r w:rsidR="00950423" w:rsidRPr="003A41B3">
              <w:rPr>
                <w:sz w:val="20"/>
                <w:szCs w:val="20"/>
              </w:rPr>
              <w:t>***</w:t>
            </w:r>
          </w:p>
        </w:tc>
        <w:tc>
          <w:tcPr>
            <w:tcW w:w="758" w:type="pct"/>
            <w:tcBorders>
              <w:top w:val="nil"/>
              <w:left w:val="nil"/>
              <w:bottom w:val="nil"/>
              <w:right w:val="single" w:sz="4" w:space="0" w:color="auto"/>
            </w:tcBorders>
            <w:shd w:val="clear" w:color="auto" w:fill="auto"/>
            <w:noWrap/>
            <w:vAlign w:val="bottom"/>
          </w:tcPr>
          <w:p w14:paraId="01D0A569" w14:textId="759BEAA6" w:rsidR="00950423" w:rsidRPr="003A41B3" w:rsidRDefault="00950423" w:rsidP="00876F92">
            <w:pPr>
              <w:contextualSpacing/>
              <w:jc w:val="center"/>
              <w:rPr>
                <w:rFonts w:eastAsia="Times New Roman"/>
                <w:sz w:val="20"/>
                <w:szCs w:val="20"/>
                <w:lang w:eastAsia="en-GB"/>
              </w:rPr>
            </w:pPr>
            <w:r w:rsidRPr="003A41B3">
              <w:rPr>
                <w:sz w:val="20"/>
                <w:szCs w:val="20"/>
              </w:rPr>
              <w:t>-3.476***</w:t>
            </w:r>
          </w:p>
        </w:tc>
        <w:tc>
          <w:tcPr>
            <w:tcW w:w="660" w:type="pct"/>
            <w:tcBorders>
              <w:top w:val="nil"/>
              <w:left w:val="single" w:sz="4" w:space="0" w:color="auto"/>
              <w:bottom w:val="nil"/>
              <w:right w:val="nil"/>
            </w:tcBorders>
            <w:shd w:val="clear" w:color="auto" w:fill="auto"/>
            <w:noWrap/>
            <w:vAlign w:val="bottom"/>
          </w:tcPr>
          <w:p w14:paraId="3C665169" w14:textId="4F0927A9" w:rsidR="00950423" w:rsidRPr="003A41B3" w:rsidRDefault="00950423" w:rsidP="00876F92">
            <w:pPr>
              <w:contextualSpacing/>
              <w:jc w:val="center"/>
              <w:rPr>
                <w:rFonts w:eastAsia="Times New Roman"/>
                <w:sz w:val="20"/>
                <w:szCs w:val="20"/>
                <w:lang w:eastAsia="en-GB"/>
              </w:rPr>
            </w:pPr>
            <w:r w:rsidRPr="003A41B3">
              <w:rPr>
                <w:sz w:val="20"/>
                <w:szCs w:val="20"/>
              </w:rPr>
              <w:t>-3.22</w:t>
            </w:r>
            <w:r w:rsidR="00876F92" w:rsidRPr="003A41B3">
              <w:rPr>
                <w:sz w:val="20"/>
                <w:szCs w:val="20"/>
              </w:rPr>
              <w:t>6</w:t>
            </w:r>
            <w:r w:rsidRPr="003A41B3">
              <w:rPr>
                <w:sz w:val="20"/>
                <w:szCs w:val="20"/>
              </w:rPr>
              <w:t>**</w:t>
            </w:r>
          </w:p>
        </w:tc>
        <w:tc>
          <w:tcPr>
            <w:tcW w:w="808" w:type="pct"/>
            <w:tcBorders>
              <w:top w:val="nil"/>
              <w:left w:val="nil"/>
              <w:bottom w:val="nil"/>
              <w:right w:val="single" w:sz="4" w:space="0" w:color="auto"/>
            </w:tcBorders>
            <w:shd w:val="clear" w:color="auto" w:fill="auto"/>
            <w:noWrap/>
            <w:vAlign w:val="bottom"/>
          </w:tcPr>
          <w:p w14:paraId="3C4DFFB1" w14:textId="04317A13" w:rsidR="00950423" w:rsidRPr="003A41B3" w:rsidRDefault="00950423" w:rsidP="00876F92">
            <w:pPr>
              <w:contextualSpacing/>
              <w:jc w:val="center"/>
              <w:rPr>
                <w:rFonts w:eastAsia="Times New Roman"/>
                <w:sz w:val="20"/>
                <w:szCs w:val="20"/>
                <w:lang w:eastAsia="en-GB"/>
              </w:rPr>
            </w:pPr>
            <w:r w:rsidRPr="003A41B3">
              <w:rPr>
                <w:sz w:val="20"/>
                <w:szCs w:val="20"/>
              </w:rPr>
              <w:t>-3.23</w:t>
            </w:r>
            <w:r w:rsidR="00876F92" w:rsidRPr="003A41B3">
              <w:rPr>
                <w:sz w:val="20"/>
                <w:szCs w:val="20"/>
              </w:rPr>
              <w:t>2</w:t>
            </w:r>
            <w:r w:rsidRPr="003A41B3">
              <w:rPr>
                <w:sz w:val="20"/>
                <w:szCs w:val="20"/>
              </w:rPr>
              <w:t>**</w:t>
            </w:r>
          </w:p>
        </w:tc>
        <w:tc>
          <w:tcPr>
            <w:tcW w:w="767" w:type="pct"/>
            <w:tcBorders>
              <w:top w:val="nil"/>
              <w:left w:val="single" w:sz="4" w:space="0" w:color="auto"/>
              <w:bottom w:val="nil"/>
              <w:right w:val="nil"/>
            </w:tcBorders>
            <w:shd w:val="clear" w:color="auto" w:fill="auto"/>
            <w:noWrap/>
            <w:vAlign w:val="bottom"/>
          </w:tcPr>
          <w:p w14:paraId="1756EBEA" w14:textId="7481EE6F" w:rsidR="00950423" w:rsidRPr="003A41B3" w:rsidRDefault="00950423" w:rsidP="00154091">
            <w:pPr>
              <w:contextualSpacing/>
              <w:jc w:val="center"/>
              <w:rPr>
                <w:rFonts w:eastAsia="Times New Roman"/>
                <w:sz w:val="20"/>
                <w:szCs w:val="20"/>
                <w:lang w:eastAsia="en-GB"/>
              </w:rPr>
            </w:pPr>
            <w:r w:rsidRPr="003A41B3">
              <w:rPr>
                <w:sz w:val="20"/>
                <w:szCs w:val="20"/>
              </w:rPr>
              <w:t>-1.399</w:t>
            </w:r>
          </w:p>
        </w:tc>
        <w:tc>
          <w:tcPr>
            <w:tcW w:w="835" w:type="pct"/>
            <w:tcBorders>
              <w:top w:val="nil"/>
              <w:left w:val="nil"/>
              <w:bottom w:val="nil"/>
              <w:right w:val="nil"/>
            </w:tcBorders>
            <w:shd w:val="clear" w:color="auto" w:fill="auto"/>
            <w:noWrap/>
            <w:vAlign w:val="bottom"/>
          </w:tcPr>
          <w:p w14:paraId="7CA535D6" w14:textId="4DC9C901" w:rsidR="00950423" w:rsidRPr="003A41B3" w:rsidRDefault="00950423" w:rsidP="00154091">
            <w:pPr>
              <w:contextualSpacing/>
              <w:jc w:val="center"/>
              <w:rPr>
                <w:rFonts w:eastAsia="Times New Roman"/>
                <w:sz w:val="20"/>
                <w:szCs w:val="20"/>
                <w:lang w:eastAsia="en-GB"/>
              </w:rPr>
            </w:pPr>
            <w:r w:rsidRPr="003A41B3">
              <w:rPr>
                <w:sz w:val="20"/>
                <w:szCs w:val="20"/>
              </w:rPr>
              <w:t>-1.401</w:t>
            </w:r>
          </w:p>
        </w:tc>
      </w:tr>
      <w:tr w:rsidR="00950423" w:rsidRPr="003A41B3" w14:paraId="5B133671" w14:textId="77777777" w:rsidTr="00950423">
        <w:trPr>
          <w:trHeight w:val="80"/>
        </w:trPr>
        <w:tc>
          <w:tcPr>
            <w:tcW w:w="633" w:type="pct"/>
            <w:gridSpan w:val="2"/>
            <w:tcBorders>
              <w:top w:val="nil"/>
              <w:left w:val="nil"/>
              <w:bottom w:val="nil"/>
              <w:right w:val="nil"/>
            </w:tcBorders>
            <w:shd w:val="clear" w:color="auto" w:fill="auto"/>
            <w:noWrap/>
            <w:vAlign w:val="bottom"/>
            <w:hideMark/>
          </w:tcPr>
          <w:p w14:paraId="0D974C86"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005F6E93" w14:textId="77777777" w:rsidR="00950423" w:rsidRPr="003A41B3" w:rsidRDefault="00950423" w:rsidP="00154091">
            <w:pPr>
              <w:contextualSpacing/>
              <w:jc w:val="center"/>
              <w:rPr>
                <w:rFonts w:eastAsia="Times New Roman"/>
                <w:sz w:val="20"/>
                <w:szCs w:val="20"/>
                <w:lang w:eastAsia="en-GB"/>
              </w:rPr>
            </w:pPr>
            <w:r w:rsidRPr="003A41B3">
              <w:rPr>
                <w:sz w:val="20"/>
                <w:szCs w:val="20"/>
              </w:rPr>
              <w:t>(-2.86)</w:t>
            </w:r>
          </w:p>
        </w:tc>
        <w:tc>
          <w:tcPr>
            <w:tcW w:w="758" w:type="pct"/>
            <w:tcBorders>
              <w:top w:val="nil"/>
              <w:left w:val="nil"/>
              <w:bottom w:val="nil"/>
              <w:right w:val="single" w:sz="4" w:space="0" w:color="auto"/>
            </w:tcBorders>
            <w:shd w:val="clear" w:color="auto" w:fill="auto"/>
            <w:noWrap/>
            <w:vAlign w:val="bottom"/>
          </w:tcPr>
          <w:p w14:paraId="6821B23A" w14:textId="77777777" w:rsidR="00950423" w:rsidRPr="003A41B3" w:rsidRDefault="00950423" w:rsidP="00154091">
            <w:pPr>
              <w:contextualSpacing/>
              <w:jc w:val="center"/>
              <w:rPr>
                <w:rFonts w:eastAsia="Times New Roman"/>
                <w:sz w:val="20"/>
                <w:szCs w:val="20"/>
                <w:lang w:eastAsia="en-GB"/>
              </w:rPr>
            </w:pPr>
            <w:r w:rsidRPr="003A41B3">
              <w:rPr>
                <w:sz w:val="20"/>
                <w:szCs w:val="20"/>
              </w:rPr>
              <w:t>(-2.87)</w:t>
            </w:r>
          </w:p>
        </w:tc>
        <w:tc>
          <w:tcPr>
            <w:tcW w:w="660" w:type="pct"/>
            <w:tcBorders>
              <w:top w:val="nil"/>
              <w:left w:val="single" w:sz="4" w:space="0" w:color="auto"/>
              <w:bottom w:val="nil"/>
              <w:right w:val="nil"/>
            </w:tcBorders>
            <w:shd w:val="clear" w:color="auto" w:fill="auto"/>
            <w:noWrap/>
            <w:vAlign w:val="bottom"/>
          </w:tcPr>
          <w:p w14:paraId="6FBF3715" w14:textId="77777777" w:rsidR="00950423" w:rsidRPr="003A41B3" w:rsidRDefault="00950423" w:rsidP="00154091">
            <w:pPr>
              <w:contextualSpacing/>
              <w:jc w:val="center"/>
              <w:rPr>
                <w:rFonts w:eastAsia="Times New Roman"/>
                <w:sz w:val="20"/>
                <w:szCs w:val="20"/>
                <w:lang w:eastAsia="en-GB"/>
              </w:rPr>
            </w:pPr>
            <w:r w:rsidRPr="003A41B3">
              <w:rPr>
                <w:sz w:val="20"/>
                <w:szCs w:val="20"/>
              </w:rPr>
              <w:t>(-2.20)</w:t>
            </w:r>
          </w:p>
        </w:tc>
        <w:tc>
          <w:tcPr>
            <w:tcW w:w="808" w:type="pct"/>
            <w:tcBorders>
              <w:top w:val="nil"/>
              <w:left w:val="nil"/>
              <w:bottom w:val="nil"/>
              <w:right w:val="single" w:sz="4" w:space="0" w:color="auto"/>
            </w:tcBorders>
            <w:shd w:val="clear" w:color="auto" w:fill="auto"/>
            <w:noWrap/>
            <w:vAlign w:val="bottom"/>
          </w:tcPr>
          <w:p w14:paraId="15B10AF4" w14:textId="77777777" w:rsidR="00950423" w:rsidRPr="003A41B3" w:rsidRDefault="00950423" w:rsidP="00154091">
            <w:pPr>
              <w:contextualSpacing/>
              <w:jc w:val="center"/>
              <w:rPr>
                <w:rFonts w:eastAsia="Times New Roman"/>
                <w:sz w:val="20"/>
                <w:szCs w:val="20"/>
                <w:lang w:eastAsia="en-GB"/>
              </w:rPr>
            </w:pPr>
            <w:r w:rsidRPr="003A41B3">
              <w:rPr>
                <w:sz w:val="20"/>
                <w:szCs w:val="20"/>
              </w:rPr>
              <w:t>(-2.20)</w:t>
            </w:r>
          </w:p>
        </w:tc>
        <w:tc>
          <w:tcPr>
            <w:tcW w:w="767" w:type="pct"/>
            <w:tcBorders>
              <w:top w:val="nil"/>
              <w:left w:val="single" w:sz="4" w:space="0" w:color="auto"/>
              <w:bottom w:val="nil"/>
              <w:right w:val="nil"/>
            </w:tcBorders>
            <w:shd w:val="clear" w:color="auto" w:fill="auto"/>
            <w:noWrap/>
            <w:vAlign w:val="bottom"/>
          </w:tcPr>
          <w:p w14:paraId="43FE02E4" w14:textId="77777777" w:rsidR="00950423" w:rsidRPr="003A41B3" w:rsidRDefault="00950423" w:rsidP="00154091">
            <w:pPr>
              <w:contextualSpacing/>
              <w:jc w:val="center"/>
              <w:rPr>
                <w:rFonts w:eastAsia="Times New Roman"/>
                <w:sz w:val="20"/>
                <w:szCs w:val="20"/>
                <w:lang w:eastAsia="en-GB"/>
              </w:rPr>
            </w:pPr>
            <w:r w:rsidRPr="003A41B3">
              <w:rPr>
                <w:sz w:val="20"/>
                <w:szCs w:val="20"/>
              </w:rPr>
              <w:t>(-1.55)</w:t>
            </w:r>
          </w:p>
        </w:tc>
        <w:tc>
          <w:tcPr>
            <w:tcW w:w="835" w:type="pct"/>
            <w:tcBorders>
              <w:top w:val="nil"/>
              <w:left w:val="nil"/>
              <w:bottom w:val="nil"/>
              <w:right w:val="nil"/>
            </w:tcBorders>
            <w:shd w:val="clear" w:color="auto" w:fill="auto"/>
            <w:noWrap/>
            <w:vAlign w:val="bottom"/>
          </w:tcPr>
          <w:p w14:paraId="02C1ACEA" w14:textId="77777777" w:rsidR="00950423" w:rsidRPr="003A41B3" w:rsidRDefault="00950423" w:rsidP="00154091">
            <w:pPr>
              <w:contextualSpacing/>
              <w:jc w:val="center"/>
              <w:rPr>
                <w:rFonts w:eastAsia="Times New Roman"/>
                <w:sz w:val="20"/>
                <w:szCs w:val="20"/>
                <w:lang w:eastAsia="en-GB"/>
              </w:rPr>
            </w:pPr>
            <w:r w:rsidRPr="003A41B3">
              <w:rPr>
                <w:sz w:val="20"/>
                <w:szCs w:val="20"/>
              </w:rPr>
              <w:t>(-1.55)</w:t>
            </w:r>
          </w:p>
        </w:tc>
      </w:tr>
      <w:tr w:rsidR="00950423" w:rsidRPr="003A41B3" w14:paraId="2A3382CF" w14:textId="77777777" w:rsidTr="00950423">
        <w:trPr>
          <w:trHeight w:val="300"/>
        </w:trPr>
        <w:tc>
          <w:tcPr>
            <w:tcW w:w="633" w:type="pct"/>
            <w:gridSpan w:val="2"/>
            <w:tcBorders>
              <w:top w:val="nil"/>
              <w:left w:val="nil"/>
              <w:bottom w:val="nil"/>
              <w:right w:val="nil"/>
            </w:tcBorders>
            <w:shd w:val="clear" w:color="auto" w:fill="auto"/>
            <w:noWrap/>
            <w:vAlign w:val="center"/>
            <w:hideMark/>
          </w:tcPr>
          <w:p w14:paraId="0B1C780E"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Identifier</w:t>
            </w:r>
          </w:p>
        </w:tc>
        <w:tc>
          <w:tcPr>
            <w:tcW w:w="540" w:type="pct"/>
            <w:tcBorders>
              <w:top w:val="nil"/>
              <w:left w:val="nil"/>
              <w:bottom w:val="nil"/>
              <w:right w:val="nil"/>
            </w:tcBorders>
            <w:shd w:val="clear" w:color="auto" w:fill="auto"/>
            <w:noWrap/>
            <w:vAlign w:val="bottom"/>
          </w:tcPr>
          <w:p w14:paraId="5E3663E3" w14:textId="594BDCDD" w:rsidR="00950423" w:rsidRPr="003A41B3" w:rsidRDefault="00876F92" w:rsidP="00154091">
            <w:pPr>
              <w:contextualSpacing/>
              <w:jc w:val="center"/>
              <w:rPr>
                <w:rFonts w:eastAsia="Times New Roman"/>
                <w:sz w:val="20"/>
                <w:szCs w:val="20"/>
                <w:lang w:eastAsia="en-GB"/>
              </w:rPr>
            </w:pPr>
            <w:r w:rsidRPr="003A41B3">
              <w:rPr>
                <w:sz w:val="20"/>
                <w:szCs w:val="20"/>
              </w:rPr>
              <w:t>-1.674</w:t>
            </w:r>
          </w:p>
        </w:tc>
        <w:tc>
          <w:tcPr>
            <w:tcW w:w="758" w:type="pct"/>
            <w:tcBorders>
              <w:top w:val="nil"/>
              <w:left w:val="nil"/>
              <w:bottom w:val="nil"/>
              <w:right w:val="single" w:sz="4" w:space="0" w:color="auto"/>
            </w:tcBorders>
            <w:shd w:val="clear" w:color="auto" w:fill="auto"/>
            <w:noWrap/>
            <w:vAlign w:val="bottom"/>
          </w:tcPr>
          <w:p w14:paraId="67A2DB25" w14:textId="77777777" w:rsidR="00950423" w:rsidRPr="003A41B3" w:rsidRDefault="00950423" w:rsidP="00154091">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6DBE18EB" w14:textId="4A691847" w:rsidR="00950423" w:rsidRPr="003A41B3" w:rsidRDefault="00950423" w:rsidP="00876F92">
            <w:pPr>
              <w:contextualSpacing/>
              <w:jc w:val="center"/>
              <w:rPr>
                <w:rFonts w:eastAsia="Times New Roman"/>
                <w:sz w:val="20"/>
                <w:szCs w:val="20"/>
                <w:lang w:eastAsia="en-GB"/>
              </w:rPr>
            </w:pPr>
            <w:r w:rsidRPr="003A41B3">
              <w:rPr>
                <w:sz w:val="20"/>
                <w:szCs w:val="20"/>
              </w:rPr>
              <w:t>-1.89</w:t>
            </w:r>
            <w:r w:rsidR="00876F92" w:rsidRPr="003A41B3">
              <w:rPr>
                <w:sz w:val="20"/>
                <w:szCs w:val="20"/>
              </w:rPr>
              <w:t>4</w:t>
            </w:r>
          </w:p>
        </w:tc>
        <w:tc>
          <w:tcPr>
            <w:tcW w:w="808" w:type="pct"/>
            <w:tcBorders>
              <w:top w:val="nil"/>
              <w:left w:val="nil"/>
              <w:bottom w:val="nil"/>
              <w:right w:val="single" w:sz="4" w:space="0" w:color="auto"/>
            </w:tcBorders>
            <w:shd w:val="clear" w:color="auto" w:fill="auto"/>
            <w:noWrap/>
            <w:vAlign w:val="bottom"/>
          </w:tcPr>
          <w:p w14:paraId="30CEE097" w14:textId="77777777" w:rsidR="00950423" w:rsidRPr="003A41B3" w:rsidRDefault="00950423" w:rsidP="00154091">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0B8AC605" w14:textId="65CE1437" w:rsidR="00950423" w:rsidRPr="003A41B3" w:rsidRDefault="00950423" w:rsidP="00876F92">
            <w:pPr>
              <w:contextualSpacing/>
              <w:jc w:val="center"/>
              <w:rPr>
                <w:rFonts w:eastAsia="Times New Roman"/>
                <w:sz w:val="20"/>
                <w:szCs w:val="20"/>
                <w:lang w:eastAsia="en-GB"/>
              </w:rPr>
            </w:pPr>
            <w:r w:rsidRPr="003A41B3">
              <w:rPr>
                <w:sz w:val="20"/>
                <w:szCs w:val="20"/>
              </w:rPr>
              <w:t>-4.636</w:t>
            </w:r>
          </w:p>
        </w:tc>
        <w:tc>
          <w:tcPr>
            <w:tcW w:w="835" w:type="pct"/>
            <w:tcBorders>
              <w:top w:val="nil"/>
              <w:left w:val="nil"/>
              <w:bottom w:val="nil"/>
              <w:right w:val="single" w:sz="4" w:space="0" w:color="FFFFFF"/>
            </w:tcBorders>
            <w:shd w:val="clear" w:color="auto" w:fill="auto"/>
            <w:noWrap/>
            <w:vAlign w:val="bottom"/>
          </w:tcPr>
          <w:p w14:paraId="65DB5407" w14:textId="77777777" w:rsidR="00950423" w:rsidRPr="003A41B3" w:rsidRDefault="00950423" w:rsidP="00154091">
            <w:pPr>
              <w:contextualSpacing/>
              <w:jc w:val="center"/>
              <w:rPr>
                <w:rFonts w:eastAsia="Times New Roman"/>
                <w:sz w:val="20"/>
                <w:szCs w:val="20"/>
                <w:lang w:eastAsia="en-GB"/>
              </w:rPr>
            </w:pPr>
          </w:p>
        </w:tc>
      </w:tr>
      <w:tr w:rsidR="00950423" w:rsidRPr="003A41B3" w14:paraId="3A81FE26" w14:textId="77777777" w:rsidTr="00950423">
        <w:trPr>
          <w:trHeight w:val="103"/>
        </w:trPr>
        <w:tc>
          <w:tcPr>
            <w:tcW w:w="633" w:type="pct"/>
            <w:gridSpan w:val="2"/>
            <w:tcBorders>
              <w:top w:val="nil"/>
              <w:left w:val="nil"/>
              <w:bottom w:val="nil"/>
              <w:right w:val="nil"/>
            </w:tcBorders>
            <w:shd w:val="clear" w:color="auto" w:fill="auto"/>
            <w:noWrap/>
            <w:vAlign w:val="bottom"/>
            <w:hideMark/>
          </w:tcPr>
          <w:p w14:paraId="152E191E"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2486462D" w14:textId="77777777" w:rsidR="00950423" w:rsidRPr="003A41B3" w:rsidRDefault="00950423" w:rsidP="00154091">
            <w:pPr>
              <w:contextualSpacing/>
              <w:jc w:val="center"/>
              <w:rPr>
                <w:rFonts w:eastAsia="Times New Roman"/>
                <w:sz w:val="20"/>
                <w:szCs w:val="20"/>
                <w:lang w:eastAsia="en-GB"/>
              </w:rPr>
            </w:pPr>
            <w:r w:rsidRPr="003A41B3">
              <w:rPr>
                <w:sz w:val="20"/>
                <w:szCs w:val="20"/>
              </w:rPr>
              <w:t>(-0.54)</w:t>
            </w:r>
          </w:p>
        </w:tc>
        <w:tc>
          <w:tcPr>
            <w:tcW w:w="758" w:type="pct"/>
            <w:tcBorders>
              <w:top w:val="nil"/>
              <w:left w:val="nil"/>
              <w:bottom w:val="nil"/>
              <w:right w:val="single" w:sz="4" w:space="0" w:color="auto"/>
            </w:tcBorders>
            <w:shd w:val="clear" w:color="auto" w:fill="auto"/>
            <w:noWrap/>
            <w:vAlign w:val="bottom"/>
          </w:tcPr>
          <w:p w14:paraId="4E3F019E" w14:textId="77777777" w:rsidR="00950423" w:rsidRPr="003A41B3" w:rsidRDefault="00950423" w:rsidP="00154091">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622DD8FF" w14:textId="77777777" w:rsidR="00950423" w:rsidRPr="003A41B3" w:rsidRDefault="00950423" w:rsidP="00154091">
            <w:pPr>
              <w:contextualSpacing/>
              <w:jc w:val="center"/>
              <w:rPr>
                <w:rFonts w:eastAsia="Times New Roman"/>
                <w:sz w:val="20"/>
                <w:szCs w:val="20"/>
                <w:lang w:eastAsia="en-GB"/>
              </w:rPr>
            </w:pPr>
            <w:r w:rsidRPr="003A41B3">
              <w:rPr>
                <w:sz w:val="20"/>
                <w:szCs w:val="20"/>
              </w:rPr>
              <w:t>(-0.54)</w:t>
            </w:r>
          </w:p>
        </w:tc>
        <w:tc>
          <w:tcPr>
            <w:tcW w:w="808" w:type="pct"/>
            <w:tcBorders>
              <w:top w:val="nil"/>
              <w:left w:val="nil"/>
              <w:bottom w:val="nil"/>
              <w:right w:val="single" w:sz="4" w:space="0" w:color="auto"/>
            </w:tcBorders>
            <w:shd w:val="clear" w:color="auto" w:fill="auto"/>
            <w:noWrap/>
            <w:vAlign w:val="bottom"/>
          </w:tcPr>
          <w:p w14:paraId="13EA9D3C" w14:textId="77777777" w:rsidR="00950423" w:rsidRPr="003A41B3" w:rsidRDefault="00950423" w:rsidP="00154091">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2A9EBE2C" w14:textId="77777777" w:rsidR="00950423" w:rsidRPr="003A41B3" w:rsidRDefault="00950423" w:rsidP="00154091">
            <w:pPr>
              <w:contextualSpacing/>
              <w:jc w:val="center"/>
              <w:rPr>
                <w:rFonts w:eastAsia="Times New Roman"/>
                <w:sz w:val="20"/>
                <w:szCs w:val="20"/>
                <w:lang w:eastAsia="en-GB"/>
              </w:rPr>
            </w:pPr>
            <w:r w:rsidRPr="003A41B3">
              <w:rPr>
                <w:sz w:val="20"/>
                <w:szCs w:val="20"/>
              </w:rPr>
              <w:t>(-0.92)</w:t>
            </w:r>
          </w:p>
        </w:tc>
        <w:tc>
          <w:tcPr>
            <w:tcW w:w="835" w:type="pct"/>
            <w:tcBorders>
              <w:top w:val="nil"/>
              <w:left w:val="nil"/>
              <w:bottom w:val="nil"/>
              <w:right w:val="single" w:sz="4" w:space="0" w:color="FFFFFF"/>
            </w:tcBorders>
            <w:shd w:val="clear" w:color="auto" w:fill="auto"/>
            <w:noWrap/>
            <w:vAlign w:val="bottom"/>
          </w:tcPr>
          <w:p w14:paraId="26F25A61" w14:textId="77777777" w:rsidR="00950423" w:rsidRPr="003A41B3" w:rsidRDefault="00950423" w:rsidP="00154091">
            <w:pPr>
              <w:contextualSpacing/>
              <w:jc w:val="center"/>
              <w:rPr>
                <w:rFonts w:eastAsia="Times New Roman"/>
                <w:sz w:val="20"/>
                <w:szCs w:val="20"/>
                <w:lang w:eastAsia="en-GB"/>
              </w:rPr>
            </w:pPr>
          </w:p>
        </w:tc>
      </w:tr>
      <w:tr w:rsidR="00950423" w:rsidRPr="003A41B3" w14:paraId="1FD88812" w14:textId="77777777" w:rsidTr="00950423">
        <w:trPr>
          <w:trHeight w:val="300"/>
        </w:trPr>
        <w:tc>
          <w:tcPr>
            <w:tcW w:w="633" w:type="pct"/>
            <w:gridSpan w:val="2"/>
            <w:tcBorders>
              <w:top w:val="nil"/>
              <w:left w:val="nil"/>
              <w:bottom w:val="nil"/>
              <w:right w:val="nil"/>
            </w:tcBorders>
            <w:shd w:val="clear" w:color="auto" w:fill="auto"/>
            <w:noWrap/>
            <w:vAlign w:val="center"/>
            <w:hideMark/>
          </w:tcPr>
          <w:p w14:paraId="27FFD983"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∆Rating*</w:t>
            </w:r>
            <w:r w:rsidRPr="003A41B3">
              <w:rPr>
                <w:rFonts w:eastAsiaTheme="minorEastAsia"/>
                <w:sz w:val="20"/>
                <w:szCs w:val="20"/>
              </w:rPr>
              <w:t xml:space="preserve"> Identifier</w:t>
            </w:r>
          </w:p>
        </w:tc>
        <w:tc>
          <w:tcPr>
            <w:tcW w:w="540" w:type="pct"/>
            <w:tcBorders>
              <w:top w:val="nil"/>
              <w:left w:val="nil"/>
              <w:bottom w:val="nil"/>
              <w:right w:val="nil"/>
            </w:tcBorders>
            <w:shd w:val="clear" w:color="auto" w:fill="auto"/>
            <w:noWrap/>
            <w:vAlign w:val="bottom"/>
          </w:tcPr>
          <w:p w14:paraId="1D484B09" w14:textId="49F25BAD" w:rsidR="00950423" w:rsidRPr="003A41B3" w:rsidRDefault="00876F92" w:rsidP="00154091">
            <w:pPr>
              <w:contextualSpacing/>
              <w:jc w:val="center"/>
              <w:rPr>
                <w:rFonts w:eastAsia="Times New Roman"/>
                <w:sz w:val="20"/>
                <w:szCs w:val="20"/>
                <w:lang w:eastAsia="en-GB"/>
              </w:rPr>
            </w:pPr>
            <w:r w:rsidRPr="003A41B3">
              <w:rPr>
                <w:sz w:val="20"/>
                <w:szCs w:val="20"/>
              </w:rPr>
              <w:t>3.644</w:t>
            </w:r>
            <w:r w:rsidR="00950423" w:rsidRPr="003A41B3">
              <w:rPr>
                <w:sz w:val="20"/>
                <w:szCs w:val="20"/>
              </w:rPr>
              <w:t>**</w:t>
            </w:r>
          </w:p>
        </w:tc>
        <w:tc>
          <w:tcPr>
            <w:tcW w:w="758" w:type="pct"/>
            <w:tcBorders>
              <w:top w:val="nil"/>
              <w:left w:val="nil"/>
              <w:bottom w:val="nil"/>
              <w:right w:val="single" w:sz="4" w:space="0" w:color="auto"/>
            </w:tcBorders>
            <w:shd w:val="clear" w:color="auto" w:fill="auto"/>
            <w:noWrap/>
            <w:vAlign w:val="bottom"/>
          </w:tcPr>
          <w:p w14:paraId="797366F1" w14:textId="77777777" w:rsidR="00950423" w:rsidRPr="003A41B3" w:rsidRDefault="00950423" w:rsidP="00154091">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5B41211D" w14:textId="75CFB57B" w:rsidR="00950423" w:rsidRPr="003A41B3" w:rsidRDefault="00876F92" w:rsidP="00154091">
            <w:pPr>
              <w:contextualSpacing/>
              <w:jc w:val="center"/>
              <w:rPr>
                <w:rFonts w:eastAsia="Times New Roman"/>
                <w:sz w:val="20"/>
                <w:szCs w:val="20"/>
                <w:lang w:eastAsia="en-GB"/>
              </w:rPr>
            </w:pPr>
            <w:r w:rsidRPr="003A41B3">
              <w:rPr>
                <w:sz w:val="20"/>
                <w:szCs w:val="20"/>
              </w:rPr>
              <w:t>3.395</w:t>
            </w:r>
            <w:r w:rsidR="00950423" w:rsidRPr="003A41B3">
              <w:rPr>
                <w:sz w:val="20"/>
                <w:szCs w:val="20"/>
              </w:rPr>
              <w:t>*</w:t>
            </w:r>
          </w:p>
        </w:tc>
        <w:tc>
          <w:tcPr>
            <w:tcW w:w="808" w:type="pct"/>
            <w:tcBorders>
              <w:top w:val="nil"/>
              <w:left w:val="nil"/>
              <w:bottom w:val="nil"/>
              <w:right w:val="single" w:sz="4" w:space="0" w:color="auto"/>
            </w:tcBorders>
            <w:shd w:val="clear" w:color="auto" w:fill="auto"/>
            <w:noWrap/>
            <w:vAlign w:val="bottom"/>
          </w:tcPr>
          <w:p w14:paraId="6CA02F39" w14:textId="77777777" w:rsidR="00950423" w:rsidRPr="003A41B3" w:rsidRDefault="00950423" w:rsidP="00154091">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584087CE" w14:textId="7D47FDF6" w:rsidR="00950423" w:rsidRPr="003A41B3" w:rsidRDefault="00950423" w:rsidP="00876F92">
            <w:pPr>
              <w:contextualSpacing/>
              <w:jc w:val="center"/>
              <w:rPr>
                <w:rFonts w:eastAsia="Times New Roman"/>
                <w:sz w:val="20"/>
                <w:szCs w:val="20"/>
                <w:lang w:eastAsia="en-GB"/>
              </w:rPr>
            </w:pPr>
            <w:r w:rsidRPr="003A41B3">
              <w:rPr>
                <w:sz w:val="20"/>
                <w:szCs w:val="20"/>
              </w:rPr>
              <w:t>2.21</w:t>
            </w:r>
            <w:r w:rsidR="00876F92" w:rsidRPr="003A41B3">
              <w:rPr>
                <w:sz w:val="20"/>
                <w:szCs w:val="20"/>
              </w:rPr>
              <w:t>4</w:t>
            </w:r>
            <w:r w:rsidRPr="003A41B3">
              <w:rPr>
                <w:sz w:val="20"/>
                <w:szCs w:val="20"/>
              </w:rPr>
              <w:t>*</w:t>
            </w:r>
          </w:p>
        </w:tc>
        <w:tc>
          <w:tcPr>
            <w:tcW w:w="835" w:type="pct"/>
            <w:tcBorders>
              <w:top w:val="nil"/>
              <w:left w:val="nil"/>
              <w:bottom w:val="nil"/>
              <w:right w:val="single" w:sz="4" w:space="0" w:color="FFFFFF"/>
            </w:tcBorders>
            <w:shd w:val="clear" w:color="auto" w:fill="auto"/>
            <w:noWrap/>
            <w:vAlign w:val="bottom"/>
          </w:tcPr>
          <w:p w14:paraId="3EA6CB78" w14:textId="77777777" w:rsidR="00950423" w:rsidRPr="003A41B3" w:rsidRDefault="00950423" w:rsidP="00154091">
            <w:pPr>
              <w:contextualSpacing/>
              <w:jc w:val="center"/>
              <w:rPr>
                <w:rFonts w:eastAsia="Times New Roman"/>
                <w:sz w:val="20"/>
                <w:szCs w:val="20"/>
                <w:lang w:eastAsia="en-GB"/>
              </w:rPr>
            </w:pPr>
          </w:p>
        </w:tc>
      </w:tr>
      <w:tr w:rsidR="00950423" w:rsidRPr="003A41B3" w14:paraId="0A34A9AB" w14:textId="77777777" w:rsidTr="00950423">
        <w:trPr>
          <w:trHeight w:val="80"/>
        </w:trPr>
        <w:tc>
          <w:tcPr>
            <w:tcW w:w="633" w:type="pct"/>
            <w:gridSpan w:val="2"/>
            <w:tcBorders>
              <w:top w:val="nil"/>
              <w:left w:val="nil"/>
              <w:bottom w:val="nil"/>
              <w:right w:val="nil"/>
            </w:tcBorders>
            <w:shd w:val="clear" w:color="auto" w:fill="auto"/>
            <w:noWrap/>
            <w:vAlign w:val="bottom"/>
            <w:hideMark/>
          </w:tcPr>
          <w:p w14:paraId="50E8ED56"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12E5CB12" w14:textId="77777777" w:rsidR="00950423" w:rsidRPr="003A41B3" w:rsidRDefault="00950423" w:rsidP="00154091">
            <w:pPr>
              <w:contextualSpacing/>
              <w:jc w:val="center"/>
              <w:rPr>
                <w:rFonts w:eastAsia="Times New Roman"/>
                <w:sz w:val="20"/>
                <w:szCs w:val="20"/>
                <w:lang w:eastAsia="en-GB"/>
              </w:rPr>
            </w:pPr>
            <w:r w:rsidRPr="003A41B3">
              <w:rPr>
                <w:sz w:val="20"/>
                <w:szCs w:val="20"/>
              </w:rPr>
              <w:t>(1.99)</w:t>
            </w:r>
          </w:p>
        </w:tc>
        <w:tc>
          <w:tcPr>
            <w:tcW w:w="758" w:type="pct"/>
            <w:tcBorders>
              <w:top w:val="nil"/>
              <w:left w:val="nil"/>
              <w:bottom w:val="nil"/>
              <w:right w:val="single" w:sz="4" w:space="0" w:color="auto"/>
            </w:tcBorders>
            <w:shd w:val="clear" w:color="auto" w:fill="auto"/>
            <w:noWrap/>
            <w:vAlign w:val="bottom"/>
          </w:tcPr>
          <w:p w14:paraId="14AC2851" w14:textId="77777777" w:rsidR="00950423" w:rsidRPr="003A41B3" w:rsidRDefault="00950423" w:rsidP="00154091">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2B935670" w14:textId="77777777" w:rsidR="00950423" w:rsidRPr="003A41B3" w:rsidRDefault="00950423" w:rsidP="00154091">
            <w:pPr>
              <w:contextualSpacing/>
              <w:jc w:val="center"/>
              <w:rPr>
                <w:rFonts w:eastAsia="Times New Roman"/>
                <w:sz w:val="20"/>
                <w:szCs w:val="20"/>
                <w:lang w:eastAsia="en-GB"/>
              </w:rPr>
            </w:pPr>
            <w:r w:rsidRPr="003A41B3">
              <w:rPr>
                <w:sz w:val="20"/>
                <w:szCs w:val="20"/>
              </w:rPr>
              <w:t>(1.65)</w:t>
            </w:r>
          </w:p>
        </w:tc>
        <w:tc>
          <w:tcPr>
            <w:tcW w:w="808" w:type="pct"/>
            <w:tcBorders>
              <w:top w:val="nil"/>
              <w:left w:val="nil"/>
              <w:bottom w:val="nil"/>
              <w:right w:val="single" w:sz="4" w:space="0" w:color="auto"/>
            </w:tcBorders>
            <w:shd w:val="clear" w:color="auto" w:fill="auto"/>
            <w:noWrap/>
            <w:vAlign w:val="bottom"/>
          </w:tcPr>
          <w:p w14:paraId="4E67C434" w14:textId="77777777" w:rsidR="00950423" w:rsidRPr="003A41B3" w:rsidRDefault="00950423" w:rsidP="00154091">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7DDEDD99" w14:textId="77777777" w:rsidR="00950423" w:rsidRPr="003A41B3" w:rsidRDefault="00950423" w:rsidP="00154091">
            <w:pPr>
              <w:contextualSpacing/>
              <w:jc w:val="center"/>
              <w:rPr>
                <w:rFonts w:eastAsia="Times New Roman"/>
                <w:sz w:val="20"/>
                <w:szCs w:val="20"/>
                <w:lang w:eastAsia="en-GB"/>
              </w:rPr>
            </w:pPr>
            <w:r w:rsidRPr="003A41B3">
              <w:rPr>
                <w:sz w:val="20"/>
                <w:szCs w:val="20"/>
              </w:rPr>
              <w:t>(1.67)</w:t>
            </w:r>
          </w:p>
        </w:tc>
        <w:tc>
          <w:tcPr>
            <w:tcW w:w="835" w:type="pct"/>
            <w:tcBorders>
              <w:top w:val="nil"/>
              <w:left w:val="nil"/>
              <w:bottom w:val="nil"/>
              <w:right w:val="single" w:sz="4" w:space="0" w:color="FFFFFF"/>
            </w:tcBorders>
            <w:shd w:val="clear" w:color="auto" w:fill="auto"/>
            <w:noWrap/>
            <w:vAlign w:val="bottom"/>
          </w:tcPr>
          <w:p w14:paraId="69E82732" w14:textId="77777777" w:rsidR="00950423" w:rsidRPr="003A41B3" w:rsidRDefault="00950423" w:rsidP="00154091">
            <w:pPr>
              <w:contextualSpacing/>
              <w:jc w:val="center"/>
              <w:rPr>
                <w:rFonts w:eastAsia="Times New Roman"/>
                <w:sz w:val="20"/>
                <w:szCs w:val="20"/>
                <w:lang w:eastAsia="en-GB"/>
              </w:rPr>
            </w:pPr>
          </w:p>
        </w:tc>
      </w:tr>
      <w:tr w:rsidR="00950423" w:rsidRPr="003A41B3" w14:paraId="6D322FBB" w14:textId="77777777" w:rsidTr="00950423">
        <w:trPr>
          <w:trHeight w:val="300"/>
        </w:trPr>
        <w:tc>
          <w:tcPr>
            <w:tcW w:w="633" w:type="pct"/>
            <w:gridSpan w:val="2"/>
            <w:tcBorders>
              <w:top w:val="nil"/>
              <w:left w:val="nil"/>
              <w:bottom w:val="nil"/>
              <w:right w:val="nil"/>
            </w:tcBorders>
            <w:shd w:val="clear" w:color="auto" w:fill="auto"/>
            <w:noWrap/>
            <w:vAlign w:val="center"/>
            <w:hideMark/>
          </w:tcPr>
          <w:p w14:paraId="215DCC4E"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Rating58</w:t>
            </w:r>
          </w:p>
        </w:tc>
        <w:tc>
          <w:tcPr>
            <w:tcW w:w="540" w:type="pct"/>
            <w:tcBorders>
              <w:top w:val="nil"/>
              <w:left w:val="nil"/>
              <w:bottom w:val="nil"/>
              <w:right w:val="nil"/>
            </w:tcBorders>
            <w:shd w:val="clear" w:color="auto" w:fill="auto"/>
            <w:noWrap/>
            <w:vAlign w:val="bottom"/>
          </w:tcPr>
          <w:p w14:paraId="2673953E" w14:textId="7DB6A9E9" w:rsidR="00950423" w:rsidRPr="003A41B3" w:rsidRDefault="00876F92" w:rsidP="00154091">
            <w:pPr>
              <w:contextualSpacing/>
              <w:jc w:val="center"/>
              <w:rPr>
                <w:rFonts w:eastAsia="Times New Roman"/>
                <w:sz w:val="20"/>
                <w:szCs w:val="20"/>
                <w:lang w:eastAsia="en-GB"/>
              </w:rPr>
            </w:pPr>
            <w:r w:rsidRPr="003A41B3">
              <w:rPr>
                <w:sz w:val="20"/>
                <w:szCs w:val="20"/>
              </w:rPr>
              <w:t>0.214</w:t>
            </w:r>
          </w:p>
        </w:tc>
        <w:tc>
          <w:tcPr>
            <w:tcW w:w="758" w:type="pct"/>
            <w:tcBorders>
              <w:top w:val="nil"/>
              <w:left w:val="nil"/>
              <w:bottom w:val="nil"/>
              <w:right w:val="single" w:sz="4" w:space="0" w:color="auto"/>
            </w:tcBorders>
            <w:shd w:val="clear" w:color="auto" w:fill="auto"/>
            <w:noWrap/>
            <w:vAlign w:val="bottom"/>
          </w:tcPr>
          <w:p w14:paraId="3B313B3F" w14:textId="2EF42C2B" w:rsidR="00950423" w:rsidRPr="003A41B3" w:rsidRDefault="00950423" w:rsidP="00876F92">
            <w:pPr>
              <w:contextualSpacing/>
              <w:jc w:val="center"/>
              <w:rPr>
                <w:rFonts w:eastAsia="Times New Roman"/>
                <w:sz w:val="20"/>
                <w:szCs w:val="20"/>
                <w:lang w:eastAsia="en-GB"/>
              </w:rPr>
            </w:pPr>
            <w:r w:rsidRPr="003A41B3">
              <w:rPr>
                <w:sz w:val="20"/>
                <w:szCs w:val="20"/>
              </w:rPr>
              <w:t>0.2</w:t>
            </w:r>
            <w:r w:rsidR="00876F92" w:rsidRPr="003A41B3">
              <w:rPr>
                <w:sz w:val="20"/>
                <w:szCs w:val="20"/>
              </w:rPr>
              <w:t>50</w:t>
            </w:r>
          </w:p>
        </w:tc>
        <w:tc>
          <w:tcPr>
            <w:tcW w:w="660" w:type="pct"/>
            <w:tcBorders>
              <w:top w:val="nil"/>
              <w:left w:val="single" w:sz="4" w:space="0" w:color="auto"/>
              <w:bottom w:val="nil"/>
              <w:right w:val="nil"/>
            </w:tcBorders>
            <w:shd w:val="clear" w:color="auto" w:fill="auto"/>
            <w:noWrap/>
            <w:vAlign w:val="bottom"/>
          </w:tcPr>
          <w:p w14:paraId="6ABAC3EA" w14:textId="52CBDCAD" w:rsidR="00950423" w:rsidRPr="003A41B3" w:rsidRDefault="00950423" w:rsidP="00876F92">
            <w:pPr>
              <w:contextualSpacing/>
              <w:jc w:val="center"/>
              <w:rPr>
                <w:rFonts w:eastAsia="Times New Roman"/>
                <w:sz w:val="20"/>
                <w:szCs w:val="20"/>
                <w:lang w:eastAsia="en-GB"/>
              </w:rPr>
            </w:pPr>
            <w:r w:rsidRPr="003A41B3">
              <w:rPr>
                <w:sz w:val="20"/>
                <w:szCs w:val="20"/>
              </w:rPr>
              <w:t>-0.31</w:t>
            </w:r>
            <w:r w:rsidR="00876F92" w:rsidRPr="003A41B3">
              <w:rPr>
                <w:sz w:val="20"/>
                <w:szCs w:val="20"/>
              </w:rPr>
              <w:t>6</w:t>
            </w:r>
          </w:p>
        </w:tc>
        <w:tc>
          <w:tcPr>
            <w:tcW w:w="808" w:type="pct"/>
            <w:tcBorders>
              <w:top w:val="nil"/>
              <w:left w:val="nil"/>
              <w:bottom w:val="nil"/>
              <w:right w:val="single" w:sz="4" w:space="0" w:color="auto"/>
            </w:tcBorders>
            <w:shd w:val="clear" w:color="auto" w:fill="auto"/>
            <w:noWrap/>
            <w:vAlign w:val="bottom"/>
          </w:tcPr>
          <w:p w14:paraId="19FAD4A8" w14:textId="4BD5EA2C" w:rsidR="00950423" w:rsidRPr="003A41B3" w:rsidRDefault="00950423" w:rsidP="00154091">
            <w:pPr>
              <w:contextualSpacing/>
              <w:jc w:val="center"/>
              <w:rPr>
                <w:rFonts w:eastAsia="Times New Roman"/>
                <w:sz w:val="20"/>
                <w:szCs w:val="20"/>
                <w:lang w:eastAsia="en-GB"/>
              </w:rPr>
            </w:pPr>
            <w:r w:rsidRPr="003A41B3">
              <w:rPr>
                <w:sz w:val="20"/>
                <w:szCs w:val="20"/>
              </w:rPr>
              <w:t>-0.317</w:t>
            </w:r>
          </w:p>
        </w:tc>
        <w:tc>
          <w:tcPr>
            <w:tcW w:w="767" w:type="pct"/>
            <w:tcBorders>
              <w:top w:val="nil"/>
              <w:left w:val="single" w:sz="4" w:space="0" w:color="auto"/>
              <w:bottom w:val="nil"/>
              <w:right w:val="nil"/>
            </w:tcBorders>
            <w:shd w:val="clear" w:color="auto" w:fill="auto"/>
            <w:noWrap/>
            <w:vAlign w:val="bottom"/>
          </w:tcPr>
          <w:p w14:paraId="46BCF30B" w14:textId="451BE00A" w:rsidR="00950423" w:rsidRPr="003A41B3" w:rsidRDefault="00876F92" w:rsidP="00154091">
            <w:pPr>
              <w:contextualSpacing/>
              <w:jc w:val="center"/>
              <w:rPr>
                <w:rFonts w:eastAsia="Times New Roman"/>
                <w:sz w:val="20"/>
                <w:szCs w:val="20"/>
                <w:lang w:eastAsia="en-GB"/>
              </w:rPr>
            </w:pPr>
            <w:r w:rsidRPr="003A41B3">
              <w:rPr>
                <w:sz w:val="20"/>
                <w:szCs w:val="20"/>
              </w:rPr>
              <w:t>-0.446</w:t>
            </w:r>
            <w:r w:rsidR="00950423" w:rsidRPr="003A41B3">
              <w:rPr>
                <w:sz w:val="20"/>
                <w:szCs w:val="20"/>
              </w:rPr>
              <w:t>**</w:t>
            </w:r>
          </w:p>
        </w:tc>
        <w:tc>
          <w:tcPr>
            <w:tcW w:w="835" w:type="pct"/>
            <w:tcBorders>
              <w:top w:val="nil"/>
              <w:left w:val="nil"/>
              <w:bottom w:val="nil"/>
              <w:right w:val="nil"/>
            </w:tcBorders>
            <w:shd w:val="clear" w:color="auto" w:fill="auto"/>
            <w:noWrap/>
            <w:vAlign w:val="bottom"/>
          </w:tcPr>
          <w:p w14:paraId="59C4C7CF" w14:textId="0675B270" w:rsidR="00950423" w:rsidRPr="003A41B3" w:rsidRDefault="00950423" w:rsidP="00876F92">
            <w:pPr>
              <w:contextualSpacing/>
              <w:jc w:val="center"/>
              <w:rPr>
                <w:rFonts w:eastAsia="Times New Roman"/>
                <w:sz w:val="20"/>
                <w:szCs w:val="20"/>
                <w:lang w:eastAsia="en-GB"/>
              </w:rPr>
            </w:pPr>
            <w:r w:rsidRPr="003A41B3">
              <w:rPr>
                <w:sz w:val="20"/>
                <w:szCs w:val="20"/>
              </w:rPr>
              <w:t>-0.4</w:t>
            </w:r>
            <w:r w:rsidR="00876F92" w:rsidRPr="003A41B3">
              <w:rPr>
                <w:sz w:val="20"/>
                <w:szCs w:val="20"/>
              </w:rPr>
              <w:t>20</w:t>
            </w:r>
            <w:r w:rsidRPr="003A41B3">
              <w:rPr>
                <w:sz w:val="20"/>
                <w:szCs w:val="20"/>
              </w:rPr>
              <w:t>*</w:t>
            </w:r>
          </w:p>
        </w:tc>
      </w:tr>
      <w:tr w:rsidR="00950423" w:rsidRPr="003A41B3" w14:paraId="734A3D9A" w14:textId="77777777" w:rsidTr="00950423">
        <w:trPr>
          <w:trHeight w:val="80"/>
        </w:trPr>
        <w:tc>
          <w:tcPr>
            <w:tcW w:w="633" w:type="pct"/>
            <w:gridSpan w:val="2"/>
            <w:tcBorders>
              <w:top w:val="nil"/>
              <w:left w:val="nil"/>
              <w:bottom w:val="nil"/>
              <w:right w:val="nil"/>
            </w:tcBorders>
            <w:shd w:val="clear" w:color="auto" w:fill="auto"/>
            <w:noWrap/>
            <w:vAlign w:val="bottom"/>
            <w:hideMark/>
          </w:tcPr>
          <w:p w14:paraId="395E097A"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679E6090" w14:textId="77777777" w:rsidR="00950423" w:rsidRPr="003A41B3" w:rsidRDefault="00950423" w:rsidP="00154091">
            <w:pPr>
              <w:contextualSpacing/>
              <w:jc w:val="center"/>
              <w:rPr>
                <w:rFonts w:eastAsia="Times New Roman"/>
                <w:sz w:val="20"/>
                <w:szCs w:val="20"/>
                <w:lang w:eastAsia="en-GB"/>
              </w:rPr>
            </w:pPr>
            <w:r w:rsidRPr="003A41B3">
              <w:rPr>
                <w:sz w:val="20"/>
                <w:szCs w:val="20"/>
              </w:rPr>
              <w:t>(0.57)</w:t>
            </w:r>
          </w:p>
        </w:tc>
        <w:tc>
          <w:tcPr>
            <w:tcW w:w="758" w:type="pct"/>
            <w:tcBorders>
              <w:top w:val="nil"/>
              <w:left w:val="nil"/>
              <w:bottom w:val="nil"/>
              <w:right w:val="single" w:sz="4" w:space="0" w:color="auto"/>
            </w:tcBorders>
            <w:shd w:val="clear" w:color="auto" w:fill="auto"/>
            <w:noWrap/>
            <w:vAlign w:val="bottom"/>
          </w:tcPr>
          <w:p w14:paraId="41EB6CF2" w14:textId="77777777" w:rsidR="00950423" w:rsidRPr="003A41B3" w:rsidRDefault="00950423" w:rsidP="00154091">
            <w:pPr>
              <w:contextualSpacing/>
              <w:jc w:val="center"/>
              <w:rPr>
                <w:rFonts w:eastAsia="Times New Roman"/>
                <w:sz w:val="20"/>
                <w:szCs w:val="20"/>
                <w:lang w:eastAsia="en-GB"/>
              </w:rPr>
            </w:pPr>
            <w:r w:rsidRPr="003A41B3">
              <w:rPr>
                <w:sz w:val="20"/>
                <w:szCs w:val="20"/>
              </w:rPr>
              <w:t>(0.64)</w:t>
            </w:r>
          </w:p>
        </w:tc>
        <w:tc>
          <w:tcPr>
            <w:tcW w:w="660" w:type="pct"/>
            <w:tcBorders>
              <w:top w:val="nil"/>
              <w:left w:val="single" w:sz="4" w:space="0" w:color="auto"/>
              <w:bottom w:val="nil"/>
              <w:right w:val="nil"/>
            </w:tcBorders>
            <w:shd w:val="clear" w:color="auto" w:fill="auto"/>
            <w:noWrap/>
            <w:vAlign w:val="bottom"/>
          </w:tcPr>
          <w:p w14:paraId="7FBF6AAF" w14:textId="77777777" w:rsidR="00950423" w:rsidRPr="003A41B3" w:rsidRDefault="00950423" w:rsidP="00154091">
            <w:pPr>
              <w:contextualSpacing/>
              <w:jc w:val="center"/>
              <w:rPr>
                <w:rFonts w:eastAsia="Times New Roman"/>
                <w:sz w:val="20"/>
                <w:szCs w:val="20"/>
                <w:lang w:eastAsia="en-GB"/>
              </w:rPr>
            </w:pPr>
            <w:r w:rsidRPr="003A41B3">
              <w:rPr>
                <w:sz w:val="20"/>
                <w:szCs w:val="20"/>
              </w:rPr>
              <w:t>(-1.02)</w:t>
            </w:r>
          </w:p>
        </w:tc>
        <w:tc>
          <w:tcPr>
            <w:tcW w:w="808" w:type="pct"/>
            <w:tcBorders>
              <w:top w:val="nil"/>
              <w:left w:val="nil"/>
              <w:bottom w:val="nil"/>
              <w:right w:val="single" w:sz="4" w:space="0" w:color="auto"/>
            </w:tcBorders>
            <w:shd w:val="clear" w:color="auto" w:fill="auto"/>
            <w:noWrap/>
            <w:vAlign w:val="bottom"/>
          </w:tcPr>
          <w:p w14:paraId="6D6CB58E" w14:textId="77777777" w:rsidR="00950423" w:rsidRPr="003A41B3" w:rsidRDefault="00950423" w:rsidP="00154091">
            <w:pPr>
              <w:contextualSpacing/>
              <w:jc w:val="center"/>
              <w:rPr>
                <w:rFonts w:eastAsia="Times New Roman"/>
                <w:sz w:val="20"/>
                <w:szCs w:val="20"/>
                <w:lang w:eastAsia="en-GB"/>
              </w:rPr>
            </w:pPr>
            <w:r w:rsidRPr="003A41B3">
              <w:rPr>
                <w:sz w:val="20"/>
                <w:szCs w:val="20"/>
              </w:rPr>
              <w:t>(-1.02)</w:t>
            </w:r>
          </w:p>
        </w:tc>
        <w:tc>
          <w:tcPr>
            <w:tcW w:w="767" w:type="pct"/>
            <w:tcBorders>
              <w:top w:val="nil"/>
              <w:left w:val="single" w:sz="4" w:space="0" w:color="auto"/>
              <w:bottom w:val="nil"/>
              <w:right w:val="nil"/>
            </w:tcBorders>
            <w:shd w:val="clear" w:color="auto" w:fill="auto"/>
            <w:noWrap/>
            <w:vAlign w:val="bottom"/>
          </w:tcPr>
          <w:p w14:paraId="7E7DFDB2" w14:textId="77777777" w:rsidR="00950423" w:rsidRPr="003A41B3" w:rsidRDefault="00950423" w:rsidP="00154091">
            <w:pPr>
              <w:contextualSpacing/>
              <w:jc w:val="center"/>
              <w:rPr>
                <w:rFonts w:eastAsia="Times New Roman"/>
                <w:sz w:val="20"/>
                <w:szCs w:val="20"/>
                <w:lang w:eastAsia="en-GB"/>
              </w:rPr>
            </w:pPr>
            <w:r w:rsidRPr="003A41B3">
              <w:rPr>
                <w:sz w:val="20"/>
                <w:szCs w:val="20"/>
              </w:rPr>
              <w:t>(-2.06)</w:t>
            </w:r>
          </w:p>
        </w:tc>
        <w:tc>
          <w:tcPr>
            <w:tcW w:w="835" w:type="pct"/>
            <w:tcBorders>
              <w:top w:val="nil"/>
              <w:left w:val="nil"/>
              <w:bottom w:val="nil"/>
              <w:right w:val="nil"/>
            </w:tcBorders>
            <w:shd w:val="clear" w:color="auto" w:fill="auto"/>
            <w:noWrap/>
            <w:vAlign w:val="bottom"/>
          </w:tcPr>
          <w:p w14:paraId="427A9245" w14:textId="77777777" w:rsidR="00950423" w:rsidRPr="003A41B3" w:rsidRDefault="00950423" w:rsidP="00154091">
            <w:pPr>
              <w:contextualSpacing/>
              <w:jc w:val="center"/>
              <w:rPr>
                <w:rFonts w:eastAsia="Times New Roman"/>
                <w:sz w:val="20"/>
                <w:szCs w:val="20"/>
                <w:lang w:eastAsia="en-GB"/>
              </w:rPr>
            </w:pPr>
            <w:r w:rsidRPr="003A41B3">
              <w:rPr>
                <w:sz w:val="20"/>
                <w:szCs w:val="20"/>
              </w:rPr>
              <w:t>(-1.91)</w:t>
            </w:r>
          </w:p>
        </w:tc>
      </w:tr>
      <w:tr w:rsidR="00950423" w:rsidRPr="003A41B3" w14:paraId="68781188" w14:textId="77777777" w:rsidTr="00950423">
        <w:trPr>
          <w:trHeight w:val="300"/>
        </w:trPr>
        <w:tc>
          <w:tcPr>
            <w:tcW w:w="633" w:type="pct"/>
            <w:gridSpan w:val="2"/>
            <w:tcBorders>
              <w:top w:val="nil"/>
              <w:left w:val="nil"/>
              <w:bottom w:val="nil"/>
              <w:right w:val="nil"/>
            </w:tcBorders>
            <w:shd w:val="clear" w:color="auto" w:fill="auto"/>
            <w:noWrap/>
            <w:vAlign w:val="center"/>
            <w:hideMark/>
          </w:tcPr>
          <w:p w14:paraId="022A234D"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Maturity</w:t>
            </w:r>
          </w:p>
        </w:tc>
        <w:tc>
          <w:tcPr>
            <w:tcW w:w="540" w:type="pct"/>
            <w:tcBorders>
              <w:top w:val="nil"/>
              <w:left w:val="nil"/>
              <w:bottom w:val="nil"/>
              <w:right w:val="nil"/>
            </w:tcBorders>
            <w:shd w:val="clear" w:color="auto" w:fill="auto"/>
            <w:noWrap/>
            <w:vAlign w:val="bottom"/>
          </w:tcPr>
          <w:p w14:paraId="2598F93F" w14:textId="08518C37" w:rsidR="00950423" w:rsidRPr="003A41B3" w:rsidRDefault="00950423" w:rsidP="00876F92">
            <w:pPr>
              <w:contextualSpacing/>
              <w:jc w:val="center"/>
              <w:rPr>
                <w:rFonts w:eastAsia="Times New Roman"/>
                <w:sz w:val="20"/>
                <w:szCs w:val="20"/>
                <w:lang w:eastAsia="en-GB"/>
              </w:rPr>
            </w:pPr>
            <w:r w:rsidRPr="003A41B3">
              <w:rPr>
                <w:sz w:val="20"/>
                <w:szCs w:val="20"/>
              </w:rPr>
              <w:t>-1.501</w:t>
            </w:r>
          </w:p>
        </w:tc>
        <w:tc>
          <w:tcPr>
            <w:tcW w:w="758" w:type="pct"/>
            <w:tcBorders>
              <w:top w:val="nil"/>
              <w:left w:val="nil"/>
              <w:bottom w:val="nil"/>
              <w:right w:val="single" w:sz="4" w:space="0" w:color="auto"/>
            </w:tcBorders>
            <w:shd w:val="clear" w:color="auto" w:fill="auto"/>
            <w:noWrap/>
            <w:vAlign w:val="bottom"/>
          </w:tcPr>
          <w:p w14:paraId="789EA92C" w14:textId="5156F119" w:rsidR="00950423" w:rsidRPr="003A41B3" w:rsidRDefault="00950423" w:rsidP="00154091">
            <w:pPr>
              <w:contextualSpacing/>
              <w:jc w:val="center"/>
              <w:rPr>
                <w:rFonts w:eastAsia="Times New Roman"/>
                <w:sz w:val="20"/>
                <w:szCs w:val="20"/>
                <w:lang w:eastAsia="en-GB"/>
              </w:rPr>
            </w:pPr>
            <w:r w:rsidRPr="003A41B3">
              <w:rPr>
                <w:sz w:val="20"/>
                <w:szCs w:val="20"/>
              </w:rPr>
              <w:t>-1.528</w:t>
            </w:r>
          </w:p>
        </w:tc>
        <w:tc>
          <w:tcPr>
            <w:tcW w:w="660" w:type="pct"/>
            <w:tcBorders>
              <w:top w:val="nil"/>
              <w:left w:val="single" w:sz="4" w:space="0" w:color="auto"/>
              <w:bottom w:val="nil"/>
              <w:right w:val="nil"/>
            </w:tcBorders>
            <w:shd w:val="clear" w:color="auto" w:fill="auto"/>
            <w:noWrap/>
            <w:vAlign w:val="bottom"/>
          </w:tcPr>
          <w:p w14:paraId="79CCF22B" w14:textId="5CC88856" w:rsidR="00950423" w:rsidRPr="003A41B3" w:rsidRDefault="00876F92" w:rsidP="00154091">
            <w:pPr>
              <w:contextualSpacing/>
              <w:jc w:val="center"/>
              <w:rPr>
                <w:rFonts w:eastAsia="Times New Roman"/>
                <w:sz w:val="20"/>
                <w:szCs w:val="20"/>
                <w:lang w:eastAsia="en-GB"/>
              </w:rPr>
            </w:pPr>
            <w:r w:rsidRPr="003A41B3">
              <w:rPr>
                <w:sz w:val="20"/>
                <w:szCs w:val="20"/>
              </w:rPr>
              <w:t>-4.280</w:t>
            </w:r>
            <w:r w:rsidR="00950423" w:rsidRPr="003A41B3">
              <w:rPr>
                <w:sz w:val="20"/>
                <w:szCs w:val="20"/>
              </w:rPr>
              <w:t>***</w:t>
            </w:r>
          </w:p>
        </w:tc>
        <w:tc>
          <w:tcPr>
            <w:tcW w:w="808" w:type="pct"/>
            <w:tcBorders>
              <w:top w:val="nil"/>
              <w:left w:val="nil"/>
              <w:bottom w:val="nil"/>
              <w:right w:val="single" w:sz="4" w:space="0" w:color="auto"/>
            </w:tcBorders>
            <w:shd w:val="clear" w:color="auto" w:fill="auto"/>
            <w:noWrap/>
            <w:vAlign w:val="bottom"/>
          </w:tcPr>
          <w:p w14:paraId="46735F1F" w14:textId="57115ACA" w:rsidR="00950423" w:rsidRPr="003A41B3" w:rsidRDefault="00950423" w:rsidP="00876F92">
            <w:pPr>
              <w:contextualSpacing/>
              <w:jc w:val="center"/>
              <w:rPr>
                <w:rFonts w:eastAsia="Times New Roman"/>
                <w:sz w:val="20"/>
                <w:szCs w:val="20"/>
                <w:lang w:eastAsia="en-GB"/>
              </w:rPr>
            </w:pPr>
            <w:r w:rsidRPr="003A41B3">
              <w:rPr>
                <w:sz w:val="20"/>
                <w:szCs w:val="20"/>
              </w:rPr>
              <w:t>-4.29</w:t>
            </w:r>
            <w:r w:rsidR="00876F92" w:rsidRPr="003A41B3">
              <w:rPr>
                <w:sz w:val="20"/>
                <w:szCs w:val="20"/>
              </w:rPr>
              <w:t>7</w:t>
            </w:r>
            <w:r w:rsidRPr="003A41B3">
              <w:rPr>
                <w:sz w:val="20"/>
                <w:szCs w:val="20"/>
              </w:rPr>
              <w:t>***</w:t>
            </w:r>
          </w:p>
        </w:tc>
        <w:tc>
          <w:tcPr>
            <w:tcW w:w="767" w:type="pct"/>
            <w:tcBorders>
              <w:top w:val="nil"/>
              <w:left w:val="single" w:sz="4" w:space="0" w:color="auto"/>
              <w:bottom w:val="nil"/>
              <w:right w:val="nil"/>
            </w:tcBorders>
            <w:shd w:val="clear" w:color="auto" w:fill="auto"/>
            <w:noWrap/>
            <w:vAlign w:val="bottom"/>
          </w:tcPr>
          <w:p w14:paraId="5314F9B5" w14:textId="0429368E" w:rsidR="00950423" w:rsidRPr="003A41B3" w:rsidRDefault="00876F92" w:rsidP="00154091">
            <w:pPr>
              <w:contextualSpacing/>
              <w:jc w:val="center"/>
              <w:rPr>
                <w:rFonts w:eastAsia="Times New Roman"/>
                <w:sz w:val="20"/>
                <w:szCs w:val="20"/>
                <w:lang w:eastAsia="en-GB"/>
              </w:rPr>
            </w:pPr>
            <w:r w:rsidRPr="003A41B3">
              <w:rPr>
                <w:sz w:val="20"/>
                <w:szCs w:val="20"/>
              </w:rPr>
              <w:t>-2.771</w:t>
            </w:r>
            <w:r w:rsidR="00950423" w:rsidRPr="003A41B3">
              <w:rPr>
                <w:sz w:val="20"/>
                <w:szCs w:val="20"/>
              </w:rPr>
              <w:t>***</w:t>
            </w:r>
          </w:p>
        </w:tc>
        <w:tc>
          <w:tcPr>
            <w:tcW w:w="835" w:type="pct"/>
            <w:tcBorders>
              <w:top w:val="nil"/>
              <w:left w:val="nil"/>
              <w:bottom w:val="nil"/>
              <w:right w:val="nil"/>
            </w:tcBorders>
            <w:shd w:val="clear" w:color="auto" w:fill="auto"/>
            <w:noWrap/>
            <w:vAlign w:val="bottom"/>
          </w:tcPr>
          <w:p w14:paraId="66BC7F9A" w14:textId="3FF29732" w:rsidR="00950423" w:rsidRPr="003A41B3" w:rsidRDefault="00950423" w:rsidP="00DD6D17">
            <w:pPr>
              <w:contextualSpacing/>
              <w:jc w:val="center"/>
              <w:rPr>
                <w:rFonts w:eastAsia="Times New Roman"/>
                <w:sz w:val="20"/>
                <w:szCs w:val="20"/>
                <w:lang w:eastAsia="en-GB"/>
              </w:rPr>
            </w:pPr>
            <w:r w:rsidRPr="003A41B3">
              <w:rPr>
                <w:sz w:val="20"/>
                <w:szCs w:val="20"/>
              </w:rPr>
              <w:t>-2.7</w:t>
            </w:r>
            <w:r w:rsidR="00DD6D17" w:rsidRPr="003A41B3">
              <w:rPr>
                <w:sz w:val="20"/>
                <w:szCs w:val="20"/>
              </w:rPr>
              <w:t>90</w:t>
            </w:r>
            <w:r w:rsidRPr="003A41B3">
              <w:rPr>
                <w:sz w:val="20"/>
                <w:szCs w:val="20"/>
              </w:rPr>
              <w:t>***</w:t>
            </w:r>
          </w:p>
        </w:tc>
      </w:tr>
      <w:tr w:rsidR="00950423" w:rsidRPr="003A41B3" w14:paraId="1038E4D1" w14:textId="77777777" w:rsidTr="00950423">
        <w:trPr>
          <w:trHeight w:val="300"/>
        </w:trPr>
        <w:tc>
          <w:tcPr>
            <w:tcW w:w="633" w:type="pct"/>
            <w:gridSpan w:val="2"/>
            <w:tcBorders>
              <w:top w:val="nil"/>
              <w:left w:val="nil"/>
              <w:bottom w:val="nil"/>
              <w:right w:val="nil"/>
            </w:tcBorders>
            <w:shd w:val="clear" w:color="auto" w:fill="auto"/>
            <w:noWrap/>
            <w:vAlign w:val="bottom"/>
            <w:hideMark/>
          </w:tcPr>
          <w:p w14:paraId="61457F65"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42354299" w14:textId="77777777" w:rsidR="00950423" w:rsidRPr="003A41B3" w:rsidRDefault="00950423" w:rsidP="00154091">
            <w:pPr>
              <w:contextualSpacing/>
              <w:jc w:val="center"/>
              <w:rPr>
                <w:rFonts w:eastAsia="Times New Roman"/>
                <w:sz w:val="20"/>
                <w:szCs w:val="20"/>
                <w:lang w:eastAsia="en-GB"/>
              </w:rPr>
            </w:pPr>
            <w:r w:rsidRPr="003A41B3">
              <w:rPr>
                <w:sz w:val="20"/>
                <w:szCs w:val="20"/>
              </w:rPr>
              <w:t>(-0.90)</w:t>
            </w:r>
          </w:p>
        </w:tc>
        <w:tc>
          <w:tcPr>
            <w:tcW w:w="758" w:type="pct"/>
            <w:tcBorders>
              <w:top w:val="nil"/>
              <w:left w:val="nil"/>
              <w:bottom w:val="nil"/>
              <w:right w:val="single" w:sz="4" w:space="0" w:color="auto"/>
            </w:tcBorders>
            <w:shd w:val="clear" w:color="auto" w:fill="auto"/>
            <w:noWrap/>
            <w:vAlign w:val="bottom"/>
          </w:tcPr>
          <w:p w14:paraId="1048B98F" w14:textId="77777777" w:rsidR="00950423" w:rsidRPr="003A41B3" w:rsidRDefault="00950423" w:rsidP="00154091">
            <w:pPr>
              <w:contextualSpacing/>
              <w:jc w:val="center"/>
              <w:rPr>
                <w:rFonts w:eastAsia="Times New Roman"/>
                <w:sz w:val="20"/>
                <w:szCs w:val="20"/>
                <w:lang w:eastAsia="en-GB"/>
              </w:rPr>
            </w:pPr>
            <w:r w:rsidRPr="003A41B3">
              <w:rPr>
                <w:sz w:val="20"/>
                <w:szCs w:val="20"/>
              </w:rPr>
              <w:t>(-0.91)</w:t>
            </w:r>
          </w:p>
        </w:tc>
        <w:tc>
          <w:tcPr>
            <w:tcW w:w="660" w:type="pct"/>
            <w:tcBorders>
              <w:top w:val="nil"/>
              <w:left w:val="single" w:sz="4" w:space="0" w:color="auto"/>
              <w:bottom w:val="nil"/>
              <w:right w:val="nil"/>
            </w:tcBorders>
            <w:shd w:val="clear" w:color="auto" w:fill="auto"/>
            <w:noWrap/>
            <w:vAlign w:val="bottom"/>
          </w:tcPr>
          <w:p w14:paraId="51034B7C" w14:textId="77777777" w:rsidR="00950423" w:rsidRPr="003A41B3" w:rsidRDefault="00950423" w:rsidP="00154091">
            <w:pPr>
              <w:contextualSpacing/>
              <w:jc w:val="center"/>
              <w:rPr>
                <w:rFonts w:eastAsia="Times New Roman"/>
                <w:sz w:val="20"/>
                <w:szCs w:val="20"/>
                <w:lang w:eastAsia="en-GB"/>
              </w:rPr>
            </w:pPr>
            <w:r w:rsidRPr="003A41B3">
              <w:rPr>
                <w:sz w:val="20"/>
                <w:szCs w:val="20"/>
              </w:rPr>
              <w:t>(-2.79)</w:t>
            </w:r>
          </w:p>
        </w:tc>
        <w:tc>
          <w:tcPr>
            <w:tcW w:w="808" w:type="pct"/>
            <w:tcBorders>
              <w:top w:val="nil"/>
              <w:left w:val="nil"/>
              <w:bottom w:val="nil"/>
              <w:right w:val="single" w:sz="4" w:space="0" w:color="auto"/>
            </w:tcBorders>
            <w:shd w:val="clear" w:color="auto" w:fill="auto"/>
            <w:noWrap/>
            <w:vAlign w:val="bottom"/>
          </w:tcPr>
          <w:p w14:paraId="0673B828" w14:textId="77777777" w:rsidR="00950423" w:rsidRPr="003A41B3" w:rsidRDefault="00950423" w:rsidP="00154091">
            <w:pPr>
              <w:contextualSpacing/>
              <w:jc w:val="center"/>
              <w:rPr>
                <w:rFonts w:eastAsia="Times New Roman"/>
                <w:sz w:val="20"/>
                <w:szCs w:val="20"/>
                <w:lang w:eastAsia="en-GB"/>
              </w:rPr>
            </w:pPr>
            <w:r w:rsidRPr="003A41B3">
              <w:rPr>
                <w:sz w:val="20"/>
                <w:szCs w:val="20"/>
              </w:rPr>
              <w:t>(-2.78)</w:t>
            </w:r>
          </w:p>
        </w:tc>
        <w:tc>
          <w:tcPr>
            <w:tcW w:w="767" w:type="pct"/>
            <w:tcBorders>
              <w:top w:val="nil"/>
              <w:left w:val="single" w:sz="4" w:space="0" w:color="auto"/>
              <w:bottom w:val="nil"/>
              <w:right w:val="nil"/>
            </w:tcBorders>
            <w:shd w:val="clear" w:color="auto" w:fill="auto"/>
            <w:noWrap/>
            <w:vAlign w:val="bottom"/>
          </w:tcPr>
          <w:p w14:paraId="206C7D6C" w14:textId="77777777" w:rsidR="00950423" w:rsidRPr="003A41B3" w:rsidRDefault="00950423" w:rsidP="00154091">
            <w:pPr>
              <w:contextualSpacing/>
              <w:jc w:val="center"/>
              <w:rPr>
                <w:rFonts w:eastAsia="Times New Roman"/>
                <w:sz w:val="20"/>
                <w:szCs w:val="20"/>
                <w:lang w:eastAsia="en-GB"/>
              </w:rPr>
            </w:pPr>
            <w:r w:rsidRPr="003A41B3">
              <w:rPr>
                <w:sz w:val="20"/>
                <w:szCs w:val="20"/>
              </w:rPr>
              <w:t>(-2.76)</w:t>
            </w:r>
          </w:p>
        </w:tc>
        <w:tc>
          <w:tcPr>
            <w:tcW w:w="835" w:type="pct"/>
            <w:tcBorders>
              <w:top w:val="nil"/>
              <w:left w:val="nil"/>
              <w:bottom w:val="nil"/>
              <w:right w:val="nil"/>
            </w:tcBorders>
            <w:shd w:val="clear" w:color="auto" w:fill="auto"/>
            <w:noWrap/>
            <w:vAlign w:val="bottom"/>
          </w:tcPr>
          <w:p w14:paraId="7D14561F" w14:textId="77777777" w:rsidR="00950423" w:rsidRPr="003A41B3" w:rsidRDefault="00950423" w:rsidP="00154091">
            <w:pPr>
              <w:contextualSpacing/>
              <w:jc w:val="center"/>
              <w:rPr>
                <w:rFonts w:eastAsia="Times New Roman"/>
                <w:sz w:val="20"/>
                <w:szCs w:val="20"/>
                <w:lang w:eastAsia="en-GB"/>
              </w:rPr>
            </w:pPr>
            <w:r w:rsidRPr="003A41B3">
              <w:rPr>
                <w:sz w:val="20"/>
                <w:szCs w:val="20"/>
              </w:rPr>
              <w:t>(-2.77)</w:t>
            </w:r>
          </w:p>
        </w:tc>
      </w:tr>
      <w:tr w:rsidR="00950423" w:rsidRPr="003A41B3" w14:paraId="20B50FA0" w14:textId="77777777" w:rsidTr="00950423">
        <w:trPr>
          <w:trHeight w:val="80"/>
        </w:trPr>
        <w:tc>
          <w:tcPr>
            <w:tcW w:w="633" w:type="pct"/>
            <w:gridSpan w:val="2"/>
            <w:tcBorders>
              <w:top w:val="nil"/>
              <w:left w:val="nil"/>
              <w:bottom w:val="nil"/>
              <w:right w:val="nil"/>
            </w:tcBorders>
            <w:shd w:val="clear" w:color="auto" w:fill="auto"/>
            <w:noWrap/>
            <w:vAlign w:val="center"/>
            <w:hideMark/>
          </w:tcPr>
          <w:p w14:paraId="71AEDBA6"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EE</w:t>
            </w:r>
          </w:p>
        </w:tc>
        <w:tc>
          <w:tcPr>
            <w:tcW w:w="540" w:type="pct"/>
            <w:tcBorders>
              <w:top w:val="nil"/>
              <w:left w:val="nil"/>
              <w:bottom w:val="nil"/>
              <w:right w:val="nil"/>
            </w:tcBorders>
            <w:shd w:val="clear" w:color="auto" w:fill="auto"/>
            <w:noWrap/>
            <w:vAlign w:val="bottom"/>
          </w:tcPr>
          <w:p w14:paraId="5C2D5235"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51B7B277" w14:textId="1AABF628" w:rsidR="00950423" w:rsidRPr="003A41B3" w:rsidRDefault="00950423" w:rsidP="00876F92">
            <w:pPr>
              <w:contextualSpacing/>
              <w:jc w:val="center"/>
              <w:rPr>
                <w:rFonts w:eastAsia="Times New Roman"/>
                <w:sz w:val="20"/>
                <w:szCs w:val="20"/>
                <w:lang w:eastAsia="en-GB"/>
              </w:rPr>
            </w:pPr>
            <w:r w:rsidRPr="003A41B3">
              <w:rPr>
                <w:sz w:val="20"/>
                <w:szCs w:val="20"/>
              </w:rPr>
              <w:t>-2.19</w:t>
            </w:r>
            <w:r w:rsidR="00876F92" w:rsidRPr="003A41B3">
              <w:rPr>
                <w:sz w:val="20"/>
                <w:szCs w:val="20"/>
              </w:rPr>
              <w:t>7</w:t>
            </w:r>
          </w:p>
        </w:tc>
        <w:tc>
          <w:tcPr>
            <w:tcW w:w="660" w:type="pct"/>
            <w:tcBorders>
              <w:top w:val="nil"/>
              <w:left w:val="single" w:sz="4" w:space="0" w:color="auto"/>
              <w:bottom w:val="nil"/>
              <w:right w:val="nil"/>
            </w:tcBorders>
            <w:shd w:val="clear" w:color="auto" w:fill="auto"/>
            <w:noWrap/>
            <w:vAlign w:val="bottom"/>
          </w:tcPr>
          <w:p w14:paraId="0F4658B3" w14:textId="77777777" w:rsidR="00950423" w:rsidRPr="003A41B3" w:rsidRDefault="00950423" w:rsidP="00154091">
            <w:pPr>
              <w:contextualSpacing/>
              <w:rPr>
                <w:rFonts w:eastAsia="Times New Roman"/>
                <w:lang w:eastAsia="en-GB"/>
              </w:rPr>
            </w:pPr>
          </w:p>
        </w:tc>
        <w:tc>
          <w:tcPr>
            <w:tcW w:w="808" w:type="pct"/>
            <w:tcBorders>
              <w:top w:val="nil"/>
              <w:left w:val="nil"/>
              <w:bottom w:val="nil"/>
              <w:right w:val="single" w:sz="4" w:space="0" w:color="auto"/>
            </w:tcBorders>
            <w:shd w:val="clear" w:color="auto" w:fill="auto"/>
            <w:noWrap/>
            <w:vAlign w:val="bottom"/>
          </w:tcPr>
          <w:p w14:paraId="18C579DC" w14:textId="148845F3" w:rsidR="00950423" w:rsidRPr="003A41B3" w:rsidRDefault="00950423" w:rsidP="00876F92">
            <w:pPr>
              <w:contextualSpacing/>
              <w:jc w:val="center"/>
              <w:rPr>
                <w:rFonts w:eastAsia="Times New Roman"/>
                <w:sz w:val="20"/>
                <w:szCs w:val="20"/>
                <w:lang w:eastAsia="en-GB"/>
              </w:rPr>
            </w:pPr>
            <w:r w:rsidRPr="003A41B3">
              <w:rPr>
                <w:sz w:val="20"/>
                <w:szCs w:val="20"/>
              </w:rPr>
              <w:t>-2.67</w:t>
            </w:r>
            <w:r w:rsidR="00876F92" w:rsidRPr="003A41B3">
              <w:rPr>
                <w:sz w:val="20"/>
                <w:szCs w:val="20"/>
              </w:rPr>
              <w:t>3</w:t>
            </w:r>
          </w:p>
        </w:tc>
        <w:tc>
          <w:tcPr>
            <w:tcW w:w="767" w:type="pct"/>
            <w:tcBorders>
              <w:top w:val="nil"/>
              <w:left w:val="single" w:sz="4" w:space="0" w:color="auto"/>
              <w:bottom w:val="nil"/>
              <w:right w:val="nil"/>
            </w:tcBorders>
            <w:shd w:val="clear" w:color="auto" w:fill="auto"/>
            <w:noWrap/>
            <w:vAlign w:val="bottom"/>
          </w:tcPr>
          <w:p w14:paraId="6AE0B48D"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497B77F0" w14:textId="1308D7F6" w:rsidR="00950423" w:rsidRPr="003A41B3" w:rsidRDefault="00950423" w:rsidP="00DD6D17">
            <w:pPr>
              <w:contextualSpacing/>
              <w:jc w:val="center"/>
              <w:rPr>
                <w:rFonts w:eastAsia="Times New Roman"/>
                <w:sz w:val="20"/>
                <w:szCs w:val="20"/>
                <w:lang w:eastAsia="en-GB"/>
              </w:rPr>
            </w:pPr>
            <w:r w:rsidRPr="003A41B3">
              <w:rPr>
                <w:sz w:val="20"/>
                <w:szCs w:val="20"/>
              </w:rPr>
              <w:t>-5.60</w:t>
            </w:r>
            <w:r w:rsidR="00DD6D17" w:rsidRPr="003A41B3">
              <w:rPr>
                <w:sz w:val="20"/>
                <w:szCs w:val="20"/>
              </w:rPr>
              <w:t>6</w:t>
            </w:r>
          </w:p>
        </w:tc>
      </w:tr>
      <w:tr w:rsidR="00950423" w:rsidRPr="003A41B3" w14:paraId="5AE7531F" w14:textId="77777777" w:rsidTr="00950423">
        <w:trPr>
          <w:trHeight w:val="80"/>
        </w:trPr>
        <w:tc>
          <w:tcPr>
            <w:tcW w:w="633" w:type="pct"/>
            <w:gridSpan w:val="2"/>
            <w:tcBorders>
              <w:top w:val="nil"/>
              <w:left w:val="nil"/>
              <w:bottom w:val="nil"/>
              <w:right w:val="nil"/>
            </w:tcBorders>
            <w:shd w:val="clear" w:color="auto" w:fill="auto"/>
            <w:noWrap/>
            <w:vAlign w:val="bottom"/>
            <w:hideMark/>
          </w:tcPr>
          <w:p w14:paraId="5D253401"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7749041E"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472FF978" w14:textId="77777777" w:rsidR="00950423" w:rsidRPr="003A41B3" w:rsidRDefault="00950423" w:rsidP="00154091">
            <w:pPr>
              <w:contextualSpacing/>
              <w:jc w:val="center"/>
              <w:rPr>
                <w:rFonts w:eastAsia="Times New Roman"/>
                <w:sz w:val="20"/>
                <w:szCs w:val="20"/>
                <w:lang w:eastAsia="en-GB"/>
              </w:rPr>
            </w:pPr>
            <w:r w:rsidRPr="003A41B3">
              <w:rPr>
                <w:sz w:val="20"/>
                <w:szCs w:val="20"/>
              </w:rPr>
              <w:t>(-0.53)</w:t>
            </w:r>
          </w:p>
        </w:tc>
        <w:tc>
          <w:tcPr>
            <w:tcW w:w="660" w:type="pct"/>
            <w:tcBorders>
              <w:top w:val="nil"/>
              <w:left w:val="single" w:sz="4" w:space="0" w:color="auto"/>
              <w:bottom w:val="nil"/>
              <w:right w:val="nil"/>
            </w:tcBorders>
            <w:shd w:val="clear" w:color="auto" w:fill="auto"/>
            <w:noWrap/>
            <w:vAlign w:val="bottom"/>
          </w:tcPr>
          <w:p w14:paraId="16825321" w14:textId="77777777" w:rsidR="00950423" w:rsidRPr="003A41B3" w:rsidRDefault="00950423" w:rsidP="00154091">
            <w:pPr>
              <w:contextualSpacing/>
              <w:rPr>
                <w:rFonts w:eastAsia="Times New Roman"/>
                <w:lang w:eastAsia="en-GB"/>
              </w:rPr>
            </w:pPr>
          </w:p>
        </w:tc>
        <w:tc>
          <w:tcPr>
            <w:tcW w:w="808" w:type="pct"/>
            <w:tcBorders>
              <w:top w:val="nil"/>
              <w:left w:val="nil"/>
              <w:bottom w:val="nil"/>
              <w:right w:val="single" w:sz="4" w:space="0" w:color="auto"/>
            </w:tcBorders>
            <w:shd w:val="clear" w:color="auto" w:fill="auto"/>
            <w:noWrap/>
            <w:vAlign w:val="bottom"/>
          </w:tcPr>
          <w:p w14:paraId="20BBC6FF" w14:textId="77777777" w:rsidR="00950423" w:rsidRPr="003A41B3" w:rsidRDefault="00950423" w:rsidP="00154091">
            <w:pPr>
              <w:contextualSpacing/>
              <w:jc w:val="center"/>
              <w:rPr>
                <w:rFonts w:eastAsia="Times New Roman"/>
                <w:sz w:val="20"/>
                <w:szCs w:val="20"/>
                <w:lang w:eastAsia="en-GB"/>
              </w:rPr>
            </w:pPr>
            <w:r w:rsidRPr="003A41B3">
              <w:rPr>
                <w:sz w:val="20"/>
                <w:szCs w:val="20"/>
              </w:rPr>
              <w:t>(-0.72)</w:t>
            </w:r>
          </w:p>
        </w:tc>
        <w:tc>
          <w:tcPr>
            <w:tcW w:w="767" w:type="pct"/>
            <w:tcBorders>
              <w:top w:val="nil"/>
              <w:left w:val="single" w:sz="4" w:space="0" w:color="auto"/>
              <w:bottom w:val="nil"/>
              <w:right w:val="nil"/>
            </w:tcBorders>
            <w:shd w:val="clear" w:color="auto" w:fill="auto"/>
            <w:noWrap/>
            <w:vAlign w:val="bottom"/>
          </w:tcPr>
          <w:p w14:paraId="5ECDEC57"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1CF0BF4B" w14:textId="77777777" w:rsidR="00950423" w:rsidRPr="003A41B3" w:rsidRDefault="00950423" w:rsidP="00154091">
            <w:pPr>
              <w:contextualSpacing/>
              <w:jc w:val="center"/>
              <w:rPr>
                <w:rFonts w:eastAsia="Times New Roman"/>
                <w:sz w:val="20"/>
                <w:szCs w:val="20"/>
                <w:lang w:eastAsia="en-GB"/>
              </w:rPr>
            </w:pPr>
            <w:r w:rsidRPr="003A41B3">
              <w:rPr>
                <w:sz w:val="20"/>
                <w:szCs w:val="20"/>
              </w:rPr>
              <w:t>(-0.98)</w:t>
            </w:r>
          </w:p>
        </w:tc>
      </w:tr>
      <w:tr w:rsidR="00950423" w:rsidRPr="003A41B3" w14:paraId="50005809" w14:textId="77777777" w:rsidTr="00950423">
        <w:trPr>
          <w:trHeight w:val="80"/>
        </w:trPr>
        <w:tc>
          <w:tcPr>
            <w:tcW w:w="633" w:type="pct"/>
            <w:gridSpan w:val="2"/>
            <w:tcBorders>
              <w:top w:val="nil"/>
              <w:left w:val="nil"/>
              <w:bottom w:val="nil"/>
              <w:right w:val="nil"/>
            </w:tcBorders>
            <w:shd w:val="clear" w:color="auto" w:fill="auto"/>
            <w:noWrap/>
            <w:vAlign w:val="center"/>
            <w:hideMark/>
          </w:tcPr>
          <w:p w14:paraId="776CB2E9"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EU</w:t>
            </w:r>
          </w:p>
        </w:tc>
        <w:tc>
          <w:tcPr>
            <w:tcW w:w="540" w:type="pct"/>
            <w:tcBorders>
              <w:top w:val="nil"/>
              <w:left w:val="nil"/>
              <w:bottom w:val="nil"/>
              <w:right w:val="nil"/>
            </w:tcBorders>
            <w:shd w:val="clear" w:color="auto" w:fill="auto"/>
            <w:noWrap/>
            <w:vAlign w:val="bottom"/>
          </w:tcPr>
          <w:p w14:paraId="20188F01"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6932E4AA" w14:textId="778D789E" w:rsidR="00950423" w:rsidRPr="003A41B3" w:rsidRDefault="00876F92" w:rsidP="00154091">
            <w:pPr>
              <w:contextualSpacing/>
              <w:jc w:val="center"/>
              <w:rPr>
                <w:rFonts w:eastAsia="Times New Roman"/>
                <w:sz w:val="20"/>
                <w:szCs w:val="20"/>
                <w:lang w:eastAsia="en-GB"/>
              </w:rPr>
            </w:pPr>
            <w:r w:rsidRPr="003A41B3">
              <w:rPr>
                <w:sz w:val="20"/>
                <w:szCs w:val="20"/>
              </w:rPr>
              <w:t>-0.855</w:t>
            </w:r>
          </w:p>
        </w:tc>
        <w:tc>
          <w:tcPr>
            <w:tcW w:w="660" w:type="pct"/>
            <w:tcBorders>
              <w:top w:val="nil"/>
              <w:left w:val="single" w:sz="4" w:space="0" w:color="auto"/>
              <w:bottom w:val="nil"/>
              <w:right w:val="nil"/>
            </w:tcBorders>
            <w:shd w:val="clear" w:color="auto" w:fill="auto"/>
            <w:noWrap/>
            <w:vAlign w:val="bottom"/>
          </w:tcPr>
          <w:p w14:paraId="607B3CA6"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72D2A5E9" w14:textId="319F6B16" w:rsidR="00950423" w:rsidRPr="003A41B3" w:rsidRDefault="00950423" w:rsidP="00154091">
            <w:pPr>
              <w:contextualSpacing/>
              <w:jc w:val="center"/>
              <w:rPr>
                <w:rFonts w:eastAsia="Times New Roman"/>
                <w:sz w:val="20"/>
                <w:szCs w:val="20"/>
                <w:lang w:eastAsia="en-GB"/>
              </w:rPr>
            </w:pPr>
            <w:r w:rsidRPr="003A41B3">
              <w:rPr>
                <w:sz w:val="20"/>
                <w:szCs w:val="20"/>
              </w:rPr>
              <w:t>1.862</w:t>
            </w:r>
          </w:p>
        </w:tc>
        <w:tc>
          <w:tcPr>
            <w:tcW w:w="767" w:type="pct"/>
            <w:tcBorders>
              <w:top w:val="nil"/>
              <w:left w:val="single" w:sz="4" w:space="0" w:color="auto"/>
              <w:bottom w:val="nil"/>
              <w:right w:val="nil"/>
            </w:tcBorders>
            <w:shd w:val="clear" w:color="auto" w:fill="auto"/>
            <w:noWrap/>
            <w:vAlign w:val="bottom"/>
          </w:tcPr>
          <w:p w14:paraId="1633D448"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5D6392B7" w14:textId="5F84742A" w:rsidR="00950423" w:rsidRPr="003A41B3" w:rsidRDefault="00950423" w:rsidP="00154091">
            <w:pPr>
              <w:contextualSpacing/>
              <w:jc w:val="center"/>
              <w:rPr>
                <w:rFonts w:eastAsia="Times New Roman"/>
                <w:sz w:val="20"/>
                <w:szCs w:val="20"/>
                <w:lang w:eastAsia="en-GB"/>
              </w:rPr>
            </w:pPr>
            <w:r w:rsidRPr="003A41B3">
              <w:rPr>
                <w:sz w:val="20"/>
                <w:szCs w:val="20"/>
              </w:rPr>
              <w:t>-3.664</w:t>
            </w:r>
          </w:p>
        </w:tc>
      </w:tr>
      <w:tr w:rsidR="00950423" w:rsidRPr="003A41B3" w14:paraId="29E4ED2C" w14:textId="77777777" w:rsidTr="00950423">
        <w:trPr>
          <w:trHeight w:val="103"/>
        </w:trPr>
        <w:tc>
          <w:tcPr>
            <w:tcW w:w="633" w:type="pct"/>
            <w:gridSpan w:val="2"/>
            <w:tcBorders>
              <w:top w:val="nil"/>
              <w:left w:val="nil"/>
              <w:bottom w:val="nil"/>
              <w:right w:val="nil"/>
            </w:tcBorders>
            <w:shd w:val="clear" w:color="auto" w:fill="auto"/>
            <w:noWrap/>
            <w:vAlign w:val="bottom"/>
            <w:hideMark/>
          </w:tcPr>
          <w:p w14:paraId="383E3E24" w14:textId="77777777" w:rsidR="00950423" w:rsidRPr="003A41B3" w:rsidRDefault="00950423" w:rsidP="00154091">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46E2C1FF"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04392217" w14:textId="77777777" w:rsidR="00950423" w:rsidRPr="003A41B3" w:rsidRDefault="00950423" w:rsidP="00154091">
            <w:pPr>
              <w:contextualSpacing/>
              <w:jc w:val="center"/>
              <w:rPr>
                <w:rFonts w:eastAsia="Times New Roman"/>
                <w:sz w:val="20"/>
                <w:szCs w:val="20"/>
                <w:lang w:eastAsia="en-GB"/>
              </w:rPr>
            </w:pPr>
            <w:r w:rsidRPr="003A41B3">
              <w:rPr>
                <w:sz w:val="20"/>
                <w:szCs w:val="20"/>
              </w:rPr>
              <w:t>(-0.19)</w:t>
            </w:r>
          </w:p>
        </w:tc>
        <w:tc>
          <w:tcPr>
            <w:tcW w:w="660" w:type="pct"/>
            <w:tcBorders>
              <w:top w:val="nil"/>
              <w:left w:val="single" w:sz="4" w:space="0" w:color="auto"/>
              <w:bottom w:val="nil"/>
              <w:right w:val="nil"/>
            </w:tcBorders>
            <w:shd w:val="clear" w:color="auto" w:fill="auto"/>
            <w:noWrap/>
            <w:vAlign w:val="bottom"/>
          </w:tcPr>
          <w:p w14:paraId="1EDD86A7"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33837448" w14:textId="77777777" w:rsidR="00950423" w:rsidRPr="003A41B3" w:rsidRDefault="00950423" w:rsidP="00154091">
            <w:pPr>
              <w:contextualSpacing/>
              <w:jc w:val="center"/>
              <w:rPr>
                <w:rFonts w:eastAsia="Times New Roman"/>
                <w:sz w:val="20"/>
                <w:szCs w:val="20"/>
                <w:lang w:eastAsia="en-GB"/>
              </w:rPr>
            </w:pPr>
            <w:r w:rsidRPr="003A41B3">
              <w:rPr>
                <w:sz w:val="20"/>
                <w:szCs w:val="20"/>
              </w:rPr>
              <w:t>(0.25)</w:t>
            </w:r>
          </w:p>
        </w:tc>
        <w:tc>
          <w:tcPr>
            <w:tcW w:w="767" w:type="pct"/>
            <w:tcBorders>
              <w:top w:val="nil"/>
              <w:left w:val="single" w:sz="4" w:space="0" w:color="auto"/>
              <w:bottom w:val="nil"/>
              <w:right w:val="nil"/>
            </w:tcBorders>
            <w:shd w:val="clear" w:color="auto" w:fill="auto"/>
            <w:noWrap/>
            <w:vAlign w:val="bottom"/>
          </w:tcPr>
          <w:p w14:paraId="5510D029"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010EA537" w14:textId="77777777" w:rsidR="00950423" w:rsidRPr="003A41B3" w:rsidRDefault="00950423" w:rsidP="00154091">
            <w:pPr>
              <w:contextualSpacing/>
              <w:jc w:val="center"/>
              <w:rPr>
                <w:rFonts w:eastAsia="Times New Roman"/>
                <w:sz w:val="20"/>
                <w:szCs w:val="20"/>
                <w:lang w:eastAsia="en-GB"/>
              </w:rPr>
            </w:pPr>
            <w:r w:rsidRPr="003A41B3">
              <w:rPr>
                <w:sz w:val="20"/>
                <w:szCs w:val="20"/>
              </w:rPr>
              <w:t>(-0.68)</w:t>
            </w:r>
          </w:p>
        </w:tc>
      </w:tr>
      <w:tr w:rsidR="00950423" w:rsidRPr="003A41B3" w14:paraId="2521905B" w14:textId="77777777" w:rsidTr="00950423">
        <w:trPr>
          <w:trHeight w:val="300"/>
        </w:trPr>
        <w:tc>
          <w:tcPr>
            <w:tcW w:w="1173" w:type="pct"/>
            <w:gridSpan w:val="3"/>
            <w:tcBorders>
              <w:top w:val="nil"/>
              <w:left w:val="nil"/>
              <w:bottom w:val="nil"/>
              <w:right w:val="nil"/>
            </w:tcBorders>
            <w:shd w:val="clear" w:color="auto" w:fill="auto"/>
            <w:noWrap/>
            <w:vAlign w:val="center"/>
          </w:tcPr>
          <w:p w14:paraId="4E6B81AF"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∆Rating *EE</w:t>
            </w:r>
          </w:p>
        </w:tc>
        <w:tc>
          <w:tcPr>
            <w:tcW w:w="758" w:type="pct"/>
            <w:tcBorders>
              <w:top w:val="nil"/>
              <w:left w:val="nil"/>
              <w:bottom w:val="nil"/>
              <w:right w:val="single" w:sz="4" w:space="0" w:color="auto"/>
            </w:tcBorders>
            <w:shd w:val="clear" w:color="auto" w:fill="auto"/>
            <w:noWrap/>
            <w:vAlign w:val="bottom"/>
          </w:tcPr>
          <w:p w14:paraId="0D5AED9B" w14:textId="11672244" w:rsidR="00950423" w:rsidRPr="003A41B3" w:rsidRDefault="00876F92" w:rsidP="00154091">
            <w:pPr>
              <w:contextualSpacing/>
              <w:jc w:val="center"/>
              <w:rPr>
                <w:rFonts w:eastAsia="Times New Roman"/>
                <w:sz w:val="20"/>
                <w:szCs w:val="20"/>
                <w:lang w:eastAsia="en-GB"/>
              </w:rPr>
            </w:pPr>
            <w:r w:rsidRPr="003A41B3">
              <w:rPr>
                <w:sz w:val="20"/>
                <w:szCs w:val="20"/>
              </w:rPr>
              <w:t>3.358</w:t>
            </w:r>
          </w:p>
        </w:tc>
        <w:tc>
          <w:tcPr>
            <w:tcW w:w="660" w:type="pct"/>
            <w:tcBorders>
              <w:top w:val="nil"/>
              <w:left w:val="single" w:sz="4" w:space="0" w:color="auto"/>
              <w:bottom w:val="nil"/>
              <w:right w:val="nil"/>
            </w:tcBorders>
            <w:shd w:val="clear" w:color="auto" w:fill="auto"/>
            <w:noWrap/>
            <w:vAlign w:val="bottom"/>
          </w:tcPr>
          <w:p w14:paraId="745A18FD"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3F7D9F44" w14:textId="710CD2C7" w:rsidR="00950423" w:rsidRPr="003A41B3" w:rsidRDefault="00876F92" w:rsidP="00154091">
            <w:pPr>
              <w:contextualSpacing/>
              <w:jc w:val="center"/>
              <w:rPr>
                <w:rFonts w:eastAsia="Times New Roman"/>
                <w:sz w:val="20"/>
                <w:szCs w:val="20"/>
                <w:lang w:eastAsia="en-GB"/>
              </w:rPr>
            </w:pPr>
            <w:r w:rsidRPr="003A41B3">
              <w:rPr>
                <w:sz w:val="20"/>
                <w:szCs w:val="20"/>
              </w:rPr>
              <w:t>3.995</w:t>
            </w:r>
            <w:r w:rsidR="00950423" w:rsidRPr="003A41B3">
              <w:rPr>
                <w:sz w:val="20"/>
                <w:szCs w:val="20"/>
              </w:rPr>
              <w:t>*</w:t>
            </w:r>
          </w:p>
        </w:tc>
        <w:tc>
          <w:tcPr>
            <w:tcW w:w="767" w:type="pct"/>
            <w:tcBorders>
              <w:top w:val="nil"/>
              <w:left w:val="single" w:sz="4" w:space="0" w:color="auto"/>
              <w:bottom w:val="nil"/>
              <w:right w:val="nil"/>
            </w:tcBorders>
            <w:shd w:val="clear" w:color="auto" w:fill="auto"/>
            <w:noWrap/>
            <w:vAlign w:val="bottom"/>
          </w:tcPr>
          <w:p w14:paraId="5153C932"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165A66AC" w14:textId="7FBCD3B4" w:rsidR="00950423" w:rsidRPr="003A41B3" w:rsidRDefault="00950423" w:rsidP="00DD6D17">
            <w:pPr>
              <w:contextualSpacing/>
              <w:jc w:val="center"/>
              <w:rPr>
                <w:rFonts w:eastAsia="Times New Roman"/>
                <w:sz w:val="20"/>
                <w:szCs w:val="20"/>
                <w:lang w:eastAsia="en-GB"/>
              </w:rPr>
            </w:pPr>
            <w:r w:rsidRPr="003A41B3">
              <w:rPr>
                <w:sz w:val="20"/>
                <w:szCs w:val="20"/>
              </w:rPr>
              <w:t>3.43</w:t>
            </w:r>
            <w:r w:rsidR="00DD6D17" w:rsidRPr="003A41B3">
              <w:rPr>
                <w:sz w:val="20"/>
                <w:szCs w:val="20"/>
              </w:rPr>
              <w:t>5</w:t>
            </w:r>
            <w:r w:rsidRPr="003A41B3">
              <w:rPr>
                <w:sz w:val="20"/>
                <w:szCs w:val="20"/>
              </w:rPr>
              <w:t>**</w:t>
            </w:r>
          </w:p>
        </w:tc>
      </w:tr>
      <w:tr w:rsidR="00950423" w:rsidRPr="003A41B3" w14:paraId="4A035F7E" w14:textId="77777777" w:rsidTr="00950423">
        <w:trPr>
          <w:trHeight w:val="80"/>
        </w:trPr>
        <w:tc>
          <w:tcPr>
            <w:tcW w:w="612" w:type="pct"/>
            <w:tcBorders>
              <w:top w:val="nil"/>
              <w:left w:val="nil"/>
              <w:bottom w:val="nil"/>
              <w:right w:val="nil"/>
            </w:tcBorders>
            <w:shd w:val="clear" w:color="auto" w:fill="auto"/>
            <w:noWrap/>
            <w:vAlign w:val="bottom"/>
            <w:hideMark/>
          </w:tcPr>
          <w:p w14:paraId="13ABAB8F" w14:textId="77777777" w:rsidR="00950423" w:rsidRPr="003A41B3" w:rsidRDefault="00950423" w:rsidP="00154091">
            <w:pPr>
              <w:contextualSpacing/>
              <w:jc w:val="center"/>
              <w:rPr>
                <w:rFonts w:eastAsia="Times New Roman"/>
                <w:sz w:val="20"/>
                <w:szCs w:val="20"/>
                <w:lang w:eastAsia="en-GB"/>
              </w:rPr>
            </w:pPr>
          </w:p>
        </w:tc>
        <w:tc>
          <w:tcPr>
            <w:tcW w:w="561" w:type="pct"/>
            <w:gridSpan w:val="2"/>
            <w:tcBorders>
              <w:top w:val="nil"/>
              <w:left w:val="nil"/>
              <w:bottom w:val="nil"/>
              <w:right w:val="nil"/>
            </w:tcBorders>
            <w:shd w:val="clear" w:color="auto" w:fill="auto"/>
            <w:noWrap/>
            <w:vAlign w:val="bottom"/>
          </w:tcPr>
          <w:p w14:paraId="3BE13EC7"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4B322A1D" w14:textId="77777777" w:rsidR="00950423" w:rsidRPr="003A41B3" w:rsidRDefault="00950423" w:rsidP="00154091">
            <w:pPr>
              <w:contextualSpacing/>
              <w:jc w:val="center"/>
              <w:rPr>
                <w:rFonts w:eastAsia="Times New Roman"/>
                <w:sz w:val="20"/>
                <w:szCs w:val="20"/>
                <w:lang w:eastAsia="en-GB"/>
              </w:rPr>
            </w:pPr>
            <w:r w:rsidRPr="003A41B3">
              <w:rPr>
                <w:sz w:val="20"/>
                <w:szCs w:val="20"/>
              </w:rPr>
              <w:t>(1.42)</w:t>
            </w:r>
          </w:p>
        </w:tc>
        <w:tc>
          <w:tcPr>
            <w:tcW w:w="660" w:type="pct"/>
            <w:tcBorders>
              <w:top w:val="nil"/>
              <w:left w:val="single" w:sz="4" w:space="0" w:color="auto"/>
              <w:bottom w:val="nil"/>
              <w:right w:val="nil"/>
            </w:tcBorders>
            <w:shd w:val="clear" w:color="auto" w:fill="auto"/>
            <w:noWrap/>
            <w:vAlign w:val="bottom"/>
          </w:tcPr>
          <w:p w14:paraId="5E8681DC"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6930C144" w14:textId="77777777" w:rsidR="00950423" w:rsidRPr="003A41B3" w:rsidRDefault="00950423" w:rsidP="00154091">
            <w:pPr>
              <w:contextualSpacing/>
              <w:jc w:val="center"/>
              <w:rPr>
                <w:rFonts w:eastAsia="Times New Roman"/>
                <w:sz w:val="20"/>
                <w:szCs w:val="20"/>
                <w:lang w:eastAsia="en-GB"/>
              </w:rPr>
            </w:pPr>
            <w:r w:rsidRPr="003A41B3">
              <w:rPr>
                <w:sz w:val="20"/>
                <w:szCs w:val="20"/>
              </w:rPr>
              <w:t>(1.82)</w:t>
            </w:r>
          </w:p>
        </w:tc>
        <w:tc>
          <w:tcPr>
            <w:tcW w:w="767" w:type="pct"/>
            <w:tcBorders>
              <w:top w:val="nil"/>
              <w:left w:val="single" w:sz="4" w:space="0" w:color="auto"/>
              <w:bottom w:val="nil"/>
              <w:right w:val="nil"/>
            </w:tcBorders>
            <w:shd w:val="clear" w:color="auto" w:fill="auto"/>
            <w:noWrap/>
            <w:vAlign w:val="bottom"/>
          </w:tcPr>
          <w:p w14:paraId="0E734092"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7680E5F8" w14:textId="77777777" w:rsidR="00950423" w:rsidRPr="003A41B3" w:rsidRDefault="00950423" w:rsidP="00154091">
            <w:pPr>
              <w:contextualSpacing/>
              <w:jc w:val="center"/>
              <w:rPr>
                <w:rFonts w:eastAsia="Times New Roman"/>
                <w:sz w:val="20"/>
                <w:szCs w:val="20"/>
                <w:lang w:eastAsia="en-GB"/>
              </w:rPr>
            </w:pPr>
            <w:r w:rsidRPr="003A41B3">
              <w:rPr>
                <w:sz w:val="20"/>
                <w:szCs w:val="20"/>
              </w:rPr>
              <w:t>(2.04)</w:t>
            </w:r>
          </w:p>
        </w:tc>
      </w:tr>
      <w:tr w:rsidR="00950423" w:rsidRPr="003A41B3" w14:paraId="70C9C6A2" w14:textId="77777777" w:rsidTr="00950423">
        <w:trPr>
          <w:trHeight w:val="300"/>
        </w:trPr>
        <w:tc>
          <w:tcPr>
            <w:tcW w:w="612" w:type="pct"/>
            <w:tcBorders>
              <w:top w:val="nil"/>
              <w:left w:val="nil"/>
              <w:bottom w:val="nil"/>
              <w:right w:val="nil"/>
            </w:tcBorders>
            <w:shd w:val="clear" w:color="auto" w:fill="auto"/>
            <w:noWrap/>
            <w:vAlign w:val="center"/>
            <w:hideMark/>
          </w:tcPr>
          <w:p w14:paraId="7E733D1C"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∆Rating *EU</w:t>
            </w:r>
          </w:p>
        </w:tc>
        <w:tc>
          <w:tcPr>
            <w:tcW w:w="561" w:type="pct"/>
            <w:gridSpan w:val="2"/>
            <w:tcBorders>
              <w:top w:val="nil"/>
              <w:left w:val="nil"/>
              <w:bottom w:val="nil"/>
              <w:right w:val="nil"/>
            </w:tcBorders>
            <w:shd w:val="clear" w:color="auto" w:fill="auto"/>
            <w:noWrap/>
            <w:vAlign w:val="center"/>
          </w:tcPr>
          <w:p w14:paraId="25FC614C" w14:textId="77777777" w:rsidR="00950423" w:rsidRPr="003A41B3" w:rsidRDefault="00950423" w:rsidP="00154091">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5E2D597A" w14:textId="2333999D" w:rsidR="00950423" w:rsidRPr="003A41B3" w:rsidRDefault="00876F92" w:rsidP="00154091">
            <w:pPr>
              <w:contextualSpacing/>
              <w:jc w:val="center"/>
              <w:rPr>
                <w:rFonts w:eastAsia="Times New Roman"/>
                <w:sz w:val="20"/>
                <w:szCs w:val="20"/>
                <w:lang w:eastAsia="en-GB"/>
              </w:rPr>
            </w:pPr>
            <w:r w:rsidRPr="003A41B3">
              <w:rPr>
                <w:sz w:val="20"/>
                <w:szCs w:val="20"/>
              </w:rPr>
              <w:t>3.993</w:t>
            </w:r>
            <w:r w:rsidR="00950423" w:rsidRPr="003A41B3">
              <w:rPr>
                <w:sz w:val="20"/>
                <w:szCs w:val="20"/>
              </w:rPr>
              <w:t>*</w:t>
            </w:r>
          </w:p>
        </w:tc>
        <w:tc>
          <w:tcPr>
            <w:tcW w:w="660" w:type="pct"/>
            <w:tcBorders>
              <w:top w:val="nil"/>
              <w:left w:val="single" w:sz="4" w:space="0" w:color="auto"/>
              <w:bottom w:val="nil"/>
              <w:right w:val="nil"/>
            </w:tcBorders>
            <w:shd w:val="clear" w:color="auto" w:fill="auto"/>
            <w:noWrap/>
            <w:vAlign w:val="bottom"/>
          </w:tcPr>
          <w:p w14:paraId="0CCE985B"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6CB79846" w14:textId="1D802582" w:rsidR="00950423" w:rsidRPr="003A41B3" w:rsidRDefault="00950423" w:rsidP="00154091">
            <w:pPr>
              <w:contextualSpacing/>
              <w:jc w:val="center"/>
              <w:rPr>
                <w:rFonts w:eastAsia="Times New Roman"/>
                <w:sz w:val="20"/>
                <w:szCs w:val="20"/>
                <w:lang w:eastAsia="en-GB"/>
              </w:rPr>
            </w:pPr>
            <w:r w:rsidRPr="003A41B3">
              <w:rPr>
                <w:sz w:val="20"/>
                <w:szCs w:val="20"/>
              </w:rPr>
              <w:t>1.415</w:t>
            </w:r>
          </w:p>
        </w:tc>
        <w:tc>
          <w:tcPr>
            <w:tcW w:w="767" w:type="pct"/>
            <w:tcBorders>
              <w:top w:val="nil"/>
              <w:left w:val="single" w:sz="4" w:space="0" w:color="auto"/>
              <w:bottom w:val="nil"/>
              <w:right w:val="nil"/>
            </w:tcBorders>
            <w:shd w:val="clear" w:color="auto" w:fill="auto"/>
            <w:noWrap/>
            <w:vAlign w:val="bottom"/>
          </w:tcPr>
          <w:p w14:paraId="5A599EA1"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nil"/>
              <w:right w:val="nil"/>
            </w:tcBorders>
            <w:shd w:val="clear" w:color="auto" w:fill="auto"/>
            <w:noWrap/>
            <w:vAlign w:val="bottom"/>
          </w:tcPr>
          <w:p w14:paraId="3B27613A" w14:textId="23E3F113" w:rsidR="00950423" w:rsidRPr="003A41B3" w:rsidRDefault="00950423" w:rsidP="00DD6D17">
            <w:pPr>
              <w:contextualSpacing/>
              <w:jc w:val="center"/>
              <w:rPr>
                <w:rFonts w:eastAsia="Times New Roman"/>
                <w:sz w:val="20"/>
                <w:szCs w:val="20"/>
                <w:lang w:eastAsia="en-GB"/>
              </w:rPr>
            </w:pPr>
            <w:r w:rsidRPr="003A41B3">
              <w:rPr>
                <w:sz w:val="20"/>
                <w:szCs w:val="20"/>
              </w:rPr>
              <w:t>1.17</w:t>
            </w:r>
            <w:r w:rsidR="00DD6D17" w:rsidRPr="003A41B3">
              <w:rPr>
                <w:sz w:val="20"/>
                <w:szCs w:val="20"/>
              </w:rPr>
              <w:t>1</w:t>
            </w:r>
          </w:p>
        </w:tc>
      </w:tr>
      <w:tr w:rsidR="00950423" w:rsidRPr="003A41B3" w14:paraId="3188938D" w14:textId="77777777" w:rsidTr="00950423">
        <w:trPr>
          <w:trHeight w:val="80"/>
        </w:trPr>
        <w:tc>
          <w:tcPr>
            <w:tcW w:w="612" w:type="pct"/>
            <w:tcBorders>
              <w:top w:val="nil"/>
              <w:left w:val="nil"/>
              <w:bottom w:val="single" w:sz="8" w:space="0" w:color="auto"/>
              <w:right w:val="nil"/>
            </w:tcBorders>
            <w:shd w:val="clear" w:color="auto" w:fill="auto"/>
            <w:noWrap/>
            <w:vAlign w:val="bottom"/>
            <w:hideMark/>
          </w:tcPr>
          <w:p w14:paraId="07D62985" w14:textId="77777777" w:rsidR="00950423" w:rsidRPr="003A41B3" w:rsidRDefault="00950423" w:rsidP="00154091">
            <w:pPr>
              <w:contextualSpacing/>
              <w:rPr>
                <w:rFonts w:eastAsia="Times New Roman"/>
                <w:lang w:eastAsia="en-GB"/>
              </w:rPr>
            </w:pPr>
            <w:r w:rsidRPr="003A41B3">
              <w:rPr>
                <w:rFonts w:eastAsia="Times New Roman"/>
                <w:lang w:eastAsia="en-GB"/>
              </w:rPr>
              <w:t> </w:t>
            </w:r>
          </w:p>
        </w:tc>
        <w:tc>
          <w:tcPr>
            <w:tcW w:w="561" w:type="pct"/>
            <w:gridSpan w:val="2"/>
            <w:tcBorders>
              <w:top w:val="nil"/>
              <w:left w:val="nil"/>
              <w:bottom w:val="single" w:sz="8" w:space="0" w:color="auto"/>
              <w:right w:val="nil"/>
            </w:tcBorders>
            <w:shd w:val="clear" w:color="auto" w:fill="auto"/>
            <w:noWrap/>
            <w:vAlign w:val="center"/>
          </w:tcPr>
          <w:p w14:paraId="3E037FC0" w14:textId="77777777" w:rsidR="00950423" w:rsidRPr="003A41B3" w:rsidRDefault="00950423" w:rsidP="00154091">
            <w:pPr>
              <w:contextualSpacing/>
              <w:jc w:val="center"/>
              <w:rPr>
                <w:rFonts w:eastAsia="Times New Roman"/>
                <w:sz w:val="20"/>
                <w:szCs w:val="20"/>
                <w:lang w:eastAsia="en-GB"/>
              </w:rPr>
            </w:pPr>
          </w:p>
        </w:tc>
        <w:tc>
          <w:tcPr>
            <w:tcW w:w="758" w:type="pct"/>
            <w:tcBorders>
              <w:top w:val="nil"/>
              <w:left w:val="nil"/>
              <w:bottom w:val="single" w:sz="8" w:space="0" w:color="auto"/>
              <w:right w:val="single" w:sz="4" w:space="0" w:color="auto"/>
            </w:tcBorders>
            <w:shd w:val="clear" w:color="auto" w:fill="auto"/>
            <w:noWrap/>
            <w:vAlign w:val="bottom"/>
          </w:tcPr>
          <w:p w14:paraId="2748B794" w14:textId="77777777" w:rsidR="00950423" w:rsidRPr="003A41B3" w:rsidRDefault="00950423" w:rsidP="00154091">
            <w:pPr>
              <w:contextualSpacing/>
              <w:jc w:val="center"/>
              <w:rPr>
                <w:rFonts w:eastAsia="Times New Roman"/>
                <w:sz w:val="20"/>
                <w:szCs w:val="20"/>
                <w:lang w:eastAsia="en-GB"/>
              </w:rPr>
            </w:pPr>
            <w:r w:rsidRPr="003A41B3">
              <w:rPr>
                <w:sz w:val="20"/>
                <w:szCs w:val="20"/>
              </w:rPr>
              <w:t>(1.75)</w:t>
            </w:r>
          </w:p>
        </w:tc>
        <w:tc>
          <w:tcPr>
            <w:tcW w:w="660" w:type="pct"/>
            <w:tcBorders>
              <w:top w:val="nil"/>
              <w:left w:val="single" w:sz="4" w:space="0" w:color="auto"/>
              <w:bottom w:val="single" w:sz="4" w:space="0" w:color="auto"/>
              <w:right w:val="nil"/>
            </w:tcBorders>
            <w:shd w:val="clear" w:color="auto" w:fill="auto"/>
            <w:noWrap/>
            <w:vAlign w:val="bottom"/>
          </w:tcPr>
          <w:p w14:paraId="2BB75F8A" w14:textId="77777777" w:rsidR="00950423" w:rsidRPr="003A41B3" w:rsidRDefault="00950423" w:rsidP="00154091">
            <w:pPr>
              <w:contextualSpacing/>
              <w:jc w:val="center"/>
              <w:rPr>
                <w:rFonts w:eastAsia="Times New Roman"/>
                <w:sz w:val="20"/>
                <w:szCs w:val="20"/>
                <w:lang w:eastAsia="en-GB"/>
              </w:rPr>
            </w:pPr>
          </w:p>
        </w:tc>
        <w:tc>
          <w:tcPr>
            <w:tcW w:w="808" w:type="pct"/>
            <w:tcBorders>
              <w:top w:val="nil"/>
              <w:left w:val="nil"/>
              <w:bottom w:val="single" w:sz="4" w:space="0" w:color="auto"/>
              <w:right w:val="single" w:sz="4" w:space="0" w:color="auto"/>
            </w:tcBorders>
            <w:shd w:val="clear" w:color="auto" w:fill="auto"/>
            <w:noWrap/>
            <w:vAlign w:val="bottom"/>
          </w:tcPr>
          <w:p w14:paraId="34D90282" w14:textId="77777777" w:rsidR="00950423" w:rsidRPr="003A41B3" w:rsidRDefault="00950423" w:rsidP="00154091">
            <w:pPr>
              <w:contextualSpacing/>
              <w:jc w:val="center"/>
              <w:rPr>
                <w:rFonts w:eastAsia="Times New Roman"/>
                <w:sz w:val="20"/>
                <w:szCs w:val="20"/>
                <w:lang w:eastAsia="en-GB"/>
              </w:rPr>
            </w:pPr>
            <w:r w:rsidRPr="003A41B3">
              <w:rPr>
                <w:sz w:val="20"/>
                <w:szCs w:val="20"/>
              </w:rPr>
              <w:t>(0.41)</w:t>
            </w:r>
          </w:p>
        </w:tc>
        <w:tc>
          <w:tcPr>
            <w:tcW w:w="767" w:type="pct"/>
            <w:tcBorders>
              <w:top w:val="nil"/>
              <w:left w:val="single" w:sz="4" w:space="0" w:color="auto"/>
              <w:bottom w:val="single" w:sz="4" w:space="0" w:color="auto"/>
              <w:right w:val="nil"/>
            </w:tcBorders>
            <w:shd w:val="clear" w:color="auto" w:fill="auto"/>
            <w:noWrap/>
            <w:vAlign w:val="bottom"/>
          </w:tcPr>
          <w:p w14:paraId="0441F2BF" w14:textId="77777777" w:rsidR="00950423" w:rsidRPr="003A41B3" w:rsidRDefault="00950423" w:rsidP="00154091">
            <w:pPr>
              <w:contextualSpacing/>
              <w:jc w:val="center"/>
              <w:rPr>
                <w:rFonts w:eastAsia="Times New Roman"/>
                <w:sz w:val="20"/>
                <w:szCs w:val="20"/>
                <w:lang w:eastAsia="en-GB"/>
              </w:rPr>
            </w:pPr>
          </w:p>
        </w:tc>
        <w:tc>
          <w:tcPr>
            <w:tcW w:w="835" w:type="pct"/>
            <w:tcBorders>
              <w:top w:val="nil"/>
              <w:left w:val="nil"/>
              <w:bottom w:val="single" w:sz="4" w:space="0" w:color="auto"/>
              <w:right w:val="nil"/>
            </w:tcBorders>
            <w:shd w:val="clear" w:color="auto" w:fill="auto"/>
            <w:noWrap/>
            <w:vAlign w:val="bottom"/>
          </w:tcPr>
          <w:p w14:paraId="710A41BB" w14:textId="77777777" w:rsidR="00950423" w:rsidRPr="003A41B3" w:rsidRDefault="00950423" w:rsidP="00154091">
            <w:pPr>
              <w:contextualSpacing/>
              <w:jc w:val="center"/>
              <w:rPr>
                <w:rFonts w:eastAsia="Times New Roman"/>
                <w:sz w:val="20"/>
                <w:szCs w:val="20"/>
                <w:lang w:eastAsia="en-GB"/>
              </w:rPr>
            </w:pPr>
            <w:r w:rsidRPr="003A41B3">
              <w:rPr>
                <w:sz w:val="20"/>
                <w:szCs w:val="20"/>
              </w:rPr>
              <w:t>(0.74)</w:t>
            </w:r>
          </w:p>
        </w:tc>
      </w:tr>
      <w:tr w:rsidR="00950423" w:rsidRPr="003A41B3" w14:paraId="525EDC7C" w14:textId="77777777" w:rsidTr="00950423">
        <w:trPr>
          <w:trHeight w:val="105"/>
        </w:trPr>
        <w:tc>
          <w:tcPr>
            <w:tcW w:w="612" w:type="pct"/>
            <w:tcBorders>
              <w:top w:val="nil"/>
              <w:left w:val="nil"/>
              <w:bottom w:val="nil"/>
              <w:right w:val="nil"/>
            </w:tcBorders>
            <w:shd w:val="clear" w:color="auto" w:fill="auto"/>
            <w:noWrap/>
            <w:vAlign w:val="center"/>
            <w:hideMark/>
          </w:tcPr>
          <w:p w14:paraId="5F91625C"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Observations</w:t>
            </w:r>
          </w:p>
        </w:tc>
        <w:tc>
          <w:tcPr>
            <w:tcW w:w="561" w:type="pct"/>
            <w:gridSpan w:val="2"/>
            <w:tcBorders>
              <w:top w:val="nil"/>
              <w:left w:val="nil"/>
              <w:bottom w:val="nil"/>
              <w:right w:val="nil"/>
            </w:tcBorders>
            <w:shd w:val="clear" w:color="auto" w:fill="auto"/>
            <w:noWrap/>
            <w:vAlign w:val="bottom"/>
            <w:hideMark/>
          </w:tcPr>
          <w:p w14:paraId="677750F7"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304</w:t>
            </w:r>
          </w:p>
        </w:tc>
        <w:tc>
          <w:tcPr>
            <w:tcW w:w="758" w:type="pct"/>
            <w:tcBorders>
              <w:top w:val="nil"/>
              <w:left w:val="nil"/>
              <w:bottom w:val="nil"/>
              <w:right w:val="single" w:sz="4" w:space="0" w:color="auto"/>
            </w:tcBorders>
            <w:shd w:val="clear" w:color="auto" w:fill="auto"/>
            <w:noWrap/>
            <w:vAlign w:val="bottom"/>
            <w:hideMark/>
          </w:tcPr>
          <w:p w14:paraId="676A02FF"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304</w:t>
            </w:r>
          </w:p>
        </w:tc>
        <w:tc>
          <w:tcPr>
            <w:tcW w:w="660" w:type="pct"/>
            <w:tcBorders>
              <w:top w:val="single" w:sz="4" w:space="0" w:color="auto"/>
              <w:left w:val="single" w:sz="4" w:space="0" w:color="auto"/>
              <w:bottom w:val="nil"/>
              <w:right w:val="nil"/>
            </w:tcBorders>
            <w:shd w:val="clear" w:color="auto" w:fill="auto"/>
            <w:noWrap/>
            <w:vAlign w:val="bottom"/>
            <w:hideMark/>
          </w:tcPr>
          <w:p w14:paraId="6901E6B9"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282</w:t>
            </w:r>
          </w:p>
        </w:tc>
        <w:tc>
          <w:tcPr>
            <w:tcW w:w="808" w:type="pct"/>
            <w:tcBorders>
              <w:top w:val="single" w:sz="4" w:space="0" w:color="auto"/>
              <w:left w:val="nil"/>
              <w:bottom w:val="nil"/>
              <w:right w:val="single" w:sz="4" w:space="0" w:color="auto"/>
            </w:tcBorders>
            <w:shd w:val="clear" w:color="auto" w:fill="auto"/>
            <w:noWrap/>
            <w:vAlign w:val="bottom"/>
            <w:hideMark/>
          </w:tcPr>
          <w:p w14:paraId="08FD2B3D"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282</w:t>
            </w:r>
          </w:p>
        </w:tc>
        <w:tc>
          <w:tcPr>
            <w:tcW w:w="767" w:type="pct"/>
            <w:tcBorders>
              <w:top w:val="single" w:sz="4" w:space="0" w:color="auto"/>
              <w:left w:val="nil"/>
              <w:bottom w:val="nil"/>
              <w:right w:val="nil"/>
            </w:tcBorders>
            <w:shd w:val="clear" w:color="auto" w:fill="auto"/>
            <w:noWrap/>
            <w:vAlign w:val="bottom"/>
            <w:hideMark/>
          </w:tcPr>
          <w:p w14:paraId="73708971"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232</w:t>
            </w:r>
          </w:p>
        </w:tc>
        <w:tc>
          <w:tcPr>
            <w:tcW w:w="835" w:type="pct"/>
            <w:tcBorders>
              <w:top w:val="single" w:sz="4" w:space="0" w:color="auto"/>
              <w:left w:val="nil"/>
              <w:bottom w:val="nil"/>
              <w:right w:val="single" w:sz="4" w:space="0" w:color="FFFFFF"/>
            </w:tcBorders>
            <w:shd w:val="clear" w:color="auto" w:fill="auto"/>
            <w:noWrap/>
            <w:vAlign w:val="bottom"/>
            <w:hideMark/>
          </w:tcPr>
          <w:p w14:paraId="3F559C6D" w14:textId="77777777" w:rsidR="00950423" w:rsidRPr="003A41B3" w:rsidRDefault="00950423" w:rsidP="00154091">
            <w:pPr>
              <w:contextualSpacing/>
              <w:jc w:val="center"/>
              <w:rPr>
                <w:rFonts w:eastAsia="Times New Roman"/>
                <w:sz w:val="20"/>
                <w:szCs w:val="20"/>
                <w:lang w:eastAsia="en-GB"/>
              </w:rPr>
            </w:pPr>
            <w:r w:rsidRPr="003A41B3">
              <w:rPr>
                <w:rFonts w:eastAsia="Times New Roman"/>
                <w:sz w:val="20"/>
                <w:szCs w:val="20"/>
                <w:lang w:eastAsia="en-GB"/>
              </w:rPr>
              <w:t>232</w:t>
            </w:r>
          </w:p>
        </w:tc>
      </w:tr>
      <w:tr w:rsidR="00950423" w:rsidRPr="003A41B3" w14:paraId="011F85C6" w14:textId="77777777" w:rsidTr="00950423">
        <w:trPr>
          <w:trHeight w:val="143"/>
        </w:trPr>
        <w:tc>
          <w:tcPr>
            <w:tcW w:w="612" w:type="pct"/>
            <w:tcBorders>
              <w:top w:val="nil"/>
              <w:left w:val="nil"/>
              <w:bottom w:val="nil"/>
              <w:right w:val="nil"/>
            </w:tcBorders>
            <w:shd w:val="clear" w:color="auto" w:fill="auto"/>
            <w:noWrap/>
            <w:vAlign w:val="center"/>
            <w:hideMark/>
          </w:tcPr>
          <w:p w14:paraId="1C3D678D"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R-squared</w:t>
            </w:r>
          </w:p>
        </w:tc>
        <w:tc>
          <w:tcPr>
            <w:tcW w:w="561" w:type="pct"/>
            <w:gridSpan w:val="2"/>
            <w:tcBorders>
              <w:top w:val="nil"/>
              <w:left w:val="nil"/>
              <w:bottom w:val="nil"/>
              <w:right w:val="nil"/>
            </w:tcBorders>
            <w:shd w:val="clear" w:color="auto" w:fill="auto"/>
            <w:noWrap/>
            <w:vAlign w:val="bottom"/>
          </w:tcPr>
          <w:p w14:paraId="7ABA5247" w14:textId="77777777" w:rsidR="00950423" w:rsidRPr="003A41B3" w:rsidRDefault="00950423" w:rsidP="00154091">
            <w:pPr>
              <w:jc w:val="center"/>
              <w:rPr>
                <w:sz w:val="20"/>
                <w:szCs w:val="20"/>
                <w:lang w:val="en-GB"/>
              </w:rPr>
            </w:pPr>
            <w:r w:rsidRPr="003A41B3">
              <w:rPr>
                <w:sz w:val="20"/>
                <w:szCs w:val="20"/>
              </w:rPr>
              <w:t>0.1047</w:t>
            </w:r>
          </w:p>
        </w:tc>
        <w:tc>
          <w:tcPr>
            <w:tcW w:w="758" w:type="pct"/>
            <w:tcBorders>
              <w:top w:val="nil"/>
              <w:left w:val="nil"/>
              <w:bottom w:val="nil"/>
              <w:right w:val="single" w:sz="4" w:space="0" w:color="auto"/>
            </w:tcBorders>
            <w:shd w:val="clear" w:color="auto" w:fill="auto"/>
            <w:noWrap/>
            <w:vAlign w:val="bottom"/>
          </w:tcPr>
          <w:p w14:paraId="58F367A0" w14:textId="77777777" w:rsidR="00950423" w:rsidRPr="003A41B3" w:rsidRDefault="00950423" w:rsidP="00154091">
            <w:pPr>
              <w:jc w:val="center"/>
              <w:rPr>
                <w:sz w:val="20"/>
                <w:szCs w:val="20"/>
                <w:lang w:val="en-GB"/>
              </w:rPr>
            </w:pPr>
            <w:r w:rsidRPr="003A41B3">
              <w:rPr>
                <w:sz w:val="20"/>
                <w:szCs w:val="20"/>
              </w:rPr>
              <w:t>0.1053</w:t>
            </w:r>
          </w:p>
        </w:tc>
        <w:tc>
          <w:tcPr>
            <w:tcW w:w="660" w:type="pct"/>
            <w:tcBorders>
              <w:top w:val="nil"/>
              <w:left w:val="single" w:sz="4" w:space="0" w:color="auto"/>
              <w:bottom w:val="nil"/>
              <w:right w:val="nil"/>
            </w:tcBorders>
            <w:shd w:val="clear" w:color="auto" w:fill="auto"/>
            <w:noWrap/>
            <w:vAlign w:val="bottom"/>
          </w:tcPr>
          <w:p w14:paraId="0CDB4C74" w14:textId="77777777" w:rsidR="00950423" w:rsidRPr="003A41B3" w:rsidRDefault="00950423" w:rsidP="00154091">
            <w:pPr>
              <w:jc w:val="center"/>
              <w:rPr>
                <w:sz w:val="20"/>
                <w:szCs w:val="20"/>
                <w:lang w:val="en-GB"/>
              </w:rPr>
            </w:pPr>
            <w:r w:rsidRPr="003A41B3">
              <w:rPr>
                <w:sz w:val="20"/>
                <w:szCs w:val="20"/>
              </w:rPr>
              <w:t>0.1726</w:t>
            </w:r>
          </w:p>
        </w:tc>
        <w:tc>
          <w:tcPr>
            <w:tcW w:w="808" w:type="pct"/>
            <w:tcBorders>
              <w:top w:val="nil"/>
              <w:left w:val="nil"/>
              <w:bottom w:val="nil"/>
              <w:right w:val="single" w:sz="4" w:space="0" w:color="auto"/>
            </w:tcBorders>
            <w:shd w:val="clear" w:color="auto" w:fill="auto"/>
            <w:noWrap/>
            <w:vAlign w:val="bottom"/>
          </w:tcPr>
          <w:p w14:paraId="5410C41F" w14:textId="77777777" w:rsidR="00950423" w:rsidRPr="003A41B3" w:rsidRDefault="00950423" w:rsidP="00154091">
            <w:pPr>
              <w:jc w:val="center"/>
              <w:rPr>
                <w:sz w:val="20"/>
                <w:szCs w:val="20"/>
                <w:lang w:val="en-GB"/>
              </w:rPr>
            </w:pPr>
            <w:r w:rsidRPr="003A41B3">
              <w:rPr>
                <w:sz w:val="20"/>
                <w:szCs w:val="20"/>
              </w:rPr>
              <w:t>0.1750</w:t>
            </w:r>
          </w:p>
        </w:tc>
        <w:tc>
          <w:tcPr>
            <w:tcW w:w="767" w:type="pct"/>
            <w:tcBorders>
              <w:top w:val="nil"/>
              <w:left w:val="nil"/>
              <w:bottom w:val="nil"/>
              <w:right w:val="nil"/>
            </w:tcBorders>
            <w:shd w:val="clear" w:color="auto" w:fill="auto"/>
            <w:noWrap/>
            <w:vAlign w:val="bottom"/>
          </w:tcPr>
          <w:p w14:paraId="2240CC21" w14:textId="77777777" w:rsidR="00950423" w:rsidRPr="003A41B3" w:rsidRDefault="00950423" w:rsidP="00154091">
            <w:pPr>
              <w:jc w:val="center"/>
              <w:rPr>
                <w:sz w:val="20"/>
                <w:szCs w:val="20"/>
                <w:lang w:val="en-GB"/>
              </w:rPr>
            </w:pPr>
            <w:r w:rsidRPr="003A41B3">
              <w:rPr>
                <w:sz w:val="20"/>
                <w:szCs w:val="20"/>
              </w:rPr>
              <w:t>0.2700</w:t>
            </w:r>
          </w:p>
        </w:tc>
        <w:tc>
          <w:tcPr>
            <w:tcW w:w="835" w:type="pct"/>
            <w:tcBorders>
              <w:top w:val="nil"/>
              <w:left w:val="nil"/>
              <w:bottom w:val="nil"/>
              <w:right w:val="single" w:sz="4" w:space="0" w:color="FFFFFF"/>
            </w:tcBorders>
            <w:shd w:val="clear" w:color="auto" w:fill="auto"/>
            <w:noWrap/>
            <w:vAlign w:val="bottom"/>
          </w:tcPr>
          <w:p w14:paraId="2AE3D2ED" w14:textId="77777777" w:rsidR="00950423" w:rsidRPr="003A41B3" w:rsidRDefault="00950423" w:rsidP="00154091">
            <w:pPr>
              <w:jc w:val="center"/>
              <w:rPr>
                <w:sz w:val="20"/>
                <w:szCs w:val="20"/>
                <w:lang w:val="en-GB"/>
              </w:rPr>
            </w:pPr>
            <w:r w:rsidRPr="003A41B3">
              <w:rPr>
                <w:sz w:val="20"/>
                <w:szCs w:val="20"/>
              </w:rPr>
              <w:t>0.2381</w:t>
            </w:r>
          </w:p>
        </w:tc>
      </w:tr>
      <w:tr w:rsidR="00950423" w:rsidRPr="003A41B3" w14:paraId="1093D4F2" w14:textId="77777777" w:rsidTr="00950423">
        <w:trPr>
          <w:trHeight w:val="80"/>
        </w:trPr>
        <w:tc>
          <w:tcPr>
            <w:tcW w:w="612" w:type="pct"/>
            <w:tcBorders>
              <w:top w:val="nil"/>
              <w:left w:val="nil"/>
              <w:bottom w:val="single" w:sz="8" w:space="0" w:color="auto"/>
              <w:right w:val="nil"/>
            </w:tcBorders>
            <w:shd w:val="clear" w:color="auto" w:fill="auto"/>
            <w:noWrap/>
            <w:vAlign w:val="center"/>
            <w:hideMark/>
          </w:tcPr>
          <w:p w14:paraId="315BAED5"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561" w:type="pct"/>
            <w:gridSpan w:val="2"/>
            <w:tcBorders>
              <w:top w:val="nil"/>
              <w:left w:val="nil"/>
              <w:bottom w:val="single" w:sz="8" w:space="0" w:color="auto"/>
              <w:right w:val="nil"/>
            </w:tcBorders>
            <w:shd w:val="clear" w:color="auto" w:fill="auto"/>
            <w:noWrap/>
            <w:vAlign w:val="center"/>
            <w:hideMark/>
          </w:tcPr>
          <w:p w14:paraId="254EFA2C" w14:textId="1712AC85"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758" w:type="pct"/>
            <w:tcBorders>
              <w:top w:val="nil"/>
              <w:left w:val="nil"/>
              <w:bottom w:val="single" w:sz="8" w:space="0" w:color="auto"/>
              <w:right w:val="single" w:sz="4" w:space="0" w:color="auto"/>
            </w:tcBorders>
            <w:shd w:val="clear" w:color="auto" w:fill="auto"/>
            <w:noWrap/>
            <w:vAlign w:val="center"/>
            <w:hideMark/>
          </w:tcPr>
          <w:p w14:paraId="61E03253" w14:textId="7011DD5E"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660" w:type="pct"/>
            <w:tcBorders>
              <w:top w:val="nil"/>
              <w:left w:val="single" w:sz="4" w:space="0" w:color="auto"/>
              <w:bottom w:val="single" w:sz="8" w:space="0" w:color="auto"/>
              <w:right w:val="nil"/>
            </w:tcBorders>
            <w:shd w:val="clear" w:color="auto" w:fill="auto"/>
            <w:noWrap/>
            <w:vAlign w:val="center"/>
            <w:hideMark/>
          </w:tcPr>
          <w:p w14:paraId="70F79585" w14:textId="79B78D33"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808" w:type="pct"/>
            <w:tcBorders>
              <w:top w:val="nil"/>
              <w:left w:val="nil"/>
              <w:bottom w:val="single" w:sz="8" w:space="0" w:color="auto"/>
              <w:right w:val="single" w:sz="4" w:space="0" w:color="auto"/>
            </w:tcBorders>
            <w:shd w:val="clear" w:color="auto" w:fill="auto"/>
            <w:noWrap/>
            <w:vAlign w:val="center"/>
            <w:hideMark/>
          </w:tcPr>
          <w:p w14:paraId="652FFF1C" w14:textId="0FF7EBB0"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767" w:type="pct"/>
            <w:tcBorders>
              <w:top w:val="nil"/>
              <w:left w:val="nil"/>
              <w:bottom w:val="single" w:sz="8" w:space="0" w:color="auto"/>
              <w:right w:val="nil"/>
            </w:tcBorders>
            <w:shd w:val="clear" w:color="auto" w:fill="auto"/>
            <w:noWrap/>
            <w:vAlign w:val="center"/>
            <w:hideMark/>
          </w:tcPr>
          <w:p w14:paraId="7D5AAF4F" w14:textId="3CE51D9C"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835" w:type="pct"/>
            <w:tcBorders>
              <w:top w:val="nil"/>
              <w:left w:val="nil"/>
              <w:bottom w:val="single" w:sz="8" w:space="0" w:color="auto"/>
              <w:right w:val="single" w:sz="4" w:space="0" w:color="FFFFFF"/>
            </w:tcBorders>
            <w:shd w:val="clear" w:color="auto" w:fill="auto"/>
            <w:noWrap/>
            <w:vAlign w:val="center"/>
            <w:hideMark/>
          </w:tcPr>
          <w:p w14:paraId="1B04573F" w14:textId="1801E941"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r>
    </w:tbl>
    <w:p w14:paraId="125CFF37" w14:textId="77777777" w:rsidR="00950423" w:rsidRPr="003A41B3" w:rsidRDefault="00950423" w:rsidP="00950423"/>
    <w:p w14:paraId="5605022B" w14:textId="716ED5F8" w:rsidR="00EF0F38" w:rsidRPr="003A41B3" w:rsidRDefault="00EF0F38" w:rsidP="00222633"/>
    <w:p w14:paraId="44138E25" w14:textId="3D40EF71" w:rsidR="00950423" w:rsidRPr="003A41B3" w:rsidRDefault="00950423" w:rsidP="00222633"/>
    <w:p w14:paraId="7F2E9F42" w14:textId="3AA0A5AE" w:rsidR="00950423" w:rsidRPr="003A41B3" w:rsidRDefault="00950423" w:rsidP="00222633"/>
    <w:p w14:paraId="4000E40B" w14:textId="7D39600C" w:rsidR="00950423" w:rsidRPr="003A41B3" w:rsidRDefault="00950423" w:rsidP="00222633"/>
    <w:p w14:paraId="1D269556" w14:textId="6C3BCA26" w:rsidR="00950423" w:rsidRPr="003A41B3" w:rsidRDefault="00950423" w:rsidP="00222633"/>
    <w:p w14:paraId="60B9F11F" w14:textId="2267DB4B" w:rsidR="00950423" w:rsidRPr="003A41B3" w:rsidRDefault="00950423" w:rsidP="00950423">
      <w:pPr>
        <w:rPr>
          <w:rFonts w:eastAsia="Times New Roman"/>
          <w:b/>
          <w:sz w:val="22"/>
          <w:lang w:eastAsia="en-GB"/>
        </w:rPr>
      </w:pPr>
      <w:r w:rsidRPr="003A41B3">
        <w:rPr>
          <w:rFonts w:eastAsia="Times New Roman"/>
          <w:b/>
          <w:sz w:val="22"/>
          <w:lang w:eastAsia="en-GB"/>
        </w:rPr>
        <w:lastRenderedPageBreak/>
        <w:t xml:space="preserve">Table 3. Continued. </w:t>
      </w:r>
    </w:p>
    <w:p w14:paraId="52DCA413" w14:textId="0554948E" w:rsidR="00950423" w:rsidRPr="003A41B3" w:rsidRDefault="00950423" w:rsidP="00222633">
      <w:r w:rsidRPr="003A41B3">
        <w:rPr>
          <w:rFonts w:eastAsia="Times New Roman"/>
          <w:b/>
          <w:sz w:val="22"/>
          <w:lang w:eastAsia="en-GB"/>
        </w:rPr>
        <w:t>Panel II: CRAs negative events</w:t>
      </w:r>
    </w:p>
    <w:tbl>
      <w:tblPr>
        <w:tblW w:w="5000" w:type="pct"/>
        <w:tblLayout w:type="fixed"/>
        <w:tblLook w:val="04A0" w:firstRow="1" w:lastRow="0" w:firstColumn="1" w:lastColumn="0" w:noHBand="0" w:noVBand="1"/>
      </w:tblPr>
      <w:tblGrid>
        <w:gridCol w:w="1708"/>
        <w:gridCol w:w="59"/>
        <w:gridCol w:w="1507"/>
        <w:gridCol w:w="2115"/>
        <w:gridCol w:w="1842"/>
        <w:gridCol w:w="2255"/>
        <w:gridCol w:w="2140"/>
        <w:gridCol w:w="2327"/>
      </w:tblGrid>
      <w:tr w:rsidR="00950423" w:rsidRPr="003A41B3" w14:paraId="391CD4D1" w14:textId="77777777" w:rsidTr="00154091">
        <w:trPr>
          <w:trHeight w:val="330"/>
        </w:trPr>
        <w:tc>
          <w:tcPr>
            <w:tcW w:w="633" w:type="pct"/>
            <w:gridSpan w:val="2"/>
            <w:tcBorders>
              <w:top w:val="single" w:sz="4" w:space="0" w:color="auto"/>
              <w:left w:val="nil"/>
              <w:bottom w:val="single" w:sz="4" w:space="0" w:color="auto"/>
              <w:right w:val="nil"/>
            </w:tcBorders>
            <w:shd w:val="clear" w:color="auto" w:fill="auto"/>
            <w:noWrap/>
            <w:vAlign w:val="center"/>
            <w:hideMark/>
          </w:tcPr>
          <w:p w14:paraId="1B761F37"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 </w:t>
            </w:r>
          </w:p>
        </w:tc>
        <w:tc>
          <w:tcPr>
            <w:tcW w:w="12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983296"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S&amp;P</w:t>
            </w:r>
          </w:p>
        </w:tc>
        <w:tc>
          <w:tcPr>
            <w:tcW w:w="146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D96168"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Moody's</w:t>
            </w:r>
          </w:p>
        </w:tc>
        <w:tc>
          <w:tcPr>
            <w:tcW w:w="1601"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187AC679" w14:textId="77777777" w:rsidR="00950423" w:rsidRPr="003A41B3" w:rsidRDefault="00950423" w:rsidP="00154091">
            <w:pPr>
              <w:contextualSpacing/>
              <w:jc w:val="center"/>
              <w:rPr>
                <w:rFonts w:eastAsia="Times New Roman"/>
                <w:b/>
                <w:sz w:val="20"/>
                <w:szCs w:val="20"/>
                <w:lang w:eastAsia="en-GB"/>
              </w:rPr>
            </w:pPr>
            <w:r w:rsidRPr="003A41B3">
              <w:rPr>
                <w:rFonts w:eastAsia="Times New Roman"/>
                <w:b/>
                <w:sz w:val="20"/>
                <w:szCs w:val="20"/>
                <w:lang w:eastAsia="en-GB"/>
              </w:rPr>
              <w:t>Fitch</w:t>
            </w:r>
          </w:p>
        </w:tc>
      </w:tr>
      <w:tr w:rsidR="00950423" w:rsidRPr="003A41B3" w14:paraId="14D17634" w14:textId="77777777" w:rsidTr="00D772AB">
        <w:trPr>
          <w:trHeight w:val="300"/>
        </w:trPr>
        <w:tc>
          <w:tcPr>
            <w:tcW w:w="633" w:type="pct"/>
            <w:gridSpan w:val="2"/>
            <w:tcBorders>
              <w:top w:val="nil"/>
              <w:left w:val="nil"/>
              <w:bottom w:val="nil"/>
              <w:right w:val="nil"/>
            </w:tcBorders>
            <w:shd w:val="clear" w:color="auto" w:fill="auto"/>
            <w:noWrap/>
            <w:vAlign w:val="center"/>
            <w:hideMark/>
          </w:tcPr>
          <w:p w14:paraId="221D2CFF"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VARIABLES</w:t>
            </w:r>
          </w:p>
        </w:tc>
        <w:tc>
          <w:tcPr>
            <w:tcW w:w="540" w:type="pct"/>
            <w:tcBorders>
              <w:top w:val="nil"/>
              <w:left w:val="nil"/>
              <w:bottom w:val="single" w:sz="4" w:space="0" w:color="auto"/>
              <w:right w:val="single" w:sz="4" w:space="0" w:color="FFFFFF"/>
            </w:tcBorders>
            <w:shd w:val="clear" w:color="auto" w:fill="auto"/>
            <w:noWrap/>
            <w:vAlign w:val="center"/>
            <w:hideMark/>
          </w:tcPr>
          <w:p w14:paraId="5453E8A9"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758" w:type="pct"/>
            <w:tcBorders>
              <w:top w:val="nil"/>
              <w:left w:val="single" w:sz="4" w:space="0" w:color="FFFFFF"/>
              <w:bottom w:val="single" w:sz="4" w:space="0" w:color="auto"/>
              <w:right w:val="single" w:sz="4" w:space="0" w:color="auto"/>
            </w:tcBorders>
            <w:shd w:val="clear" w:color="auto" w:fill="auto"/>
            <w:noWrap/>
            <w:vAlign w:val="center"/>
            <w:hideMark/>
          </w:tcPr>
          <w:p w14:paraId="321173D0"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c>
          <w:tcPr>
            <w:tcW w:w="660" w:type="pct"/>
            <w:tcBorders>
              <w:top w:val="nil"/>
              <w:left w:val="single" w:sz="4" w:space="0" w:color="auto"/>
              <w:bottom w:val="single" w:sz="4" w:space="0" w:color="auto"/>
              <w:right w:val="single" w:sz="4" w:space="0" w:color="FFFFFF"/>
            </w:tcBorders>
            <w:shd w:val="clear" w:color="auto" w:fill="auto"/>
            <w:noWrap/>
            <w:vAlign w:val="center"/>
            <w:hideMark/>
          </w:tcPr>
          <w:p w14:paraId="6294B2ED"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808" w:type="pct"/>
            <w:tcBorders>
              <w:top w:val="nil"/>
              <w:left w:val="nil"/>
              <w:bottom w:val="single" w:sz="4" w:space="0" w:color="auto"/>
              <w:right w:val="single" w:sz="4" w:space="0" w:color="auto"/>
            </w:tcBorders>
            <w:shd w:val="clear" w:color="auto" w:fill="auto"/>
            <w:noWrap/>
            <w:vAlign w:val="center"/>
            <w:hideMark/>
          </w:tcPr>
          <w:p w14:paraId="7DA1090F"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c>
          <w:tcPr>
            <w:tcW w:w="767" w:type="pct"/>
            <w:tcBorders>
              <w:top w:val="nil"/>
              <w:left w:val="nil"/>
              <w:bottom w:val="single" w:sz="4" w:space="0" w:color="auto"/>
              <w:right w:val="single" w:sz="4" w:space="0" w:color="FFFFFF"/>
            </w:tcBorders>
            <w:shd w:val="clear" w:color="auto" w:fill="auto"/>
            <w:noWrap/>
            <w:vAlign w:val="center"/>
            <w:hideMark/>
          </w:tcPr>
          <w:p w14:paraId="25E571EC"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Eq.(1a)</w:t>
            </w:r>
          </w:p>
        </w:tc>
        <w:tc>
          <w:tcPr>
            <w:tcW w:w="834" w:type="pct"/>
            <w:tcBorders>
              <w:top w:val="nil"/>
              <w:left w:val="nil"/>
              <w:bottom w:val="single" w:sz="4" w:space="0" w:color="auto"/>
              <w:right w:val="single" w:sz="4" w:space="0" w:color="FFFFFF"/>
            </w:tcBorders>
            <w:shd w:val="clear" w:color="auto" w:fill="auto"/>
            <w:noWrap/>
            <w:vAlign w:val="center"/>
            <w:hideMark/>
          </w:tcPr>
          <w:p w14:paraId="6E502CBE" w14:textId="77777777" w:rsidR="00950423" w:rsidRPr="003A41B3" w:rsidRDefault="00950423" w:rsidP="00154091">
            <w:pPr>
              <w:contextualSpacing/>
              <w:jc w:val="center"/>
              <w:rPr>
                <w:rFonts w:eastAsia="Times New Roman"/>
                <w:sz w:val="20"/>
                <w:szCs w:val="20"/>
                <w:lang w:eastAsia="en-GB"/>
              </w:rPr>
            </w:pPr>
            <w:r w:rsidRPr="003A41B3">
              <w:rPr>
                <w:rFonts w:eastAsia="Times New Roman"/>
                <w:b/>
                <w:sz w:val="20"/>
                <w:szCs w:val="20"/>
                <w:lang w:eastAsia="en-GB"/>
              </w:rPr>
              <w:t>Eq.(1b)</w:t>
            </w:r>
          </w:p>
        </w:tc>
      </w:tr>
      <w:tr w:rsidR="006A0BAE" w:rsidRPr="003A41B3" w14:paraId="32D6832A" w14:textId="77777777" w:rsidTr="00D772AB">
        <w:trPr>
          <w:trHeight w:val="339"/>
        </w:trPr>
        <w:tc>
          <w:tcPr>
            <w:tcW w:w="633" w:type="pct"/>
            <w:gridSpan w:val="2"/>
            <w:tcBorders>
              <w:top w:val="single" w:sz="4" w:space="0" w:color="auto"/>
              <w:left w:val="nil"/>
              <w:bottom w:val="nil"/>
              <w:right w:val="nil"/>
            </w:tcBorders>
            <w:shd w:val="clear" w:color="auto" w:fill="auto"/>
            <w:noWrap/>
            <w:vAlign w:val="center"/>
            <w:hideMark/>
          </w:tcPr>
          <w:p w14:paraId="42B06210"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∆Rating</w:t>
            </w:r>
          </w:p>
        </w:tc>
        <w:tc>
          <w:tcPr>
            <w:tcW w:w="540" w:type="pct"/>
            <w:tcBorders>
              <w:top w:val="nil"/>
              <w:left w:val="nil"/>
              <w:bottom w:val="nil"/>
              <w:right w:val="nil"/>
            </w:tcBorders>
            <w:shd w:val="clear" w:color="auto" w:fill="auto"/>
            <w:noWrap/>
            <w:vAlign w:val="bottom"/>
          </w:tcPr>
          <w:p w14:paraId="03AEC9FF" w14:textId="094019E8" w:rsidR="006A0BAE" w:rsidRPr="003A41B3" w:rsidRDefault="00DD6D17" w:rsidP="006A0BAE">
            <w:pPr>
              <w:contextualSpacing/>
              <w:jc w:val="center"/>
              <w:rPr>
                <w:rFonts w:eastAsia="Times New Roman"/>
                <w:sz w:val="20"/>
                <w:szCs w:val="20"/>
                <w:lang w:eastAsia="en-GB"/>
              </w:rPr>
            </w:pPr>
            <w:r w:rsidRPr="003A41B3">
              <w:rPr>
                <w:sz w:val="20"/>
                <w:szCs w:val="20"/>
              </w:rPr>
              <w:t>3.926</w:t>
            </w:r>
            <w:r w:rsidR="006A0BAE" w:rsidRPr="003A41B3">
              <w:rPr>
                <w:sz w:val="20"/>
                <w:szCs w:val="20"/>
              </w:rPr>
              <w:t>***</w:t>
            </w:r>
          </w:p>
        </w:tc>
        <w:tc>
          <w:tcPr>
            <w:tcW w:w="758" w:type="pct"/>
            <w:tcBorders>
              <w:top w:val="nil"/>
              <w:left w:val="nil"/>
              <w:bottom w:val="nil"/>
              <w:right w:val="single" w:sz="4" w:space="0" w:color="auto"/>
            </w:tcBorders>
            <w:shd w:val="clear" w:color="auto" w:fill="auto"/>
            <w:noWrap/>
            <w:vAlign w:val="bottom"/>
          </w:tcPr>
          <w:p w14:paraId="6387E85E" w14:textId="7D3C37BB" w:rsidR="006A0BAE" w:rsidRPr="003A41B3" w:rsidRDefault="006A0BAE" w:rsidP="00DD6D17">
            <w:pPr>
              <w:contextualSpacing/>
              <w:jc w:val="center"/>
              <w:rPr>
                <w:rFonts w:eastAsia="Times New Roman"/>
                <w:sz w:val="20"/>
                <w:szCs w:val="20"/>
                <w:lang w:eastAsia="en-GB"/>
              </w:rPr>
            </w:pPr>
            <w:r w:rsidRPr="003A41B3">
              <w:rPr>
                <w:sz w:val="20"/>
                <w:szCs w:val="20"/>
              </w:rPr>
              <w:t>3.8</w:t>
            </w:r>
            <w:r w:rsidR="00DD6D17" w:rsidRPr="003A41B3">
              <w:rPr>
                <w:sz w:val="20"/>
                <w:szCs w:val="20"/>
              </w:rPr>
              <w:t>60</w:t>
            </w:r>
            <w:r w:rsidRPr="003A41B3">
              <w:rPr>
                <w:sz w:val="20"/>
                <w:szCs w:val="20"/>
              </w:rPr>
              <w:t>***</w:t>
            </w:r>
          </w:p>
        </w:tc>
        <w:tc>
          <w:tcPr>
            <w:tcW w:w="660" w:type="pct"/>
            <w:tcBorders>
              <w:top w:val="nil"/>
              <w:left w:val="single" w:sz="4" w:space="0" w:color="auto"/>
              <w:bottom w:val="nil"/>
              <w:right w:val="nil"/>
            </w:tcBorders>
            <w:shd w:val="clear" w:color="auto" w:fill="auto"/>
            <w:noWrap/>
            <w:vAlign w:val="bottom"/>
          </w:tcPr>
          <w:p w14:paraId="6FEA48D8" w14:textId="5E2FB131" w:rsidR="006A0BAE" w:rsidRPr="003A41B3" w:rsidRDefault="006A0BAE" w:rsidP="006A0BAE">
            <w:pPr>
              <w:contextualSpacing/>
              <w:jc w:val="center"/>
              <w:rPr>
                <w:rFonts w:eastAsia="Times New Roman"/>
                <w:sz w:val="20"/>
                <w:szCs w:val="20"/>
                <w:lang w:eastAsia="en-GB"/>
              </w:rPr>
            </w:pPr>
            <w:r w:rsidRPr="003A41B3">
              <w:rPr>
                <w:sz w:val="20"/>
                <w:szCs w:val="20"/>
              </w:rPr>
              <w:t>-2.039</w:t>
            </w:r>
          </w:p>
        </w:tc>
        <w:tc>
          <w:tcPr>
            <w:tcW w:w="808" w:type="pct"/>
            <w:tcBorders>
              <w:top w:val="nil"/>
              <w:left w:val="nil"/>
              <w:bottom w:val="nil"/>
              <w:right w:val="single" w:sz="4" w:space="0" w:color="auto"/>
            </w:tcBorders>
            <w:shd w:val="clear" w:color="auto" w:fill="auto"/>
            <w:noWrap/>
            <w:vAlign w:val="bottom"/>
          </w:tcPr>
          <w:p w14:paraId="09F9797D" w14:textId="772095F4" w:rsidR="006A0BAE" w:rsidRPr="003A41B3" w:rsidRDefault="00DD6D17" w:rsidP="006A0BAE">
            <w:pPr>
              <w:contextualSpacing/>
              <w:jc w:val="center"/>
              <w:rPr>
                <w:rFonts w:eastAsia="Times New Roman"/>
                <w:sz w:val="20"/>
                <w:szCs w:val="20"/>
                <w:lang w:eastAsia="en-GB"/>
              </w:rPr>
            </w:pPr>
            <w:r w:rsidRPr="003A41B3">
              <w:rPr>
                <w:sz w:val="20"/>
                <w:szCs w:val="20"/>
              </w:rPr>
              <w:t>-1.90</w:t>
            </w:r>
            <w:r w:rsidR="006A0BAE" w:rsidRPr="003A41B3">
              <w:rPr>
                <w:sz w:val="20"/>
                <w:szCs w:val="20"/>
              </w:rPr>
              <w:t>7</w:t>
            </w:r>
          </w:p>
        </w:tc>
        <w:tc>
          <w:tcPr>
            <w:tcW w:w="767" w:type="pct"/>
            <w:tcBorders>
              <w:top w:val="nil"/>
              <w:left w:val="single" w:sz="4" w:space="0" w:color="auto"/>
              <w:bottom w:val="nil"/>
              <w:right w:val="nil"/>
            </w:tcBorders>
            <w:shd w:val="clear" w:color="auto" w:fill="auto"/>
            <w:noWrap/>
            <w:vAlign w:val="bottom"/>
          </w:tcPr>
          <w:p w14:paraId="42B65CFE" w14:textId="53964CCB" w:rsidR="006A0BAE" w:rsidRPr="003A41B3" w:rsidRDefault="00DD6D17" w:rsidP="006A0BAE">
            <w:pPr>
              <w:contextualSpacing/>
              <w:jc w:val="center"/>
              <w:rPr>
                <w:rFonts w:eastAsia="Times New Roman"/>
                <w:sz w:val="20"/>
                <w:szCs w:val="20"/>
                <w:lang w:eastAsia="en-GB"/>
              </w:rPr>
            </w:pPr>
            <w:r w:rsidRPr="003A41B3">
              <w:rPr>
                <w:sz w:val="20"/>
                <w:szCs w:val="20"/>
              </w:rPr>
              <w:t>2.770</w:t>
            </w:r>
            <w:r w:rsidR="006A0BAE" w:rsidRPr="003A41B3">
              <w:rPr>
                <w:sz w:val="20"/>
                <w:szCs w:val="20"/>
              </w:rPr>
              <w:t>**</w:t>
            </w:r>
          </w:p>
        </w:tc>
        <w:tc>
          <w:tcPr>
            <w:tcW w:w="834" w:type="pct"/>
            <w:tcBorders>
              <w:top w:val="nil"/>
              <w:left w:val="nil"/>
              <w:bottom w:val="nil"/>
              <w:right w:val="nil"/>
            </w:tcBorders>
            <w:shd w:val="clear" w:color="auto" w:fill="auto"/>
            <w:noWrap/>
            <w:vAlign w:val="bottom"/>
          </w:tcPr>
          <w:p w14:paraId="691A5908" w14:textId="61120714" w:rsidR="006A0BAE" w:rsidRPr="003A41B3" w:rsidRDefault="006A0BAE" w:rsidP="00DD6D17">
            <w:pPr>
              <w:contextualSpacing/>
              <w:jc w:val="center"/>
              <w:rPr>
                <w:rFonts w:eastAsia="Times New Roman"/>
                <w:sz w:val="20"/>
                <w:szCs w:val="20"/>
                <w:lang w:eastAsia="en-GB"/>
              </w:rPr>
            </w:pPr>
            <w:r w:rsidRPr="003A41B3">
              <w:rPr>
                <w:sz w:val="20"/>
                <w:szCs w:val="20"/>
              </w:rPr>
              <w:t>2.72</w:t>
            </w:r>
            <w:r w:rsidR="00DD6D17" w:rsidRPr="003A41B3">
              <w:rPr>
                <w:sz w:val="20"/>
                <w:szCs w:val="20"/>
              </w:rPr>
              <w:t>5</w:t>
            </w:r>
            <w:r w:rsidRPr="003A41B3">
              <w:rPr>
                <w:sz w:val="20"/>
                <w:szCs w:val="20"/>
              </w:rPr>
              <w:t>**</w:t>
            </w:r>
          </w:p>
        </w:tc>
      </w:tr>
      <w:tr w:rsidR="006A0BAE" w:rsidRPr="003A41B3" w14:paraId="57999F3F" w14:textId="77777777" w:rsidTr="00D772AB">
        <w:trPr>
          <w:trHeight w:val="80"/>
        </w:trPr>
        <w:tc>
          <w:tcPr>
            <w:tcW w:w="633" w:type="pct"/>
            <w:gridSpan w:val="2"/>
            <w:tcBorders>
              <w:top w:val="nil"/>
              <w:left w:val="nil"/>
              <w:bottom w:val="nil"/>
              <w:right w:val="nil"/>
            </w:tcBorders>
            <w:shd w:val="clear" w:color="auto" w:fill="auto"/>
            <w:noWrap/>
            <w:vAlign w:val="bottom"/>
            <w:hideMark/>
          </w:tcPr>
          <w:p w14:paraId="6A72B461"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4D7ECA13" w14:textId="68A84A8D" w:rsidR="006A0BAE" w:rsidRPr="003A41B3" w:rsidRDefault="006A0BAE" w:rsidP="006A0BAE">
            <w:pPr>
              <w:contextualSpacing/>
              <w:jc w:val="center"/>
              <w:rPr>
                <w:rFonts w:eastAsia="Times New Roman"/>
                <w:sz w:val="20"/>
                <w:szCs w:val="20"/>
                <w:lang w:eastAsia="en-GB"/>
              </w:rPr>
            </w:pPr>
            <w:r w:rsidRPr="003A41B3">
              <w:rPr>
                <w:sz w:val="20"/>
                <w:szCs w:val="20"/>
              </w:rPr>
              <w:t>(2.81)</w:t>
            </w:r>
          </w:p>
        </w:tc>
        <w:tc>
          <w:tcPr>
            <w:tcW w:w="758" w:type="pct"/>
            <w:tcBorders>
              <w:top w:val="nil"/>
              <w:left w:val="nil"/>
              <w:bottom w:val="nil"/>
              <w:right w:val="single" w:sz="4" w:space="0" w:color="auto"/>
            </w:tcBorders>
            <w:shd w:val="clear" w:color="auto" w:fill="auto"/>
            <w:noWrap/>
            <w:vAlign w:val="bottom"/>
          </w:tcPr>
          <w:p w14:paraId="141B16C4" w14:textId="1B40EB4D" w:rsidR="006A0BAE" w:rsidRPr="003A41B3" w:rsidRDefault="006A0BAE" w:rsidP="006A0BAE">
            <w:pPr>
              <w:contextualSpacing/>
              <w:jc w:val="center"/>
              <w:rPr>
                <w:rFonts w:eastAsia="Times New Roman"/>
                <w:sz w:val="20"/>
                <w:szCs w:val="20"/>
                <w:lang w:eastAsia="en-GB"/>
              </w:rPr>
            </w:pPr>
            <w:r w:rsidRPr="003A41B3">
              <w:rPr>
                <w:sz w:val="20"/>
                <w:szCs w:val="20"/>
              </w:rPr>
              <w:t>(2.76)</w:t>
            </w:r>
          </w:p>
        </w:tc>
        <w:tc>
          <w:tcPr>
            <w:tcW w:w="660" w:type="pct"/>
            <w:tcBorders>
              <w:top w:val="nil"/>
              <w:left w:val="single" w:sz="4" w:space="0" w:color="auto"/>
              <w:bottom w:val="nil"/>
              <w:right w:val="nil"/>
            </w:tcBorders>
            <w:shd w:val="clear" w:color="auto" w:fill="auto"/>
            <w:noWrap/>
            <w:vAlign w:val="bottom"/>
          </w:tcPr>
          <w:p w14:paraId="6E452B33" w14:textId="7324E643" w:rsidR="006A0BAE" w:rsidRPr="003A41B3" w:rsidRDefault="006A0BAE" w:rsidP="006A0BAE">
            <w:pPr>
              <w:contextualSpacing/>
              <w:jc w:val="center"/>
              <w:rPr>
                <w:rFonts w:eastAsia="Times New Roman"/>
                <w:sz w:val="20"/>
                <w:szCs w:val="20"/>
                <w:lang w:eastAsia="en-GB"/>
              </w:rPr>
            </w:pPr>
            <w:r w:rsidRPr="003A41B3">
              <w:rPr>
                <w:sz w:val="20"/>
                <w:szCs w:val="20"/>
              </w:rPr>
              <w:t>(-0.57)</w:t>
            </w:r>
          </w:p>
        </w:tc>
        <w:tc>
          <w:tcPr>
            <w:tcW w:w="808" w:type="pct"/>
            <w:tcBorders>
              <w:top w:val="nil"/>
              <w:left w:val="nil"/>
              <w:bottom w:val="nil"/>
              <w:right w:val="single" w:sz="4" w:space="0" w:color="auto"/>
            </w:tcBorders>
            <w:shd w:val="clear" w:color="auto" w:fill="auto"/>
            <w:noWrap/>
            <w:vAlign w:val="bottom"/>
          </w:tcPr>
          <w:p w14:paraId="6E974719" w14:textId="045521F9" w:rsidR="006A0BAE" w:rsidRPr="003A41B3" w:rsidRDefault="006A0BAE" w:rsidP="006A0BAE">
            <w:pPr>
              <w:contextualSpacing/>
              <w:jc w:val="center"/>
              <w:rPr>
                <w:rFonts w:eastAsia="Times New Roman"/>
                <w:sz w:val="20"/>
                <w:szCs w:val="20"/>
                <w:lang w:eastAsia="en-GB"/>
              </w:rPr>
            </w:pPr>
            <w:r w:rsidRPr="003A41B3">
              <w:rPr>
                <w:sz w:val="20"/>
                <w:szCs w:val="20"/>
              </w:rPr>
              <w:t>(-0.53)</w:t>
            </w:r>
          </w:p>
        </w:tc>
        <w:tc>
          <w:tcPr>
            <w:tcW w:w="767" w:type="pct"/>
            <w:tcBorders>
              <w:top w:val="nil"/>
              <w:left w:val="single" w:sz="4" w:space="0" w:color="auto"/>
              <w:bottom w:val="nil"/>
              <w:right w:val="nil"/>
            </w:tcBorders>
            <w:shd w:val="clear" w:color="auto" w:fill="auto"/>
            <w:noWrap/>
            <w:vAlign w:val="bottom"/>
          </w:tcPr>
          <w:p w14:paraId="3C8F88C9" w14:textId="2F294896" w:rsidR="006A0BAE" w:rsidRPr="003A41B3" w:rsidRDefault="006A0BAE" w:rsidP="006A0BAE">
            <w:pPr>
              <w:contextualSpacing/>
              <w:jc w:val="center"/>
              <w:rPr>
                <w:rFonts w:eastAsia="Times New Roman"/>
                <w:sz w:val="20"/>
                <w:szCs w:val="20"/>
                <w:lang w:eastAsia="en-GB"/>
              </w:rPr>
            </w:pPr>
            <w:r w:rsidRPr="003A41B3">
              <w:rPr>
                <w:sz w:val="20"/>
                <w:szCs w:val="20"/>
              </w:rPr>
              <w:t>(2.30)</w:t>
            </w:r>
          </w:p>
        </w:tc>
        <w:tc>
          <w:tcPr>
            <w:tcW w:w="834" w:type="pct"/>
            <w:tcBorders>
              <w:top w:val="nil"/>
              <w:left w:val="nil"/>
              <w:bottom w:val="nil"/>
              <w:right w:val="nil"/>
            </w:tcBorders>
            <w:shd w:val="clear" w:color="auto" w:fill="auto"/>
            <w:noWrap/>
            <w:vAlign w:val="bottom"/>
          </w:tcPr>
          <w:p w14:paraId="697F66DA" w14:textId="110DE584" w:rsidR="006A0BAE" w:rsidRPr="003A41B3" w:rsidRDefault="006A0BAE" w:rsidP="006A0BAE">
            <w:pPr>
              <w:contextualSpacing/>
              <w:jc w:val="center"/>
              <w:rPr>
                <w:rFonts w:eastAsia="Times New Roman"/>
                <w:sz w:val="20"/>
                <w:szCs w:val="20"/>
                <w:lang w:eastAsia="en-GB"/>
              </w:rPr>
            </w:pPr>
            <w:r w:rsidRPr="003A41B3">
              <w:rPr>
                <w:sz w:val="20"/>
                <w:szCs w:val="20"/>
              </w:rPr>
              <w:t>(2.29)</w:t>
            </w:r>
          </w:p>
        </w:tc>
      </w:tr>
      <w:tr w:rsidR="006A0BAE" w:rsidRPr="003A41B3" w14:paraId="51F72634" w14:textId="77777777" w:rsidTr="00D772AB">
        <w:trPr>
          <w:trHeight w:val="300"/>
        </w:trPr>
        <w:tc>
          <w:tcPr>
            <w:tcW w:w="633" w:type="pct"/>
            <w:gridSpan w:val="2"/>
            <w:tcBorders>
              <w:top w:val="nil"/>
              <w:left w:val="nil"/>
              <w:bottom w:val="nil"/>
              <w:right w:val="nil"/>
            </w:tcBorders>
            <w:shd w:val="clear" w:color="auto" w:fill="auto"/>
            <w:noWrap/>
            <w:vAlign w:val="center"/>
            <w:hideMark/>
          </w:tcPr>
          <w:p w14:paraId="3B7F1CDD"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Identifier</w:t>
            </w:r>
          </w:p>
        </w:tc>
        <w:tc>
          <w:tcPr>
            <w:tcW w:w="540" w:type="pct"/>
            <w:tcBorders>
              <w:top w:val="nil"/>
              <w:left w:val="nil"/>
              <w:bottom w:val="nil"/>
              <w:right w:val="nil"/>
            </w:tcBorders>
            <w:shd w:val="clear" w:color="auto" w:fill="auto"/>
            <w:noWrap/>
            <w:vAlign w:val="bottom"/>
          </w:tcPr>
          <w:p w14:paraId="1683101F" w14:textId="421376CA" w:rsidR="006A0BAE" w:rsidRPr="003A41B3" w:rsidRDefault="006A0BAE" w:rsidP="006A0BAE">
            <w:pPr>
              <w:contextualSpacing/>
              <w:jc w:val="center"/>
              <w:rPr>
                <w:rFonts w:eastAsia="Times New Roman"/>
                <w:sz w:val="20"/>
                <w:szCs w:val="20"/>
                <w:lang w:eastAsia="en-GB"/>
              </w:rPr>
            </w:pPr>
            <w:r w:rsidRPr="003A41B3">
              <w:rPr>
                <w:sz w:val="20"/>
                <w:szCs w:val="20"/>
              </w:rPr>
              <w:t>3.903</w:t>
            </w:r>
          </w:p>
        </w:tc>
        <w:tc>
          <w:tcPr>
            <w:tcW w:w="758" w:type="pct"/>
            <w:tcBorders>
              <w:top w:val="nil"/>
              <w:left w:val="nil"/>
              <w:bottom w:val="nil"/>
              <w:right w:val="single" w:sz="4" w:space="0" w:color="auto"/>
            </w:tcBorders>
            <w:shd w:val="clear" w:color="auto" w:fill="auto"/>
            <w:noWrap/>
            <w:vAlign w:val="bottom"/>
          </w:tcPr>
          <w:p w14:paraId="3D0E33D4" w14:textId="77777777" w:rsidR="006A0BAE" w:rsidRPr="003A41B3" w:rsidRDefault="006A0BAE" w:rsidP="006A0BAE">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64E71931" w14:textId="333622A5" w:rsidR="006A0BAE" w:rsidRPr="003A41B3" w:rsidRDefault="006A0BAE" w:rsidP="00DD6D17">
            <w:pPr>
              <w:contextualSpacing/>
              <w:jc w:val="center"/>
              <w:rPr>
                <w:rFonts w:eastAsia="Times New Roman"/>
                <w:sz w:val="20"/>
                <w:szCs w:val="20"/>
                <w:lang w:eastAsia="en-GB"/>
              </w:rPr>
            </w:pPr>
            <w:r w:rsidRPr="003A41B3">
              <w:rPr>
                <w:sz w:val="20"/>
                <w:szCs w:val="20"/>
              </w:rPr>
              <w:t>-2.99</w:t>
            </w:r>
            <w:r w:rsidR="00DD6D17" w:rsidRPr="003A41B3">
              <w:rPr>
                <w:sz w:val="20"/>
                <w:szCs w:val="20"/>
              </w:rPr>
              <w:t>7</w:t>
            </w:r>
          </w:p>
        </w:tc>
        <w:tc>
          <w:tcPr>
            <w:tcW w:w="808" w:type="pct"/>
            <w:tcBorders>
              <w:top w:val="nil"/>
              <w:left w:val="nil"/>
              <w:bottom w:val="nil"/>
              <w:right w:val="single" w:sz="4" w:space="0" w:color="auto"/>
            </w:tcBorders>
            <w:shd w:val="clear" w:color="auto" w:fill="auto"/>
            <w:noWrap/>
            <w:vAlign w:val="bottom"/>
          </w:tcPr>
          <w:p w14:paraId="10BE4A17" w14:textId="77777777" w:rsidR="006A0BAE" w:rsidRPr="003A41B3" w:rsidRDefault="006A0BAE" w:rsidP="006A0BAE">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6F2D0D4C" w14:textId="3425EBB4" w:rsidR="006A0BAE" w:rsidRPr="003A41B3" w:rsidRDefault="006A0BAE" w:rsidP="00DD6D17">
            <w:pPr>
              <w:contextualSpacing/>
              <w:jc w:val="center"/>
              <w:rPr>
                <w:rFonts w:eastAsia="Times New Roman"/>
                <w:sz w:val="20"/>
                <w:szCs w:val="20"/>
                <w:lang w:eastAsia="en-GB"/>
              </w:rPr>
            </w:pPr>
            <w:r w:rsidRPr="003A41B3">
              <w:rPr>
                <w:sz w:val="20"/>
                <w:szCs w:val="20"/>
              </w:rPr>
              <w:t>-3.88</w:t>
            </w:r>
            <w:r w:rsidR="00DD6D17" w:rsidRPr="003A41B3">
              <w:rPr>
                <w:sz w:val="20"/>
                <w:szCs w:val="20"/>
              </w:rPr>
              <w:t>2</w:t>
            </w:r>
          </w:p>
        </w:tc>
        <w:tc>
          <w:tcPr>
            <w:tcW w:w="834" w:type="pct"/>
            <w:tcBorders>
              <w:top w:val="nil"/>
              <w:left w:val="nil"/>
              <w:bottom w:val="nil"/>
              <w:right w:val="single" w:sz="4" w:space="0" w:color="FFFFFF"/>
            </w:tcBorders>
            <w:shd w:val="clear" w:color="auto" w:fill="auto"/>
            <w:noWrap/>
            <w:vAlign w:val="bottom"/>
          </w:tcPr>
          <w:p w14:paraId="2E641E9D" w14:textId="77777777" w:rsidR="006A0BAE" w:rsidRPr="003A41B3" w:rsidRDefault="006A0BAE" w:rsidP="006A0BAE">
            <w:pPr>
              <w:contextualSpacing/>
              <w:jc w:val="center"/>
              <w:rPr>
                <w:rFonts w:eastAsia="Times New Roman"/>
                <w:sz w:val="20"/>
                <w:szCs w:val="20"/>
                <w:lang w:eastAsia="en-GB"/>
              </w:rPr>
            </w:pPr>
          </w:p>
        </w:tc>
      </w:tr>
      <w:tr w:rsidR="006A0BAE" w:rsidRPr="003A41B3" w14:paraId="675047A6" w14:textId="77777777" w:rsidTr="00D772AB">
        <w:trPr>
          <w:trHeight w:val="103"/>
        </w:trPr>
        <w:tc>
          <w:tcPr>
            <w:tcW w:w="633" w:type="pct"/>
            <w:gridSpan w:val="2"/>
            <w:tcBorders>
              <w:top w:val="nil"/>
              <w:left w:val="nil"/>
              <w:bottom w:val="nil"/>
              <w:right w:val="nil"/>
            </w:tcBorders>
            <w:shd w:val="clear" w:color="auto" w:fill="auto"/>
            <w:noWrap/>
            <w:vAlign w:val="bottom"/>
            <w:hideMark/>
          </w:tcPr>
          <w:p w14:paraId="11818970"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31823A6C" w14:textId="362985AA" w:rsidR="006A0BAE" w:rsidRPr="003A41B3" w:rsidRDefault="006A0BAE" w:rsidP="006A0BAE">
            <w:pPr>
              <w:contextualSpacing/>
              <w:jc w:val="center"/>
              <w:rPr>
                <w:rFonts w:eastAsia="Times New Roman"/>
                <w:sz w:val="20"/>
                <w:szCs w:val="20"/>
                <w:lang w:eastAsia="en-GB"/>
              </w:rPr>
            </w:pPr>
            <w:r w:rsidRPr="003A41B3">
              <w:rPr>
                <w:sz w:val="20"/>
                <w:szCs w:val="20"/>
              </w:rPr>
              <w:t>(1.01)</w:t>
            </w:r>
          </w:p>
        </w:tc>
        <w:tc>
          <w:tcPr>
            <w:tcW w:w="758" w:type="pct"/>
            <w:tcBorders>
              <w:top w:val="nil"/>
              <w:left w:val="nil"/>
              <w:bottom w:val="nil"/>
              <w:right w:val="single" w:sz="4" w:space="0" w:color="auto"/>
            </w:tcBorders>
            <w:shd w:val="clear" w:color="auto" w:fill="auto"/>
            <w:noWrap/>
            <w:vAlign w:val="bottom"/>
          </w:tcPr>
          <w:p w14:paraId="6C080591" w14:textId="77777777" w:rsidR="006A0BAE" w:rsidRPr="003A41B3" w:rsidRDefault="006A0BAE" w:rsidP="006A0BAE">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0ACA7EB2" w14:textId="1D24C549" w:rsidR="006A0BAE" w:rsidRPr="003A41B3" w:rsidRDefault="006A0BAE" w:rsidP="006A0BAE">
            <w:pPr>
              <w:contextualSpacing/>
              <w:jc w:val="center"/>
              <w:rPr>
                <w:rFonts w:eastAsia="Times New Roman"/>
                <w:sz w:val="20"/>
                <w:szCs w:val="20"/>
                <w:lang w:eastAsia="en-GB"/>
              </w:rPr>
            </w:pPr>
            <w:r w:rsidRPr="003A41B3">
              <w:rPr>
                <w:sz w:val="20"/>
                <w:szCs w:val="20"/>
              </w:rPr>
              <w:t>(-0.41)</w:t>
            </w:r>
          </w:p>
        </w:tc>
        <w:tc>
          <w:tcPr>
            <w:tcW w:w="808" w:type="pct"/>
            <w:tcBorders>
              <w:top w:val="nil"/>
              <w:left w:val="nil"/>
              <w:bottom w:val="nil"/>
              <w:right w:val="single" w:sz="4" w:space="0" w:color="auto"/>
            </w:tcBorders>
            <w:shd w:val="clear" w:color="auto" w:fill="auto"/>
            <w:noWrap/>
            <w:vAlign w:val="bottom"/>
          </w:tcPr>
          <w:p w14:paraId="156B1F40" w14:textId="77777777" w:rsidR="006A0BAE" w:rsidRPr="003A41B3" w:rsidRDefault="006A0BAE" w:rsidP="006A0BAE">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499A90A6" w14:textId="6F829457" w:rsidR="006A0BAE" w:rsidRPr="003A41B3" w:rsidRDefault="006A0BAE" w:rsidP="006A0BAE">
            <w:pPr>
              <w:contextualSpacing/>
              <w:jc w:val="center"/>
              <w:rPr>
                <w:rFonts w:eastAsia="Times New Roman"/>
                <w:sz w:val="20"/>
                <w:szCs w:val="20"/>
                <w:lang w:eastAsia="en-GB"/>
              </w:rPr>
            </w:pPr>
            <w:r w:rsidRPr="003A41B3">
              <w:rPr>
                <w:sz w:val="20"/>
                <w:szCs w:val="20"/>
              </w:rPr>
              <w:t>(-1.09)</w:t>
            </w:r>
          </w:p>
        </w:tc>
        <w:tc>
          <w:tcPr>
            <w:tcW w:w="834" w:type="pct"/>
            <w:tcBorders>
              <w:top w:val="nil"/>
              <w:left w:val="nil"/>
              <w:bottom w:val="nil"/>
              <w:right w:val="single" w:sz="4" w:space="0" w:color="FFFFFF"/>
            </w:tcBorders>
            <w:shd w:val="clear" w:color="auto" w:fill="auto"/>
            <w:noWrap/>
            <w:vAlign w:val="bottom"/>
          </w:tcPr>
          <w:p w14:paraId="49AC0533" w14:textId="77777777" w:rsidR="006A0BAE" w:rsidRPr="003A41B3" w:rsidRDefault="006A0BAE" w:rsidP="006A0BAE">
            <w:pPr>
              <w:contextualSpacing/>
              <w:jc w:val="center"/>
              <w:rPr>
                <w:rFonts w:eastAsia="Times New Roman"/>
                <w:sz w:val="20"/>
                <w:szCs w:val="20"/>
                <w:lang w:eastAsia="en-GB"/>
              </w:rPr>
            </w:pPr>
          </w:p>
        </w:tc>
      </w:tr>
      <w:tr w:rsidR="006A0BAE" w:rsidRPr="003A41B3" w14:paraId="5D7260BC" w14:textId="77777777" w:rsidTr="00D772AB">
        <w:trPr>
          <w:trHeight w:val="300"/>
        </w:trPr>
        <w:tc>
          <w:tcPr>
            <w:tcW w:w="633" w:type="pct"/>
            <w:gridSpan w:val="2"/>
            <w:tcBorders>
              <w:top w:val="nil"/>
              <w:left w:val="nil"/>
              <w:bottom w:val="nil"/>
              <w:right w:val="nil"/>
            </w:tcBorders>
            <w:shd w:val="clear" w:color="auto" w:fill="auto"/>
            <w:noWrap/>
            <w:vAlign w:val="center"/>
            <w:hideMark/>
          </w:tcPr>
          <w:p w14:paraId="0DD98825"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∆Rating*</w:t>
            </w:r>
            <w:r w:rsidRPr="003A41B3">
              <w:rPr>
                <w:rFonts w:eastAsiaTheme="minorEastAsia"/>
                <w:sz w:val="20"/>
                <w:szCs w:val="20"/>
              </w:rPr>
              <w:t xml:space="preserve"> Identifier</w:t>
            </w:r>
          </w:p>
        </w:tc>
        <w:tc>
          <w:tcPr>
            <w:tcW w:w="540" w:type="pct"/>
            <w:tcBorders>
              <w:top w:val="nil"/>
              <w:left w:val="nil"/>
              <w:bottom w:val="nil"/>
              <w:right w:val="nil"/>
            </w:tcBorders>
            <w:shd w:val="clear" w:color="auto" w:fill="auto"/>
            <w:noWrap/>
            <w:vAlign w:val="bottom"/>
          </w:tcPr>
          <w:p w14:paraId="6D48A8F0" w14:textId="37DEBCCE" w:rsidR="006A0BAE" w:rsidRPr="003A41B3" w:rsidRDefault="006A0BAE" w:rsidP="006A0BAE">
            <w:pPr>
              <w:contextualSpacing/>
              <w:jc w:val="center"/>
              <w:rPr>
                <w:rFonts w:eastAsia="Times New Roman"/>
                <w:sz w:val="20"/>
                <w:szCs w:val="20"/>
                <w:lang w:eastAsia="en-GB"/>
              </w:rPr>
            </w:pPr>
            <w:r w:rsidRPr="003A41B3">
              <w:rPr>
                <w:sz w:val="20"/>
                <w:szCs w:val="20"/>
              </w:rPr>
              <w:t>-0.943</w:t>
            </w:r>
          </w:p>
        </w:tc>
        <w:tc>
          <w:tcPr>
            <w:tcW w:w="758" w:type="pct"/>
            <w:tcBorders>
              <w:top w:val="nil"/>
              <w:left w:val="nil"/>
              <w:bottom w:val="nil"/>
              <w:right w:val="single" w:sz="4" w:space="0" w:color="auto"/>
            </w:tcBorders>
            <w:shd w:val="clear" w:color="auto" w:fill="auto"/>
            <w:noWrap/>
            <w:vAlign w:val="bottom"/>
          </w:tcPr>
          <w:p w14:paraId="1785F38E" w14:textId="77777777" w:rsidR="006A0BAE" w:rsidRPr="003A41B3" w:rsidRDefault="006A0BAE" w:rsidP="006A0BAE">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08DD4583" w14:textId="4E5A5C8F" w:rsidR="006A0BAE" w:rsidRPr="003A41B3" w:rsidRDefault="006A0BAE" w:rsidP="00DD6D17">
            <w:pPr>
              <w:contextualSpacing/>
              <w:jc w:val="center"/>
              <w:rPr>
                <w:rFonts w:eastAsia="Times New Roman"/>
                <w:sz w:val="20"/>
                <w:szCs w:val="20"/>
                <w:lang w:eastAsia="en-GB"/>
              </w:rPr>
            </w:pPr>
            <w:r w:rsidRPr="003A41B3">
              <w:rPr>
                <w:sz w:val="20"/>
                <w:szCs w:val="20"/>
              </w:rPr>
              <w:t>6.96</w:t>
            </w:r>
            <w:r w:rsidR="00DD6D17" w:rsidRPr="003A41B3">
              <w:rPr>
                <w:sz w:val="20"/>
                <w:szCs w:val="20"/>
              </w:rPr>
              <w:t>4</w:t>
            </w:r>
            <w:r w:rsidRPr="003A41B3">
              <w:rPr>
                <w:sz w:val="20"/>
                <w:szCs w:val="20"/>
              </w:rPr>
              <w:t>*</w:t>
            </w:r>
          </w:p>
        </w:tc>
        <w:tc>
          <w:tcPr>
            <w:tcW w:w="808" w:type="pct"/>
            <w:tcBorders>
              <w:top w:val="nil"/>
              <w:left w:val="nil"/>
              <w:bottom w:val="nil"/>
              <w:right w:val="single" w:sz="4" w:space="0" w:color="auto"/>
            </w:tcBorders>
            <w:shd w:val="clear" w:color="auto" w:fill="auto"/>
            <w:noWrap/>
            <w:vAlign w:val="bottom"/>
          </w:tcPr>
          <w:p w14:paraId="2BC06B89" w14:textId="77777777" w:rsidR="006A0BAE" w:rsidRPr="003A41B3" w:rsidRDefault="006A0BAE" w:rsidP="006A0BAE">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0FEA4269" w14:textId="71275BBF" w:rsidR="006A0BAE" w:rsidRPr="003A41B3" w:rsidRDefault="006A0BAE" w:rsidP="00DD6D17">
            <w:pPr>
              <w:contextualSpacing/>
              <w:jc w:val="center"/>
              <w:rPr>
                <w:rFonts w:eastAsia="Times New Roman"/>
                <w:sz w:val="20"/>
                <w:szCs w:val="20"/>
                <w:lang w:eastAsia="en-GB"/>
              </w:rPr>
            </w:pPr>
            <w:r w:rsidRPr="003A41B3">
              <w:rPr>
                <w:sz w:val="20"/>
                <w:szCs w:val="20"/>
              </w:rPr>
              <w:t>1.81</w:t>
            </w:r>
            <w:r w:rsidR="00DD6D17" w:rsidRPr="003A41B3">
              <w:rPr>
                <w:sz w:val="20"/>
                <w:szCs w:val="20"/>
              </w:rPr>
              <w:t>6</w:t>
            </w:r>
          </w:p>
        </w:tc>
        <w:tc>
          <w:tcPr>
            <w:tcW w:w="834" w:type="pct"/>
            <w:tcBorders>
              <w:top w:val="nil"/>
              <w:left w:val="nil"/>
              <w:bottom w:val="nil"/>
              <w:right w:val="single" w:sz="4" w:space="0" w:color="FFFFFF"/>
            </w:tcBorders>
            <w:shd w:val="clear" w:color="auto" w:fill="auto"/>
            <w:noWrap/>
            <w:vAlign w:val="bottom"/>
          </w:tcPr>
          <w:p w14:paraId="29026F3E" w14:textId="77777777" w:rsidR="006A0BAE" w:rsidRPr="003A41B3" w:rsidRDefault="006A0BAE" w:rsidP="006A0BAE">
            <w:pPr>
              <w:contextualSpacing/>
              <w:jc w:val="center"/>
              <w:rPr>
                <w:rFonts w:eastAsia="Times New Roman"/>
                <w:sz w:val="20"/>
                <w:szCs w:val="20"/>
                <w:lang w:eastAsia="en-GB"/>
              </w:rPr>
            </w:pPr>
          </w:p>
        </w:tc>
      </w:tr>
      <w:tr w:rsidR="006A0BAE" w:rsidRPr="003A41B3" w14:paraId="4B509FCD" w14:textId="77777777" w:rsidTr="00D772AB">
        <w:trPr>
          <w:trHeight w:val="80"/>
        </w:trPr>
        <w:tc>
          <w:tcPr>
            <w:tcW w:w="633" w:type="pct"/>
            <w:gridSpan w:val="2"/>
            <w:tcBorders>
              <w:top w:val="nil"/>
              <w:left w:val="nil"/>
              <w:bottom w:val="nil"/>
              <w:right w:val="nil"/>
            </w:tcBorders>
            <w:shd w:val="clear" w:color="auto" w:fill="auto"/>
            <w:noWrap/>
            <w:vAlign w:val="bottom"/>
            <w:hideMark/>
          </w:tcPr>
          <w:p w14:paraId="07F5E384"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7F2602E9" w14:textId="0E9A10DF" w:rsidR="006A0BAE" w:rsidRPr="003A41B3" w:rsidRDefault="006A0BAE" w:rsidP="006A0BAE">
            <w:pPr>
              <w:contextualSpacing/>
              <w:jc w:val="center"/>
              <w:rPr>
                <w:rFonts w:eastAsia="Times New Roman"/>
                <w:sz w:val="20"/>
                <w:szCs w:val="20"/>
                <w:lang w:eastAsia="en-GB"/>
              </w:rPr>
            </w:pPr>
            <w:r w:rsidRPr="003A41B3">
              <w:rPr>
                <w:sz w:val="20"/>
                <w:szCs w:val="20"/>
              </w:rPr>
              <w:t>(-0.48)</w:t>
            </w:r>
          </w:p>
        </w:tc>
        <w:tc>
          <w:tcPr>
            <w:tcW w:w="758" w:type="pct"/>
            <w:tcBorders>
              <w:top w:val="nil"/>
              <w:left w:val="nil"/>
              <w:bottom w:val="nil"/>
              <w:right w:val="single" w:sz="4" w:space="0" w:color="auto"/>
            </w:tcBorders>
            <w:shd w:val="clear" w:color="auto" w:fill="auto"/>
            <w:noWrap/>
            <w:vAlign w:val="bottom"/>
          </w:tcPr>
          <w:p w14:paraId="704A9B2E" w14:textId="77777777" w:rsidR="006A0BAE" w:rsidRPr="003A41B3" w:rsidRDefault="006A0BAE" w:rsidP="006A0BAE">
            <w:pPr>
              <w:contextualSpacing/>
              <w:jc w:val="center"/>
              <w:rPr>
                <w:rFonts w:eastAsia="Times New Roman"/>
                <w:sz w:val="20"/>
                <w:szCs w:val="20"/>
                <w:lang w:eastAsia="en-GB"/>
              </w:rPr>
            </w:pPr>
          </w:p>
        </w:tc>
        <w:tc>
          <w:tcPr>
            <w:tcW w:w="660" w:type="pct"/>
            <w:tcBorders>
              <w:top w:val="nil"/>
              <w:left w:val="single" w:sz="4" w:space="0" w:color="auto"/>
              <w:bottom w:val="nil"/>
              <w:right w:val="nil"/>
            </w:tcBorders>
            <w:shd w:val="clear" w:color="auto" w:fill="auto"/>
            <w:noWrap/>
            <w:vAlign w:val="bottom"/>
          </w:tcPr>
          <w:p w14:paraId="79301B55" w14:textId="76B29329" w:rsidR="006A0BAE" w:rsidRPr="003A41B3" w:rsidRDefault="006A0BAE" w:rsidP="006A0BAE">
            <w:pPr>
              <w:contextualSpacing/>
              <w:jc w:val="center"/>
              <w:rPr>
                <w:rFonts w:eastAsia="Times New Roman"/>
                <w:sz w:val="20"/>
                <w:szCs w:val="20"/>
                <w:lang w:eastAsia="en-GB"/>
              </w:rPr>
            </w:pPr>
            <w:r w:rsidRPr="003A41B3">
              <w:rPr>
                <w:sz w:val="20"/>
                <w:szCs w:val="20"/>
              </w:rPr>
              <w:t>(1.69)</w:t>
            </w:r>
          </w:p>
        </w:tc>
        <w:tc>
          <w:tcPr>
            <w:tcW w:w="808" w:type="pct"/>
            <w:tcBorders>
              <w:top w:val="nil"/>
              <w:left w:val="nil"/>
              <w:bottom w:val="nil"/>
              <w:right w:val="single" w:sz="4" w:space="0" w:color="auto"/>
            </w:tcBorders>
            <w:shd w:val="clear" w:color="auto" w:fill="auto"/>
            <w:noWrap/>
            <w:vAlign w:val="bottom"/>
          </w:tcPr>
          <w:p w14:paraId="4595942C" w14:textId="77777777" w:rsidR="006A0BAE" w:rsidRPr="003A41B3" w:rsidRDefault="006A0BAE" w:rsidP="006A0BAE">
            <w:pPr>
              <w:contextualSpacing/>
              <w:jc w:val="center"/>
              <w:rPr>
                <w:rFonts w:eastAsia="Times New Roman"/>
                <w:sz w:val="20"/>
                <w:szCs w:val="20"/>
                <w:lang w:eastAsia="en-GB"/>
              </w:rPr>
            </w:pPr>
          </w:p>
        </w:tc>
        <w:tc>
          <w:tcPr>
            <w:tcW w:w="767" w:type="pct"/>
            <w:tcBorders>
              <w:top w:val="nil"/>
              <w:left w:val="nil"/>
              <w:bottom w:val="nil"/>
              <w:right w:val="nil"/>
            </w:tcBorders>
            <w:shd w:val="clear" w:color="auto" w:fill="auto"/>
            <w:noWrap/>
            <w:vAlign w:val="bottom"/>
          </w:tcPr>
          <w:p w14:paraId="16624569" w14:textId="30CA1B12" w:rsidR="006A0BAE" w:rsidRPr="003A41B3" w:rsidRDefault="006A0BAE" w:rsidP="006A0BAE">
            <w:pPr>
              <w:contextualSpacing/>
              <w:jc w:val="center"/>
              <w:rPr>
                <w:rFonts w:eastAsia="Times New Roman"/>
                <w:sz w:val="20"/>
                <w:szCs w:val="20"/>
                <w:lang w:eastAsia="en-GB"/>
              </w:rPr>
            </w:pPr>
            <w:r w:rsidRPr="003A41B3">
              <w:rPr>
                <w:sz w:val="20"/>
                <w:szCs w:val="20"/>
              </w:rPr>
              <w:t>(1.08)</w:t>
            </w:r>
          </w:p>
        </w:tc>
        <w:tc>
          <w:tcPr>
            <w:tcW w:w="834" w:type="pct"/>
            <w:tcBorders>
              <w:top w:val="nil"/>
              <w:left w:val="nil"/>
              <w:bottom w:val="nil"/>
              <w:right w:val="single" w:sz="4" w:space="0" w:color="FFFFFF"/>
            </w:tcBorders>
            <w:shd w:val="clear" w:color="auto" w:fill="auto"/>
            <w:noWrap/>
            <w:vAlign w:val="bottom"/>
          </w:tcPr>
          <w:p w14:paraId="530D966C" w14:textId="77777777" w:rsidR="006A0BAE" w:rsidRPr="003A41B3" w:rsidRDefault="006A0BAE" w:rsidP="006A0BAE">
            <w:pPr>
              <w:contextualSpacing/>
              <w:jc w:val="center"/>
              <w:rPr>
                <w:rFonts w:eastAsia="Times New Roman"/>
                <w:sz w:val="20"/>
                <w:szCs w:val="20"/>
                <w:lang w:eastAsia="en-GB"/>
              </w:rPr>
            </w:pPr>
          </w:p>
        </w:tc>
      </w:tr>
      <w:tr w:rsidR="006A0BAE" w:rsidRPr="003A41B3" w14:paraId="30693BA4" w14:textId="77777777" w:rsidTr="00D772AB">
        <w:trPr>
          <w:trHeight w:val="300"/>
        </w:trPr>
        <w:tc>
          <w:tcPr>
            <w:tcW w:w="633" w:type="pct"/>
            <w:gridSpan w:val="2"/>
            <w:tcBorders>
              <w:top w:val="nil"/>
              <w:left w:val="nil"/>
              <w:bottom w:val="nil"/>
              <w:right w:val="nil"/>
            </w:tcBorders>
            <w:shd w:val="clear" w:color="auto" w:fill="auto"/>
            <w:noWrap/>
            <w:vAlign w:val="center"/>
            <w:hideMark/>
          </w:tcPr>
          <w:p w14:paraId="6F0F4AE5"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Rating58</w:t>
            </w:r>
          </w:p>
        </w:tc>
        <w:tc>
          <w:tcPr>
            <w:tcW w:w="540" w:type="pct"/>
            <w:tcBorders>
              <w:top w:val="nil"/>
              <w:left w:val="nil"/>
              <w:bottom w:val="nil"/>
              <w:right w:val="nil"/>
            </w:tcBorders>
            <w:shd w:val="clear" w:color="auto" w:fill="auto"/>
            <w:noWrap/>
            <w:vAlign w:val="bottom"/>
          </w:tcPr>
          <w:p w14:paraId="38B921B6" w14:textId="5ADFA740" w:rsidR="006A0BAE" w:rsidRPr="003A41B3" w:rsidRDefault="00DD6D17" w:rsidP="006A0BAE">
            <w:pPr>
              <w:contextualSpacing/>
              <w:jc w:val="center"/>
              <w:rPr>
                <w:rFonts w:eastAsia="Times New Roman"/>
                <w:sz w:val="20"/>
                <w:szCs w:val="20"/>
                <w:lang w:eastAsia="en-GB"/>
              </w:rPr>
            </w:pPr>
            <w:r w:rsidRPr="003A41B3">
              <w:rPr>
                <w:sz w:val="20"/>
                <w:szCs w:val="20"/>
              </w:rPr>
              <w:t>0.68</w:t>
            </w:r>
            <w:r w:rsidR="006A0BAE" w:rsidRPr="003A41B3">
              <w:rPr>
                <w:sz w:val="20"/>
                <w:szCs w:val="20"/>
              </w:rPr>
              <w:t>4**</w:t>
            </w:r>
          </w:p>
        </w:tc>
        <w:tc>
          <w:tcPr>
            <w:tcW w:w="758" w:type="pct"/>
            <w:tcBorders>
              <w:top w:val="nil"/>
              <w:left w:val="nil"/>
              <w:bottom w:val="nil"/>
              <w:right w:val="single" w:sz="4" w:space="0" w:color="auto"/>
            </w:tcBorders>
            <w:shd w:val="clear" w:color="auto" w:fill="auto"/>
            <w:noWrap/>
            <w:vAlign w:val="bottom"/>
          </w:tcPr>
          <w:p w14:paraId="314F19F6" w14:textId="00A95E25" w:rsidR="006A0BAE" w:rsidRPr="003A41B3" w:rsidRDefault="006A0BAE" w:rsidP="00DD6D17">
            <w:pPr>
              <w:contextualSpacing/>
              <w:jc w:val="center"/>
              <w:rPr>
                <w:rFonts w:eastAsia="Times New Roman"/>
                <w:sz w:val="20"/>
                <w:szCs w:val="20"/>
                <w:lang w:eastAsia="en-GB"/>
              </w:rPr>
            </w:pPr>
            <w:r w:rsidRPr="003A41B3">
              <w:rPr>
                <w:sz w:val="20"/>
                <w:szCs w:val="20"/>
              </w:rPr>
              <w:t>0.6</w:t>
            </w:r>
            <w:r w:rsidR="00DD6D17" w:rsidRPr="003A41B3">
              <w:rPr>
                <w:sz w:val="20"/>
                <w:szCs w:val="20"/>
              </w:rPr>
              <w:t>70</w:t>
            </w:r>
            <w:r w:rsidRPr="003A41B3">
              <w:rPr>
                <w:sz w:val="20"/>
                <w:szCs w:val="20"/>
              </w:rPr>
              <w:t>**</w:t>
            </w:r>
          </w:p>
        </w:tc>
        <w:tc>
          <w:tcPr>
            <w:tcW w:w="660" w:type="pct"/>
            <w:tcBorders>
              <w:top w:val="nil"/>
              <w:left w:val="single" w:sz="4" w:space="0" w:color="auto"/>
              <w:bottom w:val="nil"/>
              <w:right w:val="nil"/>
            </w:tcBorders>
            <w:shd w:val="clear" w:color="auto" w:fill="auto"/>
            <w:noWrap/>
            <w:vAlign w:val="bottom"/>
          </w:tcPr>
          <w:p w14:paraId="42A3B9D9" w14:textId="3FF6AD06" w:rsidR="006A0BAE" w:rsidRPr="003A41B3" w:rsidRDefault="00DD6D17" w:rsidP="006A0BAE">
            <w:pPr>
              <w:contextualSpacing/>
              <w:jc w:val="center"/>
              <w:rPr>
                <w:rFonts w:eastAsia="Times New Roman"/>
                <w:sz w:val="20"/>
                <w:szCs w:val="20"/>
                <w:lang w:eastAsia="en-GB"/>
              </w:rPr>
            </w:pPr>
            <w:r w:rsidRPr="003A41B3">
              <w:rPr>
                <w:sz w:val="20"/>
                <w:szCs w:val="20"/>
              </w:rPr>
              <w:t>0.2</w:t>
            </w:r>
            <w:r w:rsidR="006A0BAE" w:rsidRPr="003A41B3">
              <w:rPr>
                <w:sz w:val="20"/>
                <w:szCs w:val="20"/>
              </w:rPr>
              <w:t>9</w:t>
            </w:r>
            <w:r w:rsidRPr="003A41B3">
              <w:rPr>
                <w:sz w:val="20"/>
                <w:szCs w:val="20"/>
              </w:rPr>
              <w:t>0</w:t>
            </w:r>
          </w:p>
        </w:tc>
        <w:tc>
          <w:tcPr>
            <w:tcW w:w="808" w:type="pct"/>
            <w:tcBorders>
              <w:top w:val="nil"/>
              <w:left w:val="nil"/>
              <w:bottom w:val="nil"/>
              <w:right w:val="single" w:sz="4" w:space="0" w:color="auto"/>
            </w:tcBorders>
            <w:shd w:val="clear" w:color="auto" w:fill="auto"/>
            <w:noWrap/>
            <w:vAlign w:val="bottom"/>
          </w:tcPr>
          <w:p w14:paraId="1E1D9E9D" w14:textId="7AD81412" w:rsidR="006A0BAE" w:rsidRPr="003A41B3" w:rsidRDefault="006A0BAE" w:rsidP="006A0BAE">
            <w:pPr>
              <w:contextualSpacing/>
              <w:jc w:val="center"/>
              <w:rPr>
                <w:rFonts w:eastAsia="Times New Roman"/>
                <w:sz w:val="20"/>
                <w:szCs w:val="20"/>
                <w:lang w:eastAsia="en-GB"/>
              </w:rPr>
            </w:pPr>
            <w:r w:rsidRPr="003A41B3">
              <w:rPr>
                <w:sz w:val="20"/>
                <w:szCs w:val="20"/>
              </w:rPr>
              <w:t>0.518</w:t>
            </w:r>
          </w:p>
        </w:tc>
        <w:tc>
          <w:tcPr>
            <w:tcW w:w="767" w:type="pct"/>
            <w:tcBorders>
              <w:top w:val="nil"/>
              <w:left w:val="single" w:sz="4" w:space="0" w:color="auto"/>
              <w:bottom w:val="nil"/>
              <w:right w:val="nil"/>
            </w:tcBorders>
            <w:shd w:val="clear" w:color="auto" w:fill="auto"/>
            <w:noWrap/>
            <w:vAlign w:val="bottom"/>
          </w:tcPr>
          <w:p w14:paraId="715AAC46" w14:textId="2BF21FAB" w:rsidR="006A0BAE" w:rsidRPr="003A41B3" w:rsidRDefault="006A0BAE" w:rsidP="006A0BAE">
            <w:pPr>
              <w:contextualSpacing/>
              <w:jc w:val="center"/>
              <w:rPr>
                <w:rFonts w:eastAsia="Times New Roman"/>
                <w:sz w:val="20"/>
                <w:szCs w:val="20"/>
                <w:lang w:eastAsia="en-GB"/>
              </w:rPr>
            </w:pPr>
            <w:r w:rsidRPr="003A41B3">
              <w:rPr>
                <w:sz w:val="20"/>
                <w:szCs w:val="20"/>
              </w:rPr>
              <w:t>0.023</w:t>
            </w:r>
          </w:p>
        </w:tc>
        <w:tc>
          <w:tcPr>
            <w:tcW w:w="834" w:type="pct"/>
            <w:tcBorders>
              <w:top w:val="nil"/>
              <w:left w:val="nil"/>
              <w:bottom w:val="nil"/>
              <w:right w:val="nil"/>
            </w:tcBorders>
            <w:shd w:val="clear" w:color="auto" w:fill="auto"/>
            <w:noWrap/>
            <w:vAlign w:val="bottom"/>
          </w:tcPr>
          <w:p w14:paraId="3E8FDEF5" w14:textId="0C5250A2" w:rsidR="006A0BAE" w:rsidRPr="003A41B3" w:rsidRDefault="00DD6D17" w:rsidP="006A0BAE">
            <w:pPr>
              <w:contextualSpacing/>
              <w:jc w:val="center"/>
              <w:rPr>
                <w:rFonts w:eastAsia="Times New Roman"/>
                <w:sz w:val="20"/>
                <w:szCs w:val="20"/>
                <w:lang w:eastAsia="en-GB"/>
              </w:rPr>
            </w:pPr>
            <w:r w:rsidRPr="003A41B3">
              <w:rPr>
                <w:sz w:val="20"/>
                <w:szCs w:val="20"/>
              </w:rPr>
              <w:t>0.005</w:t>
            </w:r>
          </w:p>
        </w:tc>
      </w:tr>
      <w:tr w:rsidR="006A0BAE" w:rsidRPr="003A41B3" w14:paraId="76CDF553" w14:textId="77777777" w:rsidTr="00D772AB">
        <w:trPr>
          <w:trHeight w:val="80"/>
        </w:trPr>
        <w:tc>
          <w:tcPr>
            <w:tcW w:w="633" w:type="pct"/>
            <w:gridSpan w:val="2"/>
            <w:tcBorders>
              <w:top w:val="nil"/>
              <w:left w:val="nil"/>
              <w:bottom w:val="nil"/>
              <w:right w:val="nil"/>
            </w:tcBorders>
            <w:shd w:val="clear" w:color="auto" w:fill="auto"/>
            <w:noWrap/>
            <w:vAlign w:val="bottom"/>
            <w:hideMark/>
          </w:tcPr>
          <w:p w14:paraId="5021C5DD"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3AB08D78" w14:textId="566300FF" w:rsidR="006A0BAE" w:rsidRPr="003A41B3" w:rsidRDefault="006A0BAE" w:rsidP="006A0BAE">
            <w:pPr>
              <w:contextualSpacing/>
              <w:jc w:val="center"/>
              <w:rPr>
                <w:rFonts w:eastAsia="Times New Roman"/>
                <w:sz w:val="20"/>
                <w:szCs w:val="20"/>
                <w:lang w:eastAsia="en-GB"/>
              </w:rPr>
            </w:pPr>
            <w:r w:rsidRPr="003A41B3">
              <w:rPr>
                <w:sz w:val="20"/>
                <w:szCs w:val="20"/>
              </w:rPr>
              <w:t>(2.09)</w:t>
            </w:r>
          </w:p>
        </w:tc>
        <w:tc>
          <w:tcPr>
            <w:tcW w:w="758" w:type="pct"/>
            <w:tcBorders>
              <w:top w:val="nil"/>
              <w:left w:val="nil"/>
              <w:bottom w:val="nil"/>
              <w:right w:val="single" w:sz="4" w:space="0" w:color="auto"/>
            </w:tcBorders>
            <w:shd w:val="clear" w:color="auto" w:fill="auto"/>
            <w:noWrap/>
            <w:vAlign w:val="bottom"/>
          </w:tcPr>
          <w:p w14:paraId="22301ACC" w14:textId="2F2A295A" w:rsidR="006A0BAE" w:rsidRPr="003A41B3" w:rsidRDefault="006A0BAE" w:rsidP="006A0BAE">
            <w:pPr>
              <w:contextualSpacing/>
              <w:jc w:val="center"/>
              <w:rPr>
                <w:rFonts w:eastAsia="Times New Roman"/>
                <w:sz w:val="20"/>
                <w:szCs w:val="20"/>
                <w:lang w:eastAsia="en-GB"/>
              </w:rPr>
            </w:pPr>
            <w:r w:rsidRPr="003A41B3">
              <w:rPr>
                <w:sz w:val="20"/>
                <w:szCs w:val="20"/>
              </w:rPr>
              <w:t>(2.05)</w:t>
            </w:r>
          </w:p>
        </w:tc>
        <w:tc>
          <w:tcPr>
            <w:tcW w:w="660" w:type="pct"/>
            <w:tcBorders>
              <w:top w:val="nil"/>
              <w:left w:val="single" w:sz="4" w:space="0" w:color="auto"/>
              <w:bottom w:val="nil"/>
              <w:right w:val="nil"/>
            </w:tcBorders>
            <w:shd w:val="clear" w:color="auto" w:fill="auto"/>
            <w:noWrap/>
            <w:vAlign w:val="bottom"/>
          </w:tcPr>
          <w:p w14:paraId="2A80D4A9" w14:textId="7C6AE1D5" w:rsidR="006A0BAE" w:rsidRPr="003A41B3" w:rsidRDefault="006A0BAE" w:rsidP="006A0BAE">
            <w:pPr>
              <w:contextualSpacing/>
              <w:jc w:val="center"/>
              <w:rPr>
                <w:rFonts w:eastAsia="Times New Roman"/>
                <w:sz w:val="20"/>
                <w:szCs w:val="20"/>
                <w:lang w:eastAsia="en-GB"/>
              </w:rPr>
            </w:pPr>
            <w:r w:rsidRPr="003A41B3">
              <w:rPr>
                <w:sz w:val="20"/>
                <w:szCs w:val="20"/>
              </w:rPr>
              <w:t>(0.60)</w:t>
            </w:r>
          </w:p>
        </w:tc>
        <w:tc>
          <w:tcPr>
            <w:tcW w:w="808" w:type="pct"/>
            <w:tcBorders>
              <w:top w:val="nil"/>
              <w:left w:val="nil"/>
              <w:bottom w:val="nil"/>
              <w:right w:val="single" w:sz="4" w:space="0" w:color="auto"/>
            </w:tcBorders>
            <w:shd w:val="clear" w:color="auto" w:fill="auto"/>
            <w:noWrap/>
            <w:vAlign w:val="bottom"/>
          </w:tcPr>
          <w:p w14:paraId="2B6B14FD" w14:textId="48EA7805" w:rsidR="006A0BAE" w:rsidRPr="003A41B3" w:rsidRDefault="006A0BAE" w:rsidP="006A0BAE">
            <w:pPr>
              <w:contextualSpacing/>
              <w:jc w:val="center"/>
              <w:rPr>
                <w:rFonts w:eastAsia="Times New Roman"/>
                <w:sz w:val="20"/>
                <w:szCs w:val="20"/>
                <w:lang w:eastAsia="en-GB"/>
              </w:rPr>
            </w:pPr>
            <w:r w:rsidRPr="003A41B3">
              <w:rPr>
                <w:sz w:val="20"/>
                <w:szCs w:val="20"/>
              </w:rPr>
              <w:t>(0.97)</w:t>
            </w:r>
          </w:p>
        </w:tc>
        <w:tc>
          <w:tcPr>
            <w:tcW w:w="767" w:type="pct"/>
            <w:tcBorders>
              <w:top w:val="nil"/>
              <w:left w:val="single" w:sz="4" w:space="0" w:color="auto"/>
              <w:bottom w:val="nil"/>
              <w:right w:val="nil"/>
            </w:tcBorders>
            <w:shd w:val="clear" w:color="auto" w:fill="auto"/>
            <w:noWrap/>
            <w:vAlign w:val="bottom"/>
          </w:tcPr>
          <w:p w14:paraId="4610ED39" w14:textId="64C350F7" w:rsidR="006A0BAE" w:rsidRPr="003A41B3" w:rsidRDefault="006A0BAE" w:rsidP="006A0BAE">
            <w:pPr>
              <w:contextualSpacing/>
              <w:jc w:val="center"/>
              <w:rPr>
                <w:rFonts w:eastAsia="Times New Roman"/>
                <w:sz w:val="20"/>
                <w:szCs w:val="20"/>
                <w:lang w:eastAsia="en-GB"/>
              </w:rPr>
            </w:pPr>
            <w:r w:rsidRPr="003A41B3">
              <w:rPr>
                <w:sz w:val="20"/>
                <w:szCs w:val="20"/>
              </w:rPr>
              <w:t>(0.09)</w:t>
            </w:r>
          </w:p>
        </w:tc>
        <w:tc>
          <w:tcPr>
            <w:tcW w:w="834" w:type="pct"/>
            <w:tcBorders>
              <w:top w:val="nil"/>
              <w:left w:val="nil"/>
              <w:bottom w:val="nil"/>
              <w:right w:val="nil"/>
            </w:tcBorders>
            <w:shd w:val="clear" w:color="auto" w:fill="auto"/>
            <w:noWrap/>
            <w:vAlign w:val="bottom"/>
          </w:tcPr>
          <w:p w14:paraId="12699035" w14:textId="4AF1B4F1" w:rsidR="006A0BAE" w:rsidRPr="003A41B3" w:rsidRDefault="006A0BAE" w:rsidP="006A0BAE">
            <w:pPr>
              <w:contextualSpacing/>
              <w:jc w:val="center"/>
              <w:rPr>
                <w:rFonts w:eastAsia="Times New Roman"/>
                <w:sz w:val="20"/>
                <w:szCs w:val="20"/>
                <w:lang w:eastAsia="en-GB"/>
              </w:rPr>
            </w:pPr>
            <w:r w:rsidRPr="003A41B3">
              <w:rPr>
                <w:sz w:val="20"/>
                <w:szCs w:val="20"/>
              </w:rPr>
              <w:t>(0.02)</w:t>
            </w:r>
          </w:p>
        </w:tc>
      </w:tr>
      <w:tr w:rsidR="006A0BAE" w:rsidRPr="003A41B3" w14:paraId="5F2324B8" w14:textId="77777777" w:rsidTr="00D772AB">
        <w:trPr>
          <w:trHeight w:val="300"/>
        </w:trPr>
        <w:tc>
          <w:tcPr>
            <w:tcW w:w="633" w:type="pct"/>
            <w:gridSpan w:val="2"/>
            <w:tcBorders>
              <w:top w:val="nil"/>
              <w:left w:val="nil"/>
              <w:bottom w:val="nil"/>
              <w:right w:val="nil"/>
            </w:tcBorders>
            <w:shd w:val="clear" w:color="auto" w:fill="auto"/>
            <w:noWrap/>
            <w:vAlign w:val="center"/>
            <w:hideMark/>
          </w:tcPr>
          <w:p w14:paraId="56497A92"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Maturity</w:t>
            </w:r>
          </w:p>
        </w:tc>
        <w:tc>
          <w:tcPr>
            <w:tcW w:w="540" w:type="pct"/>
            <w:tcBorders>
              <w:top w:val="nil"/>
              <w:left w:val="nil"/>
              <w:bottom w:val="nil"/>
              <w:right w:val="nil"/>
            </w:tcBorders>
            <w:shd w:val="clear" w:color="auto" w:fill="auto"/>
            <w:noWrap/>
            <w:vAlign w:val="bottom"/>
          </w:tcPr>
          <w:p w14:paraId="5BF011F9" w14:textId="68AB3C8F" w:rsidR="006A0BAE" w:rsidRPr="003A41B3" w:rsidRDefault="006A0BAE" w:rsidP="00DD6D17">
            <w:pPr>
              <w:contextualSpacing/>
              <w:jc w:val="center"/>
              <w:rPr>
                <w:rFonts w:eastAsia="Times New Roman"/>
                <w:sz w:val="20"/>
                <w:szCs w:val="20"/>
                <w:lang w:eastAsia="en-GB"/>
              </w:rPr>
            </w:pPr>
            <w:r w:rsidRPr="003A41B3">
              <w:rPr>
                <w:sz w:val="20"/>
                <w:szCs w:val="20"/>
              </w:rPr>
              <w:t>-2.36</w:t>
            </w:r>
            <w:r w:rsidR="00DD6D17" w:rsidRPr="003A41B3">
              <w:rPr>
                <w:sz w:val="20"/>
                <w:szCs w:val="20"/>
              </w:rPr>
              <w:t>1</w:t>
            </w:r>
          </w:p>
        </w:tc>
        <w:tc>
          <w:tcPr>
            <w:tcW w:w="758" w:type="pct"/>
            <w:tcBorders>
              <w:top w:val="nil"/>
              <w:left w:val="nil"/>
              <w:bottom w:val="nil"/>
              <w:right w:val="single" w:sz="4" w:space="0" w:color="auto"/>
            </w:tcBorders>
            <w:shd w:val="clear" w:color="auto" w:fill="auto"/>
            <w:noWrap/>
            <w:vAlign w:val="bottom"/>
          </w:tcPr>
          <w:p w14:paraId="23EE5C9E" w14:textId="04C13BA3" w:rsidR="006A0BAE" w:rsidRPr="003A41B3" w:rsidRDefault="006A0BAE" w:rsidP="006A0BAE">
            <w:pPr>
              <w:contextualSpacing/>
              <w:jc w:val="center"/>
              <w:rPr>
                <w:rFonts w:eastAsia="Times New Roman"/>
                <w:sz w:val="20"/>
                <w:szCs w:val="20"/>
                <w:lang w:eastAsia="en-GB"/>
              </w:rPr>
            </w:pPr>
            <w:r w:rsidRPr="003A41B3">
              <w:rPr>
                <w:sz w:val="20"/>
                <w:szCs w:val="20"/>
              </w:rPr>
              <w:t>-2.396</w:t>
            </w:r>
          </w:p>
        </w:tc>
        <w:tc>
          <w:tcPr>
            <w:tcW w:w="660" w:type="pct"/>
            <w:tcBorders>
              <w:top w:val="nil"/>
              <w:left w:val="single" w:sz="4" w:space="0" w:color="auto"/>
              <w:bottom w:val="nil"/>
              <w:right w:val="nil"/>
            </w:tcBorders>
            <w:shd w:val="clear" w:color="auto" w:fill="auto"/>
            <w:noWrap/>
            <w:vAlign w:val="bottom"/>
          </w:tcPr>
          <w:p w14:paraId="0A63E71A" w14:textId="57E4FF2A" w:rsidR="006A0BAE" w:rsidRPr="003A41B3" w:rsidRDefault="006A0BAE" w:rsidP="006A0BAE">
            <w:pPr>
              <w:contextualSpacing/>
              <w:jc w:val="center"/>
              <w:rPr>
                <w:rFonts w:eastAsia="Times New Roman"/>
                <w:sz w:val="20"/>
                <w:szCs w:val="20"/>
                <w:lang w:eastAsia="en-GB"/>
              </w:rPr>
            </w:pPr>
            <w:r w:rsidRPr="003A41B3">
              <w:rPr>
                <w:sz w:val="20"/>
                <w:szCs w:val="20"/>
              </w:rPr>
              <w:t>-0.689</w:t>
            </w:r>
          </w:p>
        </w:tc>
        <w:tc>
          <w:tcPr>
            <w:tcW w:w="808" w:type="pct"/>
            <w:tcBorders>
              <w:top w:val="nil"/>
              <w:left w:val="nil"/>
              <w:bottom w:val="nil"/>
              <w:right w:val="single" w:sz="4" w:space="0" w:color="auto"/>
            </w:tcBorders>
            <w:shd w:val="clear" w:color="auto" w:fill="auto"/>
            <w:noWrap/>
            <w:vAlign w:val="bottom"/>
          </w:tcPr>
          <w:p w14:paraId="35A591C9" w14:textId="2397BAED" w:rsidR="006A0BAE" w:rsidRPr="003A41B3" w:rsidRDefault="006A0BAE" w:rsidP="00DD6D17">
            <w:pPr>
              <w:contextualSpacing/>
              <w:jc w:val="center"/>
              <w:rPr>
                <w:rFonts w:eastAsia="Times New Roman"/>
                <w:sz w:val="20"/>
                <w:szCs w:val="20"/>
                <w:lang w:eastAsia="en-GB"/>
              </w:rPr>
            </w:pPr>
            <w:r w:rsidRPr="003A41B3">
              <w:rPr>
                <w:sz w:val="20"/>
                <w:szCs w:val="20"/>
              </w:rPr>
              <w:t>-1.05</w:t>
            </w:r>
            <w:r w:rsidR="00DD6D17" w:rsidRPr="003A41B3">
              <w:rPr>
                <w:sz w:val="20"/>
                <w:szCs w:val="20"/>
              </w:rPr>
              <w:t>1</w:t>
            </w:r>
          </w:p>
        </w:tc>
        <w:tc>
          <w:tcPr>
            <w:tcW w:w="767" w:type="pct"/>
            <w:tcBorders>
              <w:top w:val="nil"/>
              <w:left w:val="single" w:sz="4" w:space="0" w:color="auto"/>
              <w:bottom w:val="nil"/>
              <w:right w:val="nil"/>
            </w:tcBorders>
            <w:shd w:val="clear" w:color="auto" w:fill="auto"/>
            <w:noWrap/>
            <w:vAlign w:val="bottom"/>
          </w:tcPr>
          <w:p w14:paraId="2BD68E7C" w14:textId="74BE4FF8" w:rsidR="006A0BAE" w:rsidRPr="003A41B3" w:rsidRDefault="00DD6D17" w:rsidP="006A0BAE">
            <w:pPr>
              <w:contextualSpacing/>
              <w:jc w:val="center"/>
              <w:rPr>
                <w:rFonts w:eastAsia="Times New Roman"/>
                <w:sz w:val="20"/>
                <w:szCs w:val="20"/>
                <w:lang w:eastAsia="en-GB"/>
              </w:rPr>
            </w:pPr>
            <w:r w:rsidRPr="003A41B3">
              <w:rPr>
                <w:sz w:val="20"/>
                <w:szCs w:val="20"/>
              </w:rPr>
              <w:t>-3.24</w:t>
            </w:r>
            <w:r w:rsidR="006A0BAE" w:rsidRPr="003A41B3">
              <w:rPr>
                <w:sz w:val="20"/>
                <w:szCs w:val="20"/>
              </w:rPr>
              <w:t>7*</w:t>
            </w:r>
          </w:p>
        </w:tc>
        <w:tc>
          <w:tcPr>
            <w:tcW w:w="834" w:type="pct"/>
            <w:tcBorders>
              <w:top w:val="nil"/>
              <w:left w:val="nil"/>
              <w:bottom w:val="nil"/>
              <w:right w:val="nil"/>
            </w:tcBorders>
            <w:shd w:val="clear" w:color="auto" w:fill="auto"/>
            <w:noWrap/>
            <w:vAlign w:val="bottom"/>
          </w:tcPr>
          <w:p w14:paraId="6124E2F1" w14:textId="4F4EE930" w:rsidR="006A0BAE" w:rsidRPr="003A41B3" w:rsidRDefault="006A0BAE" w:rsidP="006A0BAE">
            <w:pPr>
              <w:contextualSpacing/>
              <w:jc w:val="center"/>
              <w:rPr>
                <w:rFonts w:eastAsia="Times New Roman"/>
                <w:sz w:val="20"/>
                <w:szCs w:val="20"/>
                <w:lang w:eastAsia="en-GB"/>
              </w:rPr>
            </w:pPr>
            <w:r w:rsidRPr="003A41B3">
              <w:rPr>
                <w:sz w:val="20"/>
                <w:szCs w:val="20"/>
              </w:rPr>
              <w:t>-2.538</w:t>
            </w:r>
          </w:p>
        </w:tc>
      </w:tr>
      <w:tr w:rsidR="006A0BAE" w:rsidRPr="003A41B3" w14:paraId="1FB6AB19" w14:textId="77777777" w:rsidTr="00D772AB">
        <w:trPr>
          <w:trHeight w:val="300"/>
        </w:trPr>
        <w:tc>
          <w:tcPr>
            <w:tcW w:w="633" w:type="pct"/>
            <w:gridSpan w:val="2"/>
            <w:tcBorders>
              <w:top w:val="nil"/>
              <w:left w:val="nil"/>
              <w:bottom w:val="nil"/>
              <w:right w:val="nil"/>
            </w:tcBorders>
            <w:shd w:val="clear" w:color="auto" w:fill="auto"/>
            <w:noWrap/>
            <w:vAlign w:val="bottom"/>
            <w:hideMark/>
          </w:tcPr>
          <w:p w14:paraId="624499A2"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7CC6C02D" w14:textId="3264E161" w:rsidR="006A0BAE" w:rsidRPr="003A41B3" w:rsidRDefault="006A0BAE" w:rsidP="006A0BAE">
            <w:pPr>
              <w:contextualSpacing/>
              <w:jc w:val="center"/>
              <w:rPr>
                <w:rFonts w:eastAsia="Times New Roman"/>
                <w:sz w:val="20"/>
                <w:szCs w:val="20"/>
                <w:lang w:eastAsia="en-GB"/>
              </w:rPr>
            </w:pPr>
            <w:r w:rsidRPr="003A41B3">
              <w:rPr>
                <w:sz w:val="20"/>
                <w:szCs w:val="20"/>
              </w:rPr>
              <w:t>(-1.32)</w:t>
            </w:r>
          </w:p>
        </w:tc>
        <w:tc>
          <w:tcPr>
            <w:tcW w:w="758" w:type="pct"/>
            <w:tcBorders>
              <w:top w:val="nil"/>
              <w:left w:val="nil"/>
              <w:bottom w:val="nil"/>
              <w:right w:val="single" w:sz="4" w:space="0" w:color="auto"/>
            </w:tcBorders>
            <w:shd w:val="clear" w:color="auto" w:fill="auto"/>
            <w:noWrap/>
            <w:vAlign w:val="bottom"/>
          </w:tcPr>
          <w:p w14:paraId="6FC786DD" w14:textId="632706AD" w:rsidR="006A0BAE" w:rsidRPr="003A41B3" w:rsidRDefault="006A0BAE" w:rsidP="006A0BAE">
            <w:pPr>
              <w:contextualSpacing/>
              <w:jc w:val="center"/>
              <w:rPr>
                <w:rFonts w:eastAsia="Times New Roman"/>
                <w:sz w:val="20"/>
                <w:szCs w:val="20"/>
                <w:lang w:eastAsia="en-GB"/>
              </w:rPr>
            </w:pPr>
            <w:r w:rsidRPr="003A41B3">
              <w:rPr>
                <w:sz w:val="20"/>
                <w:szCs w:val="20"/>
              </w:rPr>
              <w:t>(-1.33)</w:t>
            </w:r>
          </w:p>
        </w:tc>
        <w:tc>
          <w:tcPr>
            <w:tcW w:w="660" w:type="pct"/>
            <w:tcBorders>
              <w:top w:val="nil"/>
              <w:left w:val="single" w:sz="4" w:space="0" w:color="auto"/>
              <w:bottom w:val="nil"/>
              <w:right w:val="nil"/>
            </w:tcBorders>
            <w:shd w:val="clear" w:color="auto" w:fill="auto"/>
            <w:noWrap/>
            <w:vAlign w:val="bottom"/>
          </w:tcPr>
          <w:p w14:paraId="548DCAB0" w14:textId="197B6F31" w:rsidR="006A0BAE" w:rsidRPr="003A41B3" w:rsidRDefault="006A0BAE" w:rsidP="006A0BAE">
            <w:pPr>
              <w:contextualSpacing/>
              <w:jc w:val="center"/>
              <w:rPr>
                <w:rFonts w:eastAsia="Times New Roman"/>
                <w:sz w:val="20"/>
                <w:szCs w:val="20"/>
                <w:lang w:eastAsia="en-GB"/>
              </w:rPr>
            </w:pPr>
            <w:r w:rsidRPr="003A41B3">
              <w:rPr>
                <w:sz w:val="20"/>
                <w:szCs w:val="20"/>
              </w:rPr>
              <w:t>(-0.22)</w:t>
            </w:r>
          </w:p>
        </w:tc>
        <w:tc>
          <w:tcPr>
            <w:tcW w:w="808" w:type="pct"/>
            <w:tcBorders>
              <w:top w:val="nil"/>
              <w:left w:val="nil"/>
              <w:bottom w:val="nil"/>
              <w:right w:val="single" w:sz="4" w:space="0" w:color="auto"/>
            </w:tcBorders>
            <w:shd w:val="clear" w:color="auto" w:fill="auto"/>
            <w:noWrap/>
            <w:vAlign w:val="bottom"/>
          </w:tcPr>
          <w:p w14:paraId="5EA5AC42" w14:textId="582358B1" w:rsidR="006A0BAE" w:rsidRPr="003A41B3" w:rsidRDefault="006A0BAE" w:rsidP="006A0BAE">
            <w:pPr>
              <w:contextualSpacing/>
              <w:jc w:val="center"/>
              <w:rPr>
                <w:rFonts w:eastAsia="Times New Roman"/>
                <w:sz w:val="20"/>
                <w:szCs w:val="20"/>
                <w:lang w:eastAsia="en-GB"/>
              </w:rPr>
            </w:pPr>
            <w:r w:rsidRPr="003A41B3">
              <w:rPr>
                <w:sz w:val="20"/>
                <w:szCs w:val="20"/>
              </w:rPr>
              <w:t>(-0.30)</w:t>
            </w:r>
          </w:p>
        </w:tc>
        <w:tc>
          <w:tcPr>
            <w:tcW w:w="767" w:type="pct"/>
            <w:tcBorders>
              <w:top w:val="nil"/>
              <w:left w:val="single" w:sz="4" w:space="0" w:color="auto"/>
              <w:bottom w:val="nil"/>
              <w:right w:val="nil"/>
            </w:tcBorders>
            <w:shd w:val="clear" w:color="auto" w:fill="auto"/>
            <w:noWrap/>
            <w:vAlign w:val="bottom"/>
          </w:tcPr>
          <w:p w14:paraId="14CE5684" w14:textId="64F02F42" w:rsidR="006A0BAE" w:rsidRPr="003A41B3" w:rsidRDefault="006A0BAE" w:rsidP="006A0BAE">
            <w:pPr>
              <w:contextualSpacing/>
              <w:jc w:val="center"/>
              <w:rPr>
                <w:rFonts w:eastAsia="Times New Roman"/>
                <w:sz w:val="20"/>
                <w:szCs w:val="20"/>
                <w:lang w:eastAsia="en-GB"/>
              </w:rPr>
            </w:pPr>
            <w:r w:rsidRPr="003A41B3">
              <w:rPr>
                <w:sz w:val="20"/>
                <w:szCs w:val="20"/>
              </w:rPr>
              <w:t>(-1.84)</w:t>
            </w:r>
          </w:p>
        </w:tc>
        <w:tc>
          <w:tcPr>
            <w:tcW w:w="834" w:type="pct"/>
            <w:tcBorders>
              <w:top w:val="nil"/>
              <w:left w:val="nil"/>
              <w:bottom w:val="nil"/>
              <w:right w:val="nil"/>
            </w:tcBorders>
            <w:shd w:val="clear" w:color="auto" w:fill="auto"/>
            <w:noWrap/>
            <w:vAlign w:val="bottom"/>
          </w:tcPr>
          <w:p w14:paraId="4AD9C711" w14:textId="5514AA31" w:rsidR="006A0BAE" w:rsidRPr="003A41B3" w:rsidRDefault="006A0BAE" w:rsidP="006A0BAE">
            <w:pPr>
              <w:contextualSpacing/>
              <w:jc w:val="center"/>
              <w:rPr>
                <w:rFonts w:eastAsia="Times New Roman"/>
                <w:sz w:val="20"/>
                <w:szCs w:val="20"/>
                <w:lang w:eastAsia="en-GB"/>
              </w:rPr>
            </w:pPr>
            <w:r w:rsidRPr="003A41B3">
              <w:rPr>
                <w:sz w:val="20"/>
                <w:szCs w:val="20"/>
              </w:rPr>
              <w:t>(-1.43)</w:t>
            </w:r>
          </w:p>
        </w:tc>
      </w:tr>
      <w:tr w:rsidR="006A0BAE" w:rsidRPr="003A41B3" w14:paraId="754AF7CD" w14:textId="77777777" w:rsidTr="00D772AB">
        <w:trPr>
          <w:trHeight w:val="80"/>
        </w:trPr>
        <w:tc>
          <w:tcPr>
            <w:tcW w:w="633" w:type="pct"/>
            <w:gridSpan w:val="2"/>
            <w:tcBorders>
              <w:top w:val="nil"/>
              <w:left w:val="nil"/>
              <w:bottom w:val="nil"/>
              <w:right w:val="nil"/>
            </w:tcBorders>
            <w:shd w:val="clear" w:color="auto" w:fill="auto"/>
            <w:noWrap/>
            <w:vAlign w:val="center"/>
            <w:hideMark/>
          </w:tcPr>
          <w:p w14:paraId="3DCEA258"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EE</w:t>
            </w:r>
          </w:p>
        </w:tc>
        <w:tc>
          <w:tcPr>
            <w:tcW w:w="540" w:type="pct"/>
            <w:tcBorders>
              <w:top w:val="nil"/>
              <w:left w:val="nil"/>
              <w:bottom w:val="nil"/>
              <w:right w:val="nil"/>
            </w:tcBorders>
            <w:shd w:val="clear" w:color="auto" w:fill="auto"/>
            <w:noWrap/>
            <w:vAlign w:val="bottom"/>
          </w:tcPr>
          <w:p w14:paraId="3B36CFA7"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40C910A9" w14:textId="035B8500" w:rsidR="006A0BAE" w:rsidRPr="003A41B3" w:rsidRDefault="006A0BAE" w:rsidP="00DD6D17">
            <w:pPr>
              <w:contextualSpacing/>
              <w:jc w:val="center"/>
              <w:rPr>
                <w:rFonts w:eastAsia="Times New Roman"/>
                <w:sz w:val="20"/>
                <w:szCs w:val="20"/>
                <w:lang w:eastAsia="en-GB"/>
              </w:rPr>
            </w:pPr>
            <w:r w:rsidRPr="003A41B3">
              <w:rPr>
                <w:sz w:val="20"/>
                <w:szCs w:val="20"/>
              </w:rPr>
              <w:t>3.23</w:t>
            </w:r>
            <w:r w:rsidR="00DD6D17" w:rsidRPr="003A41B3">
              <w:rPr>
                <w:sz w:val="20"/>
                <w:szCs w:val="20"/>
              </w:rPr>
              <w:t>5</w:t>
            </w:r>
          </w:p>
        </w:tc>
        <w:tc>
          <w:tcPr>
            <w:tcW w:w="660" w:type="pct"/>
            <w:tcBorders>
              <w:top w:val="nil"/>
              <w:left w:val="single" w:sz="4" w:space="0" w:color="auto"/>
              <w:bottom w:val="nil"/>
              <w:right w:val="nil"/>
            </w:tcBorders>
            <w:shd w:val="clear" w:color="auto" w:fill="auto"/>
            <w:noWrap/>
            <w:vAlign w:val="bottom"/>
          </w:tcPr>
          <w:p w14:paraId="7C90F8CF" w14:textId="77777777" w:rsidR="006A0BAE" w:rsidRPr="003A41B3" w:rsidRDefault="006A0BAE" w:rsidP="006A0BAE">
            <w:pPr>
              <w:contextualSpacing/>
              <w:rPr>
                <w:rFonts w:eastAsia="Times New Roman"/>
                <w:lang w:eastAsia="en-GB"/>
              </w:rPr>
            </w:pPr>
          </w:p>
        </w:tc>
        <w:tc>
          <w:tcPr>
            <w:tcW w:w="808" w:type="pct"/>
            <w:tcBorders>
              <w:top w:val="nil"/>
              <w:left w:val="nil"/>
              <w:bottom w:val="nil"/>
              <w:right w:val="single" w:sz="4" w:space="0" w:color="auto"/>
            </w:tcBorders>
            <w:shd w:val="clear" w:color="auto" w:fill="auto"/>
            <w:noWrap/>
            <w:vAlign w:val="bottom"/>
          </w:tcPr>
          <w:p w14:paraId="60A62019" w14:textId="078811FB" w:rsidR="006A0BAE" w:rsidRPr="003A41B3" w:rsidRDefault="006A0BAE" w:rsidP="00DD6D17">
            <w:pPr>
              <w:contextualSpacing/>
              <w:jc w:val="center"/>
              <w:rPr>
                <w:rFonts w:eastAsia="Times New Roman"/>
                <w:sz w:val="20"/>
                <w:szCs w:val="20"/>
                <w:lang w:eastAsia="en-GB"/>
              </w:rPr>
            </w:pPr>
            <w:r w:rsidRPr="003A41B3">
              <w:rPr>
                <w:sz w:val="20"/>
                <w:szCs w:val="20"/>
              </w:rPr>
              <w:t>-2.39</w:t>
            </w:r>
            <w:r w:rsidR="00DD6D17" w:rsidRPr="003A41B3">
              <w:rPr>
                <w:sz w:val="20"/>
                <w:szCs w:val="20"/>
              </w:rPr>
              <w:t>9</w:t>
            </w:r>
          </w:p>
        </w:tc>
        <w:tc>
          <w:tcPr>
            <w:tcW w:w="767" w:type="pct"/>
            <w:tcBorders>
              <w:top w:val="nil"/>
              <w:left w:val="single" w:sz="4" w:space="0" w:color="auto"/>
              <w:bottom w:val="nil"/>
              <w:right w:val="nil"/>
            </w:tcBorders>
            <w:shd w:val="clear" w:color="auto" w:fill="auto"/>
            <w:noWrap/>
            <w:vAlign w:val="bottom"/>
          </w:tcPr>
          <w:p w14:paraId="602A4582"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50B971AE" w14:textId="7F3E2FA9" w:rsidR="006A0BAE" w:rsidRPr="003A41B3" w:rsidRDefault="00DD6D17" w:rsidP="006A0BAE">
            <w:pPr>
              <w:contextualSpacing/>
              <w:jc w:val="center"/>
              <w:rPr>
                <w:rFonts w:eastAsia="Times New Roman"/>
                <w:sz w:val="20"/>
                <w:szCs w:val="20"/>
                <w:lang w:eastAsia="en-GB"/>
              </w:rPr>
            </w:pPr>
            <w:r w:rsidRPr="003A41B3">
              <w:rPr>
                <w:sz w:val="20"/>
                <w:szCs w:val="20"/>
              </w:rPr>
              <w:t>-2.52</w:t>
            </w:r>
            <w:r w:rsidR="006A0BAE" w:rsidRPr="003A41B3">
              <w:rPr>
                <w:sz w:val="20"/>
                <w:szCs w:val="20"/>
              </w:rPr>
              <w:t>7</w:t>
            </w:r>
          </w:p>
        </w:tc>
      </w:tr>
      <w:tr w:rsidR="006A0BAE" w:rsidRPr="003A41B3" w14:paraId="1BCF10AB" w14:textId="77777777" w:rsidTr="00D772AB">
        <w:trPr>
          <w:trHeight w:val="80"/>
        </w:trPr>
        <w:tc>
          <w:tcPr>
            <w:tcW w:w="633" w:type="pct"/>
            <w:gridSpan w:val="2"/>
            <w:tcBorders>
              <w:top w:val="nil"/>
              <w:left w:val="nil"/>
              <w:bottom w:val="nil"/>
              <w:right w:val="nil"/>
            </w:tcBorders>
            <w:shd w:val="clear" w:color="auto" w:fill="auto"/>
            <w:noWrap/>
            <w:vAlign w:val="bottom"/>
            <w:hideMark/>
          </w:tcPr>
          <w:p w14:paraId="58115A46"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2CC1115D"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05C3DFC6" w14:textId="744F9A4A" w:rsidR="006A0BAE" w:rsidRPr="003A41B3" w:rsidRDefault="006A0BAE" w:rsidP="006A0BAE">
            <w:pPr>
              <w:contextualSpacing/>
              <w:jc w:val="center"/>
              <w:rPr>
                <w:rFonts w:eastAsia="Times New Roman"/>
                <w:sz w:val="20"/>
                <w:szCs w:val="20"/>
                <w:lang w:eastAsia="en-GB"/>
              </w:rPr>
            </w:pPr>
            <w:r w:rsidRPr="003A41B3">
              <w:rPr>
                <w:sz w:val="20"/>
                <w:szCs w:val="20"/>
              </w:rPr>
              <w:t>(0.59)</w:t>
            </w:r>
          </w:p>
        </w:tc>
        <w:tc>
          <w:tcPr>
            <w:tcW w:w="660" w:type="pct"/>
            <w:tcBorders>
              <w:top w:val="nil"/>
              <w:left w:val="single" w:sz="4" w:space="0" w:color="auto"/>
              <w:bottom w:val="nil"/>
              <w:right w:val="nil"/>
            </w:tcBorders>
            <w:shd w:val="clear" w:color="auto" w:fill="auto"/>
            <w:noWrap/>
            <w:vAlign w:val="bottom"/>
          </w:tcPr>
          <w:p w14:paraId="466C713E" w14:textId="77777777" w:rsidR="006A0BAE" w:rsidRPr="003A41B3" w:rsidRDefault="006A0BAE" w:rsidP="006A0BAE">
            <w:pPr>
              <w:contextualSpacing/>
              <w:rPr>
                <w:rFonts w:eastAsia="Times New Roman"/>
                <w:lang w:eastAsia="en-GB"/>
              </w:rPr>
            </w:pPr>
          </w:p>
        </w:tc>
        <w:tc>
          <w:tcPr>
            <w:tcW w:w="808" w:type="pct"/>
            <w:tcBorders>
              <w:top w:val="nil"/>
              <w:left w:val="nil"/>
              <w:bottom w:val="nil"/>
              <w:right w:val="single" w:sz="4" w:space="0" w:color="auto"/>
            </w:tcBorders>
            <w:shd w:val="clear" w:color="auto" w:fill="auto"/>
            <w:noWrap/>
            <w:vAlign w:val="bottom"/>
          </w:tcPr>
          <w:p w14:paraId="494127D9" w14:textId="457A81B0" w:rsidR="006A0BAE" w:rsidRPr="003A41B3" w:rsidRDefault="006A0BAE" w:rsidP="006A0BAE">
            <w:pPr>
              <w:contextualSpacing/>
              <w:jc w:val="center"/>
              <w:rPr>
                <w:rFonts w:eastAsia="Times New Roman"/>
                <w:sz w:val="20"/>
                <w:szCs w:val="20"/>
                <w:lang w:eastAsia="en-GB"/>
              </w:rPr>
            </w:pPr>
            <w:r w:rsidRPr="003A41B3">
              <w:rPr>
                <w:sz w:val="20"/>
                <w:szCs w:val="20"/>
              </w:rPr>
              <w:t>(-0.32)</w:t>
            </w:r>
          </w:p>
        </w:tc>
        <w:tc>
          <w:tcPr>
            <w:tcW w:w="767" w:type="pct"/>
            <w:tcBorders>
              <w:top w:val="nil"/>
              <w:left w:val="single" w:sz="4" w:space="0" w:color="auto"/>
              <w:bottom w:val="nil"/>
              <w:right w:val="nil"/>
            </w:tcBorders>
            <w:shd w:val="clear" w:color="auto" w:fill="auto"/>
            <w:noWrap/>
            <w:vAlign w:val="bottom"/>
          </w:tcPr>
          <w:p w14:paraId="63A27EE1"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6BEA6FC7" w14:textId="552C2FDF" w:rsidR="006A0BAE" w:rsidRPr="003A41B3" w:rsidRDefault="006A0BAE" w:rsidP="006A0BAE">
            <w:pPr>
              <w:contextualSpacing/>
              <w:jc w:val="center"/>
              <w:rPr>
                <w:rFonts w:eastAsia="Times New Roman"/>
                <w:sz w:val="20"/>
                <w:szCs w:val="20"/>
                <w:lang w:eastAsia="en-GB"/>
              </w:rPr>
            </w:pPr>
            <w:r w:rsidRPr="003A41B3">
              <w:rPr>
                <w:sz w:val="20"/>
                <w:szCs w:val="20"/>
              </w:rPr>
              <w:t>(-0.47)</w:t>
            </w:r>
          </w:p>
        </w:tc>
      </w:tr>
      <w:tr w:rsidR="006A0BAE" w:rsidRPr="003A41B3" w14:paraId="79E242D3" w14:textId="77777777" w:rsidTr="00D772AB">
        <w:trPr>
          <w:trHeight w:val="80"/>
        </w:trPr>
        <w:tc>
          <w:tcPr>
            <w:tcW w:w="633" w:type="pct"/>
            <w:gridSpan w:val="2"/>
            <w:tcBorders>
              <w:top w:val="nil"/>
              <w:left w:val="nil"/>
              <w:bottom w:val="nil"/>
              <w:right w:val="nil"/>
            </w:tcBorders>
            <w:shd w:val="clear" w:color="auto" w:fill="auto"/>
            <w:noWrap/>
            <w:vAlign w:val="center"/>
            <w:hideMark/>
          </w:tcPr>
          <w:p w14:paraId="71BF2ED5"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EU</w:t>
            </w:r>
          </w:p>
        </w:tc>
        <w:tc>
          <w:tcPr>
            <w:tcW w:w="540" w:type="pct"/>
            <w:tcBorders>
              <w:top w:val="nil"/>
              <w:left w:val="nil"/>
              <w:bottom w:val="nil"/>
              <w:right w:val="nil"/>
            </w:tcBorders>
            <w:shd w:val="clear" w:color="auto" w:fill="auto"/>
            <w:noWrap/>
            <w:vAlign w:val="bottom"/>
          </w:tcPr>
          <w:p w14:paraId="4E74A2DB"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6B98809A" w14:textId="69DC0AD0" w:rsidR="006A0BAE" w:rsidRPr="003A41B3" w:rsidRDefault="006A0BAE" w:rsidP="006A0BAE">
            <w:pPr>
              <w:contextualSpacing/>
              <w:jc w:val="center"/>
              <w:rPr>
                <w:rFonts w:eastAsia="Times New Roman"/>
                <w:sz w:val="20"/>
                <w:szCs w:val="20"/>
                <w:lang w:eastAsia="en-GB"/>
              </w:rPr>
            </w:pPr>
            <w:r w:rsidRPr="003A41B3">
              <w:rPr>
                <w:sz w:val="20"/>
                <w:szCs w:val="20"/>
              </w:rPr>
              <w:t>3.765</w:t>
            </w:r>
          </w:p>
        </w:tc>
        <w:tc>
          <w:tcPr>
            <w:tcW w:w="660" w:type="pct"/>
            <w:tcBorders>
              <w:top w:val="nil"/>
              <w:left w:val="single" w:sz="4" w:space="0" w:color="auto"/>
              <w:bottom w:val="nil"/>
              <w:right w:val="nil"/>
            </w:tcBorders>
            <w:shd w:val="clear" w:color="auto" w:fill="auto"/>
            <w:noWrap/>
            <w:vAlign w:val="bottom"/>
          </w:tcPr>
          <w:p w14:paraId="548A7401" w14:textId="77777777"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5E911F1B" w14:textId="6C1264EB" w:rsidR="006A0BAE" w:rsidRPr="003A41B3" w:rsidRDefault="006A0BAE" w:rsidP="006A0BAE">
            <w:pPr>
              <w:contextualSpacing/>
              <w:jc w:val="center"/>
              <w:rPr>
                <w:rFonts w:eastAsia="Times New Roman"/>
                <w:sz w:val="20"/>
                <w:szCs w:val="20"/>
                <w:lang w:eastAsia="en-GB"/>
              </w:rPr>
            </w:pPr>
            <w:r w:rsidRPr="003A41B3">
              <w:rPr>
                <w:sz w:val="20"/>
                <w:szCs w:val="20"/>
              </w:rPr>
              <w:t>9.669</w:t>
            </w:r>
          </w:p>
        </w:tc>
        <w:tc>
          <w:tcPr>
            <w:tcW w:w="767" w:type="pct"/>
            <w:tcBorders>
              <w:top w:val="nil"/>
              <w:left w:val="single" w:sz="4" w:space="0" w:color="auto"/>
              <w:bottom w:val="nil"/>
              <w:right w:val="nil"/>
            </w:tcBorders>
            <w:shd w:val="clear" w:color="auto" w:fill="auto"/>
            <w:noWrap/>
            <w:vAlign w:val="bottom"/>
          </w:tcPr>
          <w:p w14:paraId="0063395C"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799C3D22" w14:textId="31695571" w:rsidR="006A0BAE" w:rsidRPr="003A41B3" w:rsidRDefault="00DD6D17" w:rsidP="006A0BAE">
            <w:pPr>
              <w:contextualSpacing/>
              <w:jc w:val="center"/>
              <w:rPr>
                <w:rFonts w:eastAsia="Times New Roman"/>
                <w:sz w:val="20"/>
                <w:szCs w:val="20"/>
                <w:lang w:eastAsia="en-GB"/>
              </w:rPr>
            </w:pPr>
            <w:r w:rsidRPr="003A41B3">
              <w:rPr>
                <w:sz w:val="20"/>
                <w:szCs w:val="20"/>
              </w:rPr>
              <w:t>-2.93</w:t>
            </w:r>
            <w:r w:rsidR="006A0BAE" w:rsidRPr="003A41B3">
              <w:rPr>
                <w:sz w:val="20"/>
                <w:szCs w:val="20"/>
              </w:rPr>
              <w:t>0</w:t>
            </w:r>
          </w:p>
        </w:tc>
      </w:tr>
      <w:tr w:rsidR="006A0BAE" w:rsidRPr="003A41B3" w14:paraId="266BC597" w14:textId="77777777" w:rsidTr="00D772AB">
        <w:trPr>
          <w:trHeight w:val="103"/>
        </w:trPr>
        <w:tc>
          <w:tcPr>
            <w:tcW w:w="633" w:type="pct"/>
            <w:gridSpan w:val="2"/>
            <w:tcBorders>
              <w:top w:val="nil"/>
              <w:left w:val="nil"/>
              <w:bottom w:val="nil"/>
              <w:right w:val="nil"/>
            </w:tcBorders>
            <w:shd w:val="clear" w:color="auto" w:fill="auto"/>
            <w:noWrap/>
            <w:vAlign w:val="bottom"/>
            <w:hideMark/>
          </w:tcPr>
          <w:p w14:paraId="782AA271" w14:textId="77777777" w:rsidR="006A0BAE" w:rsidRPr="003A41B3" w:rsidRDefault="006A0BAE" w:rsidP="006A0BAE">
            <w:pPr>
              <w:contextualSpacing/>
              <w:jc w:val="center"/>
              <w:rPr>
                <w:rFonts w:eastAsia="Times New Roman"/>
                <w:sz w:val="20"/>
                <w:szCs w:val="20"/>
                <w:lang w:eastAsia="en-GB"/>
              </w:rPr>
            </w:pPr>
          </w:p>
        </w:tc>
        <w:tc>
          <w:tcPr>
            <w:tcW w:w="540" w:type="pct"/>
            <w:tcBorders>
              <w:top w:val="nil"/>
              <w:left w:val="nil"/>
              <w:bottom w:val="nil"/>
              <w:right w:val="nil"/>
            </w:tcBorders>
            <w:shd w:val="clear" w:color="auto" w:fill="auto"/>
            <w:noWrap/>
            <w:vAlign w:val="bottom"/>
          </w:tcPr>
          <w:p w14:paraId="16A6CAC1"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17BD11C7" w14:textId="01333C5A" w:rsidR="006A0BAE" w:rsidRPr="003A41B3" w:rsidRDefault="006A0BAE" w:rsidP="006A0BAE">
            <w:pPr>
              <w:contextualSpacing/>
              <w:jc w:val="center"/>
              <w:rPr>
                <w:rFonts w:eastAsia="Times New Roman"/>
                <w:sz w:val="20"/>
                <w:szCs w:val="20"/>
                <w:lang w:eastAsia="en-GB"/>
              </w:rPr>
            </w:pPr>
            <w:r w:rsidRPr="003A41B3">
              <w:rPr>
                <w:sz w:val="20"/>
                <w:szCs w:val="20"/>
              </w:rPr>
              <w:t>(0.86)</w:t>
            </w:r>
          </w:p>
        </w:tc>
        <w:tc>
          <w:tcPr>
            <w:tcW w:w="660" w:type="pct"/>
            <w:tcBorders>
              <w:top w:val="nil"/>
              <w:left w:val="single" w:sz="4" w:space="0" w:color="auto"/>
              <w:bottom w:val="nil"/>
              <w:right w:val="nil"/>
            </w:tcBorders>
            <w:shd w:val="clear" w:color="auto" w:fill="auto"/>
            <w:noWrap/>
            <w:vAlign w:val="bottom"/>
          </w:tcPr>
          <w:p w14:paraId="4B5FB398" w14:textId="77777777"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31799FD1" w14:textId="0918B8C9" w:rsidR="006A0BAE" w:rsidRPr="003A41B3" w:rsidRDefault="006A0BAE" w:rsidP="006A0BAE">
            <w:pPr>
              <w:contextualSpacing/>
              <w:jc w:val="center"/>
              <w:rPr>
                <w:rFonts w:eastAsia="Times New Roman"/>
                <w:sz w:val="20"/>
                <w:szCs w:val="20"/>
                <w:lang w:eastAsia="en-GB"/>
              </w:rPr>
            </w:pPr>
            <w:r w:rsidRPr="003A41B3">
              <w:rPr>
                <w:sz w:val="20"/>
                <w:szCs w:val="20"/>
              </w:rPr>
              <w:t>(0.49)</w:t>
            </w:r>
          </w:p>
        </w:tc>
        <w:tc>
          <w:tcPr>
            <w:tcW w:w="767" w:type="pct"/>
            <w:tcBorders>
              <w:top w:val="nil"/>
              <w:left w:val="single" w:sz="4" w:space="0" w:color="auto"/>
              <w:bottom w:val="nil"/>
              <w:right w:val="nil"/>
            </w:tcBorders>
            <w:shd w:val="clear" w:color="auto" w:fill="auto"/>
            <w:noWrap/>
            <w:vAlign w:val="bottom"/>
          </w:tcPr>
          <w:p w14:paraId="21F4E759"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4B5C13AE" w14:textId="68725820" w:rsidR="006A0BAE" w:rsidRPr="003A41B3" w:rsidRDefault="006A0BAE" w:rsidP="006A0BAE">
            <w:pPr>
              <w:contextualSpacing/>
              <w:jc w:val="center"/>
              <w:rPr>
                <w:rFonts w:eastAsia="Times New Roman"/>
                <w:sz w:val="20"/>
                <w:szCs w:val="20"/>
                <w:lang w:eastAsia="en-GB"/>
              </w:rPr>
            </w:pPr>
            <w:r w:rsidRPr="003A41B3">
              <w:rPr>
                <w:sz w:val="20"/>
                <w:szCs w:val="20"/>
              </w:rPr>
              <w:t>(-0.74)</w:t>
            </w:r>
          </w:p>
        </w:tc>
      </w:tr>
      <w:tr w:rsidR="006A0BAE" w:rsidRPr="003A41B3" w14:paraId="4F338797" w14:textId="77777777" w:rsidTr="00D772AB">
        <w:trPr>
          <w:trHeight w:val="300"/>
        </w:trPr>
        <w:tc>
          <w:tcPr>
            <w:tcW w:w="1173" w:type="pct"/>
            <w:gridSpan w:val="3"/>
            <w:tcBorders>
              <w:top w:val="nil"/>
              <w:left w:val="nil"/>
              <w:bottom w:val="nil"/>
              <w:right w:val="nil"/>
            </w:tcBorders>
            <w:shd w:val="clear" w:color="auto" w:fill="auto"/>
            <w:noWrap/>
            <w:vAlign w:val="center"/>
          </w:tcPr>
          <w:p w14:paraId="0F88015C" w14:textId="2E2AE292"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∆Rating *EE</w:t>
            </w:r>
          </w:p>
        </w:tc>
        <w:tc>
          <w:tcPr>
            <w:tcW w:w="758" w:type="pct"/>
            <w:tcBorders>
              <w:top w:val="nil"/>
              <w:left w:val="nil"/>
              <w:bottom w:val="nil"/>
              <w:right w:val="single" w:sz="4" w:space="0" w:color="auto"/>
            </w:tcBorders>
            <w:shd w:val="clear" w:color="auto" w:fill="auto"/>
            <w:noWrap/>
            <w:vAlign w:val="bottom"/>
          </w:tcPr>
          <w:p w14:paraId="6FA8CF2E" w14:textId="2DDC0BA7" w:rsidR="006A0BAE" w:rsidRPr="003A41B3" w:rsidRDefault="006A0BAE" w:rsidP="00DD6D17">
            <w:pPr>
              <w:contextualSpacing/>
              <w:jc w:val="center"/>
              <w:rPr>
                <w:rFonts w:eastAsia="Times New Roman"/>
                <w:sz w:val="20"/>
                <w:szCs w:val="20"/>
                <w:lang w:eastAsia="en-GB"/>
              </w:rPr>
            </w:pPr>
            <w:r w:rsidRPr="003A41B3">
              <w:rPr>
                <w:sz w:val="20"/>
                <w:szCs w:val="20"/>
              </w:rPr>
              <w:t>-0.52</w:t>
            </w:r>
            <w:r w:rsidR="00DD6D17" w:rsidRPr="003A41B3">
              <w:rPr>
                <w:sz w:val="20"/>
                <w:szCs w:val="20"/>
              </w:rPr>
              <w:t>8</w:t>
            </w:r>
          </w:p>
        </w:tc>
        <w:tc>
          <w:tcPr>
            <w:tcW w:w="660" w:type="pct"/>
            <w:tcBorders>
              <w:top w:val="nil"/>
              <w:left w:val="single" w:sz="4" w:space="0" w:color="auto"/>
              <w:bottom w:val="nil"/>
              <w:right w:val="nil"/>
            </w:tcBorders>
            <w:shd w:val="clear" w:color="auto" w:fill="auto"/>
            <w:noWrap/>
            <w:vAlign w:val="bottom"/>
          </w:tcPr>
          <w:p w14:paraId="3A2110B9" w14:textId="5D1D99D8"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218B4A2C" w14:textId="4F722B2D" w:rsidR="006A0BAE" w:rsidRPr="003A41B3" w:rsidRDefault="00DD6D17" w:rsidP="006A0BAE">
            <w:pPr>
              <w:contextualSpacing/>
              <w:jc w:val="center"/>
              <w:rPr>
                <w:rFonts w:eastAsia="Times New Roman"/>
                <w:sz w:val="20"/>
                <w:szCs w:val="20"/>
                <w:lang w:eastAsia="en-GB"/>
              </w:rPr>
            </w:pPr>
            <w:r w:rsidRPr="003A41B3">
              <w:rPr>
                <w:sz w:val="20"/>
                <w:szCs w:val="20"/>
              </w:rPr>
              <w:t>6.639</w:t>
            </w:r>
          </w:p>
        </w:tc>
        <w:tc>
          <w:tcPr>
            <w:tcW w:w="767" w:type="pct"/>
            <w:tcBorders>
              <w:top w:val="nil"/>
              <w:left w:val="single" w:sz="4" w:space="0" w:color="auto"/>
              <w:bottom w:val="nil"/>
              <w:right w:val="nil"/>
            </w:tcBorders>
            <w:shd w:val="clear" w:color="auto" w:fill="auto"/>
            <w:noWrap/>
            <w:vAlign w:val="bottom"/>
          </w:tcPr>
          <w:p w14:paraId="77A93FF7" w14:textId="7164363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3307D999" w14:textId="522E1B2F" w:rsidR="006A0BAE" w:rsidRPr="003A41B3" w:rsidRDefault="00DD6D17" w:rsidP="006A0BAE">
            <w:pPr>
              <w:contextualSpacing/>
              <w:jc w:val="center"/>
              <w:rPr>
                <w:rFonts w:eastAsia="Times New Roman"/>
                <w:sz w:val="20"/>
                <w:szCs w:val="20"/>
                <w:lang w:eastAsia="en-GB"/>
              </w:rPr>
            </w:pPr>
            <w:r w:rsidRPr="003A41B3">
              <w:rPr>
                <w:sz w:val="20"/>
                <w:szCs w:val="20"/>
              </w:rPr>
              <w:t>4.091</w:t>
            </w:r>
            <w:r w:rsidR="006A0BAE" w:rsidRPr="003A41B3">
              <w:rPr>
                <w:sz w:val="20"/>
                <w:szCs w:val="20"/>
              </w:rPr>
              <w:t>**</w:t>
            </w:r>
          </w:p>
        </w:tc>
      </w:tr>
      <w:tr w:rsidR="006A0BAE" w:rsidRPr="003A41B3" w14:paraId="4A25B88D" w14:textId="77777777" w:rsidTr="00D772AB">
        <w:trPr>
          <w:trHeight w:val="80"/>
        </w:trPr>
        <w:tc>
          <w:tcPr>
            <w:tcW w:w="612" w:type="pct"/>
            <w:tcBorders>
              <w:top w:val="nil"/>
              <w:left w:val="nil"/>
              <w:bottom w:val="nil"/>
              <w:right w:val="nil"/>
            </w:tcBorders>
            <w:shd w:val="clear" w:color="auto" w:fill="auto"/>
            <w:noWrap/>
            <w:vAlign w:val="bottom"/>
            <w:hideMark/>
          </w:tcPr>
          <w:p w14:paraId="06E590DD" w14:textId="77777777" w:rsidR="006A0BAE" w:rsidRPr="003A41B3" w:rsidRDefault="006A0BAE" w:rsidP="006A0BAE">
            <w:pPr>
              <w:contextualSpacing/>
              <w:jc w:val="center"/>
              <w:rPr>
                <w:rFonts w:eastAsia="Times New Roman"/>
                <w:sz w:val="20"/>
                <w:szCs w:val="20"/>
                <w:lang w:eastAsia="en-GB"/>
              </w:rPr>
            </w:pPr>
          </w:p>
        </w:tc>
        <w:tc>
          <w:tcPr>
            <w:tcW w:w="561" w:type="pct"/>
            <w:gridSpan w:val="2"/>
            <w:tcBorders>
              <w:top w:val="nil"/>
              <w:left w:val="nil"/>
              <w:bottom w:val="nil"/>
              <w:right w:val="nil"/>
            </w:tcBorders>
            <w:shd w:val="clear" w:color="auto" w:fill="auto"/>
            <w:noWrap/>
            <w:vAlign w:val="bottom"/>
          </w:tcPr>
          <w:p w14:paraId="2FF31C11"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1C889158" w14:textId="5C03FAC6" w:rsidR="006A0BAE" w:rsidRPr="003A41B3" w:rsidRDefault="006A0BAE" w:rsidP="006A0BAE">
            <w:pPr>
              <w:contextualSpacing/>
              <w:jc w:val="center"/>
              <w:rPr>
                <w:rFonts w:eastAsia="Times New Roman"/>
                <w:sz w:val="20"/>
                <w:szCs w:val="20"/>
                <w:lang w:eastAsia="en-GB"/>
              </w:rPr>
            </w:pPr>
            <w:r w:rsidRPr="003A41B3">
              <w:rPr>
                <w:sz w:val="20"/>
                <w:szCs w:val="20"/>
              </w:rPr>
              <w:t>(-0.21)</w:t>
            </w:r>
          </w:p>
        </w:tc>
        <w:tc>
          <w:tcPr>
            <w:tcW w:w="660" w:type="pct"/>
            <w:tcBorders>
              <w:top w:val="nil"/>
              <w:left w:val="single" w:sz="4" w:space="0" w:color="auto"/>
              <w:bottom w:val="nil"/>
              <w:right w:val="nil"/>
            </w:tcBorders>
            <w:shd w:val="clear" w:color="auto" w:fill="auto"/>
            <w:noWrap/>
            <w:vAlign w:val="bottom"/>
          </w:tcPr>
          <w:p w14:paraId="3E3C964A" w14:textId="77777777"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355E6D00" w14:textId="032E63E3" w:rsidR="006A0BAE" w:rsidRPr="003A41B3" w:rsidRDefault="006A0BAE" w:rsidP="006A0BAE">
            <w:pPr>
              <w:contextualSpacing/>
              <w:jc w:val="center"/>
              <w:rPr>
                <w:rFonts w:eastAsia="Times New Roman"/>
                <w:sz w:val="20"/>
                <w:szCs w:val="20"/>
                <w:lang w:eastAsia="en-GB"/>
              </w:rPr>
            </w:pPr>
            <w:r w:rsidRPr="003A41B3">
              <w:rPr>
                <w:sz w:val="20"/>
                <w:szCs w:val="20"/>
              </w:rPr>
              <w:t>(1.58)</w:t>
            </w:r>
          </w:p>
        </w:tc>
        <w:tc>
          <w:tcPr>
            <w:tcW w:w="767" w:type="pct"/>
            <w:tcBorders>
              <w:top w:val="nil"/>
              <w:left w:val="single" w:sz="4" w:space="0" w:color="auto"/>
              <w:bottom w:val="nil"/>
              <w:right w:val="nil"/>
            </w:tcBorders>
            <w:shd w:val="clear" w:color="auto" w:fill="auto"/>
            <w:noWrap/>
            <w:vAlign w:val="bottom"/>
          </w:tcPr>
          <w:p w14:paraId="028863DC"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456B8DA4" w14:textId="05ABA543" w:rsidR="006A0BAE" w:rsidRPr="003A41B3" w:rsidRDefault="006A0BAE" w:rsidP="006A0BAE">
            <w:pPr>
              <w:contextualSpacing/>
              <w:jc w:val="center"/>
              <w:rPr>
                <w:rFonts w:eastAsia="Times New Roman"/>
                <w:sz w:val="20"/>
                <w:szCs w:val="20"/>
                <w:lang w:eastAsia="en-GB"/>
              </w:rPr>
            </w:pPr>
            <w:r w:rsidRPr="003A41B3">
              <w:rPr>
                <w:sz w:val="20"/>
                <w:szCs w:val="20"/>
              </w:rPr>
              <w:t>(1.99)</w:t>
            </w:r>
          </w:p>
        </w:tc>
      </w:tr>
      <w:tr w:rsidR="006A0BAE" w:rsidRPr="003A41B3" w14:paraId="2FF35030" w14:textId="77777777" w:rsidTr="00D772AB">
        <w:trPr>
          <w:trHeight w:val="300"/>
        </w:trPr>
        <w:tc>
          <w:tcPr>
            <w:tcW w:w="612" w:type="pct"/>
            <w:tcBorders>
              <w:top w:val="nil"/>
              <w:left w:val="nil"/>
              <w:bottom w:val="nil"/>
              <w:right w:val="nil"/>
            </w:tcBorders>
            <w:shd w:val="clear" w:color="auto" w:fill="auto"/>
            <w:noWrap/>
            <w:vAlign w:val="center"/>
            <w:hideMark/>
          </w:tcPr>
          <w:p w14:paraId="2425E040" w14:textId="77777777" w:rsidR="006A0BAE" w:rsidRPr="003A41B3" w:rsidRDefault="006A0BAE" w:rsidP="006A0BAE">
            <w:pPr>
              <w:contextualSpacing/>
              <w:rPr>
                <w:rFonts w:eastAsia="Times New Roman"/>
                <w:sz w:val="20"/>
                <w:szCs w:val="20"/>
                <w:lang w:eastAsia="en-GB"/>
              </w:rPr>
            </w:pPr>
            <w:r w:rsidRPr="003A41B3">
              <w:rPr>
                <w:rFonts w:eastAsia="Times New Roman"/>
                <w:sz w:val="20"/>
                <w:szCs w:val="20"/>
                <w:lang w:eastAsia="en-GB"/>
              </w:rPr>
              <w:t>∆Rating *EU</w:t>
            </w:r>
          </w:p>
        </w:tc>
        <w:tc>
          <w:tcPr>
            <w:tcW w:w="561" w:type="pct"/>
            <w:gridSpan w:val="2"/>
            <w:tcBorders>
              <w:top w:val="nil"/>
              <w:left w:val="nil"/>
              <w:bottom w:val="nil"/>
              <w:right w:val="nil"/>
            </w:tcBorders>
            <w:shd w:val="clear" w:color="auto" w:fill="auto"/>
            <w:noWrap/>
            <w:vAlign w:val="center"/>
          </w:tcPr>
          <w:p w14:paraId="5C18C7B9" w14:textId="77777777" w:rsidR="006A0BAE" w:rsidRPr="003A41B3" w:rsidRDefault="006A0BAE" w:rsidP="006A0BAE">
            <w:pPr>
              <w:contextualSpacing/>
              <w:rPr>
                <w:rFonts w:eastAsia="Times New Roman"/>
                <w:sz w:val="20"/>
                <w:szCs w:val="20"/>
                <w:lang w:eastAsia="en-GB"/>
              </w:rPr>
            </w:pPr>
          </w:p>
        </w:tc>
        <w:tc>
          <w:tcPr>
            <w:tcW w:w="758" w:type="pct"/>
            <w:tcBorders>
              <w:top w:val="nil"/>
              <w:left w:val="nil"/>
              <w:bottom w:val="nil"/>
              <w:right w:val="single" w:sz="4" w:space="0" w:color="auto"/>
            </w:tcBorders>
            <w:shd w:val="clear" w:color="auto" w:fill="auto"/>
            <w:noWrap/>
            <w:vAlign w:val="bottom"/>
          </w:tcPr>
          <w:p w14:paraId="3DB2E132" w14:textId="4FF06B57" w:rsidR="006A0BAE" w:rsidRPr="003A41B3" w:rsidRDefault="006A0BAE" w:rsidP="006A0BAE">
            <w:pPr>
              <w:contextualSpacing/>
              <w:jc w:val="center"/>
              <w:rPr>
                <w:rFonts w:eastAsia="Times New Roman"/>
                <w:sz w:val="20"/>
                <w:szCs w:val="20"/>
                <w:lang w:eastAsia="en-GB"/>
              </w:rPr>
            </w:pPr>
            <w:r w:rsidRPr="003A41B3">
              <w:rPr>
                <w:sz w:val="20"/>
                <w:szCs w:val="20"/>
              </w:rPr>
              <w:t>-1.137</w:t>
            </w:r>
          </w:p>
        </w:tc>
        <w:tc>
          <w:tcPr>
            <w:tcW w:w="660" w:type="pct"/>
            <w:tcBorders>
              <w:top w:val="nil"/>
              <w:left w:val="single" w:sz="4" w:space="0" w:color="auto"/>
              <w:bottom w:val="nil"/>
              <w:right w:val="nil"/>
            </w:tcBorders>
            <w:shd w:val="clear" w:color="auto" w:fill="auto"/>
            <w:noWrap/>
            <w:vAlign w:val="bottom"/>
          </w:tcPr>
          <w:p w14:paraId="1275FE9A" w14:textId="77777777"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nil"/>
              <w:right w:val="single" w:sz="4" w:space="0" w:color="auto"/>
            </w:tcBorders>
            <w:shd w:val="clear" w:color="auto" w:fill="auto"/>
            <w:noWrap/>
            <w:vAlign w:val="bottom"/>
          </w:tcPr>
          <w:p w14:paraId="53B51FB4" w14:textId="6552AD33" w:rsidR="006A0BAE" w:rsidRPr="003A41B3" w:rsidRDefault="00DD6D17" w:rsidP="006A0BAE">
            <w:pPr>
              <w:contextualSpacing/>
              <w:jc w:val="center"/>
              <w:rPr>
                <w:rFonts w:eastAsia="Times New Roman"/>
                <w:sz w:val="20"/>
                <w:szCs w:val="20"/>
                <w:lang w:eastAsia="en-GB"/>
              </w:rPr>
            </w:pPr>
            <w:r w:rsidRPr="003A41B3">
              <w:rPr>
                <w:sz w:val="20"/>
                <w:szCs w:val="20"/>
              </w:rPr>
              <w:t>8.301</w:t>
            </w:r>
          </w:p>
        </w:tc>
        <w:tc>
          <w:tcPr>
            <w:tcW w:w="767" w:type="pct"/>
            <w:tcBorders>
              <w:top w:val="nil"/>
              <w:left w:val="single" w:sz="4" w:space="0" w:color="auto"/>
              <w:bottom w:val="nil"/>
              <w:right w:val="nil"/>
            </w:tcBorders>
            <w:shd w:val="clear" w:color="auto" w:fill="auto"/>
            <w:noWrap/>
            <w:vAlign w:val="bottom"/>
          </w:tcPr>
          <w:p w14:paraId="668E1A59"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nil"/>
              <w:right w:val="nil"/>
            </w:tcBorders>
            <w:shd w:val="clear" w:color="auto" w:fill="auto"/>
            <w:noWrap/>
            <w:vAlign w:val="bottom"/>
          </w:tcPr>
          <w:p w14:paraId="7495BFFD" w14:textId="2244C935" w:rsidR="006A0BAE" w:rsidRPr="003A41B3" w:rsidRDefault="00DD6D17" w:rsidP="006A0BAE">
            <w:pPr>
              <w:contextualSpacing/>
              <w:jc w:val="center"/>
              <w:rPr>
                <w:rFonts w:eastAsia="Times New Roman"/>
                <w:sz w:val="20"/>
                <w:szCs w:val="20"/>
                <w:lang w:eastAsia="en-GB"/>
              </w:rPr>
            </w:pPr>
            <w:r w:rsidRPr="003A41B3">
              <w:rPr>
                <w:sz w:val="20"/>
                <w:szCs w:val="20"/>
              </w:rPr>
              <w:t>-0.85</w:t>
            </w:r>
            <w:r w:rsidR="006A0BAE" w:rsidRPr="003A41B3">
              <w:rPr>
                <w:sz w:val="20"/>
                <w:szCs w:val="20"/>
              </w:rPr>
              <w:t>7</w:t>
            </w:r>
          </w:p>
        </w:tc>
      </w:tr>
      <w:tr w:rsidR="006A0BAE" w:rsidRPr="003A41B3" w14:paraId="18148974" w14:textId="77777777" w:rsidTr="00D772AB">
        <w:trPr>
          <w:trHeight w:val="80"/>
        </w:trPr>
        <w:tc>
          <w:tcPr>
            <w:tcW w:w="612" w:type="pct"/>
            <w:tcBorders>
              <w:top w:val="nil"/>
              <w:left w:val="nil"/>
              <w:bottom w:val="single" w:sz="8" w:space="0" w:color="auto"/>
              <w:right w:val="nil"/>
            </w:tcBorders>
            <w:shd w:val="clear" w:color="auto" w:fill="auto"/>
            <w:noWrap/>
            <w:vAlign w:val="bottom"/>
            <w:hideMark/>
          </w:tcPr>
          <w:p w14:paraId="2457FDE8" w14:textId="77777777" w:rsidR="006A0BAE" w:rsidRPr="003A41B3" w:rsidRDefault="006A0BAE" w:rsidP="006A0BAE">
            <w:pPr>
              <w:contextualSpacing/>
              <w:rPr>
                <w:rFonts w:eastAsia="Times New Roman"/>
                <w:lang w:eastAsia="en-GB"/>
              </w:rPr>
            </w:pPr>
            <w:r w:rsidRPr="003A41B3">
              <w:rPr>
                <w:rFonts w:eastAsia="Times New Roman"/>
                <w:lang w:eastAsia="en-GB"/>
              </w:rPr>
              <w:t> </w:t>
            </w:r>
          </w:p>
        </w:tc>
        <w:tc>
          <w:tcPr>
            <w:tcW w:w="561" w:type="pct"/>
            <w:gridSpan w:val="2"/>
            <w:tcBorders>
              <w:top w:val="nil"/>
              <w:left w:val="nil"/>
              <w:bottom w:val="single" w:sz="8" w:space="0" w:color="auto"/>
              <w:right w:val="nil"/>
            </w:tcBorders>
            <w:shd w:val="clear" w:color="auto" w:fill="auto"/>
            <w:noWrap/>
            <w:vAlign w:val="center"/>
          </w:tcPr>
          <w:p w14:paraId="5EB47729" w14:textId="77777777" w:rsidR="006A0BAE" w:rsidRPr="003A41B3" w:rsidRDefault="006A0BAE" w:rsidP="006A0BAE">
            <w:pPr>
              <w:contextualSpacing/>
              <w:jc w:val="center"/>
              <w:rPr>
                <w:rFonts w:eastAsia="Times New Roman"/>
                <w:sz w:val="20"/>
                <w:szCs w:val="20"/>
                <w:lang w:eastAsia="en-GB"/>
              </w:rPr>
            </w:pPr>
          </w:p>
        </w:tc>
        <w:tc>
          <w:tcPr>
            <w:tcW w:w="758" w:type="pct"/>
            <w:tcBorders>
              <w:top w:val="nil"/>
              <w:left w:val="nil"/>
              <w:bottom w:val="single" w:sz="8" w:space="0" w:color="auto"/>
              <w:right w:val="single" w:sz="4" w:space="0" w:color="auto"/>
            </w:tcBorders>
            <w:shd w:val="clear" w:color="auto" w:fill="auto"/>
            <w:noWrap/>
            <w:vAlign w:val="bottom"/>
          </w:tcPr>
          <w:p w14:paraId="4C4C3D7B" w14:textId="7EB9DA60" w:rsidR="006A0BAE" w:rsidRPr="003A41B3" w:rsidRDefault="006A0BAE" w:rsidP="006A0BAE">
            <w:pPr>
              <w:contextualSpacing/>
              <w:jc w:val="center"/>
              <w:rPr>
                <w:rFonts w:eastAsia="Times New Roman"/>
                <w:sz w:val="20"/>
                <w:szCs w:val="20"/>
                <w:lang w:eastAsia="en-GB"/>
              </w:rPr>
            </w:pPr>
            <w:r w:rsidRPr="003A41B3">
              <w:rPr>
                <w:sz w:val="20"/>
                <w:szCs w:val="20"/>
              </w:rPr>
              <w:t>(-0.48)</w:t>
            </w:r>
          </w:p>
        </w:tc>
        <w:tc>
          <w:tcPr>
            <w:tcW w:w="660" w:type="pct"/>
            <w:tcBorders>
              <w:top w:val="nil"/>
              <w:left w:val="single" w:sz="4" w:space="0" w:color="auto"/>
              <w:bottom w:val="single" w:sz="4" w:space="0" w:color="auto"/>
              <w:right w:val="nil"/>
            </w:tcBorders>
            <w:shd w:val="clear" w:color="auto" w:fill="auto"/>
            <w:noWrap/>
            <w:vAlign w:val="bottom"/>
          </w:tcPr>
          <w:p w14:paraId="23DF6C81" w14:textId="77777777" w:rsidR="006A0BAE" w:rsidRPr="003A41B3" w:rsidRDefault="006A0BAE" w:rsidP="006A0BAE">
            <w:pPr>
              <w:contextualSpacing/>
              <w:jc w:val="center"/>
              <w:rPr>
                <w:rFonts w:eastAsia="Times New Roman"/>
                <w:sz w:val="20"/>
                <w:szCs w:val="20"/>
                <w:lang w:eastAsia="en-GB"/>
              </w:rPr>
            </w:pPr>
          </w:p>
        </w:tc>
        <w:tc>
          <w:tcPr>
            <w:tcW w:w="808" w:type="pct"/>
            <w:tcBorders>
              <w:top w:val="nil"/>
              <w:left w:val="nil"/>
              <w:bottom w:val="single" w:sz="4" w:space="0" w:color="auto"/>
              <w:right w:val="single" w:sz="4" w:space="0" w:color="auto"/>
            </w:tcBorders>
            <w:shd w:val="clear" w:color="auto" w:fill="auto"/>
            <w:noWrap/>
            <w:vAlign w:val="bottom"/>
          </w:tcPr>
          <w:p w14:paraId="4D525C04" w14:textId="067FBD99" w:rsidR="006A0BAE" w:rsidRPr="003A41B3" w:rsidRDefault="006A0BAE" w:rsidP="006A0BAE">
            <w:pPr>
              <w:contextualSpacing/>
              <w:jc w:val="center"/>
              <w:rPr>
                <w:rFonts w:eastAsia="Times New Roman"/>
                <w:sz w:val="20"/>
                <w:szCs w:val="20"/>
                <w:lang w:eastAsia="en-GB"/>
              </w:rPr>
            </w:pPr>
            <w:r w:rsidRPr="003A41B3">
              <w:rPr>
                <w:sz w:val="20"/>
                <w:szCs w:val="20"/>
              </w:rPr>
              <w:t>(1.02)</w:t>
            </w:r>
          </w:p>
        </w:tc>
        <w:tc>
          <w:tcPr>
            <w:tcW w:w="767" w:type="pct"/>
            <w:tcBorders>
              <w:top w:val="nil"/>
              <w:left w:val="single" w:sz="4" w:space="0" w:color="auto"/>
              <w:bottom w:val="single" w:sz="4" w:space="0" w:color="auto"/>
              <w:right w:val="nil"/>
            </w:tcBorders>
            <w:shd w:val="clear" w:color="auto" w:fill="auto"/>
            <w:noWrap/>
            <w:vAlign w:val="bottom"/>
          </w:tcPr>
          <w:p w14:paraId="6BA0E668" w14:textId="77777777" w:rsidR="006A0BAE" w:rsidRPr="003A41B3" w:rsidRDefault="006A0BAE" w:rsidP="006A0BAE">
            <w:pPr>
              <w:contextualSpacing/>
              <w:jc w:val="center"/>
              <w:rPr>
                <w:rFonts w:eastAsia="Times New Roman"/>
                <w:sz w:val="20"/>
                <w:szCs w:val="20"/>
                <w:lang w:eastAsia="en-GB"/>
              </w:rPr>
            </w:pPr>
          </w:p>
        </w:tc>
        <w:tc>
          <w:tcPr>
            <w:tcW w:w="834" w:type="pct"/>
            <w:tcBorders>
              <w:top w:val="nil"/>
              <w:left w:val="nil"/>
              <w:bottom w:val="single" w:sz="4" w:space="0" w:color="auto"/>
              <w:right w:val="nil"/>
            </w:tcBorders>
            <w:shd w:val="clear" w:color="auto" w:fill="auto"/>
            <w:noWrap/>
            <w:vAlign w:val="bottom"/>
          </w:tcPr>
          <w:p w14:paraId="16B425A3" w14:textId="18380EF0" w:rsidR="006A0BAE" w:rsidRPr="003A41B3" w:rsidRDefault="006A0BAE" w:rsidP="006A0BAE">
            <w:pPr>
              <w:contextualSpacing/>
              <w:jc w:val="center"/>
              <w:rPr>
                <w:rFonts w:eastAsia="Times New Roman"/>
                <w:sz w:val="20"/>
                <w:szCs w:val="20"/>
                <w:lang w:eastAsia="en-GB"/>
              </w:rPr>
            </w:pPr>
            <w:r w:rsidRPr="003A41B3">
              <w:rPr>
                <w:sz w:val="20"/>
                <w:szCs w:val="20"/>
              </w:rPr>
              <w:t>(-0.41)</w:t>
            </w:r>
          </w:p>
        </w:tc>
      </w:tr>
      <w:tr w:rsidR="00950423" w:rsidRPr="003A41B3" w14:paraId="0B85FEFC" w14:textId="77777777" w:rsidTr="00D772AB">
        <w:trPr>
          <w:trHeight w:val="105"/>
        </w:trPr>
        <w:tc>
          <w:tcPr>
            <w:tcW w:w="612" w:type="pct"/>
            <w:tcBorders>
              <w:top w:val="nil"/>
              <w:left w:val="nil"/>
              <w:bottom w:val="nil"/>
              <w:right w:val="nil"/>
            </w:tcBorders>
            <w:shd w:val="clear" w:color="auto" w:fill="auto"/>
            <w:noWrap/>
            <w:vAlign w:val="center"/>
            <w:hideMark/>
          </w:tcPr>
          <w:p w14:paraId="66E9D332"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Observations</w:t>
            </w:r>
          </w:p>
        </w:tc>
        <w:tc>
          <w:tcPr>
            <w:tcW w:w="561" w:type="pct"/>
            <w:gridSpan w:val="2"/>
            <w:tcBorders>
              <w:top w:val="nil"/>
              <w:left w:val="nil"/>
              <w:bottom w:val="nil"/>
              <w:right w:val="nil"/>
            </w:tcBorders>
            <w:shd w:val="clear" w:color="auto" w:fill="auto"/>
            <w:noWrap/>
            <w:vAlign w:val="bottom"/>
          </w:tcPr>
          <w:p w14:paraId="33581DE0" w14:textId="3DCD47E3" w:rsidR="00950423" w:rsidRPr="003A41B3" w:rsidRDefault="00D772AB" w:rsidP="00154091">
            <w:pPr>
              <w:contextualSpacing/>
              <w:jc w:val="center"/>
              <w:rPr>
                <w:rFonts w:eastAsia="Times New Roman"/>
                <w:sz w:val="20"/>
                <w:szCs w:val="20"/>
                <w:lang w:eastAsia="en-GB"/>
              </w:rPr>
            </w:pPr>
            <w:r w:rsidRPr="003A41B3">
              <w:rPr>
                <w:rFonts w:eastAsia="Times New Roman"/>
                <w:sz w:val="20"/>
                <w:szCs w:val="20"/>
                <w:lang w:eastAsia="en-GB"/>
              </w:rPr>
              <w:t>388</w:t>
            </w:r>
          </w:p>
        </w:tc>
        <w:tc>
          <w:tcPr>
            <w:tcW w:w="758" w:type="pct"/>
            <w:tcBorders>
              <w:top w:val="nil"/>
              <w:left w:val="nil"/>
              <w:bottom w:val="nil"/>
              <w:right w:val="single" w:sz="4" w:space="0" w:color="auto"/>
            </w:tcBorders>
            <w:shd w:val="clear" w:color="auto" w:fill="auto"/>
            <w:noWrap/>
            <w:vAlign w:val="bottom"/>
          </w:tcPr>
          <w:p w14:paraId="567EE5C0" w14:textId="14908C84" w:rsidR="00950423" w:rsidRPr="003A41B3" w:rsidRDefault="00D772AB" w:rsidP="00154091">
            <w:pPr>
              <w:contextualSpacing/>
              <w:jc w:val="center"/>
              <w:rPr>
                <w:rFonts w:eastAsia="Times New Roman"/>
                <w:sz w:val="20"/>
                <w:szCs w:val="20"/>
                <w:lang w:eastAsia="en-GB"/>
              </w:rPr>
            </w:pPr>
            <w:r w:rsidRPr="003A41B3">
              <w:rPr>
                <w:rFonts w:eastAsia="Times New Roman"/>
                <w:sz w:val="20"/>
                <w:szCs w:val="20"/>
                <w:lang w:eastAsia="en-GB"/>
              </w:rPr>
              <w:t>388</w:t>
            </w:r>
          </w:p>
        </w:tc>
        <w:tc>
          <w:tcPr>
            <w:tcW w:w="660" w:type="pct"/>
            <w:tcBorders>
              <w:top w:val="single" w:sz="4" w:space="0" w:color="auto"/>
              <w:left w:val="single" w:sz="4" w:space="0" w:color="auto"/>
              <w:bottom w:val="nil"/>
              <w:right w:val="nil"/>
            </w:tcBorders>
            <w:shd w:val="clear" w:color="auto" w:fill="auto"/>
            <w:noWrap/>
            <w:vAlign w:val="bottom"/>
          </w:tcPr>
          <w:p w14:paraId="5D40EC9C" w14:textId="11384DEB" w:rsidR="00950423" w:rsidRPr="003A41B3" w:rsidRDefault="00D772AB" w:rsidP="00154091">
            <w:pPr>
              <w:contextualSpacing/>
              <w:jc w:val="center"/>
              <w:rPr>
                <w:rFonts w:eastAsia="Times New Roman"/>
                <w:sz w:val="20"/>
                <w:szCs w:val="20"/>
                <w:lang w:eastAsia="en-GB"/>
              </w:rPr>
            </w:pPr>
            <w:r w:rsidRPr="003A41B3">
              <w:rPr>
                <w:rFonts w:eastAsia="Times New Roman"/>
                <w:sz w:val="20"/>
                <w:szCs w:val="20"/>
                <w:lang w:eastAsia="en-GB"/>
              </w:rPr>
              <w:t>208</w:t>
            </w:r>
          </w:p>
        </w:tc>
        <w:tc>
          <w:tcPr>
            <w:tcW w:w="808" w:type="pct"/>
            <w:tcBorders>
              <w:top w:val="single" w:sz="4" w:space="0" w:color="auto"/>
              <w:left w:val="nil"/>
              <w:bottom w:val="nil"/>
              <w:right w:val="single" w:sz="4" w:space="0" w:color="auto"/>
            </w:tcBorders>
            <w:shd w:val="clear" w:color="auto" w:fill="auto"/>
            <w:noWrap/>
            <w:vAlign w:val="bottom"/>
          </w:tcPr>
          <w:p w14:paraId="1EC21229" w14:textId="2AAA0827" w:rsidR="00950423" w:rsidRPr="003A41B3" w:rsidRDefault="00D772AB" w:rsidP="00154091">
            <w:pPr>
              <w:contextualSpacing/>
              <w:jc w:val="center"/>
              <w:rPr>
                <w:rFonts w:eastAsia="Times New Roman"/>
                <w:sz w:val="20"/>
                <w:szCs w:val="20"/>
                <w:lang w:eastAsia="en-GB"/>
              </w:rPr>
            </w:pPr>
            <w:r w:rsidRPr="003A41B3">
              <w:rPr>
                <w:rFonts w:eastAsia="Times New Roman"/>
                <w:sz w:val="20"/>
                <w:szCs w:val="20"/>
                <w:lang w:eastAsia="en-GB"/>
              </w:rPr>
              <w:t>208</w:t>
            </w:r>
          </w:p>
        </w:tc>
        <w:tc>
          <w:tcPr>
            <w:tcW w:w="767" w:type="pct"/>
            <w:tcBorders>
              <w:top w:val="single" w:sz="4" w:space="0" w:color="auto"/>
              <w:left w:val="nil"/>
              <w:bottom w:val="nil"/>
              <w:right w:val="nil"/>
            </w:tcBorders>
            <w:shd w:val="clear" w:color="auto" w:fill="auto"/>
            <w:noWrap/>
            <w:vAlign w:val="bottom"/>
          </w:tcPr>
          <w:p w14:paraId="163F818B" w14:textId="4610F139" w:rsidR="00950423" w:rsidRPr="003A41B3" w:rsidRDefault="006A0BAE" w:rsidP="006A0BAE">
            <w:pPr>
              <w:contextualSpacing/>
              <w:jc w:val="center"/>
              <w:rPr>
                <w:rFonts w:eastAsia="Times New Roman"/>
                <w:sz w:val="20"/>
                <w:szCs w:val="20"/>
                <w:lang w:eastAsia="en-GB"/>
              </w:rPr>
            </w:pPr>
            <w:r w:rsidRPr="003A41B3">
              <w:rPr>
                <w:rFonts w:eastAsia="Times New Roman"/>
                <w:sz w:val="20"/>
                <w:szCs w:val="20"/>
                <w:lang w:eastAsia="en-GB"/>
              </w:rPr>
              <w:t>232</w:t>
            </w:r>
          </w:p>
        </w:tc>
        <w:tc>
          <w:tcPr>
            <w:tcW w:w="834" w:type="pct"/>
            <w:tcBorders>
              <w:top w:val="single" w:sz="4" w:space="0" w:color="auto"/>
              <w:left w:val="nil"/>
              <w:bottom w:val="nil"/>
              <w:right w:val="single" w:sz="4" w:space="0" w:color="FFFFFF"/>
            </w:tcBorders>
            <w:shd w:val="clear" w:color="auto" w:fill="auto"/>
            <w:noWrap/>
            <w:vAlign w:val="bottom"/>
          </w:tcPr>
          <w:p w14:paraId="1D597263" w14:textId="54613932" w:rsidR="00950423" w:rsidRPr="003A41B3" w:rsidRDefault="006A0BAE" w:rsidP="00154091">
            <w:pPr>
              <w:contextualSpacing/>
              <w:jc w:val="center"/>
              <w:rPr>
                <w:rFonts w:eastAsia="Times New Roman"/>
                <w:sz w:val="20"/>
                <w:szCs w:val="20"/>
                <w:lang w:eastAsia="en-GB"/>
              </w:rPr>
            </w:pPr>
            <w:r w:rsidRPr="003A41B3">
              <w:rPr>
                <w:rFonts w:eastAsia="Times New Roman"/>
                <w:sz w:val="20"/>
                <w:szCs w:val="20"/>
                <w:lang w:eastAsia="en-GB"/>
              </w:rPr>
              <w:t>232</w:t>
            </w:r>
          </w:p>
        </w:tc>
      </w:tr>
      <w:tr w:rsidR="00950423" w:rsidRPr="003A41B3" w14:paraId="391D2218" w14:textId="77777777" w:rsidTr="00D772AB">
        <w:trPr>
          <w:trHeight w:val="143"/>
        </w:trPr>
        <w:tc>
          <w:tcPr>
            <w:tcW w:w="612" w:type="pct"/>
            <w:tcBorders>
              <w:top w:val="nil"/>
              <w:left w:val="nil"/>
              <w:bottom w:val="nil"/>
              <w:right w:val="nil"/>
            </w:tcBorders>
            <w:shd w:val="clear" w:color="auto" w:fill="auto"/>
            <w:noWrap/>
            <w:vAlign w:val="center"/>
            <w:hideMark/>
          </w:tcPr>
          <w:p w14:paraId="2E93B3CF"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R-squared</w:t>
            </w:r>
          </w:p>
        </w:tc>
        <w:tc>
          <w:tcPr>
            <w:tcW w:w="561" w:type="pct"/>
            <w:gridSpan w:val="2"/>
            <w:tcBorders>
              <w:top w:val="nil"/>
              <w:left w:val="nil"/>
              <w:bottom w:val="nil"/>
              <w:right w:val="nil"/>
            </w:tcBorders>
            <w:shd w:val="clear" w:color="auto" w:fill="auto"/>
            <w:noWrap/>
            <w:vAlign w:val="bottom"/>
          </w:tcPr>
          <w:p w14:paraId="7365D0C1" w14:textId="1C86C049" w:rsidR="00950423" w:rsidRPr="003A41B3" w:rsidRDefault="00D772AB" w:rsidP="00154091">
            <w:pPr>
              <w:jc w:val="center"/>
              <w:rPr>
                <w:sz w:val="20"/>
                <w:szCs w:val="20"/>
                <w:lang w:val="en-GB"/>
              </w:rPr>
            </w:pPr>
            <w:r w:rsidRPr="003A41B3">
              <w:rPr>
                <w:rFonts w:eastAsia="Times New Roman"/>
                <w:sz w:val="20"/>
                <w:szCs w:val="20"/>
                <w:lang w:eastAsia="en-GB"/>
              </w:rPr>
              <w:t>0.1326</w:t>
            </w:r>
          </w:p>
        </w:tc>
        <w:tc>
          <w:tcPr>
            <w:tcW w:w="758" w:type="pct"/>
            <w:tcBorders>
              <w:top w:val="nil"/>
              <w:left w:val="nil"/>
              <w:bottom w:val="nil"/>
              <w:right w:val="single" w:sz="4" w:space="0" w:color="auto"/>
            </w:tcBorders>
            <w:shd w:val="clear" w:color="auto" w:fill="auto"/>
            <w:noWrap/>
            <w:vAlign w:val="bottom"/>
          </w:tcPr>
          <w:p w14:paraId="24068409" w14:textId="0C8C89CB" w:rsidR="00950423" w:rsidRPr="003A41B3" w:rsidRDefault="00D772AB" w:rsidP="00154091">
            <w:pPr>
              <w:jc w:val="center"/>
              <w:rPr>
                <w:sz w:val="20"/>
                <w:szCs w:val="20"/>
                <w:lang w:val="en-GB"/>
              </w:rPr>
            </w:pPr>
            <w:r w:rsidRPr="003A41B3">
              <w:rPr>
                <w:rFonts w:eastAsia="Times New Roman"/>
                <w:sz w:val="20"/>
                <w:szCs w:val="20"/>
                <w:lang w:eastAsia="en-GB"/>
              </w:rPr>
              <w:t>0.1323</w:t>
            </w:r>
          </w:p>
        </w:tc>
        <w:tc>
          <w:tcPr>
            <w:tcW w:w="660" w:type="pct"/>
            <w:tcBorders>
              <w:top w:val="nil"/>
              <w:left w:val="single" w:sz="4" w:space="0" w:color="auto"/>
              <w:bottom w:val="nil"/>
              <w:right w:val="nil"/>
            </w:tcBorders>
            <w:shd w:val="clear" w:color="auto" w:fill="auto"/>
            <w:noWrap/>
            <w:vAlign w:val="bottom"/>
          </w:tcPr>
          <w:p w14:paraId="290413EE" w14:textId="74B5095A" w:rsidR="00950423" w:rsidRPr="003A41B3" w:rsidRDefault="00D772AB" w:rsidP="00D772AB">
            <w:pPr>
              <w:jc w:val="center"/>
              <w:rPr>
                <w:sz w:val="20"/>
                <w:szCs w:val="20"/>
                <w:lang w:val="en-GB"/>
              </w:rPr>
            </w:pPr>
            <w:r w:rsidRPr="003A41B3">
              <w:rPr>
                <w:sz w:val="20"/>
                <w:szCs w:val="20"/>
              </w:rPr>
              <w:t>0.2554</w:t>
            </w:r>
          </w:p>
        </w:tc>
        <w:tc>
          <w:tcPr>
            <w:tcW w:w="808" w:type="pct"/>
            <w:tcBorders>
              <w:top w:val="nil"/>
              <w:left w:val="nil"/>
              <w:bottom w:val="nil"/>
              <w:right w:val="single" w:sz="4" w:space="0" w:color="auto"/>
            </w:tcBorders>
            <w:shd w:val="clear" w:color="auto" w:fill="auto"/>
            <w:noWrap/>
            <w:vAlign w:val="bottom"/>
          </w:tcPr>
          <w:p w14:paraId="1C7D4FF4" w14:textId="7B28E948" w:rsidR="00950423" w:rsidRPr="003A41B3" w:rsidRDefault="00950423" w:rsidP="00154091">
            <w:pPr>
              <w:jc w:val="center"/>
              <w:rPr>
                <w:sz w:val="20"/>
                <w:szCs w:val="20"/>
                <w:lang w:val="en-GB"/>
              </w:rPr>
            </w:pPr>
            <w:r w:rsidRPr="003A41B3">
              <w:rPr>
                <w:sz w:val="20"/>
                <w:szCs w:val="20"/>
              </w:rPr>
              <w:t>0.</w:t>
            </w:r>
            <w:r w:rsidR="00D772AB" w:rsidRPr="003A41B3">
              <w:rPr>
                <w:sz w:val="20"/>
                <w:szCs w:val="20"/>
              </w:rPr>
              <w:t>2604</w:t>
            </w:r>
          </w:p>
        </w:tc>
        <w:tc>
          <w:tcPr>
            <w:tcW w:w="767" w:type="pct"/>
            <w:tcBorders>
              <w:top w:val="nil"/>
              <w:left w:val="nil"/>
              <w:bottom w:val="nil"/>
              <w:right w:val="nil"/>
            </w:tcBorders>
            <w:shd w:val="clear" w:color="auto" w:fill="auto"/>
            <w:noWrap/>
            <w:vAlign w:val="bottom"/>
          </w:tcPr>
          <w:p w14:paraId="0E7109DA" w14:textId="58FB37D6" w:rsidR="00950423" w:rsidRPr="003A41B3" w:rsidRDefault="00950423" w:rsidP="00154091">
            <w:pPr>
              <w:jc w:val="center"/>
              <w:rPr>
                <w:sz w:val="20"/>
                <w:szCs w:val="20"/>
                <w:lang w:val="en-GB"/>
              </w:rPr>
            </w:pPr>
            <w:r w:rsidRPr="003A41B3">
              <w:rPr>
                <w:sz w:val="20"/>
                <w:szCs w:val="20"/>
              </w:rPr>
              <w:t>0.2</w:t>
            </w:r>
            <w:r w:rsidR="006A0BAE" w:rsidRPr="003A41B3">
              <w:rPr>
                <w:sz w:val="20"/>
                <w:szCs w:val="20"/>
              </w:rPr>
              <w:t>975</w:t>
            </w:r>
          </w:p>
        </w:tc>
        <w:tc>
          <w:tcPr>
            <w:tcW w:w="834" w:type="pct"/>
            <w:tcBorders>
              <w:top w:val="nil"/>
              <w:left w:val="nil"/>
              <w:bottom w:val="nil"/>
              <w:right w:val="single" w:sz="4" w:space="0" w:color="FFFFFF"/>
            </w:tcBorders>
            <w:shd w:val="clear" w:color="auto" w:fill="auto"/>
            <w:noWrap/>
            <w:vAlign w:val="bottom"/>
          </w:tcPr>
          <w:p w14:paraId="2193AB3E" w14:textId="34FDAAB7" w:rsidR="00950423" w:rsidRPr="003A41B3" w:rsidRDefault="00950423" w:rsidP="00154091">
            <w:pPr>
              <w:jc w:val="center"/>
              <w:rPr>
                <w:sz w:val="20"/>
                <w:szCs w:val="20"/>
                <w:lang w:val="en-GB"/>
              </w:rPr>
            </w:pPr>
            <w:r w:rsidRPr="003A41B3">
              <w:rPr>
                <w:sz w:val="20"/>
                <w:szCs w:val="20"/>
              </w:rPr>
              <w:t>0.</w:t>
            </w:r>
            <w:r w:rsidR="006A0BAE" w:rsidRPr="003A41B3">
              <w:rPr>
                <w:sz w:val="20"/>
                <w:szCs w:val="20"/>
              </w:rPr>
              <w:t>3170</w:t>
            </w:r>
          </w:p>
        </w:tc>
      </w:tr>
      <w:tr w:rsidR="00950423" w:rsidRPr="003A41B3" w14:paraId="7ACB5BE0" w14:textId="77777777" w:rsidTr="00D772AB">
        <w:trPr>
          <w:trHeight w:val="80"/>
        </w:trPr>
        <w:tc>
          <w:tcPr>
            <w:tcW w:w="612" w:type="pct"/>
            <w:tcBorders>
              <w:top w:val="nil"/>
              <w:left w:val="nil"/>
              <w:bottom w:val="single" w:sz="8" w:space="0" w:color="auto"/>
              <w:right w:val="nil"/>
            </w:tcBorders>
            <w:shd w:val="clear" w:color="auto" w:fill="auto"/>
            <w:noWrap/>
            <w:vAlign w:val="center"/>
            <w:hideMark/>
          </w:tcPr>
          <w:p w14:paraId="2DB1D1E1" w14:textId="77777777" w:rsidR="00950423" w:rsidRPr="003A41B3" w:rsidRDefault="00950423" w:rsidP="00154091">
            <w:pPr>
              <w:contextualSpacing/>
              <w:rPr>
                <w:rFonts w:eastAsia="Times New Roman"/>
                <w:sz w:val="20"/>
                <w:szCs w:val="20"/>
                <w:lang w:eastAsia="en-GB"/>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561" w:type="pct"/>
            <w:gridSpan w:val="2"/>
            <w:tcBorders>
              <w:top w:val="nil"/>
              <w:left w:val="nil"/>
              <w:bottom w:val="single" w:sz="8" w:space="0" w:color="auto"/>
              <w:right w:val="nil"/>
            </w:tcBorders>
            <w:shd w:val="clear" w:color="auto" w:fill="auto"/>
            <w:noWrap/>
            <w:vAlign w:val="center"/>
            <w:hideMark/>
          </w:tcPr>
          <w:p w14:paraId="19CD7271" w14:textId="05C2907E"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758" w:type="pct"/>
            <w:tcBorders>
              <w:top w:val="nil"/>
              <w:left w:val="nil"/>
              <w:bottom w:val="single" w:sz="8" w:space="0" w:color="auto"/>
              <w:right w:val="single" w:sz="4" w:space="0" w:color="auto"/>
            </w:tcBorders>
            <w:shd w:val="clear" w:color="auto" w:fill="auto"/>
            <w:noWrap/>
            <w:vAlign w:val="center"/>
            <w:hideMark/>
          </w:tcPr>
          <w:p w14:paraId="79AC1A63" w14:textId="412D9E43"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660" w:type="pct"/>
            <w:tcBorders>
              <w:top w:val="nil"/>
              <w:left w:val="single" w:sz="4" w:space="0" w:color="auto"/>
              <w:bottom w:val="single" w:sz="8" w:space="0" w:color="auto"/>
              <w:right w:val="nil"/>
            </w:tcBorders>
            <w:shd w:val="clear" w:color="auto" w:fill="auto"/>
            <w:noWrap/>
            <w:vAlign w:val="center"/>
            <w:hideMark/>
          </w:tcPr>
          <w:p w14:paraId="5A7D30CA" w14:textId="35070D63"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808" w:type="pct"/>
            <w:tcBorders>
              <w:top w:val="nil"/>
              <w:left w:val="nil"/>
              <w:bottom w:val="single" w:sz="8" w:space="0" w:color="auto"/>
              <w:right w:val="single" w:sz="4" w:space="0" w:color="auto"/>
            </w:tcBorders>
            <w:shd w:val="clear" w:color="auto" w:fill="auto"/>
            <w:noWrap/>
            <w:vAlign w:val="center"/>
            <w:hideMark/>
          </w:tcPr>
          <w:p w14:paraId="0FC593B9" w14:textId="0D0B0CD7"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767" w:type="pct"/>
            <w:tcBorders>
              <w:top w:val="nil"/>
              <w:left w:val="nil"/>
              <w:bottom w:val="single" w:sz="8" w:space="0" w:color="auto"/>
              <w:right w:val="nil"/>
            </w:tcBorders>
            <w:shd w:val="clear" w:color="auto" w:fill="auto"/>
            <w:noWrap/>
            <w:vAlign w:val="center"/>
            <w:hideMark/>
          </w:tcPr>
          <w:p w14:paraId="29C0C79F" w14:textId="6165654E"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c>
          <w:tcPr>
            <w:tcW w:w="834" w:type="pct"/>
            <w:tcBorders>
              <w:top w:val="nil"/>
              <w:left w:val="nil"/>
              <w:bottom w:val="single" w:sz="8" w:space="0" w:color="auto"/>
              <w:right w:val="single" w:sz="4" w:space="0" w:color="FFFFFF"/>
            </w:tcBorders>
            <w:shd w:val="clear" w:color="auto" w:fill="auto"/>
            <w:noWrap/>
            <w:vAlign w:val="center"/>
            <w:hideMark/>
          </w:tcPr>
          <w:p w14:paraId="63B6E711" w14:textId="0AC6DAB3" w:rsidR="00950423" w:rsidRPr="003A41B3" w:rsidRDefault="00876F92" w:rsidP="00154091">
            <w:pPr>
              <w:contextualSpacing/>
              <w:jc w:val="center"/>
              <w:rPr>
                <w:rFonts w:eastAsia="Times New Roman"/>
                <w:sz w:val="20"/>
                <w:szCs w:val="20"/>
                <w:lang w:eastAsia="en-GB"/>
              </w:rPr>
            </w:pPr>
            <w:r w:rsidRPr="003A41B3">
              <w:rPr>
                <w:rFonts w:eastAsia="Times New Roman"/>
                <w:sz w:val="20"/>
                <w:szCs w:val="20"/>
                <w:lang w:eastAsia="en-GB"/>
              </w:rPr>
              <w:t>Yes</w:t>
            </w:r>
          </w:p>
        </w:tc>
      </w:tr>
    </w:tbl>
    <w:p w14:paraId="14E47556" w14:textId="77777777" w:rsidR="00950423" w:rsidRPr="003A41B3" w:rsidRDefault="00950423" w:rsidP="00222633">
      <w:pPr>
        <w:rPr>
          <w:sz w:val="6"/>
          <w:szCs w:val="6"/>
        </w:rPr>
      </w:pPr>
    </w:p>
    <w:p w14:paraId="160465B6" w14:textId="77777777" w:rsidR="006A0BAE" w:rsidRPr="003A41B3" w:rsidRDefault="00CB5F15" w:rsidP="00EF0F38">
      <w:pPr>
        <w:jc w:val="both"/>
        <w:rPr>
          <w:sz w:val="20"/>
          <w:szCs w:val="20"/>
        </w:rPr>
      </w:pPr>
      <w:r w:rsidRPr="003A41B3">
        <w:rPr>
          <w:i/>
          <w:sz w:val="20"/>
          <w:szCs w:val="20"/>
        </w:rPr>
        <w:t>Note:</w:t>
      </w:r>
      <w:r w:rsidR="008133EC" w:rsidRPr="003A41B3">
        <w:rPr>
          <w:sz w:val="20"/>
          <w:szCs w:val="20"/>
        </w:rPr>
        <w:t xml:space="preserve"> </w:t>
      </w:r>
      <w:r w:rsidR="00222633" w:rsidRPr="003A41B3">
        <w:rPr>
          <w:sz w:val="20"/>
          <w:szCs w:val="20"/>
        </w:rPr>
        <w:t>This table presents the estimated coefficients and robust z-statistics in parentheses from specifications of Eq.</w:t>
      </w:r>
      <w:r w:rsidR="002016D9" w:rsidRPr="003A41B3">
        <w:rPr>
          <w:sz w:val="20"/>
          <w:szCs w:val="20"/>
        </w:rPr>
        <w:t xml:space="preserve"> </w:t>
      </w:r>
      <w:r w:rsidR="00222633" w:rsidRPr="003A41B3">
        <w:rPr>
          <w:sz w:val="20"/>
          <w:szCs w:val="20"/>
        </w:rPr>
        <w:t xml:space="preserve">(1a) and </w:t>
      </w:r>
      <w:r w:rsidR="002016D9" w:rsidRPr="003A41B3">
        <w:rPr>
          <w:sz w:val="20"/>
          <w:szCs w:val="20"/>
        </w:rPr>
        <w:t xml:space="preserve">Eq. </w:t>
      </w:r>
      <w:r w:rsidR="00BD7246" w:rsidRPr="003A41B3">
        <w:rPr>
          <w:sz w:val="20"/>
          <w:szCs w:val="20"/>
        </w:rPr>
        <w:t>(</w:t>
      </w:r>
      <w:r w:rsidR="00222633" w:rsidRPr="003A41B3">
        <w:rPr>
          <w:sz w:val="20"/>
          <w:szCs w:val="20"/>
        </w:rPr>
        <w:t>1b</w:t>
      </w:r>
      <w:r w:rsidR="00BD7246" w:rsidRPr="003A41B3">
        <w:rPr>
          <w:sz w:val="20"/>
          <w:szCs w:val="20"/>
        </w:rPr>
        <w:t>)</w:t>
      </w:r>
      <w:r w:rsidR="00222633" w:rsidRPr="003A41B3">
        <w:rPr>
          <w:sz w:val="20"/>
          <w:szCs w:val="20"/>
        </w:rPr>
        <w:t>. The dataset consists of daily positive an</w:t>
      </w:r>
      <w:r w:rsidR="002016D9" w:rsidRPr="003A41B3">
        <w:rPr>
          <w:sz w:val="20"/>
          <w:szCs w:val="20"/>
        </w:rPr>
        <w:t xml:space="preserve">d negative sovereign events by </w:t>
      </w:r>
      <w:r w:rsidR="00222633" w:rsidRPr="003A41B3">
        <w:rPr>
          <w:sz w:val="20"/>
          <w:szCs w:val="20"/>
        </w:rPr>
        <w:t>S&amp;P, Moody’s and Fitch based in 58-CCR rating scale for</w:t>
      </w:r>
      <w:r w:rsidR="00A21006" w:rsidRPr="003A41B3">
        <w:rPr>
          <w:sz w:val="20"/>
          <w:szCs w:val="20"/>
        </w:rPr>
        <w:t xml:space="preserve"> </w:t>
      </w:r>
      <w:r w:rsidR="00222633" w:rsidRPr="003A41B3">
        <w:rPr>
          <w:sz w:val="20"/>
          <w:szCs w:val="20"/>
        </w:rPr>
        <w:t xml:space="preserve">70 countries during </w:t>
      </w:r>
      <w:r w:rsidR="002016D9" w:rsidRPr="003A41B3">
        <w:rPr>
          <w:sz w:val="20"/>
          <w:szCs w:val="20"/>
        </w:rPr>
        <w:t>Jan 2006</w:t>
      </w:r>
      <w:r w:rsidR="00222633" w:rsidRPr="003A41B3">
        <w:rPr>
          <w:sz w:val="20"/>
          <w:szCs w:val="20"/>
        </w:rPr>
        <w:t>-June 2016.</w:t>
      </w:r>
      <w:r w:rsidR="00C82971" w:rsidRPr="003A41B3">
        <w:rPr>
          <w:sz w:val="20"/>
          <w:szCs w:val="20"/>
        </w:rPr>
        <w:t xml:space="preserve"> </w:t>
      </w:r>
      <w:r w:rsidR="00222633" w:rsidRPr="003A41B3">
        <w:rPr>
          <w:sz w:val="20"/>
          <w:szCs w:val="20"/>
        </w:rPr>
        <w:t xml:space="preserve">For every event observation there is a randomly selected non-event observation. The dependent variable is </w:t>
      </w:r>
      <w:r w:rsidR="00222633" w:rsidRPr="003A41B3">
        <w:rPr>
          <w:i/>
          <w:sz w:val="20"/>
          <w:szCs w:val="20"/>
        </w:rPr>
        <w:t>∆Yield</w:t>
      </w:r>
      <w:r w:rsidR="00222633" w:rsidRPr="003A41B3">
        <w:rPr>
          <w:sz w:val="20"/>
          <w:szCs w:val="20"/>
        </w:rPr>
        <w:t xml:space="preserve"> which measures, in basis points, the changes in the window [0, +1] sovereign yield spreads towards the benchmark US bonds on a particular sovereign bond </w:t>
      </w:r>
      <w:proofErr w:type="spellStart"/>
      <w:r w:rsidR="00222633" w:rsidRPr="003A41B3">
        <w:rPr>
          <w:sz w:val="20"/>
          <w:szCs w:val="20"/>
        </w:rPr>
        <w:t>i</w:t>
      </w:r>
      <w:proofErr w:type="spellEnd"/>
      <w:r w:rsidR="00222633" w:rsidRPr="003A41B3">
        <w:rPr>
          <w:sz w:val="20"/>
          <w:szCs w:val="20"/>
        </w:rPr>
        <w:t xml:space="preserve"> on the event day t. </w:t>
      </w:r>
      <w:r w:rsidR="00731B97" w:rsidRPr="003A41B3">
        <w:rPr>
          <w:rFonts w:eastAsia="Times New Roman"/>
          <w:i/>
          <w:sz w:val="20"/>
          <w:szCs w:val="20"/>
          <w:lang w:eastAsia="en-GB"/>
        </w:rPr>
        <w:t>∆Rating</w:t>
      </w:r>
      <w:r w:rsidR="00731B97" w:rsidRPr="003A41B3">
        <w:rPr>
          <w:sz w:val="20"/>
          <w:szCs w:val="20"/>
        </w:rPr>
        <w:t xml:space="preserve"> </w:t>
      </w:r>
      <w:r w:rsidR="008133EC" w:rsidRPr="003A41B3">
        <w:rPr>
          <w:sz w:val="20"/>
          <w:szCs w:val="20"/>
        </w:rPr>
        <w:t xml:space="preserve">is the change in sovereign issuer CCR by one of the three CRAs coded as absolute ordinal values 1 (1-CCR), 2 (2-CCR) and 3 (&gt;2-CCR), and 0 (no change). </w:t>
      </w:r>
      <w:r w:rsidR="008133EC" w:rsidRPr="003A41B3">
        <w:rPr>
          <w:i/>
          <w:sz w:val="20"/>
          <w:szCs w:val="20"/>
        </w:rPr>
        <w:t xml:space="preserve">Identifier </w:t>
      </w:r>
      <w:r w:rsidR="00731B97" w:rsidRPr="003A41B3">
        <w:rPr>
          <w:sz w:val="20"/>
          <w:szCs w:val="20"/>
        </w:rPr>
        <w:t>dummy</w:t>
      </w:r>
      <w:r w:rsidR="008133EC" w:rsidRPr="003A41B3">
        <w:rPr>
          <w:sz w:val="20"/>
          <w:szCs w:val="20"/>
        </w:rPr>
        <w:t xml:space="preserve"> equals 1 after the endorsement rules introduced by ESMA took effect on April 30 2012, and 0 otherwise. </w:t>
      </w:r>
      <w:r w:rsidR="008133EC" w:rsidRPr="003A41B3">
        <w:rPr>
          <w:i/>
          <w:sz w:val="20"/>
          <w:szCs w:val="20"/>
        </w:rPr>
        <w:t>Rating58</w:t>
      </w:r>
      <w:r w:rsidR="008133EC" w:rsidRPr="003A41B3">
        <w:rPr>
          <w:sz w:val="20"/>
          <w:szCs w:val="20"/>
        </w:rPr>
        <w:t xml:space="preserve"> represents sovereign’s CCR taking values 1-58. </w:t>
      </w:r>
      <w:r w:rsidR="008133EC" w:rsidRPr="003A41B3">
        <w:rPr>
          <w:i/>
          <w:sz w:val="20"/>
          <w:szCs w:val="20"/>
        </w:rPr>
        <w:t xml:space="preserve">Maturity </w:t>
      </w:r>
      <w:r w:rsidR="008133EC" w:rsidRPr="003A41B3">
        <w:rPr>
          <w:sz w:val="20"/>
          <w:szCs w:val="20"/>
        </w:rPr>
        <w:t xml:space="preserve">is bond’s time to maturity. </w:t>
      </w:r>
      <w:r w:rsidR="008133EC" w:rsidRPr="003A41B3">
        <w:rPr>
          <w:i/>
          <w:sz w:val="20"/>
          <w:szCs w:val="20"/>
        </w:rPr>
        <w:t>EE (EU)</w:t>
      </w:r>
      <w:r w:rsidR="008133EC" w:rsidRPr="003A41B3">
        <w:rPr>
          <w:sz w:val="20"/>
          <w:szCs w:val="20"/>
        </w:rPr>
        <w:t xml:space="preserve"> takes the value of 1 if the rating of sovereign </w:t>
      </w:r>
      <w:proofErr w:type="spellStart"/>
      <w:r w:rsidR="008133EC" w:rsidRPr="003A41B3">
        <w:rPr>
          <w:sz w:val="20"/>
          <w:szCs w:val="20"/>
        </w:rPr>
        <w:t>i</w:t>
      </w:r>
      <w:proofErr w:type="spellEnd"/>
      <w:r w:rsidR="008133EC" w:rsidRPr="003A41B3">
        <w:rPr>
          <w:sz w:val="20"/>
          <w:szCs w:val="20"/>
        </w:rPr>
        <w:t xml:space="preserve"> is EU endorsed (EU originated) in the post-identifier period (30 April 2012), 0 otherwise.</w:t>
      </w:r>
      <w:r w:rsidR="00731B97" w:rsidRPr="003A41B3">
        <w:rPr>
          <w:sz w:val="20"/>
          <w:szCs w:val="20"/>
        </w:rPr>
        <w:t xml:space="preserve"> </w:t>
      </w:r>
      <w:r w:rsidR="00222633" w:rsidRPr="003A41B3">
        <w:rPr>
          <w:sz w:val="20"/>
          <w:szCs w:val="20"/>
        </w:rPr>
        <w:t>Year (country) fixed effects are included (“yes”). We estimate Eq. (1a) and (1b) separately for positive and negative events with absolute values (Panel I and II) for interpretation reasons. ***, **, * are signif</w:t>
      </w:r>
      <w:r w:rsidR="002016D9" w:rsidRPr="003A41B3">
        <w:rPr>
          <w:sz w:val="20"/>
          <w:szCs w:val="20"/>
        </w:rPr>
        <w:t>icance levels at 1%, 5% and 10%</w:t>
      </w:r>
      <w:r w:rsidR="004A7E05" w:rsidRPr="003A41B3">
        <w:rPr>
          <w:sz w:val="20"/>
          <w:szCs w:val="20"/>
        </w:rPr>
        <w:t>.</w:t>
      </w:r>
      <w:r w:rsidR="00EF0F38" w:rsidRPr="003A41B3">
        <w:br w:type="page"/>
      </w:r>
    </w:p>
    <w:tbl>
      <w:tblPr>
        <w:tblW w:w="0" w:type="auto"/>
        <w:tblInd w:w="78" w:type="dxa"/>
        <w:tblLayout w:type="fixed"/>
        <w:tblLook w:val="0000" w:firstRow="0" w:lastRow="0" w:firstColumn="0" w:lastColumn="0" w:noHBand="0" w:noVBand="0"/>
      </w:tblPr>
      <w:tblGrid>
        <w:gridCol w:w="2516"/>
        <w:gridCol w:w="2647"/>
        <w:gridCol w:w="2817"/>
        <w:gridCol w:w="2978"/>
        <w:gridCol w:w="2805"/>
        <w:gridCol w:w="10"/>
        <w:gridCol w:w="26"/>
      </w:tblGrid>
      <w:tr w:rsidR="006A0BAE" w:rsidRPr="003A41B3" w14:paraId="496FC8BA" w14:textId="77777777" w:rsidTr="00154091">
        <w:trPr>
          <w:trHeight w:val="547"/>
        </w:trPr>
        <w:tc>
          <w:tcPr>
            <w:tcW w:w="13799" w:type="dxa"/>
            <w:gridSpan w:val="7"/>
            <w:tcBorders>
              <w:top w:val="nil"/>
              <w:left w:val="nil"/>
              <w:bottom w:val="single" w:sz="4" w:space="0" w:color="000000" w:themeColor="text1"/>
              <w:right w:val="nil"/>
            </w:tcBorders>
          </w:tcPr>
          <w:p w14:paraId="41BEA293" w14:textId="77777777" w:rsidR="006A0BAE" w:rsidRPr="003A41B3" w:rsidRDefault="006A0BAE" w:rsidP="00154091">
            <w:pPr>
              <w:widowControl w:val="0"/>
              <w:autoSpaceDE w:val="0"/>
              <w:autoSpaceDN w:val="0"/>
              <w:adjustRightInd w:val="0"/>
              <w:rPr>
                <w:b/>
              </w:rPr>
            </w:pPr>
            <w:r w:rsidRPr="003A41B3">
              <w:rPr>
                <w:b/>
              </w:rPr>
              <w:lastRenderedPageBreak/>
              <w:t xml:space="preserve">Table 4. Statistical differences between rating change coefficients in the pre and post-identifier periods: S&amp;P </w:t>
            </w:r>
          </w:p>
        </w:tc>
      </w:tr>
      <w:tr w:rsidR="006A0BAE" w:rsidRPr="003A41B3" w14:paraId="1D66B850" w14:textId="77777777" w:rsidTr="00154091">
        <w:trPr>
          <w:trHeight w:val="300"/>
        </w:trPr>
        <w:tc>
          <w:tcPr>
            <w:tcW w:w="7980" w:type="dxa"/>
            <w:gridSpan w:val="3"/>
            <w:tcBorders>
              <w:top w:val="single" w:sz="4" w:space="0" w:color="000000" w:themeColor="text1"/>
              <w:left w:val="nil"/>
              <w:bottom w:val="single" w:sz="4" w:space="0" w:color="000000" w:themeColor="text1"/>
              <w:right w:val="single" w:sz="4" w:space="0" w:color="000000" w:themeColor="text1"/>
            </w:tcBorders>
          </w:tcPr>
          <w:p w14:paraId="607473EA" w14:textId="77777777" w:rsidR="006A0BAE" w:rsidRPr="003A41B3" w:rsidRDefault="006A0BAE" w:rsidP="00154091">
            <w:pPr>
              <w:widowControl w:val="0"/>
              <w:autoSpaceDE w:val="0"/>
              <w:autoSpaceDN w:val="0"/>
              <w:adjustRightInd w:val="0"/>
              <w:jc w:val="center"/>
              <w:rPr>
                <w:b/>
                <w:bCs/>
                <w:sz w:val="20"/>
              </w:rPr>
            </w:pPr>
            <w:r w:rsidRPr="003A41B3">
              <w:rPr>
                <w:b/>
                <w:bCs/>
                <w:sz w:val="20"/>
              </w:rPr>
              <w:t xml:space="preserve">                                              S&amp;P positive events</w:t>
            </w:r>
          </w:p>
        </w:tc>
        <w:tc>
          <w:tcPr>
            <w:tcW w:w="5819" w:type="dxa"/>
            <w:gridSpan w:val="4"/>
            <w:tcBorders>
              <w:top w:val="single" w:sz="4" w:space="0" w:color="000000" w:themeColor="text1"/>
              <w:left w:val="single" w:sz="4" w:space="0" w:color="000000" w:themeColor="text1"/>
              <w:bottom w:val="single" w:sz="4" w:space="0" w:color="000000" w:themeColor="text1"/>
              <w:right w:val="nil"/>
            </w:tcBorders>
          </w:tcPr>
          <w:p w14:paraId="6E8FCADF" w14:textId="77777777" w:rsidR="006A0BAE" w:rsidRPr="003A41B3" w:rsidRDefault="006A0BAE" w:rsidP="00154091">
            <w:pPr>
              <w:widowControl w:val="0"/>
              <w:autoSpaceDE w:val="0"/>
              <w:autoSpaceDN w:val="0"/>
              <w:adjustRightInd w:val="0"/>
              <w:jc w:val="center"/>
              <w:rPr>
                <w:b/>
                <w:bCs/>
                <w:sz w:val="20"/>
              </w:rPr>
            </w:pPr>
            <w:r w:rsidRPr="003A41B3">
              <w:rPr>
                <w:b/>
                <w:bCs/>
                <w:sz w:val="20"/>
              </w:rPr>
              <w:t>S&amp;P negative events</w:t>
            </w:r>
          </w:p>
        </w:tc>
      </w:tr>
      <w:tr w:rsidR="006A0BAE" w:rsidRPr="003A41B3" w14:paraId="2EE841A7" w14:textId="77777777" w:rsidTr="00154091">
        <w:trPr>
          <w:gridAfter w:val="1"/>
          <w:wAfter w:w="26" w:type="dxa"/>
          <w:trHeight w:val="717"/>
        </w:trPr>
        <w:tc>
          <w:tcPr>
            <w:tcW w:w="2516" w:type="dxa"/>
            <w:tcBorders>
              <w:left w:val="nil"/>
              <w:bottom w:val="single" w:sz="4" w:space="0" w:color="000000" w:themeColor="text1"/>
            </w:tcBorders>
          </w:tcPr>
          <w:p w14:paraId="08B98CBD" w14:textId="77777777" w:rsidR="006A0BAE" w:rsidRPr="003A41B3" w:rsidRDefault="006A0BAE" w:rsidP="00154091">
            <w:pPr>
              <w:widowControl w:val="0"/>
              <w:autoSpaceDE w:val="0"/>
              <w:autoSpaceDN w:val="0"/>
              <w:adjustRightInd w:val="0"/>
            </w:pPr>
            <w:r w:rsidRPr="003A41B3">
              <w:rPr>
                <w:sz w:val="20"/>
                <w:szCs w:val="20"/>
              </w:rPr>
              <w:t>VARIABLES</w:t>
            </w:r>
          </w:p>
        </w:tc>
        <w:tc>
          <w:tcPr>
            <w:tcW w:w="5464" w:type="dxa"/>
            <w:gridSpan w:val="2"/>
            <w:tcBorders>
              <w:bottom w:val="single" w:sz="4" w:space="0" w:color="000000" w:themeColor="text1"/>
              <w:right w:val="single" w:sz="4" w:space="0" w:color="000000" w:themeColor="text1"/>
            </w:tcBorders>
            <w:vAlign w:val="center"/>
          </w:tcPr>
          <w:p w14:paraId="5158E09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F-tests using Eq. (2)</w:t>
            </w:r>
          </w:p>
        </w:tc>
        <w:tc>
          <w:tcPr>
            <w:tcW w:w="5793" w:type="dxa"/>
            <w:gridSpan w:val="3"/>
            <w:tcBorders>
              <w:left w:val="single" w:sz="4" w:space="0" w:color="000000" w:themeColor="text1"/>
              <w:right w:val="nil"/>
            </w:tcBorders>
            <w:vAlign w:val="center"/>
          </w:tcPr>
          <w:p w14:paraId="59ABCD1A"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F-tests using Eq. (2)</w:t>
            </w:r>
          </w:p>
        </w:tc>
      </w:tr>
      <w:tr w:rsidR="006A0BAE" w:rsidRPr="003A41B3" w14:paraId="714AAAAE" w14:textId="77777777" w:rsidTr="00154091">
        <w:trPr>
          <w:gridAfter w:val="2"/>
          <w:wAfter w:w="36" w:type="dxa"/>
          <w:trHeight w:val="447"/>
        </w:trPr>
        <w:tc>
          <w:tcPr>
            <w:tcW w:w="2516" w:type="dxa"/>
            <w:tcBorders>
              <w:top w:val="single" w:sz="4" w:space="0" w:color="000000" w:themeColor="text1"/>
              <w:left w:val="nil"/>
            </w:tcBorders>
          </w:tcPr>
          <w:p w14:paraId="1F2B6A07" w14:textId="77777777" w:rsidR="006A0BAE" w:rsidRPr="003A41B3" w:rsidRDefault="006A0BAE" w:rsidP="00154091">
            <w:pPr>
              <w:widowControl w:val="0"/>
              <w:autoSpaceDE w:val="0"/>
              <w:autoSpaceDN w:val="0"/>
              <w:adjustRightInd w:val="0"/>
              <w:rPr>
                <w:sz w:val="20"/>
                <w:szCs w:val="20"/>
              </w:rPr>
            </w:pPr>
          </w:p>
        </w:tc>
        <w:tc>
          <w:tcPr>
            <w:tcW w:w="2647" w:type="dxa"/>
            <w:tcBorders>
              <w:top w:val="single" w:sz="4" w:space="0" w:color="000000" w:themeColor="text1"/>
            </w:tcBorders>
          </w:tcPr>
          <w:p w14:paraId="5F8F578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817" w:type="dxa"/>
            <w:tcBorders>
              <w:top w:val="single" w:sz="4" w:space="0" w:color="000000" w:themeColor="text1"/>
              <w:right w:val="single" w:sz="4" w:space="0" w:color="000000" w:themeColor="text1"/>
            </w:tcBorders>
          </w:tcPr>
          <w:p w14:paraId="191D866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c>
          <w:tcPr>
            <w:tcW w:w="2978" w:type="dxa"/>
            <w:tcBorders>
              <w:top w:val="single" w:sz="4" w:space="0" w:color="000000"/>
              <w:left w:val="single" w:sz="4" w:space="0" w:color="000000" w:themeColor="text1"/>
            </w:tcBorders>
          </w:tcPr>
          <w:p w14:paraId="1CB8CA6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805" w:type="dxa"/>
            <w:tcBorders>
              <w:top w:val="single" w:sz="4" w:space="0" w:color="000000"/>
              <w:right w:val="nil"/>
            </w:tcBorders>
          </w:tcPr>
          <w:p w14:paraId="783A57E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r>
      <w:tr w:rsidR="006A0BAE" w:rsidRPr="003A41B3" w14:paraId="5A0643D5" w14:textId="77777777" w:rsidTr="00154091">
        <w:trPr>
          <w:gridAfter w:val="2"/>
          <w:wAfter w:w="36" w:type="dxa"/>
          <w:trHeight w:val="282"/>
        </w:trPr>
        <w:tc>
          <w:tcPr>
            <w:tcW w:w="2516" w:type="dxa"/>
            <w:tcBorders>
              <w:left w:val="nil"/>
              <w:bottom w:val="nil"/>
            </w:tcBorders>
          </w:tcPr>
          <w:p w14:paraId="5882C1EE"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47" w:type="dxa"/>
            <w:tcBorders>
              <w:bottom w:val="nil"/>
            </w:tcBorders>
          </w:tcPr>
          <w:p w14:paraId="2B56B6E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-3.408**</w:t>
            </w:r>
          </w:p>
        </w:tc>
        <w:tc>
          <w:tcPr>
            <w:tcW w:w="2817" w:type="dxa"/>
            <w:tcBorders>
              <w:bottom w:val="nil"/>
              <w:right w:val="single" w:sz="4" w:space="0" w:color="000000" w:themeColor="text1"/>
            </w:tcBorders>
          </w:tcPr>
          <w:p w14:paraId="38B2B36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0.253</w:t>
            </w:r>
          </w:p>
        </w:tc>
        <w:tc>
          <w:tcPr>
            <w:tcW w:w="2978" w:type="dxa"/>
            <w:tcBorders>
              <w:left w:val="single" w:sz="4" w:space="0" w:color="000000" w:themeColor="text1"/>
              <w:bottom w:val="nil"/>
            </w:tcBorders>
          </w:tcPr>
          <w:p w14:paraId="3A992BD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4.174***</w:t>
            </w:r>
          </w:p>
        </w:tc>
        <w:tc>
          <w:tcPr>
            <w:tcW w:w="2805" w:type="dxa"/>
            <w:tcBorders>
              <w:bottom w:val="nil"/>
              <w:right w:val="nil"/>
            </w:tcBorders>
          </w:tcPr>
          <w:p w14:paraId="2133C48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1.169</w:t>
            </w:r>
          </w:p>
        </w:tc>
      </w:tr>
      <w:tr w:rsidR="006A0BAE" w:rsidRPr="003A41B3" w14:paraId="48C3AC30" w14:textId="77777777" w:rsidTr="00154091">
        <w:trPr>
          <w:gridAfter w:val="2"/>
          <w:wAfter w:w="36" w:type="dxa"/>
          <w:trHeight w:val="282"/>
        </w:trPr>
        <w:tc>
          <w:tcPr>
            <w:tcW w:w="2516" w:type="dxa"/>
            <w:tcBorders>
              <w:top w:val="nil"/>
              <w:left w:val="nil"/>
              <w:bottom w:val="nil"/>
            </w:tcBorders>
          </w:tcPr>
          <w:p w14:paraId="3D651A58"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nil"/>
            </w:tcBorders>
          </w:tcPr>
          <w:p w14:paraId="6AB0853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(-2.05)</w:t>
            </w:r>
          </w:p>
        </w:tc>
        <w:tc>
          <w:tcPr>
            <w:tcW w:w="2817" w:type="dxa"/>
            <w:tcBorders>
              <w:top w:val="nil"/>
              <w:bottom w:val="nil"/>
              <w:right w:val="single" w:sz="4" w:space="0" w:color="000000" w:themeColor="text1"/>
            </w:tcBorders>
          </w:tcPr>
          <w:p w14:paraId="10F4B59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(0.38)</w:t>
            </w:r>
          </w:p>
        </w:tc>
        <w:tc>
          <w:tcPr>
            <w:tcW w:w="2978" w:type="dxa"/>
            <w:tcBorders>
              <w:top w:val="nil"/>
              <w:left w:val="single" w:sz="4" w:space="0" w:color="000000" w:themeColor="text1"/>
              <w:bottom w:val="nil"/>
            </w:tcBorders>
          </w:tcPr>
          <w:p w14:paraId="16E6B3A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(3.31)</w:t>
            </w:r>
          </w:p>
        </w:tc>
        <w:tc>
          <w:tcPr>
            <w:tcW w:w="2805" w:type="dxa"/>
            <w:tcBorders>
              <w:top w:val="nil"/>
              <w:bottom w:val="nil"/>
              <w:right w:val="nil"/>
            </w:tcBorders>
          </w:tcPr>
          <w:p w14:paraId="2B85D83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(1.57)</w:t>
            </w:r>
          </w:p>
        </w:tc>
      </w:tr>
      <w:tr w:rsidR="006A0BAE" w:rsidRPr="003A41B3" w14:paraId="6BB95E83" w14:textId="77777777" w:rsidTr="00154091">
        <w:trPr>
          <w:gridAfter w:val="2"/>
          <w:wAfter w:w="36" w:type="dxa"/>
          <w:trHeight w:val="282"/>
        </w:trPr>
        <w:tc>
          <w:tcPr>
            <w:tcW w:w="2516" w:type="dxa"/>
            <w:tcBorders>
              <w:top w:val="nil"/>
              <w:left w:val="nil"/>
              <w:bottom w:val="nil"/>
            </w:tcBorders>
          </w:tcPr>
          <w:p w14:paraId="15B185DB"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47" w:type="dxa"/>
            <w:tcBorders>
              <w:top w:val="nil"/>
              <w:bottom w:val="nil"/>
            </w:tcBorders>
          </w:tcPr>
          <w:p w14:paraId="5668E2E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0.511</w:t>
            </w:r>
          </w:p>
        </w:tc>
        <w:tc>
          <w:tcPr>
            <w:tcW w:w="2817" w:type="dxa"/>
            <w:tcBorders>
              <w:top w:val="nil"/>
              <w:bottom w:val="nil"/>
              <w:right w:val="single" w:sz="4" w:space="0" w:color="000000" w:themeColor="text1"/>
            </w:tcBorders>
          </w:tcPr>
          <w:p w14:paraId="10D652B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0.663*</w:t>
            </w:r>
          </w:p>
        </w:tc>
        <w:tc>
          <w:tcPr>
            <w:tcW w:w="2978" w:type="dxa"/>
            <w:tcBorders>
              <w:top w:val="nil"/>
              <w:left w:val="single" w:sz="4" w:space="0" w:color="000000" w:themeColor="text1"/>
              <w:bottom w:val="nil"/>
            </w:tcBorders>
          </w:tcPr>
          <w:p w14:paraId="092F642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1.3734***</w:t>
            </w:r>
          </w:p>
        </w:tc>
        <w:tc>
          <w:tcPr>
            <w:tcW w:w="2805" w:type="dxa"/>
            <w:tcBorders>
              <w:top w:val="nil"/>
              <w:bottom w:val="nil"/>
              <w:right w:val="nil"/>
            </w:tcBorders>
          </w:tcPr>
          <w:p w14:paraId="7A2154A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-0.022</w:t>
            </w:r>
          </w:p>
        </w:tc>
      </w:tr>
      <w:tr w:rsidR="006A0BAE" w:rsidRPr="003A41B3" w14:paraId="7AAC86DB" w14:textId="77777777" w:rsidTr="00154091">
        <w:trPr>
          <w:gridAfter w:val="2"/>
          <w:wAfter w:w="36" w:type="dxa"/>
          <w:trHeight w:val="282"/>
        </w:trPr>
        <w:tc>
          <w:tcPr>
            <w:tcW w:w="2516" w:type="dxa"/>
            <w:tcBorders>
              <w:top w:val="nil"/>
              <w:left w:val="nil"/>
              <w:bottom w:val="nil"/>
            </w:tcBorders>
          </w:tcPr>
          <w:p w14:paraId="416BAB52"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nil"/>
            </w:tcBorders>
          </w:tcPr>
          <w:p w14:paraId="5A9839A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(0.64)</w:t>
            </w:r>
          </w:p>
        </w:tc>
        <w:tc>
          <w:tcPr>
            <w:tcW w:w="2817" w:type="dxa"/>
            <w:tcBorders>
              <w:top w:val="nil"/>
              <w:bottom w:val="nil"/>
              <w:right w:val="single" w:sz="4" w:space="0" w:color="000000" w:themeColor="text1"/>
            </w:tcBorders>
          </w:tcPr>
          <w:p w14:paraId="1CE7FBA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(1.72)</w:t>
            </w:r>
          </w:p>
        </w:tc>
        <w:tc>
          <w:tcPr>
            <w:tcW w:w="2978" w:type="dxa"/>
            <w:tcBorders>
              <w:top w:val="nil"/>
              <w:left w:val="single" w:sz="4" w:space="0" w:color="000000" w:themeColor="text1"/>
              <w:bottom w:val="nil"/>
            </w:tcBorders>
          </w:tcPr>
          <w:p w14:paraId="0AAF176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(3.28)</w:t>
            </w:r>
          </w:p>
        </w:tc>
        <w:tc>
          <w:tcPr>
            <w:tcW w:w="2805" w:type="dxa"/>
            <w:tcBorders>
              <w:top w:val="nil"/>
              <w:bottom w:val="nil"/>
              <w:right w:val="nil"/>
            </w:tcBorders>
          </w:tcPr>
          <w:p w14:paraId="7A21B86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(-0.22)</w:t>
            </w:r>
          </w:p>
        </w:tc>
      </w:tr>
      <w:tr w:rsidR="006A0BAE" w:rsidRPr="003A41B3" w14:paraId="7E6FA730" w14:textId="77777777" w:rsidTr="00154091">
        <w:trPr>
          <w:gridAfter w:val="2"/>
          <w:wAfter w:w="36" w:type="dxa"/>
          <w:trHeight w:val="282"/>
        </w:trPr>
        <w:tc>
          <w:tcPr>
            <w:tcW w:w="2516" w:type="dxa"/>
            <w:tcBorders>
              <w:top w:val="nil"/>
              <w:left w:val="nil"/>
              <w:bottom w:val="nil"/>
            </w:tcBorders>
          </w:tcPr>
          <w:p w14:paraId="47BE835B"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47" w:type="dxa"/>
            <w:tcBorders>
              <w:top w:val="nil"/>
              <w:bottom w:val="nil"/>
            </w:tcBorders>
          </w:tcPr>
          <w:p w14:paraId="72C2276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0.701</w:t>
            </w:r>
          </w:p>
        </w:tc>
        <w:tc>
          <w:tcPr>
            <w:tcW w:w="2817" w:type="dxa"/>
            <w:tcBorders>
              <w:top w:val="nil"/>
              <w:bottom w:val="nil"/>
              <w:right w:val="single" w:sz="4" w:space="0" w:color="000000" w:themeColor="text1"/>
            </w:tcBorders>
          </w:tcPr>
          <w:p w14:paraId="1D6D8E9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-1.729</w:t>
            </w:r>
          </w:p>
        </w:tc>
        <w:tc>
          <w:tcPr>
            <w:tcW w:w="2978" w:type="dxa"/>
            <w:tcBorders>
              <w:top w:val="nil"/>
              <w:left w:val="single" w:sz="4" w:space="0" w:color="000000" w:themeColor="text1"/>
              <w:bottom w:val="nil"/>
            </w:tcBorders>
          </w:tcPr>
          <w:p w14:paraId="0F04862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-1.615</w:t>
            </w:r>
          </w:p>
        </w:tc>
        <w:tc>
          <w:tcPr>
            <w:tcW w:w="2805" w:type="dxa"/>
            <w:tcBorders>
              <w:top w:val="nil"/>
              <w:bottom w:val="nil"/>
              <w:right w:val="nil"/>
            </w:tcBorders>
          </w:tcPr>
          <w:p w14:paraId="3B9C838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-2.015*</w:t>
            </w:r>
          </w:p>
        </w:tc>
      </w:tr>
      <w:tr w:rsidR="006A0BAE" w:rsidRPr="003A41B3" w14:paraId="6290F75D" w14:textId="77777777" w:rsidTr="00154091">
        <w:trPr>
          <w:gridAfter w:val="2"/>
          <w:wAfter w:w="36" w:type="dxa"/>
          <w:trHeight w:val="282"/>
        </w:trPr>
        <w:tc>
          <w:tcPr>
            <w:tcW w:w="2516" w:type="dxa"/>
            <w:tcBorders>
              <w:top w:val="nil"/>
              <w:left w:val="nil"/>
            </w:tcBorders>
          </w:tcPr>
          <w:p w14:paraId="1C6DDD04" w14:textId="77777777" w:rsidR="006A0BAE" w:rsidRPr="003A41B3" w:rsidRDefault="006A0BAE" w:rsidP="00154091">
            <w:pPr>
              <w:widowControl w:val="0"/>
              <w:autoSpaceDE w:val="0"/>
              <w:autoSpaceDN w:val="0"/>
              <w:adjustRightInd w:val="0"/>
              <w:rPr>
                <w:sz w:val="20"/>
                <w:szCs w:val="20"/>
              </w:rPr>
            </w:pPr>
          </w:p>
        </w:tc>
        <w:tc>
          <w:tcPr>
            <w:tcW w:w="2647" w:type="dxa"/>
            <w:tcBorders>
              <w:top w:val="nil"/>
            </w:tcBorders>
          </w:tcPr>
          <w:p w14:paraId="3DC4B09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(0.20)</w:t>
            </w:r>
          </w:p>
        </w:tc>
        <w:tc>
          <w:tcPr>
            <w:tcW w:w="2817" w:type="dxa"/>
            <w:tcBorders>
              <w:top w:val="nil"/>
              <w:right w:val="single" w:sz="4" w:space="0" w:color="000000" w:themeColor="text1"/>
            </w:tcBorders>
          </w:tcPr>
          <w:p w14:paraId="3DB7EF1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(-0.77)</w:t>
            </w:r>
          </w:p>
        </w:tc>
        <w:tc>
          <w:tcPr>
            <w:tcW w:w="2978" w:type="dxa"/>
            <w:tcBorders>
              <w:top w:val="nil"/>
              <w:left w:val="single" w:sz="4" w:space="0" w:color="000000" w:themeColor="text1"/>
            </w:tcBorders>
          </w:tcPr>
          <w:p w14:paraId="545C3BD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(-0.77)</w:t>
            </w:r>
          </w:p>
        </w:tc>
        <w:tc>
          <w:tcPr>
            <w:tcW w:w="2805" w:type="dxa"/>
            <w:tcBorders>
              <w:top w:val="nil"/>
              <w:right w:val="nil"/>
            </w:tcBorders>
          </w:tcPr>
          <w:p w14:paraId="716FA16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(-1.84)</w:t>
            </w:r>
          </w:p>
        </w:tc>
      </w:tr>
      <w:tr w:rsidR="006A0BAE" w:rsidRPr="003A41B3" w14:paraId="46521CC5" w14:textId="77777777" w:rsidTr="00154091">
        <w:trPr>
          <w:gridAfter w:val="2"/>
          <w:wAfter w:w="36" w:type="dxa"/>
          <w:trHeight w:val="282"/>
        </w:trPr>
        <w:tc>
          <w:tcPr>
            <w:tcW w:w="2516" w:type="dxa"/>
            <w:tcBorders>
              <w:top w:val="nil"/>
              <w:left w:val="nil"/>
              <w:bottom w:val="single" w:sz="4" w:space="0" w:color="000000" w:themeColor="text1"/>
            </w:tcBorders>
          </w:tcPr>
          <w:p w14:paraId="6E6E951B"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single" w:sz="4" w:space="0" w:color="000000" w:themeColor="text1"/>
            </w:tcBorders>
          </w:tcPr>
          <w:p w14:paraId="235B2359" w14:textId="77777777" w:rsidR="006A0BAE" w:rsidRPr="003A41B3" w:rsidRDefault="006A0BAE" w:rsidP="00154091">
            <w:pPr>
              <w:widowControl w:val="0"/>
              <w:autoSpaceDE w:val="0"/>
              <w:autoSpaceDN w:val="0"/>
              <w:adjustRightInd w:val="0"/>
              <w:jc w:val="center"/>
              <w:rPr>
                <w:sz w:val="20"/>
                <w:szCs w:val="20"/>
              </w:rPr>
            </w:pPr>
          </w:p>
        </w:tc>
        <w:tc>
          <w:tcPr>
            <w:tcW w:w="2817" w:type="dxa"/>
            <w:tcBorders>
              <w:top w:val="nil"/>
              <w:bottom w:val="single" w:sz="4" w:space="0" w:color="000000" w:themeColor="text1"/>
              <w:right w:val="single" w:sz="4" w:space="0" w:color="000000" w:themeColor="text1"/>
            </w:tcBorders>
          </w:tcPr>
          <w:p w14:paraId="7A67CE97" w14:textId="77777777" w:rsidR="006A0BAE" w:rsidRPr="003A41B3" w:rsidRDefault="006A0BAE" w:rsidP="00154091">
            <w:pPr>
              <w:widowControl w:val="0"/>
              <w:autoSpaceDE w:val="0"/>
              <w:autoSpaceDN w:val="0"/>
              <w:adjustRightInd w:val="0"/>
              <w:jc w:val="center"/>
              <w:rPr>
                <w:sz w:val="20"/>
                <w:szCs w:val="20"/>
              </w:rPr>
            </w:pPr>
          </w:p>
        </w:tc>
        <w:tc>
          <w:tcPr>
            <w:tcW w:w="2978" w:type="dxa"/>
            <w:tcBorders>
              <w:top w:val="nil"/>
              <w:left w:val="single" w:sz="4" w:space="0" w:color="000000" w:themeColor="text1"/>
              <w:bottom w:val="single" w:sz="4" w:space="0" w:color="000000" w:themeColor="text1"/>
            </w:tcBorders>
          </w:tcPr>
          <w:p w14:paraId="7B6D7F12" w14:textId="77777777" w:rsidR="006A0BAE" w:rsidRPr="003A41B3" w:rsidRDefault="006A0BAE" w:rsidP="00154091">
            <w:pPr>
              <w:widowControl w:val="0"/>
              <w:autoSpaceDE w:val="0"/>
              <w:autoSpaceDN w:val="0"/>
              <w:adjustRightInd w:val="0"/>
              <w:jc w:val="center"/>
              <w:rPr>
                <w:sz w:val="20"/>
                <w:szCs w:val="20"/>
              </w:rPr>
            </w:pPr>
          </w:p>
        </w:tc>
        <w:tc>
          <w:tcPr>
            <w:tcW w:w="2805" w:type="dxa"/>
            <w:tcBorders>
              <w:top w:val="nil"/>
              <w:bottom w:val="single" w:sz="4" w:space="0" w:color="000000" w:themeColor="text1"/>
              <w:right w:val="nil"/>
            </w:tcBorders>
          </w:tcPr>
          <w:p w14:paraId="32B0DE6F"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5F96733A" w14:textId="77777777" w:rsidTr="00154091">
        <w:trPr>
          <w:gridAfter w:val="2"/>
          <w:wAfter w:w="36" w:type="dxa"/>
          <w:trHeight w:val="282"/>
        </w:trPr>
        <w:tc>
          <w:tcPr>
            <w:tcW w:w="2516" w:type="dxa"/>
            <w:tcBorders>
              <w:top w:val="single" w:sz="4" w:space="0" w:color="000000" w:themeColor="text1"/>
              <w:left w:val="nil"/>
              <w:bottom w:val="nil"/>
            </w:tcBorders>
          </w:tcPr>
          <w:p w14:paraId="5726803D"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47" w:type="dxa"/>
            <w:tcBorders>
              <w:top w:val="single" w:sz="4" w:space="0" w:color="000000" w:themeColor="text1"/>
              <w:bottom w:val="nil"/>
            </w:tcBorders>
          </w:tcPr>
          <w:p w14:paraId="7B1299B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166</w:t>
            </w:r>
          </w:p>
        </w:tc>
        <w:tc>
          <w:tcPr>
            <w:tcW w:w="2817" w:type="dxa"/>
            <w:tcBorders>
              <w:top w:val="single" w:sz="4" w:space="0" w:color="000000" w:themeColor="text1"/>
              <w:bottom w:val="nil"/>
              <w:right w:val="single" w:sz="4" w:space="0" w:color="000000" w:themeColor="text1"/>
            </w:tcBorders>
          </w:tcPr>
          <w:p w14:paraId="13A027D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138</w:t>
            </w:r>
          </w:p>
        </w:tc>
        <w:tc>
          <w:tcPr>
            <w:tcW w:w="2978" w:type="dxa"/>
            <w:tcBorders>
              <w:top w:val="single" w:sz="4" w:space="0" w:color="000000" w:themeColor="text1"/>
              <w:left w:val="single" w:sz="4" w:space="0" w:color="000000" w:themeColor="text1"/>
              <w:bottom w:val="nil"/>
            </w:tcBorders>
          </w:tcPr>
          <w:p w14:paraId="0224866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196</w:t>
            </w:r>
          </w:p>
        </w:tc>
        <w:tc>
          <w:tcPr>
            <w:tcW w:w="2805" w:type="dxa"/>
            <w:tcBorders>
              <w:top w:val="single" w:sz="4" w:space="0" w:color="000000" w:themeColor="text1"/>
              <w:bottom w:val="nil"/>
              <w:right w:val="nil"/>
            </w:tcBorders>
          </w:tcPr>
          <w:p w14:paraId="4E459CA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192</w:t>
            </w:r>
          </w:p>
        </w:tc>
      </w:tr>
      <w:tr w:rsidR="006A0BAE" w:rsidRPr="003A41B3" w14:paraId="2FABD963" w14:textId="77777777" w:rsidTr="00154091">
        <w:trPr>
          <w:gridAfter w:val="2"/>
          <w:wAfter w:w="36" w:type="dxa"/>
          <w:trHeight w:val="282"/>
        </w:trPr>
        <w:tc>
          <w:tcPr>
            <w:tcW w:w="2516" w:type="dxa"/>
            <w:tcBorders>
              <w:top w:val="nil"/>
              <w:left w:val="nil"/>
              <w:bottom w:val="nil"/>
              <w:right w:val="nil"/>
            </w:tcBorders>
          </w:tcPr>
          <w:p w14:paraId="29CF6564"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47" w:type="dxa"/>
            <w:tcBorders>
              <w:top w:val="nil"/>
              <w:left w:val="nil"/>
              <w:bottom w:val="nil"/>
            </w:tcBorders>
          </w:tcPr>
          <w:p w14:paraId="147187B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0.109</w:t>
            </w:r>
          </w:p>
        </w:tc>
        <w:tc>
          <w:tcPr>
            <w:tcW w:w="2817" w:type="dxa"/>
            <w:tcBorders>
              <w:top w:val="nil"/>
              <w:bottom w:val="nil"/>
              <w:right w:val="single" w:sz="4" w:space="0" w:color="000000" w:themeColor="text1"/>
            </w:tcBorders>
          </w:tcPr>
          <w:p w14:paraId="626F6D6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0.338</w:t>
            </w:r>
          </w:p>
        </w:tc>
        <w:tc>
          <w:tcPr>
            <w:tcW w:w="2978" w:type="dxa"/>
            <w:tcBorders>
              <w:top w:val="nil"/>
              <w:left w:val="single" w:sz="4" w:space="0" w:color="000000" w:themeColor="text1"/>
              <w:bottom w:val="nil"/>
            </w:tcBorders>
          </w:tcPr>
          <w:p w14:paraId="67C451DE" w14:textId="77777777" w:rsidR="006A0BAE" w:rsidRPr="003A41B3" w:rsidRDefault="006A0BAE" w:rsidP="00154091">
            <w:pPr>
              <w:widowControl w:val="0"/>
              <w:autoSpaceDE w:val="0"/>
              <w:autoSpaceDN w:val="0"/>
              <w:adjustRightInd w:val="0"/>
              <w:jc w:val="center"/>
            </w:pPr>
            <w:r w:rsidRPr="003A41B3">
              <w:rPr>
                <w:sz w:val="20"/>
              </w:rPr>
              <w:t>0.169</w:t>
            </w:r>
          </w:p>
        </w:tc>
        <w:tc>
          <w:tcPr>
            <w:tcW w:w="2805" w:type="dxa"/>
            <w:tcBorders>
              <w:top w:val="nil"/>
              <w:bottom w:val="nil"/>
              <w:right w:val="nil"/>
            </w:tcBorders>
          </w:tcPr>
          <w:p w14:paraId="7185A8DB" w14:textId="77777777" w:rsidR="006A0BAE" w:rsidRPr="003A41B3" w:rsidRDefault="006A0BAE" w:rsidP="00154091">
            <w:pPr>
              <w:widowControl w:val="0"/>
              <w:autoSpaceDE w:val="0"/>
              <w:autoSpaceDN w:val="0"/>
              <w:adjustRightInd w:val="0"/>
              <w:jc w:val="center"/>
            </w:pPr>
            <w:r w:rsidRPr="003A41B3">
              <w:rPr>
                <w:sz w:val="20"/>
              </w:rPr>
              <w:t>0.100</w:t>
            </w:r>
          </w:p>
        </w:tc>
      </w:tr>
      <w:tr w:rsidR="006A0BAE" w:rsidRPr="003A41B3" w14:paraId="2ADBE18D" w14:textId="77777777" w:rsidTr="00154091">
        <w:trPr>
          <w:gridAfter w:val="1"/>
          <w:wAfter w:w="26" w:type="dxa"/>
          <w:trHeight w:val="392"/>
        </w:trPr>
        <w:tc>
          <w:tcPr>
            <w:tcW w:w="2516" w:type="dxa"/>
            <w:tcBorders>
              <w:top w:val="nil"/>
              <w:left w:val="nil"/>
              <w:bottom w:val="single" w:sz="4" w:space="0" w:color="000000"/>
              <w:right w:val="nil"/>
            </w:tcBorders>
            <w:vAlign w:val="center"/>
          </w:tcPr>
          <w:p w14:paraId="6EBF804E"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47" w:type="dxa"/>
            <w:tcBorders>
              <w:top w:val="nil"/>
              <w:left w:val="nil"/>
              <w:bottom w:val="single" w:sz="4" w:space="0" w:color="000000"/>
              <w:right w:val="nil"/>
            </w:tcBorders>
            <w:vAlign w:val="center"/>
          </w:tcPr>
          <w:p w14:paraId="43AA2C44" w14:textId="1AA4CF1B"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7" w:type="dxa"/>
            <w:tcBorders>
              <w:top w:val="nil"/>
              <w:left w:val="nil"/>
              <w:bottom w:val="single" w:sz="4" w:space="0" w:color="000000"/>
              <w:right w:val="single" w:sz="4" w:space="0" w:color="000000" w:themeColor="text1"/>
            </w:tcBorders>
            <w:vAlign w:val="center"/>
          </w:tcPr>
          <w:p w14:paraId="72711753" w14:textId="7FF96179"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978" w:type="dxa"/>
            <w:tcBorders>
              <w:top w:val="nil"/>
              <w:left w:val="single" w:sz="4" w:space="0" w:color="000000" w:themeColor="text1"/>
              <w:bottom w:val="single" w:sz="4" w:space="0" w:color="000000"/>
              <w:right w:val="nil"/>
            </w:tcBorders>
            <w:vAlign w:val="center"/>
          </w:tcPr>
          <w:p w14:paraId="7798B732" w14:textId="3F4AB3D3"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5" w:type="dxa"/>
            <w:gridSpan w:val="2"/>
            <w:tcBorders>
              <w:top w:val="nil"/>
              <w:left w:val="nil"/>
              <w:bottom w:val="single" w:sz="4" w:space="0" w:color="000000"/>
              <w:right w:val="nil"/>
            </w:tcBorders>
            <w:vAlign w:val="center"/>
          </w:tcPr>
          <w:p w14:paraId="38B8F6AB" w14:textId="679F01BE"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r>
      <w:tr w:rsidR="006A0BAE" w:rsidRPr="003A41B3" w14:paraId="6BDF47C3" w14:textId="77777777" w:rsidTr="00154091">
        <w:trPr>
          <w:gridAfter w:val="1"/>
          <w:wAfter w:w="26" w:type="dxa"/>
          <w:trHeight w:val="712"/>
        </w:trPr>
        <w:tc>
          <w:tcPr>
            <w:tcW w:w="2516" w:type="dxa"/>
            <w:tcBorders>
              <w:top w:val="single" w:sz="4" w:space="0" w:color="000000"/>
              <w:left w:val="nil"/>
              <w:bottom w:val="nil"/>
              <w:right w:val="nil"/>
            </w:tcBorders>
            <w:vAlign w:val="center"/>
          </w:tcPr>
          <w:p w14:paraId="5068B97C" w14:textId="77777777" w:rsidR="006A0BAE" w:rsidRPr="003A41B3" w:rsidRDefault="006A0BAE" w:rsidP="00154091">
            <w:pPr>
              <w:widowControl w:val="0"/>
              <w:autoSpaceDE w:val="0"/>
              <w:autoSpaceDN w:val="0"/>
              <w:adjustRightInd w:val="0"/>
            </w:pPr>
          </w:p>
        </w:tc>
        <w:tc>
          <w:tcPr>
            <w:tcW w:w="5464" w:type="dxa"/>
            <w:gridSpan w:val="2"/>
            <w:tcBorders>
              <w:top w:val="single" w:sz="4" w:space="0" w:color="000000"/>
              <w:left w:val="nil"/>
              <w:right w:val="single" w:sz="4" w:space="0" w:color="000000" w:themeColor="text1"/>
            </w:tcBorders>
            <w:vAlign w:val="center"/>
          </w:tcPr>
          <w:p w14:paraId="5CA0AD07"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w:t>
            </w:r>
            <w:proofErr w:type="spellStart"/>
            <w:r w:rsidRPr="003A41B3">
              <w:rPr>
                <w:sz w:val="18"/>
                <w:szCs w:val="20"/>
              </w:rPr>
              <w:t>post_mean</w:t>
            </w:r>
            <w:proofErr w:type="spellEnd"/>
            <w:r w:rsidRPr="003A41B3">
              <w:rPr>
                <w:sz w:val="18"/>
                <w:szCs w:val="20"/>
              </w:rPr>
              <w:t>]∆Rating = 0</w:t>
            </w:r>
          </w:p>
        </w:tc>
        <w:tc>
          <w:tcPr>
            <w:tcW w:w="5793" w:type="dxa"/>
            <w:gridSpan w:val="3"/>
            <w:tcBorders>
              <w:top w:val="single" w:sz="4" w:space="0" w:color="000000"/>
              <w:left w:val="single" w:sz="4" w:space="0" w:color="000000" w:themeColor="text1"/>
              <w:right w:val="nil"/>
            </w:tcBorders>
            <w:vAlign w:val="center"/>
          </w:tcPr>
          <w:p w14:paraId="1B1ABD5D"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 [</w:t>
            </w:r>
            <w:proofErr w:type="spellStart"/>
            <w:r w:rsidRPr="003A41B3">
              <w:rPr>
                <w:sz w:val="18"/>
                <w:szCs w:val="20"/>
              </w:rPr>
              <w:t>post_mean</w:t>
            </w:r>
            <w:proofErr w:type="spellEnd"/>
            <w:r w:rsidRPr="003A41B3">
              <w:rPr>
                <w:sz w:val="18"/>
                <w:szCs w:val="20"/>
              </w:rPr>
              <w:t>]∆Rating = 0</w:t>
            </w:r>
          </w:p>
        </w:tc>
      </w:tr>
      <w:tr w:rsidR="006A0BAE" w:rsidRPr="003A41B3" w14:paraId="5D17E076" w14:textId="77777777" w:rsidTr="00154091">
        <w:trPr>
          <w:gridAfter w:val="2"/>
          <w:wAfter w:w="36" w:type="dxa"/>
          <w:trHeight w:val="282"/>
        </w:trPr>
        <w:tc>
          <w:tcPr>
            <w:tcW w:w="2516" w:type="dxa"/>
            <w:tcBorders>
              <w:top w:val="nil"/>
              <w:left w:val="nil"/>
              <w:bottom w:val="nil"/>
            </w:tcBorders>
            <w:vAlign w:val="center"/>
          </w:tcPr>
          <w:p w14:paraId="6FD0FFC5" w14:textId="77777777" w:rsidR="006A0BAE" w:rsidRPr="003A41B3" w:rsidRDefault="006A0BAE" w:rsidP="00154091">
            <w:pPr>
              <w:widowControl w:val="0"/>
              <w:autoSpaceDE w:val="0"/>
              <w:autoSpaceDN w:val="0"/>
              <w:adjustRightInd w:val="0"/>
            </w:pPr>
          </w:p>
        </w:tc>
        <w:tc>
          <w:tcPr>
            <w:tcW w:w="2647" w:type="dxa"/>
          </w:tcPr>
          <w:p w14:paraId="3FF11331"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17" w:type="dxa"/>
            <w:tcBorders>
              <w:right w:val="single" w:sz="4" w:space="0" w:color="000000" w:themeColor="text1"/>
            </w:tcBorders>
          </w:tcPr>
          <w:p w14:paraId="1E7A0490"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78" w:type="dxa"/>
            <w:tcBorders>
              <w:left w:val="single" w:sz="4" w:space="0" w:color="000000" w:themeColor="text1"/>
            </w:tcBorders>
          </w:tcPr>
          <w:p w14:paraId="4A0DBFE9"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05" w:type="dxa"/>
            <w:tcBorders>
              <w:right w:val="nil"/>
            </w:tcBorders>
          </w:tcPr>
          <w:p w14:paraId="0C881EF2"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Prob &gt; chi2</w:t>
            </w:r>
          </w:p>
        </w:tc>
      </w:tr>
      <w:tr w:rsidR="006A0BAE" w:rsidRPr="003A41B3" w14:paraId="18EE0D7E" w14:textId="77777777" w:rsidTr="00154091">
        <w:trPr>
          <w:gridAfter w:val="2"/>
          <w:wAfter w:w="36" w:type="dxa"/>
          <w:trHeight w:val="282"/>
        </w:trPr>
        <w:tc>
          <w:tcPr>
            <w:tcW w:w="2516" w:type="dxa"/>
            <w:tcBorders>
              <w:top w:val="nil"/>
              <w:left w:val="nil"/>
              <w:bottom w:val="single" w:sz="4" w:space="0" w:color="000000" w:themeColor="text1"/>
              <w:right w:val="nil"/>
            </w:tcBorders>
            <w:vAlign w:val="center"/>
          </w:tcPr>
          <w:p w14:paraId="780AF1B2" w14:textId="77777777" w:rsidR="006A0BAE" w:rsidRPr="003A41B3" w:rsidRDefault="006A0BAE" w:rsidP="00154091">
            <w:pPr>
              <w:widowControl w:val="0"/>
              <w:autoSpaceDE w:val="0"/>
              <w:autoSpaceDN w:val="0"/>
              <w:adjustRightInd w:val="0"/>
            </w:pPr>
          </w:p>
        </w:tc>
        <w:tc>
          <w:tcPr>
            <w:tcW w:w="2647" w:type="dxa"/>
            <w:tcBorders>
              <w:left w:val="nil"/>
              <w:bottom w:val="single" w:sz="4" w:space="0" w:color="000000" w:themeColor="text1"/>
            </w:tcBorders>
          </w:tcPr>
          <w:p w14:paraId="56E729E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4.27</w:t>
            </w:r>
          </w:p>
        </w:tc>
        <w:tc>
          <w:tcPr>
            <w:tcW w:w="2817" w:type="dxa"/>
            <w:tcBorders>
              <w:bottom w:val="single" w:sz="4" w:space="0" w:color="000000" w:themeColor="text1"/>
              <w:right w:val="single" w:sz="4" w:space="0" w:color="000000" w:themeColor="text1"/>
            </w:tcBorders>
          </w:tcPr>
          <w:p w14:paraId="7D3F870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0.038</w:t>
            </w:r>
          </w:p>
        </w:tc>
        <w:tc>
          <w:tcPr>
            <w:tcW w:w="2978" w:type="dxa"/>
            <w:tcBorders>
              <w:left w:val="single" w:sz="4" w:space="0" w:color="000000" w:themeColor="text1"/>
              <w:bottom w:val="single" w:sz="4" w:space="0" w:color="000000" w:themeColor="text1"/>
            </w:tcBorders>
          </w:tcPr>
          <w:p w14:paraId="092B873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3.59</w:t>
            </w:r>
          </w:p>
        </w:tc>
        <w:tc>
          <w:tcPr>
            <w:tcW w:w="2805" w:type="dxa"/>
            <w:tcBorders>
              <w:bottom w:val="single" w:sz="4" w:space="0" w:color="000000" w:themeColor="text1"/>
              <w:right w:val="nil"/>
            </w:tcBorders>
          </w:tcPr>
          <w:p w14:paraId="65EEE5A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0.058</w:t>
            </w:r>
          </w:p>
        </w:tc>
      </w:tr>
    </w:tbl>
    <w:p w14:paraId="7F8866F9" w14:textId="77777777" w:rsidR="006A0BAE" w:rsidRPr="003A41B3" w:rsidRDefault="006A0BAE" w:rsidP="006A0BAE">
      <w:pPr>
        <w:jc w:val="both"/>
        <w:rPr>
          <w:i/>
          <w:sz w:val="10"/>
          <w:szCs w:val="10"/>
        </w:rPr>
      </w:pPr>
    </w:p>
    <w:p w14:paraId="2EE3543F" w14:textId="77777777" w:rsidR="006A0BAE" w:rsidRPr="003A41B3" w:rsidRDefault="006A0BAE" w:rsidP="006A0BAE">
      <w:pPr>
        <w:jc w:val="both"/>
        <w:rPr>
          <w:sz w:val="22"/>
          <w:szCs w:val="22"/>
        </w:rPr>
      </w:pPr>
      <w:r w:rsidRPr="003A41B3">
        <w:rPr>
          <w:i/>
          <w:sz w:val="22"/>
          <w:szCs w:val="22"/>
        </w:rPr>
        <w:t xml:space="preserve">Note: </w:t>
      </w:r>
      <w:r w:rsidRPr="003A41B3">
        <w:rPr>
          <w:sz w:val="22"/>
          <w:szCs w:val="22"/>
        </w:rPr>
        <w:t xml:space="preserve">This table presents the estimated coefficients and robust z-statistics in parentheses from specification of Eq. (2) using Ordinary Least Squares followed by the F-test which compares the statistical difference between </w:t>
      </w:r>
      <w:r w:rsidRPr="003A41B3">
        <w:rPr>
          <w:i/>
          <w:sz w:val="22"/>
          <w:szCs w:val="22"/>
        </w:rPr>
        <w:t>∆Rating</w:t>
      </w:r>
      <w:r w:rsidRPr="003A41B3">
        <w:rPr>
          <w:sz w:val="22"/>
          <w:szCs w:val="22"/>
        </w:rPr>
        <w:t xml:space="preserve"> coefficients in two sample periods. The credit rating dataset consists of daily positive and negative sovereign events by S&amp;P based on 58-CCR rating scale for 66 countries during pre-identifier (Jan 2006-April 2012) and post-identifier (May 2012-June 2016) periods. For every event observation there is a randomly selected non-event observation. The dependent variable is </w:t>
      </w:r>
      <w:r w:rsidRPr="003A41B3">
        <w:rPr>
          <w:i/>
          <w:sz w:val="22"/>
          <w:szCs w:val="22"/>
        </w:rPr>
        <w:t>∆Yield</w:t>
      </w:r>
      <w:r w:rsidRPr="003A41B3">
        <w:rPr>
          <w:sz w:val="22"/>
          <w:szCs w:val="22"/>
        </w:rPr>
        <w:t xml:space="preserve"> 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xml:space="preserve">’ command in STATA. Country fixed effects are included (“yes”). We estimate Eq. (2) separately for positive and negative events with absolute values for interpretation reasons. ***, **, * are significance levels at 1%, 5% and 10%. </w:t>
      </w:r>
    </w:p>
    <w:p w14:paraId="6223BD0A" w14:textId="77777777" w:rsidR="006A0BAE" w:rsidRPr="003A41B3" w:rsidRDefault="006A0BAE" w:rsidP="006A0BAE">
      <w:pPr>
        <w:jc w:val="both"/>
        <w:rPr>
          <w:sz w:val="22"/>
          <w:szCs w:val="22"/>
        </w:rPr>
      </w:pPr>
    </w:p>
    <w:p w14:paraId="101825C4" w14:textId="77777777" w:rsidR="006A0BAE" w:rsidRPr="003A41B3" w:rsidRDefault="006A0BAE" w:rsidP="006A0BAE">
      <w:pPr>
        <w:jc w:val="both"/>
        <w:rPr>
          <w:sz w:val="22"/>
          <w:szCs w:val="22"/>
        </w:rPr>
      </w:pPr>
    </w:p>
    <w:tbl>
      <w:tblPr>
        <w:tblW w:w="0" w:type="auto"/>
        <w:tblInd w:w="78" w:type="dxa"/>
        <w:tblLayout w:type="fixed"/>
        <w:tblLook w:val="0000" w:firstRow="0" w:lastRow="0" w:firstColumn="0" w:lastColumn="0" w:noHBand="0" w:noVBand="0"/>
      </w:tblPr>
      <w:tblGrid>
        <w:gridCol w:w="2517"/>
        <w:gridCol w:w="2648"/>
        <w:gridCol w:w="2815"/>
        <w:gridCol w:w="2979"/>
        <w:gridCol w:w="2806"/>
        <w:gridCol w:w="9"/>
        <w:gridCol w:w="23"/>
      </w:tblGrid>
      <w:tr w:rsidR="006A0BAE" w:rsidRPr="003A41B3" w14:paraId="4B55A561" w14:textId="77777777" w:rsidTr="00154091">
        <w:trPr>
          <w:trHeight w:val="530"/>
        </w:trPr>
        <w:tc>
          <w:tcPr>
            <w:tcW w:w="13797" w:type="dxa"/>
            <w:gridSpan w:val="7"/>
            <w:tcBorders>
              <w:top w:val="nil"/>
              <w:left w:val="nil"/>
              <w:bottom w:val="single" w:sz="4" w:space="0" w:color="000000" w:themeColor="text1"/>
              <w:right w:val="nil"/>
            </w:tcBorders>
          </w:tcPr>
          <w:p w14:paraId="096D90B8" w14:textId="77777777" w:rsidR="006A0BAE" w:rsidRPr="003A41B3" w:rsidRDefault="006A0BAE" w:rsidP="00154091">
            <w:pPr>
              <w:widowControl w:val="0"/>
              <w:autoSpaceDE w:val="0"/>
              <w:autoSpaceDN w:val="0"/>
              <w:adjustRightInd w:val="0"/>
              <w:rPr>
                <w:b/>
              </w:rPr>
            </w:pPr>
            <w:r w:rsidRPr="003A41B3">
              <w:rPr>
                <w:b/>
              </w:rPr>
              <w:lastRenderedPageBreak/>
              <w:t xml:space="preserve">Table 5. Statistical differences between rating change coefficients in the pre and post-identifier periods: Moody’s </w:t>
            </w:r>
          </w:p>
        </w:tc>
      </w:tr>
      <w:tr w:rsidR="006A0BAE" w:rsidRPr="003A41B3" w14:paraId="00CA33F6" w14:textId="77777777" w:rsidTr="00154091">
        <w:trPr>
          <w:trHeight w:val="290"/>
        </w:trPr>
        <w:tc>
          <w:tcPr>
            <w:tcW w:w="7980" w:type="dxa"/>
            <w:gridSpan w:val="3"/>
            <w:tcBorders>
              <w:top w:val="single" w:sz="4" w:space="0" w:color="000000" w:themeColor="text1"/>
              <w:left w:val="nil"/>
              <w:bottom w:val="single" w:sz="4" w:space="0" w:color="000000" w:themeColor="text1"/>
              <w:right w:val="single" w:sz="4" w:space="0" w:color="000000" w:themeColor="text1"/>
            </w:tcBorders>
          </w:tcPr>
          <w:p w14:paraId="2FB65F78"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 xml:space="preserve">                                                   Moody’s positive events</w:t>
            </w:r>
          </w:p>
        </w:tc>
        <w:tc>
          <w:tcPr>
            <w:tcW w:w="5817" w:type="dxa"/>
            <w:gridSpan w:val="4"/>
            <w:tcBorders>
              <w:top w:val="single" w:sz="4" w:space="0" w:color="000000" w:themeColor="text1"/>
              <w:left w:val="single" w:sz="4" w:space="0" w:color="000000" w:themeColor="text1"/>
              <w:bottom w:val="single" w:sz="4" w:space="0" w:color="000000" w:themeColor="text1"/>
              <w:right w:val="nil"/>
            </w:tcBorders>
          </w:tcPr>
          <w:p w14:paraId="02794149"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Moody’s negative events</w:t>
            </w:r>
          </w:p>
        </w:tc>
      </w:tr>
      <w:tr w:rsidR="006A0BAE" w:rsidRPr="003A41B3" w14:paraId="617BD54D" w14:textId="77777777" w:rsidTr="00154091">
        <w:trPr>
          <w:gridAfter w:val="1"/>
          <w:wAfter w:w="23" w:type="dxa"/>
          <w:trHeight w:val="695"/>
        </w:trPr>
        <w:tc>
          <w:tcPr>
            <w:tcW w:w="2517" w:type="dxa"/>
            <w:tcBorders>
              <w:left w:val="nil"/>
              <w:bottom w:val="single" w:sz="4" w:space="0" w:color="000000" w:themeColor="text1"/>
            </w:tcBorders>
          </w:tcPr>
          <w:p w14:paraId="68381ED0" w14:textId="77777777" w:rsidR="006A0BAE" w:rsidRPr="003A41B3" w:rsidRDefault="006A0BAE" w:rsidP="00154091">
            <w:pPr>
              <w:widowControl w:val="0"/>
              <w:autoSpaceDE w:val="0"/>
              <w:autoSpaceDN w:val="0"/>
              <w:adjustRightInd w:val="0"/>
            </w:pPr>
            <w:r w:rsidRPr="003A41B3">
              <w:rPr>
                <w:sz w:val="20"/>
                <w:szCs w:val="20"/>
              </w:rPr>
              <w:t>VARIABLES</w:t>
            </w:r>
          </w:p>
        </w:tc>
        <w:tc>
          <w:tcPr>
            <w:tcW w:w="5463" w:type="dxa"/>
            <w:gridSpan w:val="2"/>
            <w:tcBorders>
              <w:bottom w:val="single" w:sz="4" w:space="0" w:color="000000" w:themeColor="text1"/>
              <w:right w:val="single" w:sz="4" w:space="0" w:color="000000" w:themeColor="text1"/>
            </w:tcBorders>
            <w:vAlign w:val="center"/>
          </w:tcPr>
          <w:p w14:paraId="4C02F61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F-tests using Eq. (2)</w:t>
            </w:r>
          </w:p>
        </w:tc>
        <w:tc>
          <w:tcPr>
            <w:tcW w:w="5794" w:type="dxa"/>
            <w:gridSpan w:val="3"/>
            <w:tcBorders>
              <w:left w:val="single" w:sz="4" w:space="0" w:color="000000" w:themeColor="text1"/>
              <w:right w:val="nil"/>
            </w:tcBorders>
            <w:vAlign w:val="center"/>
          </w:tcPr>
          <w:p w14:paraId="28A87421"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F-tests using Eq. (2)</w:t>
            </w:r>
          </w:p>
        </w:tc>
      </w:tr>
      <w:tr w:rsidR="006A0BAE" w:rsidRPr="003A41B3" w14:paraId="16C8D10E" w14:textId="77777777" w:rsidTr="00154091">
        <w:trPr>
          <w:gridAfter w:val="2"/>
          <w:wAfter w:w="32" w:type="dxa"/>
          <w:trHeight w:val="433"/>
        </w:trPr>
        <w:tc>
          <w:tcPr>
            <w:tcW w:w="2517" w:type="dxa"/>
            <w:tcBorders>
              <w:top w:val="single" w:sz="4" w:space="0" w:color="000000" w:themeColor="text1"/>
              <w:left w:val="nil"/>
            </w:tcBorders>
          </w:tcPr>
          <w:p w14:paraId="66B2D777" w14:textId="77777777" w:rsidR="006A0BAE" w:rsidRPr="003A41B3" w:rsidRDefault="006A0BAE" w:rsidP="00154091">
            <w:pPr>
              <w:widowControl w:val="0"/>
              <w:autoSpaceDE w:val="0"/>
              <w:autoSpaceDN w:val="0"/>
              <w:adjustRightInd w:val="0"/>
              <w:rPr>
                <w:sz w:val="20"/>
                <w:szCs w:val="20"/>
              </w:rPr>
            </w:pPr>
          </w:p>
        </w:tc>
        <w:tc>
          <w:tcPr>
            <w:tcW w:w="2648" w:type="dxa"/>
            <w:tcBorders>
              <w:top w:val="single" w:sz="4" w:space="0" w:color="000000" w:themeColor="text1"/>
            </w:tcBorders>
          </w:tcPr>
          <w:p w14:paraId="7600F10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815" w:type="dxa"/>
            <w:tcBorders>
              <w:top w:val="single" w:sz="4" w:space="0" w:color="000000" w:themeColor="text1"/>
              <w:right w:val="single" w:sz="4" w:space="0" w:color="000000" w:themeColor="text1"/>
            </w:tcBorders>
          </w:tcPr>
          <w:p w14:paraId="1D2BA2F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c>
          <w:tcPr>
            <w:tcW w:w="2979" w:type="dxa"/>
            <w:tcBorders>
              <w:top w:val="single" w:sz="4" w:space="0" w:color="000000"/>
              <w:left w:val="single" w:sz="4" w:space="0" w:color="000000" w:themeColor="text1"/>
            </w:tcBorders>
          </w:tcPr>
          <w:p w14:paraId="2E17964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806" w:type="dxa"/>
            <w:tcBorders>
              <w:top w:val="single" w:sz="4" w:space="0" w:color="000000"/>
              <w:right w:val="nil"/>
            </w:tcBorders>
          </w:tcPr>
          <w:p w14:paraId="59EDE72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r>
      <w:tr w:rsidR="006A0BAE" w:rsidRPr="003A41B3" w14:paraId="2C7BD903" w14:textId="77777777" w:rsidTr="00154091">
        <w:trPr>
          <w:gridAfter w:val="2"/>
          <w:wAfter w:w="32" w:type="dxa"/>
          <w:trHeight w:val="273"/>
        </w:trPr>
        <w:tc>
          <w:tcPr>
            <w:tcW w:w="2517" w:type="dxa"/>
            <w:tcBorders>
              <w:left w:val="nil"/>
              <w:bottom w:val="nil"/>
            </w:tcBorders>
          </w:tcPr>
          <w:p w14:paraId="3108C76D"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48" w:type="dxa"/>
            <w:tcBorders>
              <w:top w:val="nil"/>
              <w:left w:val="nil"/>
              <w:bottom w:val="nil"/>
              <w:right w:val="nil"/>
            </w:tcBorders>
          </w:tcPr>
          <w:p w14:paraId="38D7630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-3.474**</w:t>
            </w:r>
          </w:p>
        </w:tc>
        <w:tc>
          <w:tcPr>
            <w:tcW w:w="2815" w:type="dxa"/>
            <w:tcBorders>
              <w:top w:val="nil"/>
              <w:left w:val="nil"/>
              <w:bottom w:val="nil"/>
              <w:right w:val="single" w:sz="6" w:space="0" w:color="auto"/>
            </w:tcBorders>
          </w:tcPr>
          <w:p w14:paraId="3A0014B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-0.315</w:t>
            </w:r>
          </w:p>
        </w:tc>
        <w:tc>
          <w:tcPr>
            <w:tcW w:w="2979" w:type="dxa"/>
            <w:tcBorders>
              <w:left w:val="single" w:sz="4" w:space="0" w:color="000000" w:themeColor="text1"/>
              <w:bottom w:val="nil"/>
            </w:tcBorders>
          </w:tcPr>
          <w:p w14:paraId="302750E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-3.740</w:t>
            </w:r>
          </w:p>
        </w:tc>
        <w:tc>
          <w:tcPr>
            <w:tcW w:w="2806" w:type="dxa"/>
            <w:tcBorders>
              <w:bottom w:val="nil"/>
              <w:right w:val="nil"/>
            </w:tcBorders>
          </w:tcPr>
          <w:p w14:paraId="6F58608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5.553***</w:t>
            </w:r>
          </w:p>
        </w:tc>
      </w:tr>
      <w:tr w:rsidR="006A0BAE" w:rsidRPr="003A41B3" w14:paraId="7A8E9BD6" w14:textId="77777777" w:rsidTr="00154091">
        <w:trPr>
          <w:gridAfter w:val="2"/>
          <w:wAfter w:w="32" w:type="dxa"/>
          <w:trHeight w:val="273"/>
        </w:trPr>
        <w:tc>
          <w:tcPr>
            <w:tcW w:w="2517" w:type="dxa"/>
            <w:tcBorders>
              <w:top w:val="nil"/>
              <w:left w:val="nil"/>
              <w:bottom w:val="nil"/>
            </w:tcBorders>
          </w:tcPr>
          <w:p w14:paraId="264103F6" w14:textId="77777777" w:rsidR="006A0BAE" w:rsidRPr="003A41B3" w:rsidRDefault="006A0BAE" w:rsidP="00154091">
            <w:pPr>
              <w:widowControl w:val="0"/>
              <w:autoSpaceDE w:val="0"/>
              <w:autoSpaceDN w:val="0"/>
              <w:adjustRightInd w:val="0"/>
              <w:rPr>
                <w:sz w:val="20"/>
                <w:szCs w:val="20"/>
              </w:rPr>
            </w:pPr>
          </w:p>
        </w:tc>
        <w:tc>
          <w:tcPr>
            <w:tcW w:w="2648" w:type="dxa"/>
            <w:tcBorders>
              <w:top w:val="nil"/>
              <w:left w:val="nil"/>
              <w:bottom w:val="nil"/>
              <w:right w:val="nil"/>
            </w:tcBorders>
          </w:tcPr>
          <w:p w14:paraId="2741ACD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(-2.05)</w:t>
            </w:r>
          </w:p>
        </w:tc>
        <w:tc>
          <w:tcPr>
            <w:tcW w:w="2815" w:type="dxa"/>
            <w:tcBorders>
              <w:top w:val="nil"/>
              <w:left w:val="nil"/>
              <w:bottom w:val="nil"/>
              <w:right w:val="single" w:sz="6" w:space="0" w:color="auto"/>
            </w:tcBorders>
          </w:tcPr>
          <w:p w14:paraId="1D91727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(-0.22)</w:t>
            </w:r>
          </w:p>
        </w:tc>
        <w:tc>
          <w:tcPr>
            <w:tcW w:w="2979" w:type="dxa"/>
            <w:tcBorders>
              <w:top w:val="nil"/>
              <w:left w:val="single" w:sz="4" w:space="0" w:color="000000" w:themeColor="text1"/>
              <w:bottom w:val="nil"/>
            </w:tcBorders>
          </w:tcPr>
          <w:p w14:paraId="6FE1842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(-0.83)</w:t>
            </w:r>
          </w:p>
        </w:tc>
        <w:tc>
          <w:tcPr>
            <w:tcW w:w="2806" w:type="dxa"/>
            <w:tcBorders>
              <w:top w:val="nil"/>
              <w:bottom w:val="nil"/>
              <w:right w:val="nil"/>
            </w:tcBorders>
          </w:tcPr>
          <w:p w14:paraId="3997406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(2.72)</w:t>
            </w:r>
          </w:p>
        </w:tc>
      </w:tr>
      <w:tr w:rsidR="006A0BAE" w:rsidRPr="003A41B3" w14:paraId="23E9F033" w14:textId="77777777" w:rsidTr="00154091">
        <w:trPr>
          <w:gridAfter w:val="2"/>
          <w:wAfter w:w="32" w:type="dxa"/>
          <w:trHeight w:val="311"/>
        </w:trPr>
        <w:tc>
          <w:tcPr>
            <w:tcW w:w="2517" w:type="dxa"/>
            <w:tcBorders>
              <w:top w:val="nil"/>
              <w:left w:val="nil"/>
              <w:bottom w:val="nil"/>
            </w:tcBorders>
          </w:tcPr>
          <w:p w14:paraId="4BFD5A93"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48" w:type="dxa"/>
            <w:tcBorders>
              <w:top w:val="nil"/>
              <w:left w:val="nil"/>
              <w:bottom w:val="nil"/>
              <w:right w:val="nil"/>
            </w:tcBorders>
          </w:tcPr>
          <w:p w14:paraId="5188A0B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-0.234</w:t>
            </w:r>
          </w:p>
        </w:tc>
        <w:tc>
          <w:tcPr>
            <w:tcW w:w="2815" w:type="dxa"/>
            <w:tcBorders>
              <w:top w:val="nil"/>
              <w:left w:val="nil"/>
              <w:bottom w:val="nil"/>
              <w:right w:val="single" w:sz="6" w:space="0" w:color="auto"/>
            </w:tcBorders>
          </w:tcPr>
          <w:p w14:paraId="018AEBE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0.421</w:t>
            </w:r>
          </w:p>
        </w:tc>
        <w:tc>
          <w:tcPr>
            <w:tcW w:w="2979" w:type="dxa"/>
            <w:tcBorders>
              <w:top w:val="nil"/>
              <w:left w:val="single" w:sz="4" w:space="0" w:color="000000" w:themeColor="text1"/>
              <w:bottom w:val="nil"/>
            </w:tcBorders>
          </w:tcPr>
          <w:p w14:paraId="498962D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-0.064</w:t>
            </w:r>
          </w:p>
        </w:tc>
        <w:tc>
          <w:tcPr>
            <w:tcW w:w="2806" w:type="dxa"/>
            <w:tcBorders>
              <w:top w:val="nil"/>
              <w:bottom w:val="nil"/>
              <w:right w:val="nil"/>
            </w:tcBorders>
          </w:tcPr>
          <w:p w14:paraId="36A2F05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1.575**</w:t>
            </w:r>
          </w:p>
        </w:tc>
      </w:tr>
      <w:tr w:rsidR="006A0BAE" w:rsidRPr="003A41B3" w14:paraId="3E063FC4" w14:textId="77777777" w:rsidTr="00154091">
        <w:trPr>
          <w:gridAfter w:val="2"/>
          <w:wAfter w:w="32" w:type="dxa"/>
          <w:trHeight w:val="273"/>
        </w:trPr>
        <w:tc>
          <w:tcPr>
            <w:tcW w:w="2517" w:type="dxa"/>
            <w:tcBorders>
              <w:top w:val="nil"/>
              <w:left w:val="nil"/>
              <w:bottom w:val="nil"/>
            </w:tcBorders>
          </w:tcPr>
          <w:p w14:paraId="60B0A4C6" w14:textId="77777777" w:rsidR="006A0BAE" w:rsidRPr="003A41B3" w:rsidRDefault="006A0BAE" w:rsidP="00154091">
            <w:pPr>
              <w:widowControl w:val="0"/>
              <w:autoSpaceDE w:val="0"/>
              <w:autoSpaceDN w:val="0"/>
              <w:adjustRightInd w:val="0"/>
              <w:rPr>
                <w:sz w:val="20"/>
                <w:szCs w:val="20"/>
              </w:rPr>
            </w:pPr>
          </w:p>
        </w:tc>
        <w:tc>
          <w:tcPr>
            <w:tcW w:w="2648" w:type="dxa"/>
            <w:tcBorders>
              <w:top w:val="nil"/>
              <w:left w:val="nil"/>
              <w:bottom w:val="nil"/>
              <w:right w:val="nil"/>
            </w:tcBorders>
          </w:tcPr>
          <w:p w14:paraId="73AE2E5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(-0.37)</w:t>
            </w:r>
          </w:p>
        </w:tc>
        <w:tc>
          <w:tcPr>
            <w:tcW w:w="2815" w:type="dxa"/>
            <w:tcBorders>
              <w:top w:val="nil"/>
              <w:left w:val="nil"/>
              <w:bottom w:val="nil"/>
              <w:right w:val="single" w:sz="6" w:space="0" w:color="auto"/>
            </w:tcBorders>
          </w:tcPr>
          <w:p w14:paraId="7C35E8A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(0.55)</w:t>
            </w:r>
          </w:p>
        </w:tc>
        <w:tc>
          <w:tcPr>
            <w:tcW w:w="2979" w:type="dxa"/>
            <w:tcBorders>
              <w:top w:val="nil"/>
              <w:left w:val="single" w:sz="4" w:space="0" w:color="000000" w:themeColor="text1"/>
              <w:bottom w:val="nil"/>
            </w:tcBorders>
          </w:tcPr>
          <w:p w14:paraId="3B2BF98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(-0.22)</w:t>
            </w:r>
          </w:p>
        </w:tc>
        <w:tc>
          <w:tcPr>
            <w:tcW w:w="2806" w:type="dxa"/>
            <w:tcBorders>
              <w:top w:val="nil"/>
              <w:bottom w:val="nil"/>
              <w:right w:val="nil"/>
            </w:tcBorders>
          </w:tcPr>
          <w:p w14:paraId="2111AC2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(2.13)</w:t>
            </w:r>
          </w:p>
        </w:tc>
      </w:tr>
      <w:tr w:rsidR="006A0BAE" w:rsidRPr="003A41B3" w14:paraId="310F0B0C" w14:textId="77777777" w:rsidTr="00154091">
        <w:trPr>
          <w:gridAfter w:val="2"/>
          <w:wAfter w:w="32" w:type="dxa"/>
          <w:trHeight w:val="273"/>
        </w:trPr>
        <w:tc>
          <w:tcPr>
            <w:tcW w:w="2517" w:type="dxa"/>
            <w:tcBorders>
              <w:top w:val="nil"/>
              <w:left w:val="nil"/>
              <w:bottom w:val="nil"/>
            </w:tcBorders>
          </w:tcPr>
          <w:p w14:paraId="10C915C0"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48" w:type="dxa"/>
            <w:tcBorders>
              <w:top w:val="nil"/>
              <w:left w:val="nil"/>
              <w:bottom w:val="nil"/>
              <w:right w:val="nil"/>
            </w:tcBorders>
          </w:tcPr>
          <w:p w14:paraId="0D542E8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-3.947</w:t>
            </w:r>
          </w:p>
        </w:tc>
        <w:tc>
          <w:tcPr>
            <w:tcW w:w="2815" w:type="dxa"/>
            <w:tcBorders>
              <w:top w:val="nil"/>
              <w:left w:val="nil"/>
              <w:bottom w:val="nil"/>
              <w:right w:val="single" w:sz="6" w:space="0" w:color="auto"/>
            </w:tcBorders>
          </w:tcPr>
          <w:p w14:paraId="7189F1B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-1.145</w:t>
            </w:r>
          </w:p>
        </w:tc>
        <w:tc>
          <w:tcPr>
            <w:tcW w:w="2979" w:type="dxa"/>
            <w:tcBorders>
              <w:top w:val="nil"/>
              <w:left w:val="single" w:sz="4" w:space="0" w:color="000000" w:themeColor="text1"/>
              <w:bottom w:val="nil"/>
            </w:tcBorders>
          </w:tcPr>
          <w:p w14:paraId="540A0EC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0.538</w:t>
            </w:r>
          </w:p>
        </w:tc>
        <w:tc>
          <w:tcPr>
            <w:tcW w:w="2806" w:type="dxa"/>
            <w:tcBorders>
              <w:top w:val="nil"/>
              <w:bottom w:val="nil"/>
              <w:right w:val="nil"/>
            </w:tcBorders>
          </w:tcPr>
          <w:p w14:paraId="20E5F5A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-5.376</w:t>
            </w:r>
          </w:p>
        </w:tc>
      </w:tr>
      <w:tr w:rsidR="006A0BAE" w:rsidRPr="003A41B3" w14:paraId="1F18BD2F" w14:textId="77777777" w:rsidTr="00154091">
        <w:trPr>
          <w:gridAfter w:val="2"/>
          <w:wAfter w:w="32" w:type="dxa"/>
          <w:trHeight w:val="273"/>
        </w:trPr>
        <w:tc>
          <w:tcPr>
            <w:tcW w:w="2517" w:type="dxa"/>
            <w:tcBorders>
              <w:top w:val="nil"/>
              <w:left w:val="nil"/>
            </w:tcBorders>
          </w:tcPr>
          <w:p w14:paraId="2927A859" w14:textId="77777777" w:rsidR="006A0BAE" w:rsidRPr="003A41B3" w:rsidRDefault="006A0BAE" w:rsidP="00154091">
            <w:pPr>
              <w:widowControl w:val="0"/>
              <w:autoSpaceDE w:val="0"/>
              <w:autoSpaceDN w:val="0"/>
              <w:adjustRightInd w:val="0"/>
              <w:rPr>
                <w:sz w:val="20"/>
                <w:szCs w:val="20"/>
              </w:rPr>
            </w:pPr>
          </w:p>
        </w:tc>
        <w:tc>
          <w:tcPr>
            <w:tcW w:w="2648" w:type="dxa"/>
            <w:tcBorders>
              <w:top w:val="nil"/>
              <w:left w:val="nil"/>
              <w:bottom w:val="nil"/>
              <w:right w:val="nil"/>
            </w:tcBorders>
          </w:tcPr>
          <w:p w14:paraId="717221C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(-1.37)</w:t>
            </w:r>
          </w:p>
        </w:tc>
        <w:tc>
          <w:tcPr>
            <w:tcW w:w="2815" w:type="dxa"/>
            <w:tcBorders>
              <w:top w:val="nil"/>
              <w:left w:val="nil"/>
              <w:bottom w:val="nil"/>
              <w:right w:val="single" w:sz="6" w:space="0" w:color="auto"/>
            </w:tcBorders>
          </w:tcPr>
          <w:p w14:paraId="4286485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(-0.29)</w:t>
            </w:r>
          </w:p>
        </w:tc>
        <w:tc>
          <w:tcPr>
            <w:tcW w:w="2979" w:type="dxa"/>
            <w:tcBorders>
              <w:top w:val="nil"/>
              <w:left w:val="single" w:sz="4" w:space="0" w:color="000000" w:themeColor="text1"/>
            </w:tcBorders>
          </w:tcPr>
          <w:p w14:paraId="3491763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(0.11)</w:t>
            </w:r>
          </w:p>
        </w:tc>
        <w:tc>
          <w:tcPr>
            <w:tcW w:w="2806" w:type="dxa"/>
            <w:tcBorders>
              <w:top w:val="nil"/>
              <w:right w:val="nil"/>
            </w:tcBorders>
          </w:tcPr>
          <w:p w14:paraId="4B6FE7B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(-1.20)</w:t>
            </w:r>
          </w:p>
        </w:tc>
      </w:tr>
      <w:tr w:rsidR="006A0BAE" w:rsidRPr="003A41B3" w14:paraId="6D5209D8" w14:textId="77777777" w:rsidTr="00154091">
        <w:trPr>
          <w:gridAfter w:val="2"/>
          <w:wAfter w:w="32" w:type="dxa"/>
          <w:trHeight w:val="273"/>
        </w:trPr>
        <w:tc>
          <w:tcPr>
            <w:tcW w:w="2517" w:type="dxa"/>
            <w:tcBorders>
              <w:top w:val="nil"/>
              <w:left w:val="nil"/>
              <w:bottom w:val="single" w:sz="4" w:space="0" w:color="000000" w:themeColor="text1"/>
            </w:tcBorders>
          </w:tcPr>
          <w:p w14:paraId="131E70EB" w14:textId="77777777" w:rsidR="006A0BAE" w:rsidRPr="003A41B3" w:rsidRDefault="006A0BAE" w:rsidP="00154091">
            <w:pPr>
              <w:widowControl w:val="0"/>
              <w:autoSpaceDE w:val="0"/>
              <w:autoSpaceDN w:val="0"/>
              <w:adjustRightInd w:val="0"/>
              <w:rPr>
                <w:sz w:val="20"/>
                <w:szCs w:val="20"/>
              </w:rPr>
            </w:pPr>
          </w:p>
        </w:tc>
        <w:tc>
          <w:tcPr>
            <w:tcW w:w="2648" w:type="dxa"/>
            <w:tcBorders>
              <w:top w:val="nil"/>
              <w:left w:val="nil"/>
              <w:bottom w:val="single" w:sz="4" w:space="0" w:color="000000" w:themeColor="text1"/>
              <w:right w:val="nil"/>
            </w:tcBorders>
          </w:tcPr>
          <w:p w14:paraId="11DEADBB" w14:textId="77777777" w:rsidR="006A0BAE" w:rsidRPr="003A41B3" w:rsidRDefault="006A0BAE" w:rsidP="00154091">
            <w:pPr>
              <w:widowControl w:val="0"/>
              <w:autoSpaceDE w:val="0"/>
              <w:autoSpaceDN w:val="0"/>
              <w:adjustRightInd w:val="0"/>
              <w:jc w:val="center"/>
              <w:rPr>
                <w:sz w:val="20"/>
                <w:szCs w:val="20"/>
              </w:rPr>
            </w:pPr>
          </w:p>
        </w:tc>
        <w:tc>
          <w:tcPr>
            <w:tcW w:w="2815" w:type="dxa"/>
            <w:tcBorders>
              <w:top w:val="nil"/>
              <w:left w:val="nil"/>
              <w:bottom w:val="single" w:sz="4" w:space="0" w:color="000000" w:themeColor="text1"/>
              <w:right w:val="single" w:sz="6" w:space="0" w:color="auto"/>
            </w:tcBorders>
          </w:tcPr>
          <w:p w14:paraId="26BBA7EA" w14:textId="77777777" w:rsidR="006A0BAE" w:rsidRPr="003A41B3" w:rsidRDefault="006A0BAE" w:rsidP="00154091">
            <w:pPr>
              <w:widowControl w:val="0"/>
              <w:autoSpaceDE w:val="0"/>
              <w:autoSpaceDN w:val="0"/>
              <w:adjustRightInd w:val="0"/>
              <w:jc w:val="center"/>
              <w:rPr>
                <w:sz w:val="20"/>
                <w:szCs w:val="20"/>
              </w:rPr>
            </w:pPr>
          </w:p>
        </w:tc>
        <w:tc>
          <w:tcPr>
            <w:tcW w:w="2979" w:type="dxa"/>
            <w:tcBorders>
              <w:top w:val="nil"/>
              <w:left w:val="single" w:sz="4" w:space="0" w:color="000000" w:themeColor="text1"/>
              <w:bottom w:val="single" w:sz="4" w:space="0" w:color="000000" w:themeColor="text1"/>
            </w:tcBorders>
          </w:tcPr>
          <w:p w14:paraId="082592B4" w14:textId="77777777" w:rsidR="006A0BAE" w:rsidRPr="003A41B3" w:rsidRDefault="006A0BAE" w:rsidP="00154091">
            <w:pPr>
              <w:widowControl w:val="0"/>
              <w:autoSpaceDE w:val="0"/>
              <w:autoSpaceDN w:val="0"/>
              <w:adjustRightInd w:val="0"/>
              <w:jc w:val="center"/>
              <w:rPr>
                <w:sz w:val="20"/>
                <w:szCs w:val="20"/>
              </w:rPr>
            </w:pPr>
          </w:p>
        </w:tc>
        <w:tc>
          <w:tcPr>
            <w:tcW w:w="2806" w:type="dxa"/>
            <w:tcBorders>
              <w:top w:val="nil"/>
              <w:bottom w:val="single" w:sz="4" w:space="0" w:color="000000" w:themeColor="text1"/>
              <w:right w:val="nil"/>
            </w:tcBorders>
          </w:tcPr>
          <w:p w14:paraId="2479BCF0"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34DE6568" w14:textId="77777777" w:rsidTr="00154091">
        <w:trPr>
          <w:gridAfter w:val="2"/>
          <w:wAfter w:w="32" w:type="dxa"/>
          <w:trHeight w:val="273"/>
        </w:trPr>
        <w:tc>
          <w:tcPr>
            <w:tcW w:w="2517" w:type="dxa"/>
            <w:tcBorders>
              <w:top w:val="single" w:sz="4" w:space="0" w:color="000000" w:themeColor="text1"/>
              <w:left w:val="nil"/>
              <w:bottom w:val="nil"/>
              <w:right w:val="single" w:sz="4" w:space="0" w:color="FFFFFF" w:themeColor="background1"/>
            </w:tcBorders>
          </w:tcPr>
          <w:p w14:paraId="7F508852"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48" w:type="dxa"/>
            <w:tcBorders>
              <w:top w:val="single" w:sz="4" w:space="0" w:color="000000" w:themeColor="text1"/>
              <w:left w:val="single" w:sz="4" w:space="0" w:color="FFFFFF" w:themeColor="background1"/>
              <w:bottom w:val="nil"/>
              <w:right w:val="nil"/>
            </w:tcBorders>
          </w:tcPr>
          <w:p w14:paraId="4F8A9E8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162</w:t>
            </w:r>
          </w:p>
        </w:tc>
        <w:tc>
          <w:tcPr>
            <w:tcW w:w="2815" w:type="dxa"/>
            <w:tcBorders>
              <w:top w:val="single" w:sz="4" w:space="0" w:color="000000" w:themeColor="text1"/>
              <w:left w:val="nil"/>
              <w:bottom w:val="nil"/>
              <w:right w:val="single" w:sz="6" w:space="0" w:color="auto"/>
            </w:tcBorders>
          </w:tcPr>
          <w:p w14:paraId="13EFD0A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120</w:t>
            </w:r>
          </w:p>
        </w:tc>
        <w:tc>
          <w:tcPr>
            <w:tcW w:w="2979" w:type="dxa"/>
            <w:tcBorders>
              <w:top w:val="single" w:sz="4" w:space="0" w:color="000000" w:themeColor="text1"/>
              <w:left w:val="single" w:sz="4" w:space="0" w:color="000000" w:themeColor="text1"/>
              <w:bottom w:val="nil"/>
            </w:tcBorders>
          </w:tcPr>
          <w:p w14:paraId="7224279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80</w:t>
            </w:r>
          </w:p>
        </w:tc>
        <w:tc>
          <w:tcPr>
            <w:tcW w:w="2806" w:type="dxa"/>
            <w:tcBorders>
              <w:top w:val="single" w:sz="4" w:space="0" w:color="000000" w:themeColor="text1"/>
              <w:bottom w:val="nil"/>
              <w:right w:val="nil"/>
            </w:tcBorders>
          </w:tcPr>
          <w:p w14:paraId="70101AB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128</w:t>
            </w:r>
          </w:p>
        </w:tc>
      </w:tr>
      <w:tr w:rsidR="006A0BAE" w:rsidRPr="003A41B3" w14:paraId="7B7ACFF4" w14:textId="77777777" w:rsidTr="00154091">
        <w:trPr>
          <w:gridAfter w:val="2"/>
          <w:wAfter w:w="32" w:type="dxa"/>
          <w:trHeight w:val="273"/>
        </w:trPr>
        <w:tc>
          <w:tcPr>
            <w:tcW w:w="2517" w:type="dxa"/>
            <w:tcBorders>
              <w:top w:val="nil"/>
              <w:left w:val="nil"/>
              <w:bottom w:val="nil"/>
              <w:right w:val="single" w:sz="4" w:space="0" w:color="FFFFFF" w:themeColor="background1"/>
            </w:tcBorders>
          </w:tcPr>
          <w:p w14:paraId="52E508CB"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48" w:type="dxa"/>
            <w:tcBorders>
              <w:top w:val="nil"/>
              <w:left w:val="single" w:sz="4" w:space="0" w:color="FFFFFF" w:themeColor="background1"/>
              <w:bottom w:val="nil"/>
              <w:right w:val="nil"/>
            </w:tcBorders>
          </w:tcPr>
          <w:p w14:paraId="378F2E8F" w14:textId="77777777" w:rsidR="006A0BAE" w:rsidRPr="003A41B3" w:rsidRDefault="006A0BAE" w:rsidP="00154091">
            <w:pPr>
              <w:widowControl w:val="0"/>
              <w:autoSpaceDE w:val="0"/>
              <w:autoSpaceDN w:val="0"/>
              <w:adjustRightInd w:val="0"/>
              <w:jc w:val="center"/>
            </w:pPr>
            <w:r w:rsidRPr="003A41B3">
              <w:rPr>
                <w:sz w:val="20"/>
                <w:szCs w:val="20"/>
              </w:rPr>
              <w:t>0.196</w:t>
            </w:r>
          </w:p>
        </w:tc>
        <w:tc>
          <w:tcPr>
            <w:tcW w:w="2815" w:type="dxa"/>
            <w:tcBorders>
              <w:top w:val="nil"/>
              <w:left w:val="nil"/>
              <w:bottom w:val="nil"/>
              <w:right w:val="single" w:sz="6" w:space="0" w:color="auto"/>
            </w:tcBorders>
          </w:tcPr>
          <w:p w14:paraId="0AFA037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0.238</w:t>
            </w:r>
          </w:p>
        </w:tc>
        <w:tc>
          <w:tcPr>
            <w:tcW w:w="2979" w:type="dxa"/>
            <w:tcBorders>
              <w:top w:val="nil"/>
              <w:left w:val="single" w:sz="4" w:space="0" w:color="000000" w:themeColor="text1"/>
              <w:bottom w:val="nil"/>
            </w:tcBorders>
          </w:tcPr>
          <w:p w14:paraId="3464763A" w14:textId="77777777" w:rsidR="006A0BAE" w:rsidRPr="003A41B3" w:rsidRDefault="006A0BAE" w:rsidP="00154091">
            <w:pPr>
              <w:widowControl w:val="0"/>
              <w:autoSpaceDE w:val="0"/>
              <w:autoSpaceDN w:val="0"/>
              <w:adjustRightInd w:val="0"/>
              <w:jc w:val="center"/>
              <w:rPr>
                <w:sz w:val="20"/>
              </w:rPr>
            </w:pPr>
            <w:r w:rsidRPr="003A41B3">
              <w:rPr>
                <w:sz w:val="20"/>
              </w:rPr>
              <w:t>0.100</w:t>
            </w:r>
          </w:p>
        </w:tc>
        <w:tc>
          <w:tcPr>
            <w:tcW w:w="2806" w:type="dxa"/>
            <w:tcBorders>
              <w:top w:val="nil"/>
              <w:bottom w:val="nil"/>
              <w:right w:val="nil"/>
            </w:tcBorders>
          </w:tcPr>
          <w:p w14:paraId="0D18622B" w14:textId="77777777" w:rsidR="006A0BAE" w:rsidRPr="003A41B3" w:rsidRDefault="006A0BAE" w:rsidP="00154091">
            <w:pPr>
              <w:widowControl w:val="0"/>
              <w:autoSpaceDE w:val="0"/>
              <w:autoSpaceDN w:val="0"/>
              <w:adjustRightInd w:val="0"/>
              <w:jc w:val="center"/>
              <w:rPr>
                <w:sz w:val="20"/>
              </w:rPr>
            </w:pPr>
            <w:r w:rsidRPr="003A41B3">
              <w:rPr>
                <w:sz w:val="20"/>
              </w:rPr>
              <w:t>0.225</w:t>
            </w:r>
          </w:p>
        </w:tc>
      </w:tr>
      <w:tr w:rsidR="006A0BAE" w:rsidRPr="003A41B3" w14:paraId="5DEEBBCF" w14:textId="77777777" w:rsidTr="00154091">
        <w:trPr>
          <w:gridAfter w:val="1"/>
          <w:wAfter w:w="23" w:type="dxa"/>
          <w:trHeight w:val="380"/>
        </w:trPr>
        <w:tc>
          <w:tcPr>
            <w:tcW w:w="2517" w:type="dxa"/>
            <w:tcBorders>
              <w:top w:val="nil"/>
              <w:left w:val="nil"/>
              <w:bottom w:val="single" w:sz="4" w:space="0" w:color="000000"/>
              <w:right w:val="nil"/>
            </w:tcBorders>
            <w:vAlign w:val="center"/>
          </w:tcPr>
          <w:p w14:paraId="3188B6A8"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48" w:type="dxa"/>
            <w:tcBorders>
              <w:top w:val="nil"/>
              <w:left w:val="nil"/>
              <w:bottom w:val="single" w:sz="4" w:space="0" w:color="000000"/>
              <w:right w:val="nil"/>
            </w:tcBorders>
            <w:vAlign w:val="center"/>
          </w:tcPr>
          <w:p w14:paraId="64D41DFA" w14:textId="2A4E2EA7"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5" w:type="dxa"/>
            <w:tcBorders>
              <w:top w:val="nil"/>
              <w:left w:val="nil"/>
              <w:bottom w:val="single" w:sz="4" w:space="0" w:color="000000"/>
              <w:right w:val="single" w:sz="4" w:space="0" w:color="000000" w:themeColor="text1"/>
            </w:tcBorders>
            <w:vAlign w:val="center"/>
          </w:tcPr>
          <w:p w14:paraId="388EDC95" w14:textId="1AE51A40"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979" w:type="dxa"/>
            <w:tcBorders>
              <w:top w:val="nil"/>
              <w:left w:val="single" w:sz="4" w:space="0" w:color="000000" w:themeColor="text1"/>
              <w:bottom w:val="single" w:sz="4" w:space="0" w:color="000000"/>
              <w:right w:val="nil"/>
            </w:tcBorders>
            <w:vAlign w:val="center"/>
          </w:tcPr>
          <w:p w14:paraId="5BB11505" w14:textId="28C73EA6"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5" w:type="dxa"/>
            <w:gridSpan w:val="2"/>
            <w:tcBorders>
              <w:top w:val="nil"/>
              <w:left w:val="nil"/>
              <w:bottom w:val="single" w:sz="4" w:space="0" w:color="000000"/>
              <w:right w:val="nil"/>
            </w:tcBorders>
            <w:vAlign w:val="center"/>
          </w:tcPr>
          <w:p w14:paraId="3380594D" w14:textId="1964F475"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r>
      <w:tr w:rsidR="006A0BAE" w:rsidRPr="003A41B3" w14:paraId="67B68745" w14:textId="77777777" w:rsidTr="00154091">
        <w:trPr>
          <w:gridAfter w:val="1"/>
          <w:wAfter w:w="23" w:type="dxa"/>
          <w:trHeight w:val="690"/>
        </w:trPr>
        <w:tc>
          <w:tcPr>
            <w:tcW w:w="2517" w:type="dxa"/>
            <w:tcBorders>
              <w:top w:val="single" w:sz="4" w:space="0" w:color="000000"/>
              <w:left w:val="nil"/>
              <w:bottom w:val="nil"/>
              <w:right w:val="nil"/>
            </w:tcBorders>
            <w:vAlign w:val="center"/>
          </w:tcPr>
          <w:p w14:paraId="2AA7D010" w14:textId="77777777" w:rsidR="006A0BAE" w:rsidRPr="003A41B3" w:rsidRDefault="006A0BAE" w:rsidP="00154091">
            <w:pPr>
              <w:widowControl w:val="0"/>
              <w:autoSpaceDE w:val="0"/>
              <w:autoSpaceDN w:val="0"/>
              <w:adjustRightInd w:val="0"/>
            </w:pPr>
          </w:p>
        </w:tc>
        <w:tc>
          <w:tcPr>
            <w:tcW w:w="5463" w:type="dxa"/>
            <w:gridSpan w:val="2"/>
            <w:tcBorders>
              <w:top w:val="single" w:sz="4" w:space="0" w:color="000000"/>
              <w:left w:val="nil"/>
              <w:right w:val="single" w:sz="4" w:space="0" w:color="000000" w:themeColor="text1"/>
            </w:tcBorders>
            <w:vAlign w:val="center"/>
          </w:tcPr>
          <w:p w14:paraId="02E5C3D1"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w:t>
            </w:r>
            <w:proofErr w:type="spellStart"/>
            <w:r w:rsidRPr="003A41B3">
              <w:rPr>
                <w:sz w:val="18"/>
                <w:szCs w:val="20"/>
              </w:rPr>
              <w:t>post_mean</w:t>
            </w:r>
            <w:proofErr w:type="spellEnd"/>
            <w:r w:rsidRPr="003A41B3">
              <w:rPr>
                <w:sz w:val="18"/>
                <w:szCs w:val="20"/>
              </w:rPr>
              <w:t>]∆Rating = 0</w:t>
            </w:r>
          </w:p>
        </w:tc>
        <w:tc>
          <w:tcPr>
            <w:tcW w:w="5794" w:type="dxa"/>
            <w:gridSpan w:val="3"/>
            <w:tcBorders>
              <w:top w:val="single" w:sz="4" w:space="0" w:color="000000"/>
              <w:left w:val="single" w:sz="4" w:space="0" w:color="000000" w:themeColor="text1"/>
              <w:right w:val="nil"/>
            </w:tcBorders>
            <w:vAlign w:val="center"/>
          </w:tcPr>
          <w:p w14:paraId="4395DFC6"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 [</w:t>
            </w:r>
            <w:proofErr w:type="spellStart"/>
            <w:r w:rsidRPr="003A41B3">
              <w:rPr>
                <w:sz w:val="18"/>
                <w:szCs w:val="20"/>
              </w:rPr>
              <w:t>post_mean</w:t>
            </w:r>
            <w:proofErr w:type="spellEnd"/>
            <w:r w:rsidRPr="003A41B3">
              <w:rPr>
                <w:sz w:val="18"/>
                <w:szCs w:val="20"/>
              </w:rPr>
              <w:t>]∆Rating = 0</w:t>
            </w:r>
          </w:p>
        </w:tc>
      </w:tr>
      <w:tr w:rsidR="006A0BAE" w:rsidRPr="003A41B3" w14:paraId="5B22ACAC" w14:textId="77777777" w:rsidTr="00154091">
        <w:trPr>
          <w:gridAfter w:val="2"/>
          <w:wAfter w:w="32" w:type="dxa"/>
          <w:trHeight w:val="273"/>
        </w:trPr>
        <w:tc>
          <w:tcPr>
            <w:tcW w:w="2517" w:type="dxa"/>
            <w:tcBorders>
              <w:top w:val="nil"/>
              <w:left w:val="nil"/>
              <w:bottom w:val="nil"/>
            </w:tcBorders>
            <w:vAlign w:val="center"/>
          </w:tcPr>
          <w:p w14:paraId="607058D3" w14:textId="77777777" w:rsidR="006A0BAE" w:rsidRPr="003A41B3" w:rsidRDefault="006A0BAE" w:rsidP="00154091">
            <w:pPr>
              <w:widowControl w:val="0"/>
              <w:autoSpaceDE w:val="0"/>
              <w:autoSpaceDN w:val="0"/>
              <w:adjustRightInd w:val="0"/>
            </w:pPr>
          </w:p>
        </w:tc>
        <w:tc>
          <w:tcPr>
            <w:tcW w:w="2648" w:type="dxa"/>
          </w:tcPr>
          <w:p w14:paraId="510C9308"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15" w:type="dxa"/>
            <w:tcBorders>
              <w:right w:val="single" w:sz="4" w:space="0" w:color="000000" w:themeColor="text1"/>
            </w:tcBorders>
          </w:tcPr>
          <w:p w14:paraId="6A7187D3"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79" w:type="dxa"/>
            <w:tcBorders>
              <w:left w:val="single" w:sz="4" w:space="0" w:color="000000" w:themeColor="text1"/>
            </w:tcBorders>
          </w:tcPr>
          <w:p w14:paraId="20749567"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06" w:type="dxa"/>
            <w:tcBorders>
              <w:right w:val="nil"/>
            </w:tcBorders>
          </w:tcPr>
          <w:p w14:paraId="33944B8A"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Prob &gt; chi2</w:t>
            </w:r>
          </w:p>
        </w:tc>
      </w:tr>
      <w:tr w:rsidR="006A0BAE" w:rsidRPr="003A41B3" w14:paraId="5DCC5059" w14:textId="77777777" w:rsidTr="00154091">
        <w:trPr>
          <w:gridAfter w:val="2"/>
          <w:wAfter w:w="32" w:type="dxa"/>
          <w:trHeight w:val="273"/>
        </w:trPr>
        <w:tc>
          <w:tcPr>
            <w:tcW w:w="2517" w:type="dxa"/>
            <w:tcBorders>
              <w:top w:val="nil"/>
              <w:left w:val="nil"/>
              <w:bottom w:val="single" w:sz="4" w:space="0" w:color="000000" w:themeColor="text1"/>
              <w:right w:val="nil"/>
            </w:tcBorders>
            <w:vAlign w:val="center"/>
          </w:tcPr>
          <w:p w14:paraId="5C471D85" w14:textId="77777777" w:rsidR="006A0BAE" w:rsidRPr="003A41B3" w:rsidRDefault="006A0BAE" w:rsidP="00154091">
            <w:pPr>
              <w:widowControl w:val="0"/>
              <w:autoSpaceDE w:val="0"/>
              <w:autoSpaceDN w:val="0"/>
              <w:adjustRightInd w:val="0"/>
            </w:pPr>
          </w:p>
        </w:tc>
        <w:tc>
          <w:tcPr>
            <w:tcW w:w="2648" w:type="dxa"/>
            <w:tcBorders>
              <w:left w:val="nil"/>
              <w:bottom w:val="single" w:sz="4" w:space="0" w:color="000000" w:themeColor="text1"/>
            </w:tcBorders>
          </w:tcPr>
          <w:p w14:paraId="2F446BC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3.78</w:t>
            </w:r>
          </w:p>
        </w:tc>
        <w:tc>
          <w:tcPr>
            <w:tcW w:w="2815" w:type="dxa"/>
            <w:tcBorders>
              <w:bottom w:val="single" w:sz="4" w:space="0" w:color="000000" w:themeColor="text1"/>
              <w:right w:val="single" w:sz="4" w:space="0" w:color="000000" w:themeColor="text1"/>
            </w:tcBorders>
          </w:tcPr>
          <w:p w14:paraId="6EE6AF4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0.052</w:t>
            </w:r>
          </w:p>
        </w:tc>
        <w:tc>
          <w:tcPr>
            <w:tcW w:w="2979" w:type="dxa"/>
            <w:tcBorders>
              <w:left w:val="single" w:sz="4" w:space="0" w:color="000000" w:themeColor="text1"/>
              <w:bottom w:val="single" w:sz="4" w:space="0" w:color="000000" w:themeColor="text1"/>
            </w:tcBorders>
          </w:tcPr>
          <w:p w14:paraId="22DFA47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3.42</w:t>
            </w:r>
          </w:p>
        </w:tc>
        <w:tc>
          <w:tcPr>
            <w:tcW w:w="2806" w:type="dxa"/>
            <w:tcBorders>
              <w:bottom w:val="single" w:sz="4" w:space="0" w:color="000000" w:themeColor="text1"/>
              <w:right w:val="nil"/>
            </w:tcBorders>
          </w:tcPr>
          <w:p w14:paraId="78B5495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0.064</w:t>
            </w:r>
          </w:p>
        </w:tc>
      </w:tr>
    </w:tbl>
    <w:p w14:paraId="02333EFA" w14:textId="77777777" w:rsidR="006A0BAE" w:rsidRPr="003A41B3" w:rsidRDefault="006A0BAE" w:rsidP="006A0BAE">
      <w:pPr>
        <w:jc w:val="both"/>
        <w:rPr>
          <w:i/>
          <w:sz w:val="10"/>
          <w:szCs w:val="10"/>
        </w:rPr>
      </w:pPr>
    </w:p>
    <w:p w14:paraId="0303ABBB" w14:textId="77777777" w:rsidR="006A0BAE" w:rsidRPr="003A41B3" w:rsidRDefault="006A0BAE" w:rsidP="006A0BAE">
      <w:pPr>
        <w:jc w:val="both"/>
        <w:rPr>
          <w:sz w:val="22"/>
          <w:szCs w:val="22"/>
        </w:rPr>
      </w:pPr>
      <w:r w:rsidRPr="003A41B3">
        <w:rPr>
          <w:i/>
          <w:sz w:val="22"/>
          <w:szCs w:val="22"/>
        </w:rPr>
        <w:t>Note:</w:t>
      </w:r>
      <w:r w:rsidRPr="003A41B3">
        <w:rPr>
          <w:sz w:val="22"/>
          <w:szCs w:val="22"/>
        </w:rPr>
        <w:t xml:space="preserve"> This table presents the estimated coefficients and robust z-statistics in parentheses from specification of Eq. (2) using Ordinary Least Squares followed by the F-test which compares the statistical difference between </w:t>
      </w:r>
      <w:r w:rsidRPr="003A41B3">
        <w:rPr>
          <w:i/>
          <w:sz w:val="22"/>
          <w:szCs w:val="22"/>
        </w:rPr>
        <w:t>∆Rating</w:t>
      </w:r>
      <w:r w:rsidRPr="003A41B3">
        <w:rPr>
          <w:sz w:val="22"/>
          <w:szCs w:val="22"/>
        </w:rPr>
        <w:t xml:space="preserve"> coefficients in two sample periods. The credit rating dataset consists of daily positive and negative sovereign events by Moody’s based on 58-CCR rating scale for 54 countries during pre-identifier (Jan 2006-April 2012) and post-identifier (May 2012-June 2016) periods. For every event observation there is a randomly selected non-event observation. The dependent variable is </w:t>
      </w:r>
      <w:r w:rsidRPr="003A41B3">
        <w:rPr>
          <w:i/>
          <w:sz w:val="22"/>
          <w:szCs w:val="22"/>
        </w:rPr>
        <w:t>∆Yield</w:t>
      </w:r>
      <w:r w:rsidRPr="003A41B3">
        <w:rPr>
          <w:sz w:val="22"/>
          <w:szCs w:val="22"/>
        </w:rPr>
        <w:t xml:space="preserve"> 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command in STATA. Country fixed effects are included (“yes”). We estimate Eq. (2) separately for positive and negative events with absolute values for interpretation reasons. ***, **, * are significance levels at 1%, 5% and 10%.</w:t>
      </w:r>
    </w:p>
    <w:p w14:paraId="3EDFCD2C" w14:textId="77777777" w:rsidR="006A0BAE" w:rsidRPr="003A41B3" w:rsidRDefault="006A0BAE" w:rsidP="006A0BAE">
      <w:pPr>
        <w:jc w:val="both"/>
        <w:rPr>
          <w:sz w:val="22"/>
          <w:szCs w:val="22"/>
        </w:rPr>
      </w:pPr>
    </w:p>
    <w:p w14:paraId="2ACEF037" w14:textId="77777777" w:rsidR="006A0BAE" w:rsidRPr="003A41B3" w:rsidRDefault="006A0BAE" w:rsidP="006A0BAE">
      <w:pPr>
        <w:rPr>
          <w:sz w:val="20"/>
        </w:rPr>
      </w:pPr>
    </w:p>
    <w:tbl>
      <w:tblPr>
        <w:tblW w:w="0" w:type="auto"/>
        <w:tblInd w:w="78" w:type="dxa"/>
        <w:tblLayout w:type="fixed"/>
        <w:tblLook w:val="0000" w:firstRow="0" w:lastRow="0" w:firstColumn="0" w:lastColumn="0" w:noHBand="0" w:noVBand="0"/>
      </w:tblPr>
      <w:tblGrid>
        <w:gridCol w:w="2485"/>
        <w:gridCol w:w="2613"/>
        <w:gridCol w:w="2778"/>
        <w:gridCol w:w="2940"/>
        <w:gridCol w:w="2769"/>
        <w:gridCol w:w="9"/>
        <w:gridCol w:w="24"/>
      </w:tblGrid>
      <w:tr w:rsidR="006A0BAE" w:rsidRPr="003A41B3" w14:paraId="04FE8B14" w14:textId="77777777" w:rsidTr="00154091">
        <w:trPr>
          <w:trHeight w:val="559"/>
        </w:trPr>
        <w:tc>
          <w:tcPr>
            <w:tcW w:w="13618" w:type="dxa"/>
            <w:gridSpan w:val="7"/>
            <w:tcBorders>
              <w:top w:val="nil"/>
              <w:left w:val="nil"/>
              <w:bottom w:val="single" w:sz="4" w:space="0" w:color="000000" w:themeColor="text1"/>
              <w:right w:val="nil"/>
            </w:tcBorders>
          </w:tcPr>
          <w:p w14:paraId="5FE23B01" w14:textId="77777777" w:rsidR="006A0BAE" w:rsidRPr="003A41B3" w:rsidRDefault="006A0BAE" w:rsidP="00154091">
            <w:pPr>
              <w:widowControl w:val="0"/>
              <w:autoSpaceDE w:val="0"/>
              <w:autoSpaceDN w:val="0"/>
              <w:adjustRightInd w:val="0"/>
              <w:rPr>
                <w:b/>
              </w:rPr>
            </w:pPr>
            <w:r w:rsidRPr="003A41B3">
              <w:rPr>
                <w:b/>
              </w:rPr>
              <w:lastRenderedPageBreak/>
              <w:t xml:space="preserve">Table 6. Statistical differences between rating change coefficients in the pre and post-identifier periods: Fitch </w:t>
            </w:r>
          </w:p>
        </w:tc>
      </w:tr>
      <w:tr w:rsidR="006A0BAE" w:rsidRPr="003A41B3" w14:paraId="18C6930C" w14:textId="77777777" w:rsidTr="00154091">
        <w:trPr>
          <w:trHeight w:val="307"/>
        </w:trPr>
        <w:tc>
          <w:tcPr>
            <w:tcW w:w="7876" w:type="dxa"/>
            <w:gridSpan w:val="3"/>
            <w:tcBorders>
              <w:top w:val="single" w:sz="4" w:space="0" w:color="000000" w:themeColor="text1"/>
              <w:left w:val="nil"/>
              <w:bottom w:val="single" w:sz="4" w:space="0" w:color="000000" w:themeColor="text1"/>
              <w:right w:val="single" w:sz="4" w:space="0" w:color="000000" w:themeColor="text1"/>
            </w:tcBorders>
          </w:tcPr>
          <w:p w14:paraId="342A3F74"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 xml:space="preserve">                                            Fitch positive events</w:t>
            </w:r>
          </w:p>
        </w:tc>
        <w:tc>
          <w:tcPr>
            <w:tcW w:w="5742" w:type="dxa"/>
            <w:gridSpan w:val="4"/>
            <w:tcBorders>
              <w:top w:val="single" w:sz="4" w:space="0" w:color="000000" w:themeColor="text1"/>
              <w:left w:val="single" w:sz="4" w:space="0" w:color="000000" w:themeColor="text1"/>
              <w:bottom w:val="single" w:sz="4" w:space="0" w:color="000000" w:themeColor="text1"/>
              <w:right w:val="nil"/>
            </w:tcBorders>
          </w:tcPr>
          <w:p w14:paraId="53D12007"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Fitch negative events</w:t>
            </w:r>
          </w:p>
        </w:tc>
      </w:tr>
      <w:tr w:rsidR="006A0BAE" w:rsidRPr="003A41B3" w14:paraId="47E7A011" w14:textId="77777777" w:rsidTr="00154091">
        <w:trPr>
          <w:gridAfter w:val="1"/>
          <w:wAfter w:w="24" w:type="dxa"/>
          <w:trHeight w:val="733"/>
        </w:trPr>
        <w:tc>
          <w:tcPr>
            <w:tcW w:w="2485" w:type="dxa"/>
            <w:tcBorders>
              <w:left w:val="nil"/>
              <w:bottom w:val="single" w:sz="4" w:space="0" w:color="000000" w:themeColor="text1"/>
            </w:tcBorders>
          </w:tcPr>
          <w:p w14:paraId="1503F96C" w14:textId="77777777" w:rsidR="006A0BAE" w:rsidRPr="003A41B3" w:rsidRDefault="006A0BAE" w:rsidP="00154091">
            <w:pPr>
              <w:widowControl w:val="0"/>
              <w:autoSpaceDE w:val="0"/>
              <w:autoSpaceDN w:val="0"/>
              <w:adjustRightInd w:val="0"/>
            </w:pPr>
            <w:r w:rsidRPr="003A41B3">
              <w:rPr>
                <w:sz w:val="20"/>
                <w:szCs w:val="20"/>
              </w:rPr>
              <w:t>VARIABLES</w:t>
            </w:r>
          </w:p>
        </w:tc>
        <w:tc>
          <w:tcPr>
            <w:tcW w:w="5391" w:type="dxa"/>
            <w:gridSpan w:val="2"/>
            <w:tcBorders>
              <w:bottom w:val="single" w:sz="4" w:space="0" w:color="000000" w:themeColor="text1"/>
              <w:right w:val="single" w:sz="4" w:space="0" w:color="000000" w:themeColor="text1"/>
            </w:tcBorders>
            <w:vAlign w:val="center"/>
          </w:tcPr>
          <w:p w14:paraId="5484515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F-tests using Eq. (2)</w:t>
            </w:r>
          </w:p>
        </w:tc>
        <w:tc>
          <w:tcPr>
            <w:tcW w:w="5718" w:type="dxa"/>
            <w:gridSpan w:val="3"/>
            <w:tcBorders>
              <w:left w:val="single" w:sz="4" w:space="0" w:color="000000" w:themeColor="text1"/>
              <w:right w:val="nil"/>
            </w:tcBorders>
            <w:vAlign w:val="center"/>
          </w:tcPr>
          <w:p w14:paraId="73315DC7"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F-tests using Eq. (2)</w:t>
            </w:r>
          </w:p>
        </w:tc>
      </w:tr>
      <w:tr w:rsidR="006A0BAE" w:rsidRPr="003A41B3" w14:paraId="30B53112" w14:textId="77777777" w:rsidTr="00154091">
        <w:trPr>
          <w:gridAfter w:val="2"/>
          <w:wAfter w:w="33" w:type="dxa"/>
          <w:trHeight w:val="457"/>
        </w:trPr>
        <w:tc>
          <w:tcPr>
            <w:tcW w:w="2485" w:type="dxa"/>
            <w:tcBorders>
              <w:top w:val="single" w:sz="4" w:space="0" w:color="000000" w:themeColor="text1"/>
              <w:left w:val="nil"/>
            </w:tcBorders>
          </w:tcPr>
          <w:p w14:paraId="1BF480EC" w14:textId="77777777" w:rsidR="006A0BAE" w:rsidRPr="003A41B3" w:rsidRDefault="006A0BAE" w:rsidP="00154091">
            <w:pPr>
              <w:widowControl w:val="0"/>
              <w:autoSpaceDE w:val="0"/>
              <w:autoSpaceDN w:val="0"/>
              <w:adjustRightInd w:val="0"/>
              <w:rPr>
                <w:sz w:val="20"/>
                <w:szCs w:val="20"/>
              </w:rPr>
            </w:pPr>
          </w:p>
        </w:tc>
        <w:tc>
          <w:tcPr>
            <w:tcW w:w="2613" w:type="dxa"/>
            <w:tcBorders>
              <w:top w:val="single" w:sz="4" w:space="0" w:color="000000" w:themeColor="text1"/>
            </w:tcBorders>
          </w:tcPr>
          <w:p w14:paraId="0E02A1E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778" w:type="dxa"/>
            <w:tcBorders>
              <w:top w:val="single" w:sz="4" w:space="0" w:color="000000" w:themeColor="text1"/>
              <w:right w:val="single" w:sz="4" w:space="0" w:color="000000" w:themeColor="text1"/>
            </w:tcBorders>
          </w:tcPr>
          <w:p w14:paraId="160A997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c>
          <w:tcPr>
            <w:tcW w:w="2940" w:type="dxa"/>
            <w:tcBorders>
              <w:top w:val="single" w:sz="4" w:space="0" w:color="000000"/>
              <w:left w:val="single" w:sz="4" w:space="0" w:color="000000" w:themeColor="text1"/>
            </w:tcBorders>
          </w:tcPr>
          <w:p w14:paraId="2FADABE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pre-identifier</w:t>
            </w:r>
          </w:p>
        </w:tc>
        <w:tc>
          <w:tcPr>
            <w:tcW w:w="2769" w:type="dxa"/>
            <w:tcBorders>
              <w:top w:val="single" w:sz="4" w:space="0" w:color="000000"/>
              <w:right w:val="nil"/>
            </w:tcBorders>
          </w:tcPr>
          <w:p w14:paraId="34A81ED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post-identifier</w:t>
            </w:r>
          </w:p>
        </w:tc>
      </w:tr>
      <w:tr w:rsidR="006A0BAE" w:rsidRPr="003A41B3" w14:paraId="0357641A" w14:textId="77777777" w:rsidTr="00154091">
        <w:trPr>
          <w:gridAfter w:val="2"/>
          <w:wAfter w:w="33" w:type="dxa"/>
          <w:trHeight w:val="288"/>
        </w:trPr>
        <w:tc>
          <w:tcPr>
            <w:tcW w:w="2485" w:type="dxa"/>
            <w:tcBorders>
              <w:left w:val="nil"/>
              <w:bottom w:val="nil"/>
            </w:tcBorders>
          </w:tcPr>
          <w:p w14:paraId="32285422"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13" w:type="dxa"/>
            <w:tcBorders>
              <w:top w:val="nil"/>
              <w:left w:val="nil"/>
              <w:bottom w:val="nil"/>
              <w:right w:val="nil"/>
            </w:tcBorders>
          </w:tcPr>
          <w:p w14:paraId="503078F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-1.330***</w:t>
            </w:r>
          </w:p>
        </w:tc>
        <w:tc>
          <w:tcPr>
            <w:tcW w:w="2778" w:type="dxa"/>
            <w:tcBorders>
              <w:top w:val="nil"/>
              <w:left w:val="nil"/>
              <w:bottom w:val="nil"/>
              <w:right w:val="single" w:sz="6" w:space="0" w:color="auto"/>
            </w:tcBorders>
          </w:tcPr>
          <w:p w14:paraId="6E9D62A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0.934**</w:t>
            </w:r>
          </w:p>
        </w:tc>
        <w:tc>
          <w:tcPr>
            <w:tcW w:w="2940" w:type="dxa"/>
            <w:tcBorders>
              <w:left w:val="single" w:sz="4" w:space="0" w:color="000000" w:themeColor="text1"/>
              <w:bottom w:val="nil"/>
            </w:tcBorders>
          </w:tcPr>
          <w:p w14:paraId="26DFD44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0.525</w:t>
            </w:r>
          </w:p>
        </w:tc>
        <w:tc>
          <w:tcPr>
            <w:tcW w:w="2769" w:type="dxa"/>
            <w:tcBorders>
              <w:bottom w:val="nil"/>
              <w:right w:val="nil"/>
            </w:tcBorders>
          </w:tcPr>
          <w:p w14:paraId="73E06A3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3.041***</w:t>
            </w:r>
          </w:p>
        </w:tc>
      </w:tr>
      <w:tr w:rsidR="006A0BAE" w:rsidRPr="003A41B3" w14:paraId="462404D2" w14:textId="77777777" w:rsidTr="00154091">
        <w:trPr>
          <w:gridAfter w:val="2"/>
          <w:wAfter w:w="33" w:type="dxa"/>
          <w:trHeight w:val="288"/>
        </w:trPr>
        <w:tc>
          <w:tcPr>
            <w:tcW w:w="2485" w:type="dxa"/>
            <w:tcBorders>
              <w:top w:val="nil"/>
              <w:left w:val="nil"/>
              <w:bottom w:val="nil"/>
            </w:tcBorders>
          </w:tcPr>
          <w:p w14:paraId="4AA7DBD6" w14:textId="77777777" w:rsidR="006A0BAE" w:rsidRPr="003A41B3" w:rsidRDefault="006A0BAE" w:rsidP="00154091">
            <w:pPr>
              <w:widowControl w:val="0"/>
              <w:autoSpaceDE w:val="0"/>
              <w:autoSpaceDN w:val="0"/>
              <w:adjustRightInd w:val="0"/>
              <w:rPr>
                <w:sz w:val="20"/>
                <w:szCs w:val="20"/>
              </w:rPr>
            </w:pPr>
          </w:p>
        </w:tc>
        <w:tc>
          <w:tcPr>
            <w:tcW w:w="2613" w:type="dxa"/>
            <w:tcBorders>
              <w:top w:val="nil"/>
              <w:left w:val="nil"/>
              <w:bottom w:val="nil"/>
              <w:right w:val="nil"/>
            </w:tcBorders>
          </w:tcPr>
          <w:p w14:paraId="24A988E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(-2.63)</w:t>
            </w:r>
          </w:p>
        </w:tc>
        <w:tc>
          <w:tcPr>
            <w:tcW w:w="2778" w:type="dxa"/>
            <w:tcBorders>
              <w:top w:val="nil"/>
              <w:left w:val="nil"/>
              <w:bottom w:val="nil"/>
              <w:right w:val="single" w:sz="6" w:space="0" w:color="auto"/>
            </w:tcBorders>
          </w:tcPr>
          <w:p w14:paraId="16F57F1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(2.06)</w:t>
            </w:r>
          </w:p>
        </w:tc>
        <w:tc>
          <w:tcPr>
            <w:tcW w:w="2940" w:type="dxa"/>
            <w:tcBorders>
              <w:top w:val="nil"/>
              <w:left w:val="single" w:sz="4" w:space="0" w:color="000000" w:themeColor="text1"/>
              <w:bottom w:val="nil"/>
            </w:tcBorders>
          </w:tcPr>
          <w:p w14:paraId="6319CDF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(0.68)</w:t>
            </w:r>
          </w:p>
        </w:tc>
        <w:tc>
          <w:tcPr>
            <w:tcW w:w="2769" w:type="dxa"/>
            <w:tcBorders>
              <w:top w:val="nil"/>
              <w:bottom w:val="nil"/>
              <w:right w:val="nil"/>
            </w:tcBorders>
          </w:tcPr>
          <w:p w14:paraId="6FFFDF3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(3.60)</w:t>
            </w:r>
          </w:p>
        </w:tc>
      </w:tr>
      <w:tr w:rsidR="006A0BAE" w:rsidRPr="003A41B3" w14:paraId="67AE8F57" w14:textId="77777777" w:rsidTr="00154091">
        <w:trPr>
          <w:gridAfter w:val="2"/>
          <w:wAfter w:w="33" w:type="dxa"/>
          <w:trHeight w:val="328"/>
        </w:trPr>
        <w:tc>
          <w:tcPr>
            <w:tcW w:w="2485" w:type="dxa"/>
            <w:tcBorders>
              <w:top w:val="nil"/>
              <w:left w:val="nil"/>
              <w:bottom w:val="nil"/>
            </w:tcBorders>
          </w:tcPr>
          <w:p w14:paraId="6ED9C839"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13" w:type="dxa"/>
            <w:tcBorders>
              <w:top w:val="nil"/>
              <w:left w:val="nil"/>
              <w:bottom w:val="nil"/>
              <w:right w:val="nil"/>
            </w:tcBorders>
          </w:tcPr>
          <w:p w14:paraId="33E32E0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0.148</w:t>
            </w:r>
          </w:p>
        </w:tc>
        <w:tc>
          <w:tcPr>
            <w:tcW w:w="2778" w:type="dxa"/>
            <w:tcBorders>
              <w:top w:val="nil"/>
              <w:left w:val="nil"/>
              <w:bottom w:val="nil"/>
              <w:right w:val="single" w:sz="6" w:space="0" w:color="auto"/>
            </w:tcBorders>
          </w:tcPr>
          <w:p w14:paraId="2D6A0EE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-1.095***</w:t>
            </w:r>
          </w:p>
        </w:tc>
        <w:tc>
          <w:tcPr>
            <w:tcW w:w="2940" w:type="dxa"/>
            <w:tcBorders>
              <w:top w:val="nil"/>
              <w:left w:val="single" w:sz="4" w:space="0" w:color="000000" w:themeColor="text1"/>
              <w:bottom w:val="nil"/>
            </w:tcBorders>
          </w:tcPr>
          <w:p w14:paraId="58C967A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-0.396**</w:t>
            </w:r>
          </w:p>
        </w:tc>
        <w:tc>
          <w:tcPr>
            <w:tcW w:w="2769" w:type="dxa"/>
            <w:tcBorders>
              <w:top w:val="nil"/>
              <w:bottom w:val="nil"/>
              <w:right w:val="nil"/>
            </w:tcBorders>
          </w:tcPr>
          <w:p w14:paraId="419AB8C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1.623*</w:t>
            </w:r>
          </w:p>
        </w:tc>
      </w:tr>
      <w:tr w:rsidR="006A0BAE" w:rsidRPr="003A41B3" w14:paraId="6B2C56F4" w14:textId="77777777" w:rsidTr="00154091">
        <w:trPr>
          <w:gridAfter w:val="2"/>
          <w:wAfter w:w="33" w:type="dxa"/>
          <w:trHeight w:val="288"/>
        </w:trPr>
        <w:tc>
          <w:tcPr>
            <w:tcW w:w="2485" w:type="dxa"/>
            <w:tcBorders>
              <w:top w:val="nil"/>
              <w:left w:val="nil"/>
              <w:bottom w:val="nil"/>
            </w:tcBorders>
          </w:tcPr>
          <w:p w14:paraId="2EBDE488" w14:textId="77777777" w:rsidR="006A0BAE" w:rsidRPr="003A41B3" w:rsidRDefault="006A0BAE" w:rsidP="00154091">
            <w:pPr>
              <w:widowControl w:val="0"/>
              <w:autoSpaceDE w:val="0"/>
              <w:autoSpaceDN w:val="0"/>
              <w:adjustRightInd w:val="0"/>
              <w:rPr>
                <w:sz w:val="20"/>
                <w:szCs w:val="20"/>
              </w:rPr>
            </w:pPr>
          </w:p>
        </w:tc>
        <w:tc>
          <w:tcPr>
            <w:tcW w:w="2613" w:type="dxa"/>
            <w:tcBorders>
              <w:top w:val="nil"/>
              <w:left w:val="nil"/>
              <w:bottom w:val="nil"/>
              <w:right w:val="nil"/>
            </w:tcBorders>
          </w:tcPr>
          <w:p w14:paraId="45F50CC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1.11</w:t>
            </w:r>
          </w:p>
        </w:tc>
        <w:tc>
          <w:tcPr>
            <w:tcW w:w="2778" w:type="dxa"/>
            <w:tcBorders>
              <w:top w:val="nil"/>
              <w:left w:val="nil"/>
              <w:bottom w:val="nil"/>
              <w:right w:val="single" w:sz="6" w:space="0" w:color="auto"/>
            </w:tcBorders>
          </w:tcPr>
          <w:p w14:paraId="64F7D9D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(-4.34)</w:t>
            </w:r>
          </w:p>
        </w:tc>
        <w:tc>
          <w:tcPr>
            <w:tcW w:w="2940" w:type="dxa"/>
            <w:tcBorders>
              <w:top w:val="nil"/>
              <w:left w:val="single" w:sz="4" w:space="0" w:color="000000" w:themeColor="text1"/>
              <w:bottom w:val="nil"/>
            </w:tcBorders>
          </w:tcPr>
          <w:p w14:paraId="136C61F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(-2.43)</w:t>
            </w:r>
          </w:p>
        </w:tc>
        <w:tc>
          <w:tcPr>
            <w:tcW w:w="2769" w:type="dxa"/>
            <w:tcBorders>
              <w:top w:val="nil"/>
              <w:bottom w:val="nil"/>
              <w:right w:val="nil"/>
            </w:tcBorders>
          </w:tcPr>
          <w:p w14:paraId="3FF6692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(1.89)</w:t>
            </w:r>
          </w:p>
        </w:tc>
      </w:tr>
      <w:tr w:rsidR="006A0BAE" w:rsidRPr="003A41B3" w14:paraId="3B09B6D8" w14:textId="77777777" w:rsidTr="00154091">
        <w:trPr>
          <w:gridAfter w:val="2"/>
          <w:wAfter w:w="33" w:type="dxa"/>
          <w:trHeight w:val="288"/>
        </w:trPr>
        <w:tc>
          <w:tcPr>
            <w:tcW w:w="2485" w:type="dxa"/>
            <w:tcBorders>
              <w:top w:val="nil"/>
              <w:left w:val="nil"/>
              <w:bottom w:val="nil"/>
            </w:tcBorders>
          </w:tcPr>
          <w:p w14:paraId="1F10B66B"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13" w:type="dxa"/>
            <w:tcBorders>
              <w:top w:val="nil"/>
              <w:left w:val="nil"/>
              <w:bottom w:val="nil"/>
              <w:right w:val="nil"/>
            </w:tcBorders>
          </w:tcPr>
          <w:p w14:paraId="5F32F06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-0.463</w:t>
            </w:r>
          </w:p>
        </w:tc>
        <w:tc>
          <w:tcPr>
            <w:tcW w:w="2778" w:type="dxa"/>
            <w:tcBorders>
              <w:top w:val="nil"/>
              <w:left w:val="nil"/>
              <w:bottom w:val="nil"/>
              <w:right w:val="single" w:sz="6" w:space="0" w:color="auto"/>
            </w:tcBorders>
          </w:tcPr>
          <w:p w14:paraId="403C73F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-1.328</w:t>
            </w:r>
          </w:p>
        </w:tc>
        <w:tc>
          <w:tcPr>
            <w:tcW w:w="2940" w:type="dxa"/>
            <w:tcBorders>
              <w:top w:val="nil"/>
              <w:left w:val="single" w:sz="4" w:space="0" w:color="000000" w:themeColor="text1"/>
              <w:bottom w:val="nil"/>
            </w:tcBorders>
          </w:tcPr>
          <w:p w14:paraId="6A3A4D9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1.345</w:t>
            </w:r>
          </w:p>
        </w:tc>
        <w:tc>
          <w:tcPr>
            <w:tcW w:w="2769" w:type="dxa"/>
            <w:tcBorders>
              <w:top w:val="nil"/>
              <w:bottom w:val="nil"/>
              <w:right w:val="nil"/>
            </w:tcBorders>
          </w:tcPr>
          <w:p w14:paraId="59C022F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-11.264***</w:t>
            </w:r>
          </w:p>
        </w:tc>
      </w:tr>
      <w:tr w:rsidR="006A0BAE" w:rsidRPr="003A41B3" w14:paraId="6827261C" w14:textId="77777777" w:rsidTr="00154091">
        <w:trPr>
          <w:gridAfter w:val="2"/>
          <w:wAfter w:w="33" w:type="dxa"/>
          <w:trHeight w:val="288"/>
        </w:trPr>
        <w:tc>
          <w:tcPr>
            <w:tcW w:w="2485" w:type="dxa"/>
            <w:tcBorders>
              <w:top w:val="nil"/>
              <w:left w:val="nil"/>
            </w:tcBorders>
          </w:tcPr>
          <w:p w14:paraId="7EB84BE4" w14:textId="77777777" w:rsidR="006A0BAE" w:rsidRPr="003A41B3" w:rsidRDefault="006A0BAE" w:rsidP="00154091">
            <w:pPr>
              <w:widowControl w:val="0"/>
              <w:autoSpaceDE w:val="0"/>
              <w:autoSpaceDN w:val="0"/>
              <w:adjustRightInd w:val="0"/>
              <w:rPr>
                <w:sz w:val="20"/>
                <w:szCs w:val="20"/>
              </w:rPr>
            </w:pPr>
          </w:p>
        </w:tc>
        <w:tc>
          <w:tcPr>
            <w:tcW w:w="2613" w:type="dxa"/>
            <w:tcBorders>
              <w:top w:val="nil"/>
              <w:left w:val="nil"/>
              <w:bottom w:val="nil"/>
              <w:right w:val="nil"/>
            </w:tcBorders>
          </w:tcPr>
          <w:p w14:paraId="7F44585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(-0.36)</w:t>
            </w:r>
          </w:p>
        </w:tc>
        <w:tc>
          <w:tcPr>
            <w:tcW w:w="2778" w:type="dxa"/>
            <w:tcBorders>
              <w:top w:val="nil"/>
              <w:left w:val="nil"/>
              <w:bottom w:val="nil"/>
              <w:right w:val="single" w:sz="6" w:space="0" w:color="auto"/>
            </w:tcBorders>
          </w:tcPr>
          <w:p w14:paraId="7BFE252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(-0.79)</w:t>
            </w:r>
          </w:p>
        </w:tc>
        <w:tc>
          <w:tcPr>
            <w:tcW w:w="2940" w:type="dxa"/>
            <w:tcBorders>
              <w:top w:val="nil"/>
              <w:left w:val="single" w:sz="4" w:space="0" w:color="000000" w:themeColor="text1"/>
            </w:tcBorders>
          </w:tcPr>
          <w:p w14:paraId="5FE4F6E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(0.58)</w:t>
            </w:r>
          </w:p>
        </w:tc>
        <w:tc>
          <w:tcPr>
            <w:tcW w:w="2769" w:type="dxa"/>
            <w:tcBorders>
              <w:top w:val="nil"/>
              <w:right w:val="nil"/>
            </w:tcBorders>
          </w:tcPr>
          <w:p w14:paraId="6DE0E7B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(-3.35)</w:t>
            </w:r>
          </w:p>
        </w:tc>
      </w:tr>
      <w:tr w:rsidR="006A0BAE" w:rsidRPr="003A41B3" w14:paraId="239073D4" w14:textId="77777777" w:rsidTr="00154091">
        <w:trPr>
          <w:gridAfter w:val="2"/>
          <w:wAfter w:w="33" w:type="dxa"/>
          <w:trHeight w:val="288"/>
        </w:trPr>
        <w:tc>
          <w:tcPr>
            <w:tcW w:w="2485" w:type="dxa"/>
            <w:tcBorders>
              <w:top w:val="nil"/>
              <w:left w:val="nil"/>
              <w:bottom w:val="single" w:sz="4" w:space="0" w:color="000000" w:themeColor="text1"/>
            </w:tcBorders>
          </w:tcPr>
          <w:p w14:paraId="40EDE21A" w14:textId="77777777" w:rsidR="006A0BAE" w:rsidRPr="003A41B3" w:rsidRDefault="006A0BAE" w:rsidP="00154091">
            <w:pPr>
              <w:widowControl w:val="0"/>
              <w:autoSpaceDE w:val="0"/>
              <w:autoSpaceDN w:val="0"/>
              <w:adjustRightInd w:val="0"/>
              <w:rPr>
                <w:sz w:val="20"/>
                <w:szCs w:val="20"/>
              </w:rPr>
            </w:pPr>
          </w:p>
        </w:tc>
        <w:tc>
          <w:tcPr>
            <w:tcW w:w="2613" w:type="dxa"/>
            <w:tcBorders>
              <w:top w:val="nil"/>
              <w:left w:val="nil"/>
              <w:bottom w:val="single" w:sz="4" w:space="0" w:color="000000" w:themeColor="text1"/>
              <w:right w:val="nil"/>
            </w:tcBorders>
          </w:tcPr>
          <w:p w14:paraId="0107E8CC" w14:textId="77777777" w:rsidR="006A0BAE" w:rsidRPr="003A41B3" w:rsidRDefault="006A0BAE" w:rsidP="00154091">
            <w:pPr>
              <w:widowControl w:val="0"/>
              <w:autoSpaceDE w:val="0"/>
              <w:autoSpaceDN w:val="0"/>
              <w:adjustRightInd w:val="0"/>
              <w:jc w:val="center"/>
              <w:rPr>
                <w:sz w:val="20"/>
                <w:szCs w:val="20"/>
              </w:rPr>
            </w:pPr>
          </w:p>
        </w:tc>
        <w:tc>
          <w:tcPr>
            <w:tcW w:w="2778" w:type="dxa"/>
            <w:tcBorders>
              <w:top w:val="nil"/>
              <w:left w:val="nil"/>
              <w:bottom w:val="single" w:sz="4" w:space="0" w:color="000000" w:themeColor="text1"/>
              <w:right w:val="single" w:sz="6" w:space="0" w:color="auto"/>
            </w:tcBorders>
          </w:tcPr>
          <w:p w14:paraId="277A9C6C" w14:textId="77777777" w:rsidR="006A0BAE" w:rsidRPr="003A41B3" w:rsidRDefault="006A0BAE" w:rsidP="00154091">
            <w:pPr>
              <w:widowControl w:val="0"/>
              <w:autoSpaceDE w:val="0"/>
              <w:autoSpaceDN w:val="0"/>
              <w:adjustRightInd w:val="0"/>
              <w:jc w:val="center"/>
              <w:rPr>
                <w:sz w:val="20"/>
                <w:szCs w:val="20"/>
              </w:rPr>
            </w:pPr>
          </w:p>
        </w:tc>
        <w:tc>
          <w:tcPr>
            <w:tcW w:w="2940" w:type="dxa"/>
            <w:tcBorders>
              <w:top w:val="nil"/>
              <w:left w:val="single" w:sz="4" w:space="0" w:color="000000" w:themeColor="text1"/>
              <w:bottom w:val="single" w:sz="4" w:space="0" w:color="000000" w:themeColor="text1"/>
            </w:tcBorders>
          </w:tcPr>
          <w:p w14:paraId="25CFAB90" w14:textId="77777777" w:rsidR="006A0BAE" w:rsidRPr="003A41B3" w:rsidRDefault="006A0BAE" w:rsidP="00154091">
            <w:pPr>
              <w:widowControl w:val="0"/>
              <w:autoSpaceDE w:val="0"/>
              <w:autoSpaceDN w:val="0"/>
              <w:adjustRightInd w:val="0"/>
              <w:jc w:val="center"/>
              <w:rPr>
                <w:sz w:val="20"/>
                <w:szCs w:val="20"/>
              </w:rPr>
            </w:pPr>
          </w:p>
        </w:tc>
        <w:tc>
          <w:tcPr>
            <w:tcW w:w="2769" w:type="dxa"/>
            <w:tcBorders>
              <w:top w:val="nil"/>
              <w:bottom w:val="single" w:sz="4" w:space="0" w:color="000000" w:themeColor="text1"/>
              <w:right w:val="nil"/>
            </w:tcBorders>
          </w:tcPr>
          <w:p w14:paraId="2AF56780"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12CB6EBE" w14:textId="77777777" w:rsidTr="00154091">
        <w:trPr>
          <w:gridAfter w:val="2"/>
          <w:wAfter w:w="33" w:type="dxa"/>
          <w:trHeight w:val="288"/>
        </w:trPr>
        <w:tc>
          <w:tcPr>
            <w:tcW w:w="2485" w:type="dxa"/>
            <w:tcBorders>
              <w:top w:val="single" w:sz="4" w:space="0" w:color="000000" w:themeColor="text1"/>
              <w:left w:val="nil"/>
              <w:bottom w:val="nil"/>
              <w:right w:val="single" w:sz="4" w:space="0" w:color="FFFFFF" w:themeColor="background1"/>
            </w:tcBorders>
          </w:tcPr>
          <w:p w14:paraId="77B8516F"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13" w:type="dxa"/>
            <w:tcBorders>
              <w:top w:val="single" w:sz="4" w:space="0" w:color="000000" w:themeColor="text1"/>
              <w:left w:val="single" w:sz="4" w:space="0" w:color="FFFFFF" w:themeColor="background1"/>
              <w:bottom w:val="nil"/>
              <w:right w:val="nil"/>
            </w:tcBorders>
          </w:tcPr>
          <w:p w14:paraId="7519077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128</w:t>
            </w:r>
          </w:p>
        </w:tc>
        <w:tc>
          <w:tcPr>
            <w:tcW w:w="2778" w:type="dxa"/>
            <w:tcBorders>
              <w:top w:val="single" w:sz="4" w:space="0" w:color="000000" w:themeColor="text1"/>
              <w:left w:val="nil"/>
              <w:bottom w:val="nil"/>
              <w:right w:val="single" w:sz="6" w:space="0" w:color="auto"/>
            </w:tcBorders>
          </w:tcPr>
          <w:p w14:paraId="5C407DA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104</w:t>
            </w:r>
          </w:p>
        </w:tc>
        <w:tc>
          <w:tcPr>
            <w:tcW w:w="2940" w:type="dxa"/>
            <w:tcBorders>
              <w:top w:val="single" w:sz="4" w:space="0" w:color="000000" w:themeColor="text1"/>
              <w:left w:val="single" w:sz="4" w:space="0" w:color="000000" w:themeColor="text1"/>
              <w:bottom w:val="nil"/>
            </w:tcBorders>
          </w:tcPr>
          <w:p w14:paraId="312161A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120</w:t>
            </w:r>
          </w:p>
        </w:tc>
        <w:tc>
          <w:tcPr>
            <w:tcW w:w="2769" w:type="dxa"/>
            <w:tcBorders>
              <w:top w:val="single" w:sz="4" w:space="0" w:color="000000" w:themeColor="text1"/>
              <w:bottom w:val="nil"/>
              <w:right w:val="nil"/>
            </w:tcBorders>
          </w:tcPr>
          <w:p w14:paraId="68AB684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112</w:t>
            </w:r>
          </w:p>
        </w:tc>
      </w:tr>
      <w:tr w:rsidR="006A0BAE" w:rsidRPr="003A41B3" w14:paraId="5B0ABA15" w14:textId="77777777" w:rsidTr="00154091">
        <w:trPr>
          <w:gridAfter w:val="2"/>
          <w:wAfter w:w="33" w:type="dxa"/>
          <w:trHeight w:val="288"/>
        </w:trPr>
        <w:tc>
          <w:tcPr>
            <w:tcW w:w="2485" w:type="dxa"/>
            <w:tcBorders>
              <w:top w:val="nil"/>
              <w:left w:val="nil"/>
              <w:bottom w:val="nil"/>
              <w:right w:val="single" w:sz="4" w:space="0" w:color="FFFFFF" w:themeColor="background1"/>
            </w:tcBorders>
          </w:tcPr>
          <w:p w14:paraId="21641C6F"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13" w:type="dxa"/>
            <w:tcBorders>
              <w:top w:val="nil"/>
              <w:left w:val="single" w:sz="4" w:space="0" w:color="FFFFFF" w:themeColor="background1"/>
              <w:bottom w:val="nil"/>
              <w:right w:val="nil"/>
            </w:tcBorders>
          </w:tcPr>
          <w:p w14:paraId="18A384A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0.135</w:t>
            </w:r>
          </w:p>
        </w:tc>
        <w:tc>
          <w:tcPr>
            <w:tcW w:w="2778" w:type="dxa"/>
            <w:tcBorders>
              <w:top w:val="nil"/>
              <w:left w:val="nil"/>
              <w:bottom w:val="nil"/>
              <w:right w:val="single" w:sz="6" w:space="0" w:color="auto"/>
            </w:tcBorders>
          </w:tcPr>
          <w:p w14:paraId="5424A23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0.399</w:t>
            </w:r>
          </w:p>
        </w:tc>
        <w:tc>
          <w:tcPr>
            <w:tcW w:w="2940" w:type="dxa"/>
            <w:tcBorders>
              <w:top w:val="nil"/>
              <w:left w:val="single" w:sz="4" w:space="0" w:color="000000" w:themeColor="text1"/>
              <w:bottom w:val="nil"/>
            </w:tcBorders>
          </w:tcPr>
          <w:p w14:paraId="1C7087AE" w14:textId="77777777" w:rsidR="006A0BAE" w:rsidRPr="003A41B3" w:rsidRDefault="006A0BAE" w:rsidP="00154091">
            <w:pPr>
              <w:widowControl w:val="0"/>
              <w:autoSpaceDE w:val="0"/>
              <w:autoSpaceDN w:val="0"/>
              <w:adjustRightInd w:val="0"/>
              <w:jc w:val="center"/>
              <w:rPr>
                <w:sz w:val="20"/>
              </w:rPr>
            </w:pPr>
            <w:r w:rsidRPr="003A41B3">
              <w:rPr>
                <w:sz w:val="20"/>
              </w:rPr>
              <w:t>0.168</w:t>
            </w:r>
          </w:p>
        </w:tc>
        <w:tc>
          <w:tcPr>
            <w:tcW w:w="2769" w:type="dxa"/>
            <w:tcBorders>
              <w:top w:val="nil"/>
              <w:bottom w:val="nil"/>
              <w:right w:val="nil"/>
            </w:tcBorders>
          </w:tcPr>
          <w:p w14:paraId="2411D450" w14:textId="77777777" w:rsidR="006A0BAE" w:rsidRPr="003A41B3" w:rsidRDefault="006A0BAE" w:rsidP="00154091">
            <w:pPr>
              <w:widowControl w:val="0"/>
              <w:autoSpaceDE w:val="0"/>
              <w:autoSpaceDN w:val="0"/>
              <w:adjustRightInd w:val="0"/>
              <w:jc w:val="center"/>
              <w:rPr>
                <w:sz w:val="20"/>
              </w:rPr>
            </w:pPr>
            <w:r w:rsidRPr="003A41B3">
              <w:rPr>
                <w:sz w:val="20"/>
              </w:rPr>
              <w:t>0.459</w:t>
            </w:r>
          </w:p>
        </w:tc>
      </w:tr>
      <w:tr w:rsidR="006A0BAE" w:rsidRPr="003A41B3" w14:paraId="76CD2915" w14:textId="77777777" w:rsidTr="00154091">
        <w:trPr>
          <w:gridAfter w:val="1"/>
          <w:wAfter w:w="24" w:type="dxa"/>
          <w:trHeight w:val="401"/>
        </w:trPr>
        <w:tc>
          <w:tcPr>
            <w:tcW w:w="2485" w:type="dxa"/>
            <w:tcBorders>
              <w:top w:val="nil"/>
              <w:left w:val="nil"/>
              <w:bottom w:val="single" w:sz="4" w:space="0" w:color="000000"/>
              <w:right w:val="nil"/>
            </w:tcBorders>
            <w:vAlign w:val="center"/>
          </w:tcPr>
          <w:p w14:paraId="45919A3C"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13" w:type="dxa"/>
            <w:tcBorders>
              <w:top w:val="nil"/>
              <w:left w:val="nil"/>
              <w:bottom w:val="single" w:sz="4" w:space="0" w:color="000000"/>
              <w:right w:val="nil"/>
            </w:tcBorders>
            <w:vAlign w:val="center"/>
          </w:tcPr>
          <w:p w14:paraId="7DD6CB22" w14:textId="5E65021A"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778" w:type="dxa"/>
            <w:tcBorders>
              <w:top w:val="nil"/>
              <w:left w:val="nil"/>
              <w:bottom w:val="single" w:sz="4" w:space="0" w:color="000000"/>
              <w:right w:val="single" w:sz="4" w:space="0" w:color="000000" w:themeColor="text1"/>
            </w:tcBorders>
            <w:vAlign w:val="center"/>
          </w:tcPr>
          <w:p w14:paraId="343BC14D" w14:textId="11E32BFD"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940" w:type="dxa"/>
            <w:tcBorders>
              <w:top w:val="nil"/>
              <w:left w:val="single" w:sz="4" w:space="0" w:color="000000" w:themeColor="text1"/>
              <w:bottom w:val="single" w:sz="4" w:space="0" w:color="000000"/>
              <w:right w:val="nil"/>
            </w:tcBorders>
            <w:vAlign w:val="center"/>
          </w:tcPr>
          <w:p w14:paraId="73737AD1" w14:textId="6F6C6E81"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778" w:type="dxa"/>
            <w:gridSpan w:val="2"/>
            <w:tcBorders>
              <w:top w:val="nil"/>
              <w:left w:val="nil"/>
              <w:bottom w:val="single" w:sz="4" w:space="0" w:color="000000"/>
              <w:right w:val="nil"/>
            </w:tcBorders>
            <w:vAlign w:val="center"/>
          </w:tcPr>
          <w:p w14:paraId="303B8795" w14:textId="700AE586"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r>
      <w:tr w:rsidR="006A0BAE" w:rsidRPr="003A41B3" w14:paraId="6A2612B8" w14:textId="77777777" w:rsidTr="00154091">
        <w:trPr>
          <w:gridAfter w:val="1"/>
          <w:wAfter w:w="24" w:type="dxa"/>
          <w:trHeight w:val="728"/>
        </w:trPr>
        <w:tc>
          <w:tcPr>
            <w:tcW w:w="2485" w:type="dxa"/>
            <w:tcBorders>
              <w:top w:val="single" w:sz="4" w:space="0" w:color="000000"/>
              <w:left w:val="nil"/>
              <w:bottom w:val="nil"/>
              <w:right w:val="nil"/>
            </w:tcBorders>
            <w:vAlign w:val="center"/>
          </w:tcPr>
          <w:p w14:paraId="37ADEF2F" w14:textId="77777777" w:rsidR="006A0BAE" w:rsidRPr="003A41B3" w:rsidRDefault="006A0BAE" w:rsidP="00154091">
            <w:pPr>
              <w:widowControl w:val="0"/>
              <w:autoSpaceDE w:val="0"/>
              <w:autoSpaceDN w:val="0"/>
              <w:adjustRightInd w:val="0"/>
            </w:pPr>
          </w:p>
        </w:tc>
        <w:tc>
          <w:tcPr>
            <w:tcW w:w="5391" w:type="dxa"/>
            <w:gridSpan w:val="2"/>
            <w:tcBorders>
              <w:top w:val="single" w:sz="4" w:space="0" w:color="000000"/>
              <w:left w:val="nil"/>
              <w:right w:val="single" w:sz="4" w:space="0" w:color="000000" w:themeColor="text1"/>
            </w:tcBorders>
            <w:vAlign w:val="center"/>
          </w:tcPr>
          <w:p w14:paraId="26BDAEEC"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w:t>
            </w:r>
            <w:proofErr w:type="spellStart"/>
            <w:r w:rsidRPr="003A41B3">
              <w:rPr>
                <w:sz w:val="18"/>
                <w:szCs w:val="20"/>
              </w:rPr>
              <w:t>post_mean</w:t>
            </w:r>
            <w:proofErr w:type="spellEnd"/>
            <w:r w:rsidRPr="003A41B3">
              <w:rPr>
                <w:sz w:val="18"/>
                <w:szCs w:val="20"/>
              </w:rPr>
              <w:t>]∆Rating = 0</w:t>
            </w:r>
          </w:p>
        </w:tc>
        <w:tc>
          <w:tcPr>
            <w:tcW w:w="5718" w:type="dxa"/>
            <w:gridSpan w:val="3"/>
            <w:tcBorders>
              <w:top w:val="single" w:sz="4" w:space="0" w:color="000000"/>
              <w:left w:val="single" w:sz="4" w:space="0" w:color="000000" w:themeColor="text1"/>
              <w:right w:val="nil"/>
            </w:tcBorders>
            <w:vAlign w:val="center"/>
          </w:tcPr>
          <w:p w14:paraId="55EC6D33"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pre_mean</w:t>
            </w:r>
            <w:proofErr w:type="spellEnd"/>
            <w:r w:rsidRPr="003A41B3">
              <w:rPr>
                <w:sz w:val="18"/>
                <w:szCs w:val="20"/>
              </w:rPr>
              <w:t>]∆Rating - [</w:t>
            </w:r>
            <w:proofErr w:type="spellStart"/>
            <w:r w:rsidRPr="003A41B3">
              <w:rPr>
                <w:sz w:val="18"/>
                <w:szCs w:val="20"/>
              </w:rPr>
              <w:t>post_mean</w:t>
            </w:r>
            <w:proofErr w:type="spellEnd"/>
            <w:r w:rsidRPr="003A41B3">
              <w:rPr>
                <w:sz w:val="18"/>
                <w:szCs w:val="20"/>
              </w:rPr>
              <w:t>]∆Rating = 0</w:t>
            </w:r>
          </w:p>
        </w:tc>
      </w:tr>
      <w:tr w:rsidR="006A0BAE" w:rsidRPr="003A41B3" w14:paraId="395726DA" w14:textId="77777777" w:rsidTr="00154091">
        <w:trPr>
          <w:gridAfter w:val="2"/>
          <w:wAfter w:w="33" w:type="dxa"/>
          <w:trHeight w:val="288"/>
        </w:trPr>
        <w:tc>
          <w:tcPr>
            <w:tcW w:w="2485" w:type="dxa"/>
            <w:tcBorders>
              <w:top w:val="nil"/>
              <w:left w:val="nil"/>
              <w:bottom w:val="nil"/>
            </w:tcBorders>
            <w:vAlign w:val="center"/>
          </w:tcPr>
          <w:p w14:paraId="51A90AD6" w14:textId="77777777" w:rsidR="006A0BAE" w:rsidRPr="003A41B3" w:rsidRDefault="006A0BAE" w:rsidP="00154091">
            <w:pPr>
              <w:widowControl w:val="0"/>
              <w:autoSpaceDE w:val="0"/>
              <w:autoSpaceDN w:val="0"/>
              <w:adjustRightInd w:val="0"/>
            </w:pPr>
          </w:p>
        </w:tc>
        <w:tc>
          <w:tcPr>
            <w:tcW w:w="2613" w:type="dxa"/>
          </w:tcPr>
          <w:p w14:paraId="5D11A675"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778" w:type="dxa"/>
            <w:tcBorders>
              <w:right w:val="single" w:sz="4" w:space="0" w:color="000000" w:themeColor="text1"/>
            </w:tcBorders>
          </w:tcPr>
          <w:p w14:paraId="092BB3DE"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40" w:type="dxa"/>
            <w:tcBorders>
              <w:left w:val="single" w:sz="4" w:space="0" w:color="000000" w:themeColor="text1"/>
            </w:tcBorders>
          </w:tcPr>
          <w:p w14:paraId="6CA00B8F"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769" w:type="dxa"/>
            <w:tcBorders>
              <w:right w:val="nil"/>
            </w:tcBorders>
          </w:tcPr>
          <w:p w14:paraId="52E86AD4"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Prob &gt; chi2</w:t>
            </w:r>
          </w:p>
        </w:tc>
      </w:tr>
      <w:tr w:rsidR="006A0BAE" w:rsidRPr="003A41B3" w14:paraId="1C4A39FE" w14:textId="77777777" w:rsidTr="00154091">
        <w:trPr>
          <w:gridAfter w:val="2"/>
          <w:wAfter w:w="33" w:type="dxa"/>
          <w:trHeight w:val="288"/>
        </w:trPr>
        <w:tc>
          <w:tcPr>
            <w:tcW w:w="2485" w:type="dxa"/>
            <w:tcBorders>
              <w:top w:val="nil"/>
              <w:left w:val="nil"/>
              <w:bottom w:val="single" w:sz="4" w:space="0" w:color="000000" w:themeColor="text1"/>
              <w:right w:val="nil"/>
            </w:tcBorders>
            <w:vAlign w:val="center"/>
          </w:tcPr>
          <w:p w14:paraId="5F7A38E2" w14:textId="77777777" w:rsidR="006A0BAE" w:rsidRPr="003A41B3" w:rsidRDefault="006A0BAE" w:rsidP="00154091">
            <w:pPr>
              <w:widowControl w:val="0"/>
              <w:autoSpaceDE w:val="0"/>
              <w:autoSpaceDN w:val="0"/>
              <w:adjustRightInd w:val="0"/>
            </w:pPr>
          </w:p>
        </w:tc>
        <w:tc>
          <w:tcPr>
            <w:tcW w:w="2613" w:type="dxa"/>
            <w:tcBorders>
              <w:left w:val="nil"/>
              <w:bottom w:val="single" w:sz="4" w:space="0" w:color="000000" w:themeColor="text1"/>
            </w:tcBorders>
          </w:tcPr>
          <w:p w14:paraId="6EE51F1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9.40</w:t>
            </w:r>
          </w:p>
        </w:tc>
        <w:tc>
          <w:tcPr>
            <w:tcW w:w="2778" w:type="dxa"/>
            <w:tcBorders>
              <w:bottom w:val="single" w:sz="4" w:space="0" w:color="000000" w:themeColor="text1"/>
              <w:right w:val="single" w:sz="4" w:space="0" w:color="000000" w:themeColor="text1"/>
            </w:tcBorders>
          </w:tcPr>
          <w:p w14:paraId="66E6081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0.002</w:t>
            </w:r>
          </w:p>
        </w:tc>
        <w:tc>
          <w:tcPr>
            <w:tcW w:w="2940" w:type="dxa"/>
            <w:tcBorders>
              <w:left w:val="single" w:sz="4" w:space="0" w:color="000000" w:themeColor="text1"/>
              <w:bottom w:val="single" w:sz="4" w:space="0" w:color="000000" w:themeColor="text1"/>
            </w:tcBorders>
          </w:tcPr>
          <w:p w14:paraId="21D18C0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3.51</w:t>
            </w:r>
          </w:p>
        </w:tc>
        <w:tc>
          <w:tcPr>
            <w:tcW w:w="2769" w:type="dxa"/>
            <w:tcBorders>
              <w:bottom w:val="single" w:sz="4" w:space="0" w:color="000000" w:themeColor="text1"/>
              <w:right w:val="nil"/>
            </w:tcBorders>
          </w:tcPr>
          <w:p w14:paraId="7EF51C4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0.061</w:t>
            </w:r>
          </w:p>
        </w:tc>
      </w:tr>
    </w:tbl>
    <w:p w14:paraId="669F7E4B" w14:textId="77777777" w:rsidR="006A0BAE" w:rsidRPr="003A41B3" w:rsidRDefault="006A0BAE" w:rsidP="006A0BAE">
      <w:pPr>
        <w:jc w:val="both"/>
        <w:rPr>
          <w:i/>
          <w:sz w:val="10"/>
          <w:szCs w:val="10"/>
        </w:rPr>
      </w:pPr>
    </w:p>
    <w:p w14:paraId="0FBCE5DB" w14:textId="77777777" w:rsidR="006A0BAE" w:rsidRPr="003A41B3" w:rsidRDefault="006A0BAE" w:rsidP="006A0BAE">
      <w:pPr>
        <w:jc w:val="both"/>
        <w:rPr>
          <w:sz w:val="22"/>
          <w:szCs w:val="22"/>
        </w:rPr>
      </w:pPr>
      <w:r w:rsidRPr="003A41B3">
        <w:rPr>
          <w:i/>
          <w:sz w:val="22"/>
          <w:szCs w:val="22"/>
        </w:rPr>
        <w:t>Note:</w:t>
      </w:r>
      <w:r w:rsidRPr="003A41B3">
        <w:rPr>
          <w:sz w:val="22"/>
          <w:szCs w:val="22"/>
        </w:rPr>
        <w:t xml:space="preserve"> This table presents the estimated coefficients and robust z-statistics in parentheses from specification of Eq. (2) using Ordinary Least Squares followed by the F-test which compares the statistical difference between </w:t>
      </w:r>
      <w:r w:rsidRPr="003A41B3">
        <w:rPr>
          <w:i/>
          <w:sz w:val="22"/>
          <w:szCs w:val="22"/>
        </w:rPr>
        <w:t>∆Rating</w:t>
      </w:r>
      <w:r w:rsidRPr="003A41B3">
        <w:rPr>
          <w:sz w:val="22"/>
          <w:szCs w:val="22"/>
        </w:rPr>
        <w:t xml:space="preserve"> coefficients in two sample periods. The credit rating dataset consists of daily positive and negative sovereign events by Fitch based on 58-CCR rating scale for 51 countries during pre-identifier (Jan 2006-April 2012) and post-identifier (May 2012-June 2016) periods. For every event observation there is a randomly selected non-event observation. The dependent variable is </w:t>
      </w:r>
      <w:r w:rsidRPr="003A41B3">
        <w:rPr>
          <w:i/>
          <w:sz w:val="22"/>
          <w:szCs w:val="22"/>
        </w:rPr>
        <w:t xml:space="preserve">∆Yield </w:t>
      </w:r>
      <w:r w:rsidRPr="003A41B3">
        <w:rPr>
          <w:sz w:val="22"/>
          <w:szCs w:val="22"/>
        </w:rPr>
        <w:t xml:space="preserve">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command in STATA. Country fixed effects are included (“yes). We estimate Eq. (2) separately for positive and negative events with absolute values for interpretation reasons. ***, **, * are significance levels at 1%, 5% and 10%.</w:t>
      </w:r>
    </w:p>
    <w:p w14:paraId="5CCAB788" w14:textId="77777777" w:rsidR="006A0BAE" w:rsidRPr="003A41B3" w:rsidRDefault="006A0BAE" w:rsidP="006A0BAE">
      <w:pPr>
        <w:jc w:val="both"/>
        <w:rPr>
          <w:sz w:val="22"/>
          <w:szCs w:val="22"/>
        </w:rPr>
      </w:pPr>
    </w:p>
    <w:tbl>
      <w:tblPr>
        <w:tblW w:w="0" w:type="auto"/>
        <w:tblInd w:w="78" w:type="dxa"/>
        <w:tblLayout w:type="fixed"/>
        <w:tblLook w:val="0000" w:firstRow="0" w:lastRow="0" w:firstColumn="0" w:lastColumn="0" w:noHBand="0" w:noVBand="0"/>
      </w:tblPr>
      <w:tblGrid>
        <w:gridCol w:w="2516"/>
        <w:gridCol w:w="2647"/>
        <w:gridCol w:w="2817"/>
        <w:gridCol w:w="2977"/>
        <w:gridCol w:w="2805"/>
        <w:gridCol w:w="11"/>
        <w:gridCol w:w="27"/>
      </w:tblGrid>
      <w:tr w:rsidR="006A0BAE" w:rsidRPr="003A41B3" w14:paraId="749964C0" w14:textId="77777777" w:rsidTr="00154091">
        <w:trPr>
          <w:trHeight w:val="545"/>
        </w:trPr>
        <w:tc>
          <w:tcPr>
            <w:tcW w:w="13800" w:type="dxa"/>
            <w:gridSpan w:val="7"/>
            <w:tcBorders>
              <w:top w:val="nil"/>
              <w:left w:val="nil"/>
              <w:bottom w:val="single" w:sz="4" w:space="0" w:color="000000" w:themeColor="text1"/>
              <w:right w:val="nil"/>
            </w:tcBorders>
          </w:tcPr>
          <w:p w14:paraId="67EFC65A" w14:textId="5E31C08C" w:rsidR="006A0BAE" w:rsidRPr="003A41B3" w:rsidRDefault="006A0BAE" w:rsidP="003E6449">
            <w:pPr>
              <w:widowControl w:val="0"/>
              <w:autoSpaceDE w:val="0"/>
              <w:autoSpaceDN w:val="0"/>
              <w:adjustRightInd w:val="0"/>
              <w:rPr>
                <w:b/>
              </w:rPr>
            </w:pPr>
            <w:r w:rsidRPr="003A41B3">
              <w:rPr>
                <w:b/>
              </w:rPr>
              <w:lastRenderedPageBreak/>
              <w:t>Table 7. Statistical differences between rating change coefficients by analyst location</w:t>
            </w:r>
            <w:r w:rsidR="003E6449" w:rsidRPr="003A41B3">
              <w:rPr>
                <w:b/>
              </w:rPr>
              <w:t>,</w:t>
            </w:r>
            <w:r w:rsidR="00154091" w:rsidRPr="003A41B3">
              <w:rPr>
                <w:b/>
              </w:rPr>
              <w:t xml:space="preserve"> </w:t>
            </w:r>
            <w:r w:rsidR="00154091" w:rsidRPr="003A41B3">
              <w:rPr>
                <w:b/>
                <w:sz w:val="22"/>
                <w:szCs w:val="22"/>
              </w:rPr>
              <w:t>May 2012-June 2016</w:t>
            </w:r>
            <w:r w:rsidRPr="003A41B3">
              <w:rPr>
                <w:b/>
              </w:rPr>
              <w:t xml:space="preserve">: S&amp;P </w:t>
            </w:r>
          </w:p>
        </w:tc>
      </w:tr>
      <w:tr w:rsidR="006A0BAE" w:rsidRPr="003A41B3" w14:paraId="4DD05177" w14:textId="77777777" w:rsidTr="00154091">
        <w:trPr>
          <w:trHeight w:val="299"/>
        </w:trPr>
        <w:tc>
          <w:tcPr>
            <w:tcW w:w="7980" w:type="dxa"/>
            <w:gridSpan w:val="3"/>
            <w:tcBorders>
              <w:top w:val="single" w:sz="4" w:space="0" w:color="000000" w:themeColor="text1"/>
              <w:left w:val="nil"/>
              <w:bottom w:val="single" w:sz="4" w:space="0" w:color="000000" w:themeColor="text1"/>
              <w:right w:val="single" w:sz="4" w:space="0" w:color="000000" w:themeColor="text1"/>
            </w:tcBorders>
          </w:tcPr>
          <w:p w14:paraId="3BBB15D5"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 xml:space="preserve">                                                S&amp;P positive events</w:t>
            </w:r>
          </w:p>
        </w:tc>
        <w:tc>
          <w:tcPr>
            <w:tcW w:w="5820" w:type="dxa"/>
            <w:gridSpan w:val="4"/>
            <w:tcBorders>
              <w:top w:val="single" w:sz="4" w:space="0" w:color="000000" w:themeColor="text1"/>
              <w:left w:val="single" w:sz="4" w:space="0" w:color="000000" w:themeColor="text1"/>
              <w:bottom w:val="single" w:sz="4" w:space="0" w:color="000000" w:themeColor="text1"/>
              <w:right w:val="nil"/>
            </w:tcBorders>
          </w:tcPr>
          <w:p w14:paraId="13415E6E"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S&amp;P negative events</w:t>
            </w:r>
          </w:p>
        </w:tc>
      </w:tr>
      <w:tr w:rsidR="006A0BAE" w:rsidRPr="003A41B3" w14:paraId="007D8895" w14:textId="77777777" w:rsidTr="00154091">
        <w:trPr>
          <w:gridAfter w:val="1"/>
          <w:wAfter w:w="27" w:type="dxa"/>
          <w:trHeight w:val="715"/>
        </w:trPr>
        <w:tc>
          <w:tcPr>
            <w:tcW w:w="2516" w:type="dxa"/>
            <w:tcBorders>
              <w:left w:val="nil"/>
              <w:bottom w:val="single" w:sz="4" w:space="0" w:color="000000" w:themeColor="text1"/>
            </w:tcBorders>
          </w:tcPr>
          <w:p w14:paraId="4BD22237" w14:textId="77777777" w:rsidR="006A0BAE" w:rsidRPr="003A41B3" w:rsidRDefault="006A0BAE" w:rsidP="00154091">
            <w:pPr>
              <w:widowControl w:val="0"/>
              <w:autoSpaceDE w:val="0"/>
              <w:autoSpaceDN w:val="0"/>
              <w:adjustRightInd w:val="0"/>
            </w:pPr>
            <w:r w:rsidRPr="003A41B3">
              <w:rPr>
                <w:sz w:val="20"/>
                <w:szCs w:val="20"/>
              </w:rPr>
              <w:t>VARIABLES</w:t>
            </w:r>
          </w:p>
        </w:tc>
        <w:tc>
          <w:tcPr>
            <w:tcW w:w="5464" w:type="dxa"/>
            <w:gridSpan w:val="2"/>
            <w:tcBorders>
              <w:bottom w:val="single" w:sz="4" w:space="0" w:color="000000" w:themeColor="text1"/>
              <w:right w:val="single" w:sz="4" w:space="0" w:color="000000" w:themeColor="text1"/>
            </w:tcBorders>
            <w:vAlign w:val="center"/>
          </w:tcPr>
          <w:p w14:paraId="5777659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F-tests using Eq. (2)</w:t>
            </w:r>
          </w:p>
        </w:tc>
        <w:tc>
          <w:tcPr>
            <w:tcW w:w="5793" w:type="dxa"/>
            <w:gridSpan w:val="3"/>
            <w:tcBorders>
              <w:left w:val="single" w:sz="4" w:space="0" w:color="000000" w:themeColor="text1"/>
              <w:right w:val="nil"/>
            </w:tcBorders>
            <w:vAlign w:val="center"/>
          </w:tcPr>
          <w:p w14:paraId="1A81CC0B"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F-tests using Eq. (2)</w:t>
            </w:r>
          </w:p>
        </w:tc>
      </w:tr>
      <w:tr w:rsidR="006A0BAE" w:rsidRPr="003A41B3" w14:paraId="30F677AD" w14:textId="77777777" w:rsidTr="00154091">
        <w:trPr>
          <w:gridAfter w:val="2"/>
          <w:wAfter w:w="38" w:type="dxa"/>
          <w:trHeight w:val="446"/>
        </w:trPr>
        <w:tc>
          <w:tcPr>
            <w:tcW w:w="2516" w:type="dxa"/>
            <w:tcBorders>
              <w:top w:val="single" w:sz="4" w:space="0" w:color="000000" w:themeColor="text1"/>
              <w:left w:val="nil"/>
            </w:tcBorders>
          </w:tcPr>
          <w:p w14:paraId="6AED73A6" w14:textId="77777777" w:rsidR="006A0BAE" w:rsidRPr="003A41B3" w:rsidRDefault="006A0BAE" w:rsidP="00154091">
            <w:pPr>
              <w:widowControl w:val="0"/>
              <w:autoSpaceDE w:val="0"/>
              <w:autoSpaceDN w:val="0"/>
              <w:adjustRightInd w:val="0"/>
              <w:rPr>
                <w:sz w:val="20"/>
                <w:szCs w:val="20"/>
              </w:rPr>
            </w:pPr>
          </w:p>
        </w:tc>
        <w:tc>
          <w:tcPr>
            <w:tcW w:w="2647" w:type="dxa"/>
            <w:tcBorders>
              <w:top w:val="single" w:sz="4" w:space="0" w:color="000000" w:themeColor="text1"/>
            </w:tcBorders>
          </w:tcPr>
          <w:p w14:paraId="327A980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17" w:type="dxa"/>
            <w:tcBorders>
              <w:top w:val="single" w:sz="4" w:space="0" w:color="000000" w:themeColor="text1"/>
              <w:right w:val="single" w:sz="4" w:space="0" w:color="000000" w:themeColor="text1"/>
            </w:tcBorders>
          </w:tcPr>
          <w:p w14:paraId="2425FE3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EU sub-sample</w:t>
            </w:r>
          </w:p>
        </w:tc>
        <w:tc>
          <w:tcPr>
            <w:tcW w:w="2977" w:type="dxa"/>
            <w:tcBorders>
              <w:top w:val="single" w:sz="4" w:space="0" w:color="000000"/>
              <w:left w:val="single" w:sz="4" w:space="0" w:color="000000" w:themeColor="text1"/>
            </w:tcBorders>
          </w:tcPr>
          <w:p w14:paraId="609618A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05" w:type="dxa"/>
            <w:tcBorders>
              <w:top w:val="single" w:sz="4" w:space="0" w:color="000000"/>
              <w:right w:val="nil"/>
            </w:tcBorders>
          </w:tcPr>
          <w:p w14:paraId="793CEA5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EU sub-sample</w:t>
            </w:r>
          </w:p>
        </w:tc>
      </w:tr>
      <w:tr w:rsidR="006A0BAE" w:rsidRPr="003A41B3" w14:paraId="583B9451" w14:textId="77777777" w:rsidTr="00154091">
        <w:trPr>
          <w:gridAfter w:val="2"/>
          <w:wAfter w:w="38" w:type="dxa"/>
          <w:trHeight w:val="281"/>
        </w:trPr>
        <w:tc>
          <w:tcPr>
            <w:tcW w:w="2516" w:type="dxa"/>
            <w:tcBorders>
              <w:left w:val="nil"/>
              <w:bottom w:val="nil"/>
            </w:tcBorders>
          </w:tcPr>
          <w:p w14:paraId="7A59F5B2"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47" w:type="dxa"/>
            <w:tcBorders>
              <w:bottom w:val="nil"/>
            </w:tcBorders>
          </w:tcPr>
          <w:p w14:paraId="6833A34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0.503</w:t>
            </w:r>
          </w:p>
        </w:tc>
        <w:tc>
          <w:tcPr>
            <w:tcW w:w="2817" w:type="dxa"/>
            <w:tcBorders>
              <w:bottom w:val="nil"/>
              <w:right w:val="single" w:sz="4" w:space="0" w:color="000000" w:themeColor="text1"/>
            </w:tcBorders>
          </w:tcPr>
          <w:p w14:paraId="200CA1B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-0.101</w:t>
            </w:r>
          </w:p>
        </w:tc>
        <w:tc>
          <w:tcPr>
            <w:tcW w:w="2977" w:type="dxa"/>
            <w:tcBorders>
              <w:left w:val="single" w:sz="4" w:space="0" w:color="000000" w:themeColor="text1"/>
              <w:bottom w:val="nil"/>
            </w:tcBorders>
          </w:tcPr>
          <w:p w14:paraId="1FA4635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5.295*</w:t>
            </w:r>
          </w:p>
        </w:tc>
        <w:tc>
          <w:tcPr>
            <w:tcW w:w="2805" w:type="dxa"/>
            <w:tcBorders>
              <w:bottom w:val="nil"/>
              <w:right w:val="nil"/>
            </w:tcBorders>
          </w:tcPr>
          <w:p w14:paraId="0083B82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0.351</w:t>
            </w:r>
          </w:p>
        </w:tc>
      </w:tr>
      <w:tr w:rsidR="006A0BAE" w:rsidRPr="003A41B3" w14:paraId="245AA886" w14:textId="77777777" w:rsidTr="00154091">
        <w:trPr>
          <w:gridAfter w:val="2"/>
          <w:wAfter w:w="38" w:type="dxa"/>
          <w:trHeight w:val="281"/>
        </w:trPr>
        <w:tc>
          <w:tcPr>
            <w:tcW w:w="2516" w:type="dxa"/>
            <w:tcBorders>
              <w:top w:val="nil"/>
              <w:left w:val="nil"/>
              <w:bottom w:val="nil"/>
            </w:tcBorders>
          </w:tcPr>
          <w:p w14:paraId="00B5C877"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nil"/>
            </w:tcBorders>
          </w:tcPr>
          <w:p w14:paraId="58D81E6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(1.34)</w:t>
            </w:r>
          </w:p>
        </w:tc>
        <w:tc>
          <w:tcPr>
            <w:tcW w:w="2817" w:type="dxa"/>
            <w:tcBorders>
              <w:top w:val="nil"/>
              <w:bottom w:val="nil"/>
              <w:right w:val="single" w:sz="4" w:space="0" w:color="000000" w:themeColor="text1"/>
            </w:tcBorders>
          </w:tcPr>
          <w:p w14:paraId="761400F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(-0.19)</w:t>
            </w:r>
          </w:p>
        </w:tc>
        <w:tc>
          <w:tcPr>
            <w:tcW w:w="2977" w:type="dxa"/>
            <w:tcBorders>
              <w:top w:val="nil"/>
              <w:left w:val="single" w:sz="4" w:space="0" w:color="000000" w:themeColor="text1"/>
              <w:bottom w:val="nil"/>
            </w:tcBorders>
          </w:tcPr>
          <w:p w14:paraId="78768A2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(1.87)</w:t>
            </w:r>
          </w:p>
        </w:tc>
        <w:tc>
          <w:tcPr>
            <w:tcW w:w="2805" w:type="dxa"/>
            <w:tcBorders>
              <w:top w:val="nil"/>
              <w:bottom w:val="nil"/>
              <w:right w:val="nil"/>
            </w:tcBorders>
          </w:tcPr>
          <w:p w14:paraId="769DF20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(0.40)</w:t>
            </w:r>
          </w:p>
        </w:tc>
      </w:tr>
      <w:tr w:rsidR="006A0BAE" w:rsidRPr="003A41B3" w14:paraId="5E31F28D" w14:textId="77777777" w:rsidTr="00154091">
        <w:trPr>
          <w:gridAfter w:val="2"/>
          <w:wAfter w:w="38" w:type="dxa"/>
          <w:trHeight w:val="281"/>
        </w:trPr>
        <w:tc>
          <w:tcPr>
            <w:tcW w:w="2516" w:type="dxa"/>
            <w:tcBorders>
              <w:top w:val="nil"/>
              <w:left w:val="nil"/>
              <w:bottom w:val="nil"/>
            </w:tcBorders>
          </w:tcPr>
          <w:p w14:paraId="44FFD626"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47" w:type="dxa"/>
            <w:tcBorders>
              <w:top w:val="nil"/>
              <w:bottom w:val="nil"/>
            </w:tcBorders>
          </w:tcPr>
          <w:p w14:paraId="25C755D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0.251**</w:t>
            </w:r>
          </w:p>
        </w:tc>
        <w:tc>
          <w:tcPr>
            <w:tcW w:w="2817" w:type="dxa"/>
            <w:tcBorders>
              <w:top w:val="nil"/>
              <w:bottom w:val="nil"/>
              <w:right w:val="single" w:sz="4" w:space="0" w:color="000000" w:themeColor="text1"/>
            </w:tcBorders>
          </w:tcPr>
          <w:p w14:paraId="6B359B8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1.104*</w:t>
            </w:r>
          </w:p>
        </w:tc>
        <w:tc>
          <w:tcPr>
            <w:tcW w:w="2977" w:type="dxa"/>
            <w:tcBorders>
              <w:top w:val="nil"/>
              <w:left w:val="single" w:sz="4" w:space="0" w:color="000000" w:themeColor="text1"/>
              <w:bottom w:val="nil"/>
            </w:tcBorders>
          </w:tcPr>
          <w:p w14:paraId="029C9C9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1.342*</w:t>
            </w:r>
          </w:p>
        </w:tc>
        <w:tc>
          <w:tcPr>
            <w:tcW w:w="2805" w:type="dxa"/>
            <w:tcBorders>
              <w:top w:val="nil"/>
              <w:bottom w:val="nil"/>
              <w:right w:val="nil"/>
            </w:tcBorders>
          </w:tcPr>
          <w:p w14:paraId="4D30A4E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-2.382*</w:t>
            </w:r>
          </w:p>
        </w:tc>
      </w:tr>
      <w:tr w:rsidR="006A0BAE" w:rsidRPr="003A41B3" w14:paraId="7B9406CA" w14:textId="77777777" w:rsidTr="00154091">
        <w:trPr>
          <w:gridAfter w:val="2"/>
          <w:wAfter w:w="38" w:type="dxa"/>
          <w:trHeight w:val="281"/>
        </w:trPr>
        <w:tc>
          <w:tcPr>
            <w:tcW w:w="2516" w:type="dxa"/>
            <w:tcBorders>
              <w:top w:val="nil"/>
              <w:left w:val="nil"/>
              <w:bottom w:val="nil"/>
            </w:tcBorders>
          </w:tcPr>
          <w:p w14:paraId="3D32FF83"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nil"/>
            </w:tcBorders>
          </w:tcPr>
          <w:p w14:paraId="68811AD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(1.96)</w:t>
            </w:r>
          </w:p>
        </w:tc>
        <w:tc>
          <w:tcPr>
            <w:tcW w:w="2817" w:type="dxa"/>
            <w:tcBorders>
              <w:top w:val="nil"/>
              <w:bottom w:val="nil"/>
              <w:right w:val="single" w:sz="4" w:space="0" w:color="000000" w:themeColor="text1"/>
            </w:tcBorders>
          </w:tcPr>
          <w:p w14:paraId="3BEF39D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(1.76)</w:t>
            </w:r>
          </w:p>
        </w:tc>
        <w:tc>
          <w:tcPr>
            <w:tcW w:w="2977" w:type="dxa"/>
            <w:tcBorders>
              <w:top w:val="nil"/>
              <w:left w:val="single" w:sz="4" w:space="0" w:color="000000" w:themeColor="text1"/>
              <w:bottom w:val="nil"/>
            </w:tcBorders>
          </w:tcPr>
          <w:p w14:paraId="638ACC7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(1.75)</w:t>
            </w:r>
          </w:p>
        </w:tc>
        <w:tc>
          <w:tcPr>
            <w:tcW w:w="2805" w:type="dxa"/>
            <w:tcBorders>
              <w:top w:val="nil"/>
              <w:bottom w:val="nil"/>
              <w:right w:val="nil"/>
            </w:tcBorders>
          </w:tcPr>
          <w:p w14:paraId="5ED3BA0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(-1.72)</w:t>
            </w:r>
          </w:p>
        </w:tc>
      </w:tr>
      <w:tr w:rsidR="006A0BAE" w:rsidRPr="003A41B3" w14:paraId="33B87E9A" w14:textId="77777777" w:rsidTr="00154091">
        <w:trPr>
          <w:gridAfter w:val="2"/>
          <w:wAfter w:w="38" w:type="dxa"/>
          <w:trHeight w:val="281"/>
        </w:trPr>
        <w:tc>
          <w:tcPr>
            <w:tcW w:w="2516" w:type="dxa"/>
            <w:tcBorders>
              <w:top w:val="nil"/>
              <w:left w:val="nil"/>
              <w:bottom w:val="nil"/>
            </w:tcBorders>
          </w:tcPr>
          <w:p w14:paraId="78D55D54"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47" w:type="dxa"/>
            <w:tcBorders>
              <w:top w:val="nil"/>
              <w:bottom w:val="nil"/>
            </w:tcBorders>
          </w:tcPr>
          <w:p w14:paraId="2C6A59B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-1.933*</w:t>
            </w:r>
          </w:p>
        </w:tc>
        <w:tc>
          <w:tcPr>
            <w:tcW w:w="2817" w:type="dxa"/>
            <w:tcBorders>
              <w:top w:val="nil"/>
              <w:bottom w:val="nil"/>
              <w:right w:val="single" w:sz="4" w:space="0" w:color="000000" w:themeColor="text1"/>
            </w:tcBorders>
          </w:tcPr>
          <w:p w14:paraId="0700F1F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-0.237</w:t>
            </w:r>
          </w:p>
        </w:tc>
        <w:tc>
          <w:tcPr>
            <w:tcW w:w="2977" w:type="dxa"/>
            <w:tcBorders>
              <w:top w:val="nil"/>
              <w:left w:val="single" w:sz="4" w:space="0" w:color="000000" w:themeColor="text1"/>
              <w:bottom w:val="nil"/>
            </w:tcBorders>
          </w:tcPr>
          <w:p w14:paraId="4A4E54F6"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-8.385***</w:t>
            </w:r>
          </w:p>
        </w:tc>
        <w:tc>
          <w:tcPr>
            <w:tcW w:w="2805" w:type="dxa"/>
            <w:tcBorders>
              <w:top w:val="nil"/>
              <w:bottom w:val="nil"/>
              <w:right w:val="nil"/>
            </w:tcBorders>
          </w:tcPr>
          <w:p w14:paraId="3A1E33D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-2.773</w:t>
            </w:r>
          </w:p>
        </w:tc>
      </w:tr>
      <w:tr w:rsidR="006A0BAE" w:rsidRPr="003A41B3" w14:paraId="4E30314A" w14:textId="77777777" w:rsidTr="00154091">
        <w:trPr>
          <w:gridAfter w:val="2"/>
          <w:wAfter w:w="38" w:type="dxa"/>
          <w:trHeight w:val="281"/>
        </w:trPr>
        <w:tc>
          <w:tcPr>
            <w:tcW w:w="2516" w:type="dxa"/>
            <w:tcBorders>
              <w:top w:val="nil"/>
              <w:left w:val="nil"/>
            </w:tcBorders>
          </w:tcPr>
          <w:p w14:paraId="47DDA134" w14:textId="77777777" w:rsidR="006A0BAE" w:rsidRPr="003A41B3" w:rsidRDefault="006A0BAE" w:rsidP="00154091">
            <w:pPr>
              <w:widowControl w:val="0"/>
              <w:autoSpaceDE w:val="0"/>
              <w:autoSpaceDN w:val="0"/>
              <w:adjustRightInd w:val="0"/>
              <w:rPr>
                <w:sz w:val="20"/>
                <w:szCs w:val="20"/>
              </w:rPr>
            </w:pPr>
          </w:p>
        </w:tc>
        <w:tc>
          <w:tcPr>
            <w:tcW w:w="2647" w:type="dxa"/>
            <w:tcBorders>
              <w:top w:val="nil"/>
            </w:tcBorders>
          </w:tcPr>
          <w:p w14:paraId="1C7E17C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(-1.82)</w:t>
            </w:r>
          </w:p>
        </w:tc>
        <w:tc>
          <w:tcPr>
            <w:tcW w:w="2817" w:type="dxa"/>
            <w:tcBorders>
              <w:top w:val="nil"/>
              <w:right w:val="single" w:sz="4" w:space="0" w:color="000000" w:themeColor="text1"/>
            </w:tcBorders>
          </w:tcPr>
          <w:p w14:paraId="2C6285C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(-0.10)</w:t>
            </w:r>
          </w:p>
        </w:tc>
        <w:tc>
          <w:tcPr>
            <w:tcW w:w="2977" w:type="dxa"/>
            <w:tcBorders>
              <w:top w:val="nil"/>
              <w:left w:val="single" w:sz="4" w:space="0" w:color="000000" w:themeColor="text1"/>
            </w:tcBorders>
          </w:tcPr>
          <w:p w14:paraId="5AB4143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(-2.81)</w:t>
            </w:r>
          </w:p>
        </w:tc>
        <w:tc>
          <w:tcPr>
            <w:tcW w:w="2805" w:type="dxa"/>
            <w:tcBorders>
              <w:top w:val="nil"/>
              <w:right w:val="nil"/>
            </w:tcBorders>
          </w:tcPr>
          <w:p w14:paraId="4979514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(-0.89)</w:t>
            </w:r>
          </w:p>
        </w:tc>
      </w:tr>
      <w:tr w:rsidR="006A0BAE" w:rsidRPr="003A41B3" w14:paraId="1CC4238A" w14:textId="77777777" w:rsidTr="00154091">
        <w:trPr>
          <w:gridAfter w:val="2"/>
          <w:wAfter w:w="38" w:type="dxa"/>
          <w:trHeight w:val="281"/>
        </w:trPr>
        <w:tc>
          <w:tcPr>
            <w:tcW w:w="2516" w:type="dxa"/>
            <w:tcBorders>
              <w:top w:val="nil"/>
              <w:left w:val="nil"/>
              <w:bottom w:val="single" w:sz="4" w:space="0" w:color="000000" w:themeColor="text1"/>
            </w:tcBorders>
          </w:tcPr>
          <w:p w14:paraId="29DFC092" w14:textId="77777777" w:rsidR="006A0BAE" w:rsidRPr="003A41B3" w:rsidRDefault="006A0BAE" w:rsidP="00154091">
            <w:pPr>
              <w:widowControl w:val="0"/>
              <w:autoSpaceDE w:val="0"/>
              <w:autoSpaceDN w:val="0"/>
              <w:adjustRightInd w:val="0"/>
              <w:rPr>
                <w:sz w:val="20"/>
                <w:szCs w:val="20"/>
              </w:rPr>
            </w:pPr>
          </w:p>
        </w:tc>
        <w:tc>
          <w:tcPr>
            <w:tcW w:w="2647" w:type="dxa"/>
            <w:tcBorders>
              <w:top w:val="nil"/>
              <w:bottom w:val="single" w:sz="4" w:space="0" w:color="000000" w:themeColor="text1"/>
            </w:tcBorders>
          </w:tcPr>
          <w:p w14:paraId="07EB6EF8" w14:textId="77777777" w:rsidR="006A0BAE" w:rsidRPr="003A41B3" w:rsidRDefault="006A0BAE" w:rsidP="00154091">
            <w:pPr>
              <w:widowControl w:val="0"/>
              <w:autoSpaceDE w:val="0"/>
              <w:autoSpaceDN w:val="0"/>
              <w:adjustRightInd w:val="0"/>
              <w:jc w:val="center"/>
              <w:rPr>
                <w:sz w:val="20"/>
                <w:szCs w:val="20"/>
              </w:rPr>
            </w:pPr>
          </w:p>
        </w:tc>
        <w:tc>
          <w:tcPr>
            <w:tcW w:w="2817" w:type="dxa"/>
            <w:tcBorders>
              <w:top w:val="nil"/>
              <w:bottom w:val="single" w:sz="4" w:space="0" w:color="000000" w:themeColor="text1"/>
              <w:right w:val="single" w:sz="4" w:space="0" w:color="000000" w:themeColor="text1"/>
            </w:tcBorders>
          </w:tcPr>
          <w:p w14:paraId="6E0CCFF8" w14:textId="77777777" w:rsidR="006A0BAE" w:rsidRPr="003A41B3" w:rsidRDefault="006A0BAE" w:rsidP="00154091">
            <w:pPr>
              <w:widowControl w:val="0"/>
              <w:autoSpaceDE w:val="0"/>
              <w:autoSpaceDN w:val="0"/>
              <w:adjustRightInd w:val="0"/>
              <w:jc w:val="center"/>
              <w:rPr>
                <w:sz w:val="20"/>
                <w:szCs w:val="20"/>
              </w:rPr>
            </w:pPr>
          </w:p>
        </w:tc>
        <w:tc>
          <w:tcPr>
            <w:tcW w:w="2977" w:type="dxa"/>
            <w:tcBorders>
              <w:top w:val="nil"/>
              <w:left w:val="single" w:sz="4" w:space="0" w:color="000000" w:themeColor="text1"/>
              <w:bottom w:val="single" w:sz="4" w:space="0" w:color="000000" w:themeColor="text1"/>
            </w:tcBorders>
          </w:tcPr>
          <w:p w14:paraId="7C935FEA" w14:textId="77777777" w:rsidR="006A0BAE" w:rsidRPr="003A41B3" w:rsidRDefault="006A0BAE" w:rsidP="00154091">
            <w:pPr>
              <w:widowControl w:val="0"/>
              <w:autoSpaceDE w:val="0"/>
              <w:autoSpaceDN w:val="0"/>
              <w:adjustRightInd w:val="0"/>
              <w:jc w:val="center"/>
              <w:rPr>
                <w:sz w:val="20"/>
                <w:szCs w:val="20"/>
              </w:rPr>
            </w:pPr>
          </w:p>
        </w:tc>
        <w:tc>
          <w:tcPr>
            <w:tcW w:w="2805" w:type="dxa"/>
            <w:tcBorders>
              <w:top w:val="nil"/>
              <w:bottom w:val="single" w:sz="4" w:space="0" w:color="000000" w:themeColor="text1"/>
              <w:right w:val="nil"/>
            </w:tcBorders>
          </w:tcPr>
          <w:p w14:paraId="3CD399E8"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26C41626" w14:textId="77777777" w:rsidTr="00154091">
        <w:trPr>
          <w:gridAfter w:val="2"/>
          <w:wAfter w:w="38" w:type="dxa"/>
          <w:trHeight w:val="281"/>
        </w:trPr>
        <w:tc>
          <w:tcPr>
            <w:tcW w:w="2516" w:type="dxa"/>
            <w:tcBorders>
              <w:top w:val="single" w:sz="4" w:space="0" w:color="000000" w:themeColor="text1"/>
              <w:left w:val="nil"/>
              <w:bottom w:val="nil"/>
            </w:tcBorders>
          </w:tcPr>
          <w:p w14:paraId="2B9418D6"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47" w:type="dxa"/>
            <w:tcBorders>
              <w:top w:val="single" w:sz="4" w:space="0" w:color="000000" w:themeColor="text1"/>
              <w:bottom w:val="nil"/>
            </w:tcBorders>
          </w:tcPr>
          <w:p w14:paraId="6B8989F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56</w:t>
            </w:r>
          </w:p>
        </w:tc>
        <w:tc>
          <w:tcPr>
            <w:tcW w:w="2817" w:type="dxa"/>
            <w:tcBorders>
              <w:top w:val="single" w:sz="4" w:space="0" w:color="000000" w:themeColor="text1"/>
              <w:bottom w:val="nil"/>
              <w:right w:val="single" w:sz="4" w:space="0" w:color="000000" w:themeColor="text1"/>
            </w:tcBorders>
          </w:tcPr>
          <w:p w14:paraId="167E490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82</w:t>
            </w:r>
          </w:p>
        </w:tc>
        <w:tc>
          <w:tcPr>
            <w:tcW w:w="2977" w:type="dxa"/>
            <w:tcBorders>
              <w:top w:val="single" w:sz="4" w:space="0" w:color="000000" w:themeColor="text1"/>
              <w:left w:val="single" w:sz="4" w:space="0" w:color="000000" w:themeColor="text1"/>
              <w:bottom w:val="nil"/>
            </w:tcBorders>
          </w:tcPr>
          <w:p w14:paraId="05C4874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84</w:t>
            </w:r>
          </w:p>
        </w:tc>
        <w:tc>
          <w:tcPr>
            <w:tcW w:w="2805" w:type="dxa"/>
            <w:tcBorders>
              <w:top w:val="single" w:sz="4" w:space="0" w:color="000000" w:themeColor="text1"/>
              <w:bottom w:val="nil"/>
              <w:right w:val="nil"/>
            </w:tcBorders>
          </w:tcPr>
          <w:p w14:paraId="5F85B02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116</w:t>
            </w:r>
          </w:p>
        </w:tc>
      </w:tr>
      <w:tr w:rsidR="006A0BAE" w:rsidRPr="003A41B3" w14:paraId="633CE9D9" w14:textId="77777777" w:rsidTr="00154091">
        <w:trPr>
          <w:gridAfter w:val="2"/>
          <w:wAfter w:w="38" w:type="dxa"/>
          <w:trHeight w:val="281"/>
        </w:trPr>
        <w:tc>
          <w:tcPr>
            <w:tcW w:w="2516" w:type="dxa"/>
            <w:tcBorders>
              <w:top w:val="nil"/>
              <w:left w:val="nil"/>
              <w:bottom w:val="nil"/>
              <w:right w:val="nil"/>
            </w:tcBorders>
          </w:tcPr>
          <w:p w14:paraId="4B926FF1"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47" w:type="dxa"/>
            <w:tcBorders>
              <w:top w:val="nil"/>
              <w:left w:val="nil"/>
              <w:bottom w:val="nil"/>
            </w:tcBorders>
          </w:tcPr>
          <w:p w14:paraId="4BDD5CF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0.331</w:t>
            </w:r>
          </w:p>
        </w:tc>
        <w:tc>
          <w:tcPr>
            <w:tcW w:w="2817" w:type="dxa"/>
            <w:tcBorders>
              <w:top w:val="nil"/>
              <w:bottom w:val="nil"/>
              <w:right w:val="single" w:sz="4" w:space="0" w:color="000000" w:themeColor="text1"/>
            </w:tcBorders>
          </w:tcPr>
          <w:p w14:paraId="06448FE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0.301</w:t>
            </w:r>
          </w:p>
        </w:tc>
        <w:tc>
          <w:tcPr>
            <w:tcW w:w="2977" w:type="dxa"/>
            <w:tcBorders>
              <w:top w:val="nil"/>
              <w:left w:val="single" w:sz="4" w:space="0" w:color="000000" w:themeColor="text1"/>
              <w:bottom w:val="nil"/>
            </w:tcBorders>
          </w:tcPr>
          <w:p w14:paraId="0F525E47" w14:textId="77777777" w:rsidR="006A0BAE" w:rsidRPr="003A41B3" w:rsidRDefault="006A0BAE" w:rsidP="00154091">
            <w:pPr>
              <w:widowControl w:val="0"/>
              <w:autoSpaceDE w:val="0"/>
              <w:autoSpaceDN w:val="0"/>
              <w:adjustRightInd w:val="0"/>
              <w:jc w:val="center"/>
              <w:rPr>
                <w:sz w:val="20"/>
              </w:rPr>
            </w:pPr>
            <w:r w:rsidRPr="003A41B3">
              <w:rPr>
                <w:sz w:val="20"/>
              </w:rPr>
              <w:t>0.128</w:t>
            </w:r>
          </w:p>
        </w:tc>
        <w:tc>
          <w:tcPr>
            <w:tcW w:w="2805" w:type="dxa"/>
            <w:tcBorders>
              <w:top w:val="nil"/>
              <w:bottom w:val="nil"/>
              <w:right w:val="nil"/>
            </w:tcBorders>
          </w:tcPr>
          <w:p w14:paraId="65F781D6" w14:textId="77777777" w:rsidR="006A0BAE" w:rsidRPr="003A41B3" w:rsidRDefault="006A0BAE" w:rsidP="00154091">
            <w:pPr>
              <w:widowControl w:val="0"/>
              <w:autoSpaceDE w:val="0"/>
              <w:autoSpaceDN w:val="0"/>
              <w:adjustRightInd w:val="0"/>
              <w:jc w:val="center"/>
              <w:rPr>
                <w:sz w:val="20"/>
              </w:rPr>
            </w:pPr>
            <w:r w:rsidRPr="003A41B3">
              <w:rPr>
                <w:sz w:val="20"/>
              </w:rPr>
              <w:t>0.378</w:t>
            </w:r>
          </w:p>
        </w:tc>
      </w:tr>
      <w:tr w:rsidR="006A0BAE" w:rsidRPr="003A41B3" w14:paraId="2921F387" w14:textId="77777777" w:rsidTr="00154091">
        <w:trPr>
          <w:gridAfter w:val="1"/>
          <w:wAfter w:w="27" w:type="dxa"/>
          <w:trHeight w:val="391"/>
        </w:trPr>
        <w:tc>
          <w:tcPr>
            <w:tcW w:w="2516" w:type="dxa"/>
            <w:tcBorders>
              <w:top w:val="nil"/>
              <w:left w:val="nil"/>
              <w:bottom w:val="single" w:sz="4" w:space="0" w:color="000000"/>
              <w:right w:val="nil"/>
            </w:tcBorders>
            <w:vAlign w:val="center"/>
          </w:tcPr>
          <w:p w14:paraId="32E41462"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47" w:type="dxa"/>
            <w:tcBorders>
              <w:top w:val="nil"/>
              <w:left w:val="nil"/>
              <w:bottom w:val="single" w:sz="4" w:space="0" w:color="000000"/>
              <w:right w:val="nil"/>
            </w:tcBorders>
            <w:vAlign w:val="center"/>
          </w:tcPr>
          <w:p w14:paraId="72EEB250" w14:textId="71804480"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7" w:type="dxa"/>
            <w:tcBorders>
              <w:top w:val="nil"/>
              <w:left w:val="nil"/>
              <w:bottom w:val="single" w:sz="4" w:space="0" w:color="000000"/>
              <w:right w:val="single" w:sz="4" w:space="0" w:color="000000" w:themeColor="text1"/>
            </w:tcBorders>
            <w:vAlign w:val="center"/>
          </w:tcPr>
          <w:p w14:paraId="4A3BA88A" w14:textId="1E7849E5"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w:t>
            </w:r>
            <w:r w:rsidR="006A0BAE" w:rsidRPr="003A41B3">
              <w:rPr>
                <w:rFonts w:eastAsia="Times New Roman"/>
                <w:sz w:val="20"/>
                <w:szCs w:val="20"/>
                <w:lang w:eastAsia="en-GB"/>
              </w:rPr>
              <w:t>es</w:t>
            </w:r>
          </w:p>
        </w:tc>
        <w:tc>
          <w:tcPr>
            <w:tcW w:w="2977" w:type="dxa"/>
            <w:tcBorders>
              <w:top w:val="nil"/>
              <w:left w:val="single" w:sz="4" w:space="0" w:color="000000" w:themeColor="text1"/>
              <w:bottom w:val="single" w:sz="4" w:space="0" w:color="000000"/>
              <w:right w:val="nil"/>
            </w:tcBorders>
            <w:vAlign w:val="center"/>
          </w:tcPr>
          <w:p w14:paraId="6DBD8B2D" w14:textId="27767991"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6" w:type="dxa"/>
            <w:gridSpan w:val="2"/>
            <w:tcBorders>
              <w:top w:val="nil"/>
              <w:left w:val="nil"/>
              <w:bottom w:val="single" w:sz="4" w:space="0" w:color="000000"/>
              <w:right w:val="nil"/>
            </w:tcBorders>
            <w:vAlign w:val="center"/>
          </w:tcPr>
          <w:p w14:paraId="1B911D69" w14:textId="360AA3B9"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r>
      <w:tr w:rsidR="006A0BAE" w:rsidRPr="003A41B3" w14:paraId="68BF0C6A" w14:textId="77777777" w:rsidTr="00154091">
        <w:trPr>
          <w:gridAfter w:val="1"/>
          <w:wAfter w:w="27" w:type="dxa"/>
          <w:trHeight w:val="710"/>
        </w:trPr>
        <w:tc>
          <w:tcPr>
            <w:tcW w:w="2516" w:type="dxa"/>
            <w:tcBorders>
              <w:top w:val="single" w:sz="4" w:space="0" w:color="000000"/>
              <w:left w:val="nil"/>
              <w:bottom w:val="nil"/>
              <w:right w:val="nil"/>
            </w:tcBorders>
            <w:vAlign w:val="center"/>
          </w:tcPr>
          <w:p w14:paraId="1688463B" w14:textId="77777777" w:rsidR="006A0BAE" w:rsidRPr="003A41B3" w:rsidRDefault="006A0BAE" w:rsidP="00154091">
            <w:pPr>
              <w:widowControl w:val="0"/>
              <w:autoSpaceDE w:val="0"/>
              <w:autoSpaceDN w:val="0"/>
              <w:adjustRightInd w:val="0"/>
            </w:pPr>
          </w:p>
        </w:tc>
        <w:tc>
          <w:tcPr>
            <w:tcW w:w="5464" w:type="dxa"/>
            <w:gridSpan w:val="2"/>
            <w:tcBorders>
              <w:top w:val="single" w:sz="4" w:space="0" w:color="000000"/>
              <w:left w:val="nil"/>
              <w:right w:val="single" w:sz="4" w:space="0" w:color="000000" w:themeColor="text1"/>
            </w:tcBorders>
            <w:vAlign w:val="center"/>
          </w:tcPr>
          <w:p w14:paraId="04FB0427"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EEsample_mean</w:t>
            </w:r>
            <w:proofErr w:type="spellEnd"/>
            <w:r w:rsidRPr="003A41B3">
              <w:rPr>
                <w:sz w:val="18"/>
                <w:szCs w:val="20"/>
              </w:rPr>
              <w:t>]∆Rating- [</w:t>
            </w:r>
            <w:proofErr w:type="spellStart"/>
            <w:r w:rsidRPr="003A41B3">
              <w:rPr>
                <w:sz w:val="18"/>
                <w:szCs w:val="20"/>
              </w:rPr>
              <w:t>EUsample_mean</w:t>
            </w:r>
            <w:proofErr w:type="spellEnd"/>
            <w:r w:rsidRPr="003A41B3">
              <w:rPr>
                <w:sz w:val="18"/>
                <w:szCs w:val="20"/>
              </w:rPr>
              <w:t>]∆Rating = 0</w:t>
            </w:r>
          </w:p>
        </w:tc>
        <w:tc>
          <w:tcPr>
            <w:tcW w:w="5793" w:type="dxa"/>
            <w:gridSpan w:val="3"/>
            <w:tcBorders>
              <w:top w:val="single" w:sz="4" w:space="0" w:color="000000"/>
              <w:left w:val="single" w:sz="4" w:space="0" w:color="000000" w:themeColor="text1"/>
              <w:right w:val="nil"/>
            </w:tcBorders>
            <w:vAlign w:val="center"/>
          </w:tcPr>
          <w:p w14:paraId="2CDB00EB"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EEsample_mean</w:t>
            </w:r>
            <w:proofErr w:type="spellEnd"/>
            <w:r w:rsidRPr="003A41B3">
              <w:rPr>
                <w:sz w:val="18"/>
                <w:szCs w:val="20"/>
              </w:rPr>
              <w:t>]∆Rating - [</w:t>
            </w:r>
            <w:proofErr w:type="spellStart"/>
            <w:r w:rsidRPr="003A41B3">
              <w:rPr>
                <w:sz w:val="18"/>
                <w:szCs w:val="20"/>
              </w:rPr>
              <w:t>EUsample_mean</w:t>
            </w:r>
            <w:proofErr w:type="spellEnd"/>
            <w:r w:rsidRPr="003A41B3">
              <w:rPr>
                <w:sz w:val="18"/>
                <w:szCs w:val="20"/>
              </w:rPr>
              <w:t>]∆Rating = 0</w:t>
            </w:r>
          </w:p>
        </w:tc>
      </w:tr>
      <w:tr w:rsidR="006A0BAE" w:rsidRPr="003A41B3" w14:paraId="58558CA2" w14:textId="77777777" w:rsidTr="00154091">
        <w:trPr>
          <w:gridAfter w:val="2"/>
          <w:wAfter w:w="38" w:type="dxa"/>
          <w:trHeight w:val="281"/>
        </w:trPr>
        <w:tc>
          <w:tcPr>
            <w:tcW w:w="2516" w:type="dxa"/>
            <w:tcBorders>
              <w:top w:val="nil"/>
              <w:left w:val="nil"/>
              <w:bottom w:val="nil"/>
            </w:tcBorders>
            <w:vAlign w:val="center"/>
          </w:tcPr>
          <w:p w14:paraId="044C1E92" w14:textId="77777777" w:rsidR="006A0BAE" w:rsidRPr="003A41B3" w:rsidRDefault="006A0BAE" w:rsidP="00154091">
            <w:pPr>
              <w:widowControl w:val="0"/>
              <w:autoSpaceDE w:val="0"/>
              <w:autoSpaceDN w:val="0"/>
              <w:adjustRightInd w:val="0"/>
            </w:pPr>
          </w:p>
        </w:tc>
        <w:tc>
          <w:tcPr>
            <w:tcW w:w="2647" w:type="dxa"/>
          </w:tcPr>
          <w:p w14:paraId="773D7544"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17" w:type="dxa"/>
            <w:tcBorders>
              <w:right w:val="single" w:sz="4" w:space="0" w:color="000000" w:themeColor="text1"/>
            </w:tcBorders>
          </w:tcPr>
          <w:p w14:paraId="0BC8B4AE"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77" w:type="dxa"/>
            <w:tcBorders>
              <w:left w:val="single" w:sz="4" w:space="0" w:color="000000" w:themeColor="text1"/>
            </w:tcBorders>
          </w:tcPr>
          <w:p w14:paraId="2DC83E2B"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05" w:type="dxa"/>
            <w:tcBorders>
              <w:right w:val="nil"/>
            </w:tcBorders>
          </w:tcPr>
          <w:p w14:paraId="7605D1FB"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Prob &gt; chi2</w:t>
            </w:r>
          </w:p>
        </w:tc>
      </w:tr>
      <w:tr w:rsidR="006A0BAE" w:rsidRPr="003A41B3" w14:paraId="39282D58" w14:textId="77777777" w:rsidTr="00154091">
        <w:trPr>
          <w:gridAfter w:val="2"/>
          <w:wAfter w:w="38" w:type="dxa"/>
          <w:trHeight w:val="281"/>
        </w:trPr>
        <w:tc>
          <w:tcPr>
            <w:tcW w:w="2516" w:type="dxa"/>
            <w:tcBorders>
              <w:top w:val="nil"/>
              <w:left w:val="nil"/>
              <w:bottom w:val="single" w:sz="4" w:space="0" w:color="000000" w:themeColor="text1"/>
              <w:right w:val="nil"/>
            </w:tcBorders>
            <w:vAlign w:val="center"/>
          </w:tcPr>
          <w:p w14:paraId="650105D4" w14:textId="77777777" w:rsidR="006A0BAE" w:rsidRPr="003A41B3" w:rsidRDefault="006A0BAE" w:rsidP="00154091">
            <w:pPr>
              <w:widowControl w:val="0"/>
              <w:autoSpaceDE w:val="0"/>
              <w:autoSpaceDN w:val="0"/>
              <w:adjustRightInd w:val="0"/>
            </w:pPr>
          </w:p>
        </w:tc>
        <w:tc>
          <w:tcPr>
            <w:tcW w:w="2647" w:type="dxa"/>
            <w:tcBorders>
              <w:left w:val="nil"/>
              <w:bottom w:val="single" w:sz="4" w:space="0" w:color="000000" w:themeColor="text1"/>
            </w:tcBorders>
          </w:tcPr>
          <w:p w14:paraId="7349943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 xml:space="preserve">  0.83</w:t>
            </w:r>
          </w:p>
        </w:tc>
        <w:tc>
          <w:tcPr>
            <w:tcW w:w="2817" w:type="dxa"/>
            <w:tcBorders>
              <w:bottom w:val="single" w:sz="4" w:space="0" w:color="000000" w:themeColor="text1"/>
              <w:right w:val="single" w:sz="4" w:space="0" w:color="000000" w:themeColor="text1"/>
            </w:tcBorders>
          </w:tcPr>
          <w:p w14:paraId="68C7178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0.360</w:t>
            </w:r>
          </w:p>
        </w:tc>
        <w:tc>
          <w:tcPr>
            <w:tcW w:w="2977" w:type="dxa"/>
            <w:tcBorders>
              <w:left w:val="single" w:sz="4" w:space="0" w:color="000000" w:themeColor="text1"/>
              <w:bottom w:val="single" w:sz="4" w:space="0" w:color="000000" w:themeColor="text1"/>
            </w:tcBorders>
          </w:tcPr>
          <w:p w14:paraId="38DDABD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2.77</w:t>
            </w:r>
          </w:p>
        </w:tc>
        <w:tc>
          <w:tcPr>
            <w:tcW w:w="2805" w:type="dxa"/>
            <w:tcBorders>
              <w:bottom w:val="single" w:sz="4" w:space="0" w:color="000000" w:themeColor="text1"/>
              <w:right w:val="nil"/>
            </w:tcBorders>
          </w:tcPr>
          <w:p w14:paraId="2B17551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0.095</w:t>
            </w:r>
          </w:p>
        </w:tc>
      </w:tr>
    </w:tbl>
    <w:p w14:paraId="55606894" w14:textId="77777777" w:rsidR="006A0BAE" w:rsidRPr="003A41B3" w:rsidRDefault="006A0BAE" w:rsidP="006A0BAE">
      <w:pPr>
        <w:jc w:val="both"/>
        <w:rPr>
          <w:i/>
          <w:sz w:val="10"/>
          <w:szCs w:val="10"/>
        </w:rPr>
      </w:pPr>
    </w:p>
    <w:p w14:paraId="6E98C6E9" w14:textId="437424AD" w:rsidR="006A0BAE" w:rsidRPr="003A41B3" w:rsidRDefault="006A0BAE" w:rsidP="006A0BAE">
      <w:pPr>
        <w:jc w:val="both"/>
        <w:rPr>
          <w:sz w:val="22"/>
          <w:szCs w:val="22"/>
        </w:rPr>
      </w:pPr>
      <w:r w:rsidRPr="003A41B3">
        <w:rPr>
          <w:i/>
          <w:sz w:val="22"/>
          <w:szCs w:val="22"/>
        </w:rPr>
        <w:t>Note:</w:t>
      </w:r>
      <w:r w:rsidRPr="003A41B3">
        <w:rPr>
          <w:sz w:val="22"/>
          <w:szCs w:val="22"/>
        </w:rPr>
        <w:t xml:space="preserve"> This table presents the estimated coefficients and robust z-statistics in parentheses from specification of Eq. (2) using Ordinary Least Squares followed by the F-test which compares the statistical difference between ∆Rating coefficients for the two groups of countries (EU vs EU identifier) in the post-identifier sample period (May 2012-June 2016). The credit rating dataset consists of daily positive and negative sovereign events by S&amp;P based on 58-CCR rating scale.</w:t>
      </w:r>
      <w:r w:rsidR="004C32A4" w:rsidRPr="003A41B3">
        <w:rPr>
          <w:sz w:val="22"/>
          <w:szCs w:val="22"/>
        </w:rPr>
        <w:t xml:space="preserve"> EU (EE) sub-sample consists of sovereign rating events with EU (EE) identifiers</w:t>
      </w:r>
      <w:r w:rsidRPr="003A41B3">
        <w:rPr>
          <w:sz w:val="22"/>
          <w:szCs w:val="22"/>
        </w:rPr>
        <w:t xml:space="preserve">. For every event observation there is a randomly selected non-event observation. The dependent variable is </w:t>
      </w:r>
      <w:r w:rsidRPr="003A41B3">
        <w:rPr>
          <w:i/>
          <w:sz w:val="22"/>
          <w:szCs w:val="22"/>
        </w:rPr>
        <w:t>∆Yield</w:t>
      </w:r>
      <w:r w:rsidRPr="003A41B3">
        <w:rPr>
          <w:sz w:val="22"/>
          <w:szCs w:val="22"/>
        </w:rPr>
        <w:t xml:space="preserve"> 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xml:space="preserve">’ command in STATA. Country fixed effects are included (“yes”). We estimate Eq. (2) separately for positive and negative events with absolute values for interpretation reasons. ***, **, * are significance levels at 1%, 5% and 10%. </w:t>
      </w:r>
    </w:p>
    <w:p w14:paraId="7613CDFB" w14:textId="27AA789E" w:rsidR="006A0BAE" w:rsidRPr="003A41B3" w:rsidRDefault="006A0BAE" w:rsidP="006A0BAE">
      <w:pPr>
        <w:jc w:val="both"/>
        <w:rPr>
          <w:sz w:val="18"/>
          <w:szCs w:val="18"/>
        </w:rPr>
      </w:pPr>
    </w:p>
    <w:p w14:paraId="51E21126" w14:textId="77777777" w:rsidR="00154091" w:rsidRPr="003A41B3" w:rsidRDefault="00154091" w:rsidP="006A0BAE">
      <w:pPr>
        <w:jc w:val="both"/>
        <w:rPr>
          <w:sz w:val="18"/>
          <w:szCs w:val="18"/>
        </w:rPr>
      </w:pPr>
    </w:p>
    <w:tbl>
      <w:tblPr>
        <w:tblW w:w="0" w:type="auto"/>
        <w:tblInd w:w="78" w:type="dxa"/>
        <w:tblLayout w:type="fixed"/>
        <w:tblLook w:val="0000" w:firstRow="0" w:lastRow="0" w:firstColumn="0" w:lastColumn="0" w:noHBand="0" w:noVBand="0"/>
      </w:tblPr>
      <w:tblGrid>
        <w:gridCol w:w="2516"/>
        <w:gridCol w:w="2647"/>
        <w:gridCol w:w="2817"/>
        <w:gridCol w:w="2977"/>
        <w:gridCol w:w="2805"/>
        <w:gridCol w:w="11"/>
        <w:gridCol w:w="29"/>
      </w:tblGrid>
      <w:tr w:rsidR="006A0BAE" w:rsidRPr="003A41B3" w14:paraId="438CC9EC" w14:textId="77777777" w:rsidTr="00154091">
        <w:trPr>
          <w:trHeight w:val="542"/>
        </w:trPr>
        <w:tc>
          <w:tcPr>
            <w:tcW w:w="13802" w:type="dxa"/>
            <w:gridSpan w:val="7"/>
            <w:tcBorders>
              <w:top w:val="nil"/>
              <w:left w:val="nil"/>
              <w:bottom w:val="single" w:sz="4" w:space="0" w:color="000000" w:themeColor="text1"/>
              <w:right w:val="nil"/>
            </w:tcBorders>
          </w:tcPr>
          <w:p w14:paraId="70D20167" w14:textId="3CF2A705" w:rsidR="006A0BAE" w:rsidRPr="003A41B3" w:rsidRDefault="006A0BAE" w:rsidP="003E6449">
            <w:pPr>
              <w:widowControl w:val="0"/>
              <w:autoSpaceDE w:val="0"/>
              <w:autoSpaceDN w:val="0"/>
              <w:adjustRightInd w:val="0"/>
              <w:rPr>
                <w:b/>
              </w:rPr>
            </w:pPr>
            <w:r w:rsidRPr="003A41B3">
              <w:rPr>
                <w:b/>
              </w:rPr>
              <w:lastRenderedPageBreak/>
              <w:t>Table 8. Statistical differences between rating change coefficients by analyst location</w:t>
            </w:r>
            <w:r w:rsidR="003E6449" w:rsidRPr="003A41B3">
              <w:rPr>
                <w:b/>
              </w:rPr>
              <w:t>,</w:t>
            </w:r>
            <w:r w:rsidRPr="003A41B3">
              <w:rPr>
                <w:b/>
              </w:rPr>
              <w:t xml:space="preserve"> </w:t>
            </w:r>
            <w:r w:rsidR="00154091" w:rsidRPr="003A41B3">
              <w:rPr>
                <w:b/>
                <w:sz w:val="22"/>
                <w:szCs w:val="22"/>
              </w:rPr>
              <w:t>May 2012-June 2016</w:t>
            </w:r>
            <w:r w:rsidRPr="003A41B3">
              <w:rPr>
                <w:b/>
              </w:rPr>
              <w:t>: Moody’s</w:t>
            </w:r>
            <w:r w:rsidRPr="003A41B3">
              <w:t xml:space="preserve"> </w:t>
            </w:r>
          </w:p>
        </w:tc>
      </w:tr>
      <w:tr w:rsidR="006A0BAE" w:rsidRPr="003A41B3" w14:paraId="3A61954C" w14:textId="77777777" w:rsidTr="00154091">
        <w:trPr>
          <w:trHeight w:val="297"/>
        </w:trPr>
        <w:tc>
          <w:tcPr>
            <w:tcW w:w="7980" w:type="dxa"/>
            <w:gridSpan w:val="3"/>
            <w:tcBorders>
              <w:top w:val="single" w:sz="4" w:space="0" w:color="000000" w:themeColor="text1"/>
              <w:left w:val="nil"/>
              <w:bottom w:val="single" w:sz="4" w:space="0" w:color="000000" w:themeColor="text1"/>
              <w:right w:val="single" w:sz="4" w:space="0" w:color="000000" w:themeColor="text1"/>
            </w:tcBorders>
          </w:tcPr>
          <w:p w14:paraId="0B2B462B" w14:textId="77777777" w:rsidR="006A0BAE" w:rsidRPr="003A41B3" w:rsidRDefault="006A0BAE" w:rsidP="00154091">
            <w:pPr>
              <w:widowControl w:val="0"/>
              <w:autoSpaceDE w:val="0"/>
              <w:autoSpaceDN w:val="0"/>
              <w:adjustRightInd w:val="0"/>
              <w:jc w:val="center"/>
              <w:rPr>
                <w:b/>
                <w:bCs/>
                <w:sz w:val="20"/>
              </w:rPr>
            </w:pPr>
            <w:r w:rsidRPr="003A41B3">
              <w:rPr>
                <w:b/>
                <w:bCs/>
                <w:sz w:val="20"/>
              </w:rPr>
              <w:t xml:space="preserve">                                            Moody’s positive events</w:t>
            </w:r>
          </w:p>
        </w:tc>
        <w:tc>
          <w:tcPr>
            <w:tcW w:w="5822" w:type="dxa"/>
            <w:gridSpan w:val="4"/>
            <w:tcBorders>
              <w:top w:val="single" w:sz="4" w:space="0" w:color="000000" w:themeColor="text1"/>
              <w:left w:val="single" w:sz="4" w:space="0" w:color="000000" w:themeColor="text1"/>
              <w:bottom w:val="single" w:sz="4" w:space="0" w:color="000000" w:themeColor="text1"/>
              <w:right w:val="nil"/>
            </w:tcBorders>
          </w:tcPr>
          <w:p w14:paraId="162F9486" w14:textId="77777777" w:rsidR="006A0BAE" w:rsidRPr="003A41B3" w:rsidRDefault="006A0BAE" w:rsidP="00154091">
            <w:pPr>
              <w:widowControl w:val="0"/>
              <w:autoSpaceDE w:val="0"/>
              <w:autoSpaceDN w:val="0"/>
              <w:adjustRightInd w:val="0"/>
              <w:jc w:val="center"/>
              <w:rPr>
                <w:b/>
                <w:bCs/>
                <w:sz w:val="20"/>
              </w:rPr>
            </w:pPr>
            <w:r w:rsidRPr="003A41B3">
              <w:rPr>
                <w:b/>
                <w:bCs/>
                <w:sz w:val="20"/>
              </w:rPr>
              <w:t>Moody’s negative events</w:t>
            </w:r>
          </w:p>
        </w:tc>
      </w:tr>
      <w:tr w:rsidR="006A0BAE" w:rsidRPr="003A41B3" w14:paraId="0B027660" w14:textId="77777777" w:rsidTr="00154091">
        <w:trPr>
          <w:gridAfter w:val="1"/>
          <w:wAfter w:w="29" w:type="dxa"/>
          <w:trHeight w:val="710"/>
        </w:trPr>
        <w:tc>
          <w:tcPr>
            <w:tcW w:w="2516" w:type="dxa"/>
            <w:tcBorders>
              <w:left w:val="nil"/>
              <w:bottom w:val="single" w:sz="4" w:space="0" w:color="000000" w:themeColor="text1"/>
            </w:tcBorders>
          </w:tcPr>
          <w:p w14:paraId="4CA95C6D" w14:textId="77777777" w:rsidR="006A0BAE" w:rsidRPr="003A41B3" w:rsidRDefault="006A0BAE" w:rsidP="00154091">
            <w:pPr>
              <w:widowControl w:val="0"/>
              <w:autoSpaceDE w:val="0"/>
              <w:autoSpaceDN w:val="0"/>
              <w:adjustRightInd w:val="0"/>
            </w:pPr>
            <w:r w:rsidRPr="003A41B3">
              <w:rPr>
                <w:sz w:val="20"/>
                <w:szCs w:val="20"/>
              </w:rPr>
              <w:t>VARIABLES</w:t>
            </w:r>
          </w:p>
        </w:tc>
        <w:tc>
          <w:tcPr>
            <w:tcW w:w="5464" w:type="dxa"/>
            <w:gridSpan w:val="2"/>
            <w:tcBorders>
              <w:bottom w:val="single" w:sz="4" w:space="0" w:color="000000" w:themeColor="text1"/>
              <w:right w:val="single" w:sz="4" w:space="0" w:color="000000" w:themeColor="text1"/>
            </w:tcBorders>
            <w:vAlign w:val="center"/>
          </w:tcPr>
          <w:p w14:paraId="184B96F2" w14:textId="77777777" w:rsidR="006A0BAE" w:rsidRPr="003A41B3" w:rsidRDefault="006A0BAE" w:rsidP="00154091">
            <w:pPr>
              <w:widowControl w:val="0"/>
              <w:autoSpaceDE w:val="0"/>
              <w:autoSpaceDN w:val="0"/>
              <w:adjustRightInd w:val="0"/>
              <w:jc w:val="center"/>
              <w:rPr>
                <w:sz w:val="18"/>
                <w:szCs w:val="18"/>
              </w:rPr>
            </w:pPr>
            <w:r w:rsidRPr="003A41B3">
              <w:rPr>
                <w:sz w:val="18"/>
                <w:szCs w:val="18"/>
              </w:rPr>
              <w:t>F-tests using Eq. (2)</w:t>
            </w:r>
          </w:p>
        </w:tc>
        <w:tc>
          <w:tcPr>
            <w:tcW w:w="5793" w:type="dxa"/>
            <w:gridSpan w:val="3"/>
            <w:tcBorders>
              <w:left w:val="single" w:sz="4" w:space="0" w:color="000000" w:themeColor="text1"/>
              <w:right w:val="nil"/>
            </w:tcBorders>
            <w:vAlign w:val="center"/>
          </w:tcPr>
          <w:p w14:paraId="26EA711F" w14:textId="77777777" w:rsidR="006A0BAE" w:rsidRPr="003A41B3" w:rsidRDefault="006A0BAE" w:rsidP="00154091">
            <w:pPr>
              <w:widowControl w:val="0"/>
              <w:autoSpaceDE w:val="0"/>
              <w:autoSpaceDN w:val="0"/>
              <w:adjustRightInd w:val="0"/>
              <w:jc w:val="center"/>
              <w:rPr>
                <w:b/>
                <w:sz w:val="18"/>
                <w:szCs w:val="18"/>
              </w:rPr>
            </w:pPr>
            <w:r w:rsidRPr="003A41B3">
              <w:rPr>
                <w:sz w:val="18"/>
                <w:szCs w:val="18"/>
              </w:rPr>
              <w:t>F-tests using Eq. (2)</w:t>
            </w:r>
          </w:p>
        </w:tc>
      </w:tr>
      <w:tr w:rsidR="006A0BAE" w:rsidRPr="003A41B3" w14:paraId="567DC3F5" w14:textId="77777777" w:rsidTr="00154091">
        <w:trPr>
          <w:gridAfter w:val="2"/>
          <w:wAfter w:w="40" w:type="dxa"/>
          <w:trHeight w:val="443"/>
        </w:trPr>
        <w:tc>
          <w:tcPr>
            <w:tcW w:w="2516" w:type="dxa"/>
            <w:tcBorders>
              <w:top w:val="single" w:sz="4" w:space="0" w:color="000000" w:themeColor="text1"/>
              <w:left w:val="nil"/>
            </w:tcBorders>
          </w:tcPr>
          <w:p w14:paraId="7883F89E" w14:textId="77777777" w:rsidR="006A0BAE" w:rsidRPr="003A41B3" w:rsidRDefault="006A0BAE" w:rsidP="00154091">
            <w:pPr>
              <w:widowControl w:val="0"/>
              <w:autoSpaceDE w:val="0"/>
              <w:autoSpaceDN w:val="0"/>
              <w:adjustRightInd w:val="0"/>
              <w:rPr>
                <w:sz w:val="20"/>
                <w:szCs w:val="20"/>
              </w:rPr>
            </w:pPr>
          </w:p>
        </w:tc>
        <w:tc>
          <w:tcPr>
            <w:tcW w:w="2647" w:type="dxa"/>
            <w:tcBorders>
              <w:top w:val="single" w:sz="4" w:space="0" w:color="000000" w:themeColor="text1"/>
            </w:tcBorders>
          </w:tcPr>
          <w:p w14:paraId="79E5CAF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17" w:type="dxa"/>
            <w:tcBorders>
              <w:top w:val="single" w:sz="4" w:space="0" w:color="000000" w:themeColor="text1"/>
              <w:right w:val="single" w:sz="4" w:space="0" w:color="000000" w:themeColor="text1"/>
            </w:tcBorders>
          </w:tcPr>
          <w:p w14:paraId="7FA96D6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EU sub-sample</w:t>
            </w:r>
          </w:p>
        </w:tc>
        <w:tc>
          <w:tcPr>
            <w:tcW w:w="2977" w:type="dxa"/>
            <w:tcBorders>
              <w:top w:val="single" w:sz="4" w:space="0" w:color="000000"/>
              <w:left w:val="single" w:sz="4" w:space="0" w:color="000000" w:themeColor="text1"/>
            </w:tcBorders>
          </w:tcPr>
          <w:p w14:paraId="21D60CD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05" w:type="dxa"/>
            <w:tcBorders>
              <w:top w:val="single" w:sz="4" w:space="0" w:color="000000"/>
              <w:right w:val="nil"/>
            </w:tcBorders>
          </w:tcPr>
          <w:p w14:paraId="2BB8400C" w14:textId="6F6F03AA" w:rsidR="006A0BAE" w:rsidRPr="003A41B3" w:rsidRDefault="003613B9" w:rsidP="00154091">
            <w:pPr>
              <w:widowControl w:val="0"/>
              <w:autoSpaceDE w:val="0"/>
              <w:autoSpaceDN w:val="0"/>
              <w:adjustRightInd w:val="0"/>
              <w:jc w:val="center"/>
              <w:rPr>
                <w:sz w:val="20"/>
                <w:szCs w:val="20"/>
              </w:rPr>
            </w:pPr>
            <w:r w:rsidRPr="003A41B3">
              <w:rPr>
                <w:sz w:val="20"/>
                <w:szCs w:val="20"/>
              </w:rPr>
              <w:t>EU sub-sample</w:t>
            </w:r>
            <w:r w:rsidR="00ED30CD" w:rsidRPr="003A41B3">
              <w:rPr>
                <w:sz w:val="20"/>
                <w:szCs w:val="20"/>
              </w:rPr>
              <w:t xml:space="preserve"> (</w:t>
            </w:r>
            <w:r w:rsidR="00ED30CD" w:rsidRPr="003A41B3">
              <w:rPr>
                <w:sz w:val="22"/>
                <w:szCs w:val="22"/>
                <w:vertAlign w:val="superscript"/>
              </w:rPr>
              <w:t>a</w:t>
            </w:r>
            <w:r w:rsidR="00ED30CD" w:rsidRPr="003A41B3">
              <w:rPr>
                <w:sz w:val="22"/>
                <w:szCs w:val="22"/>
              </w:rPr>
              <w:t>)</w:t>
            </w:r>
          </w:p>
        </w:tc>
      </w:tr>
      <w:tr w:rsidR="006A0BAE" w:rsidRPr="003A41B3" w14:paraId="6D9BECA3" w14:textId="77777777" w:rsidTr="00154091">
        <w:trPr>
          <w:gridAfter w:val="2"/>
          <w:wAfter w:w="40" w:type="dxa"/>
          <w:trHeight w:val="279"/>
        </w:trPr>
        <w:tc>
          <w:tcPr>
            <w:tcW w:w="2516" w:type="dxa"/>
            <w:tcBorders>
              <w:left w:val="nil"/>
              <w:bottom w:val="nil"/>
            </w:tcBorders>
          </w:tcPr>
          <w:p w14:paraId="31D35F4D"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47" w:type="dxa"/>
            <w:tcBorders>
              <w:top w:val="nil"/>
              <w:left w:val="nil"/>
              <w:bottom w:val="nil"/>
              <w:right w:val="nil"/>
            </w:tcBorders>
          </w:tcPr>
          <w:p w14:paraId="14FBE9E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0.606</w:t>
            </w:r>
          </w:p>
        </w:tc>
        <w:tc>
          <w:tcPr>
            <w:tcW w:w="2817" w:type="dxa"/>
            <w:tcBorders>
              <w:top w:val="nil"/>
              <w:left w:val="nil"/>
              <w:bottom w:val="nil"/>
              <w:right w:val="single" w:sz="6" w:space="0" w:color="auto"/>
            </w:tcBorders>
          </w:tcPr>
          <w:p w14:paraId="1F4865E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-1.630*</w:t>
            </w:r>
          </w:p>
        </w:tc>
        <w:tc>
          <w:tcPr>
            <w:tcW w:w="2977" w:type="dxa"/>
            <w:tcBorders>
              <w:left w:val="single" w:sz="4" w:space="0" w:color="000000" w:themeColor="text1"/>
              <w:bottom w:val="nil"/>
            </w:tcBorders>
          </w:tcPr>
          <w:p w14:paraId="377B4BB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5.607***</w:t>
            </w:r>
          </w:p>
        </w:tc>
        <w:tc>
          <w:tcPr>
            <w:tcW w:w="2805" w:type="dxa"/>
            <w:tcBorders>
              <w:bottom w:val="nil"/>
              <w:right w:val="nil"/>
            </w:tcBorders>
          </w:tcPr>
          <w:p w14:paraId="101415FB" w14:textId="5B44DE8D" w:rsidR="006A0BAE" w:rsidRPr="003A41B3" w:rsidRDefault="006A0BAE" w:rsidP="00154091">
            <w:pPr>
              <w:widowControl w:val="0"/>
              <w:autoSpaceDE w:val="0"/>
              <w:autoSpaceDN w:val="0"/>
              <w:adjustRightInd w:val="0"/>
              <w:jc w:val="center"/>
              <w:rPr>
                <w:sz w:val="20"/>
                <w:szCs w:val="20"/>
              </w:rPr>
            </w:pPr>
          </w:p>
        </w:tc>
      </w:tr>
      <w:tr w:rsidR="006A0BAE" w:rsidRPr="003A41B3" w14:paraId="1D667EC6" w14:textId="77777777" w:rsidTr="00154091">
        <w:trPr>
          <w:gridAfter w:val="2"/>
          <w:wAfter w:w="40" w:type="dxa"/>
          <w:trHeight w:val="279"/>
        </w:trPr>
        <w:tc>
          <w:tcPr>
            <w:tcW w:w="2516" w:type="dxa"/>
            <w:tcBorders>
              <w:top w:val="nil"/>
              <w:left w:val="nil"/>
              <w:bottom w:val="nil"/>
            </w:tcBorders>
          </w:tcPr>
          <w:p w14:paraId="11D21ABC"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445858F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(0.57)</w:t>
            </w:r>
          </w:p>
        </w:tc>
        <w:tc>
          <w:tcPr>
            <w:tcW w:w="2817" w:type="dxa"/>
            <w:tcBorders>
              <w:top w:val="nil"/>
              <w:left w:val="nil"/>
              <w:bottom w:val="nil"/>
              <w:right w:val="single" w:sz="6" w:space="0" w:color="auto"/>
            </w:tcBorders>
          </w:tcPr>
          <w:p w14:paraId="0C59DE3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(-1.92)</w:t>
            </w:r>
          </w:p>
        </w:tc>
        <w:tc>
          <w:tcPr>
            <w:tcW w:w="2977" w:type="dxa"/>
            <w:tcBorders>
              <w:top w:val="nil"/>
              <w:left w:val="single" w:sz="4" w:space="0" w:color="000000" w:themeColor="text1"/>
              <w:bottom w:val="nil"/>
            </w:tcBorders>
          </w:tcPr>
          <w:p w14:paraId="6EADA4D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(2.59)</w:t>
            </w:r>
          </w:p>
        </w:tc>
        <w:tc>
          <w:tcPr>
            <w:tcW w:w="2805" w:type="dxa"/>
            <w:tcBorders>
              <w:top w:val="nil"/>
              <w:bottom w:val="nil"/>
              <w:right w:val="nil"/>
            </w:tcBorders>
          </w:tcPr>
          <w:p w14:paraId="169997F0" w14:textId="7C1ABA9C" w:rsidR="006A0BAE" w:rsidRPr="003A41B3" w:rsidRDefault="006A0BAE" w:rsidP="00154091">
            <w:pPr>
              <w:widowControl w:val="0"/>
              <w:autoSpaceDE w:val="0"/>
              <w:autoSpaceDN w:val="0"/>
              <w:adjustRightInd w:val="0"/>
              <w:jc w:val="center"/>
              <w:rPr>
                <w:sz w:val="20"/>
                <w:szCs w:val="20"/>
              </w:rPr>
            </w:pPr>
          </w:p>
        </w:tc>
      </w:tr>
      <w:tr w:rsidR="006A0BAE" w:rsidRPr="003A41B3" w14:paraId="2570A0CF" w14:textId="77777777" w:rsidTr="00154091">
        <w:trPr>
          <w:gridAfter w:val="2"/>
          <w:wAfter w:w="40" w:type="dxa"/>
          <w:trHeight w:val="318"/>
        </w:trPr>
        <w:tc>
          <w:tcPr>
            <w:tcW w:w="2516" w:type="dxa"/>
            <w:tcBorders>
              <w:top w:val="nil"/>
              <w:left w:val="nil"/>
              <w:bottom w:val="nil"/>
            </w:tcBorders>
          </w:tcPr>
          <w:p w14:paraId="001A2855"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47" w:type="dxa"/>
            <w:tcBorders>
              <w:top w:val="nil"/>
              <w:left w:val="nil"/>
              <w:bottom w:val="nil"/>
              <w:right w:val="nil"/>
            </w:tcBorders>
          </w:tcPr>
          <w:p w14:paraId="0689F36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.620</w:t>
            </w:r>
          </w:p>
        </w:tc>
        <w:tc>
          <w:tcPr>
            <w:tcW w:w="2817" w:type="dxa"/>
            <w:tcBorders>
              <w:top w:val="nil"/>
              <w:left w:val="nil"/>
              <w:bottom w:val="nil"/>
              <w:right w:val="single" w:sz="6" w:space="0" w:color="auto"/>
            </w:tcBorders>
          </w:tcPr>
          <w:p w14:paraId="754BD54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-0.242</w:t>
            </w:r>
          </w:p>
        </w:tc>
        <w:tc>
          <w:tcPr>
            <w:tcW w:w="2977" w:type="dxa"/>
            <w:tcBorders>
              <w:top w:val="nil"/>
              <w:left w:val="single" w:sz="4" w:space="0" w:color="000000" w:themeColor="text1"/>
              <w:bottom w:val="nil"/>
            </w:tcBorders>
          </w:tcPr>
          <w:p w14:paraId="79417CE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1.982*</w:t>
            </w:r>
          </w:p>
        </w:tc>
        <w:tc>
          <w:tcPr>
            <w:tcW w:w="2805" w:type="dxa"/>
            <w:tcBorders>
              <w:top w:val="nil"/>
              <w:bottom w:val="nil"/>
              <w:right w:val="nil"/>
            </w:tcBorders>
          </w:tcPr>
          <w:p w14:paraId="6061DD38" w14:textId="2875E863" w:rsidR="006A0BAE" w:rsidRPr="003A41B3" w:rsidRDefault="006A0BAE" w:rsidP="00154091">
            <w:pPr>
              <w:widowControl w:val="0"/>
              <w:autoSpaceDE w:val="0"/>
              <w:autoSpaceDN w:val="0"/>
              <w:adjustRightInd w:val="0"/>
              <w:jc w:val="center"/>
              <w:rPr>
                <w:sz w:val="20"/>
                <w:szCs w:val="20"/>
              </w:rPr>
            </w:pPr>
          </w:p>
        </w:tc>
      </w:tr>
      <w:tr w:rsidR="006A0BAE" w:rsidRPr="003A41B3" w14:paraId="621687DD" w14:textId="77777777" w:rsidTr="00154091">
        <w:trPr>
          <w:gridAfter w:val="2"/>
          <w:wAfter w:w="40" w:type="dxa"/>
          <w:trHeight w:val="279"/>
        </w:trPr>
        <w:tc>
          <w:tcPr>
            <w:tcW w:w="2516" w:type="dxa"/>
            <w:tcBorders>
              <w:top w:val="nil"/>
              <w:left w:val="nil"/>
              <w:bottom w:val="nil"/>
            </w:tcBorders>
          </w:tcPr>
          <w:p w14:paraId="6CD5FB84"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681EDA6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(1.07)</w:t>
            </w:r>
          </w:p>
        </w:tc>
        <w:tc>
          <w:tcPr>
            <w:tcW w:w="2817" w:type="dxa"/>
            <w:tcBorders>
              <w:top w:val="nil"/>
              <w:left w:val="nil"/>
              <w:bottom w:val="nil"/>
              <w:right w:val="single" w:sz="6" w:space="0" w:color="auto"/>
            </w:tcBorders>
          </w:tcPr>
          <w:p w14:paraId="02ACBCF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(-0.65)</w:t>
            </w:r>
          </w:p>
        </w:tc>
        <w:tc>
          <w:tcPr>
            <w:tcW w:w="2977" w:type="dxa"/>
            <w:tcBorders>
              <w:top w:val="nil"/>
              <w:left w:val="single" w:sz="4" w:space="0" w:color="000000" w:themeColor="text1"/>
              <w:bottom w:val="nil"/>
            </w:tcBorders>
          </w:tcPr>
          <w:p w14:paraId="37D92D2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(1.65)</w:t>
            </w:r>
          </w:p>
        </w:tc>
        <w:tc>
          <w:tcPr>
            <w:tcW w:w="2805" w:type="dxa"/>
            <w:tcBorders>
              <w:top w:val="nil"/>
              <w:bottom w:val="nil"/>
              <w:right w:val="nil"/>
            </w:tcBorders>
          </w:tcPr>
          <w:p w14:paraId="21A56B6A" w14:textId="4E60DF3A" w:rsidR="006A0BAE" w:rsidRPr="003A41B3" w:rsidRDefault="006A0BAE" w:rsidP="00154091">
            <w:pPr>
              <w:widowControl w:val="0"/>
              <w:autoSpaceDE w:val="0"/>
              <w:autoSpaceDN w:val="0"/>
              <w:adjustRightInd w:val="0"/>
              <w:jc w:val="center"/>
              <w:rPr>
                <w:sz w:val="20"/>
                <w:szCs w:val="20"/>
              </w:rPr>
            </w:pPr>
          </w:p>
        </w:tc>
      </w:tr>
      <w:tr w:rsidR="006A0BAE" w:rsidRPr="003A41B3" w14:paraId="3E6A5BC8" w14:textId="77777777" w:rsidTr="00154091">
        <w:trPr>
          <w:gridAfter w:val="2"/>
          <w:wAfter w:w="40" w:type="dxa"/>
          <w:trHeight w:val="279"/>
        </w:trPr>
        <w:tc>
          <w:tcPr>
            <w:tcW w:w="2516" w:type="dxa"/>
            <w:tcBorders>
              <w:top w:val="nil"/>
              <w:left w:val="nil"/>
              <w:bottom w:val="nil"/>
            </w:tcBorders>
          </w:tcPr>
          <w:p w14:paraId="156718A2"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47" w:type="dxa"/>
            <w:tcBorders>
              <w:top w:val="nil"/>
              <w:left w:val="nil"/>
              <w:bottom w:val="nil"/>
              <w:right w:val="nil"/>
            </w:tcBorders>
          </w:tcPr>
          <w:p w14:paraId="2F28AF2F"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-5.380</w:t>
            </w:r>
          </w:p>
        </w:tc>
        <w:tc>
          <w:tcPr>
            <w:tcW w:w="2817" w:type="dxa"/>
            <w:tcBorders>
              <w:top w:val="nil"/>
              <w:left w:val="nil"/>
              <w:bottom w:val="nil"/>
              <w:right w:val="single" w:sz="6" w:space="0" w:color="auto"/>
            </w:tcBorders>
          </w:tcPr>
          <w:p w14:paraId="46D5579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-1.168</w:t>
            </w:r>
          </w:p>
        </w:tc>
        <w:tc>
          <w:tcPr>
            <w:tcW w:w="2977" w:type="dxa"/>
            <w:tcBorders>
              <w:top w:val="nil"/>
              <w:left w:val="single" w:sz="4" w:space="0" w:color="000000" w:themeColor="text1"/>
              <w:bottom w:val="nil"/>
            </w:tcBorders>
          </w:tcPr>
          <w:p w14:paraId="018F356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-5.818</w:t>
            </w:r>
          </w:p>
        </w:tc>
        <w:tc>
          <w:tcPr>
            <w:tcW w:w="2805" w:type="dxa"/>
            <w:tcBorders>
              <w:top w:val="nil"/>
              <w:bottom w:val="nil"/>
              <w:right w:val="nil"/>
            </w:tcBorders>
          </w:tcPr>
          <w:p w14:paraId="6E012EB9" w14:textId="756095EC" w:rsidR="006A0BAE" w:rsidRPr="003A41B3" w:rsidRDefault="006A0BAE" w:rsidP="00154091">
            <w:pPr>
              <w:widowControl w:val="0"/>
              <w:autoSpaceDE w:val="0"/>
              <w:autoSpaceDN w:val="0"/>
              <w:adjustRightInd w:val="0"/>
              <w:jc w:val="center"/>
              <w:rPr>
                <w:sz w:val="20"/>
                <w:szCs w:val="20"/>
              </w:rPr>
            </w:pPr>
          </w:p>
        </w:tc>
      </w:tr>
      <w:tr w:rsidR="006A0BAE" w:rsidRPr="003A41B3" w14:paraId="2AF81388" w14:textId="77777777" w:rsidTr="00154091">
        <w:trPr>
          <w:gridAfter w:val="2"/>
          <w:wAfter w:w="40" w:type="dxa"/>
          <w:trHeight w:val="279"/>
        </w:trPr>
        <w:tc>
          <w:tcPr>
            <w:tcW w:w="2516" w:type="dxa"/>
            <w:tcBorders>
              <w:top w:val="nil"/>
              <w:left w:val="nil"/>
            </w:tcBorders>
          </w:tcPr>
          <w:p w14:paraId="114FCE51"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3DAAB7E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(-0.82)</w:t>
            </w:r>
          </w:p>
        </w:tc>
        <w:tc>
          <w:tcPr>
            <w:tcW w:w="2817" w:type="dxa"/>
            <w:tcBorders>
              <w:top w:val="nil"/>
              <w:left w:val="nil"/>
              <w:bottom w:val="nil"/>
              <w:right w:val="single" w:sz="6" w:space="0" w:color="auto"/>
            </w:tcBorders>
          </w:tcPr>
          <w:p w14:paraId="595E789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(-1.03)</w:t>
            </w:r>
          </w:p>
        </w:tc>
        <w:tc>
          <w:tcPr>
            <w:tcW w:w="2977" w:type="dxa"/>
            <w:tcBorders>
              <w:top w:val="nil"/>
              <w:left w:val="single" w:sz="4" w:space="0" w:color="000000" w:themeColor="text1"/>
            </w:tcBorders>
          </w:tcPr>
          <w:p w14:paraId="1844A72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(-1.24)</w:t>
            </w:r>
          </w:p>
        </w:tc>
        <w:tc>
          <w:tcPr>
            <w:tcW w:w="2805" w:type="dxa"/>
            <w:tcBorders>
              <w:top w:val="nil"/>
              <w:right w:val="nil"/>
            </w:tcBorders>
          </w:tcPr>
          <w:p w14:paraId="1CCE21EC" w14:textId="1564877B" w:rsidR="006A0BAE" w:rsidRPr="003A41B3" w:rsidRDefault="006A0BAE" w:rsidP="00154091">
            <w:pPr>
              <w:widowControl w:val="0"/>
              <w:autoSpaceDE w:val="0"/>
              <w:autoSpaceDN w:val="0"/>
              <w:adjustRightInd w:val="0"/>
              <w:jc w:val="center"/>
              <w:rPr>
                <w:sz w:val="20"/>
                <w:szCs w:val="20"/>
              </w:rPr>
            </w:pPr>
          </w:p>
        </w:tc>
      </w:tr>
      <w:tr w:rsidR="006A0BAE" w:rsidRPr="003A41B3" w14:paraId="64AE0060" w14:textId="77777777" w:rsidTr="00154091">
        <w:trPr>
          <w:gridAfter w:val="2"/>
          <w:wAfter w:w="40" w:type="dxa"/>
          <w:trHeight w:val="279"/>
        </w:trPr>
        <w:tc>
          <w:tcPr>
            <w:tcW w:w="2516" w:type="dxa"/>
            <w:tcBorders>
              <w:top w:val="nil"/>
              <w:left w:val="nil"/>
              <w:bottom w:val="single" w:sz="4" w:space="0" w:color="000000" w:themeColor="text1"/>
            </w:tcBorders>
          </w:tcPr>
          <w:p w14:paraId="0A12161C"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single" w:sz="4" w:space="0" w:color="000000" w:themeColor="text1"/>
              <w:right w:val="nil"/>
            </w:tcBorders>
          </w:tcPr>
          <w:p w14:paraId="72E6F182" w14:textId="77777777" w:rsidR="006A0BAE" w:rsidRPr="003A41B3" w:rsidRDefault="006A0BAE" w:rsidP="00154091">
            <w:pPr>
              <w:widowControl w:val="0"/>
              <w:autoSpaceDE w:val="0"/>
              <w:autoSpaceDN w:val="0"/>
              <w:adjustRightInd w:val="0"/>
              <w:jc w:val="center"/>
              <w:rPr>
                <w:sz w:val="20"/>
                <w:szCs w:val="20"/>
              </w:rPr>
            </w:pPr>
          </w:p>
        </w:tc>
        <w:tc>
          <w:tcPr>
            <w:tcW w:w="2817" w:type="dxa"/>
            <w:tcBorders>
              <w:top w:val="nil"/>
              <w:left w:val="nil"/>
              <w:bottom w:val="single" w:sz="4" w:space="0" w:color="000000" w:themeColor="text1"/>
              <w:right w:val="single" w:sz="6" w:space="0" w:color="auto"/>
            </w:tcBorders>
          </w:tcPr>
          <w:p w14:paraId="20CBF10E" w14:textId="77777777" w:rsidR="006A0BAE" w:rsidRPr="003A41B3" w:rsidRDefault="006A0BAE" w:rsidP="00154091">
            <w:pPr>
              <w:widowControl w:val="0"/>
              <w:autoSpaceDE w:val="0"/>
              <w:autoSpaceDN w:val="0"/>
              <w:adjustRightInd w:val="0"/>
              <w:jc w:val="center"/>
              <w:rPr>
                <w:sz w:val="20"/>
                <w:szCs w:val="20"/>
              </w:rPr>
            </w:pPr>
          </w:p>
        </w:tc>
        <w:tc>
          <w:tcPr>
            <w:tcW w:w="2977" w:type="dxa"/>
            <w:tcBorders>
              <w:top w:val="nil"/>
              <w:left w:val="single" w:sz="4" w:space="0" w:color="000000" w:themeColor="text1"/>
              <w:bottom w:val="single" w:sz="4" w:space="0" w:color="000000" w:themeColor="text1"/>
            </w:tcBorders>
          </w:tcPr>
          <w:p w14:paraId="4AEB5E0F" w14:textId="77777777" w:rsidR="006A0BAE" w:rsidRPr="003A41B3" w:rsidRDefault="006A0BAE" w:rsidP="00154091">
            <w:pPr>
              <w:widowControl w:val="0"/>
              <w:autoSpaceDE w:val="0"/>
              <w:autoSpaceDN w:val="0"/>
              <w:adjustRightInd w:val="0"/>
              <w:jc w:val="center"/>
              <w:rPr>
                <w:sz w:val="20"/>
                <w:szCs w:val="20"/>
              </w:rPr>
            </w:pPr>
          </w:p>
        </w:tc>
        <w:tc>
          <w:tcPr>
            <w:tcW w:w="2805" w:type="dxa"/>
            <w:tcBorders>
              <w:top w:val="nil"/>
              <w:bottom w:val="single" w:sz="4" w:space="0" w:color="000000" w:themeColor="text1"/>
              <w:right w:val="nil"/>
            </w:tcBorders>
          </w:tcPr>
          <w:p w14:paraId="4284333A"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20073F71" w14:textId="77777777" w:rsidTr="00154091">
        <w:trPr>
          <w:gridAfter w:val="2"/>
          <w:wAfter w:w="40" w:type="dxa"/>
          <w:trHeight w:val="279"/>
        </w:trPr>
        <w:tc>
          <w:tcPr>
            <w:tcW w:w="2516" w:type="dxa"/>
            <w:tcBorders>
              <w:top w:val="single" w:sz="4" w:space="0" w:color="000000" w:themeColor="text1"/>
              <w:left w:val="nil"/>
              <w:bottom w:val="nil"/>
              <w:right w:val="single" w:sz="4" w:space="0" w:color="FFFFFF" w:themeColor="background1"/>
            </w:tcBorders>
          </w:tcPr>
          <w:p w14:paraId="02514795"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47" w:type="dxa"/>
            <w:tcBorders>
              <w:top w:val="single" w:sz="4" w:space="0" w:color="000000" w:themeColor="text1"/>
              <w:left w:val="single" w:sz="4" w:space="0" w:color="FFFFFF" w:themeColor="background1"/>
              <w:bottom w:val="nil"/>
              <w:right w:val="nil"/>
            </w:tcBorders>
          </w:tcPr>
          <w:p w14:paraId="0333D76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90</w:t>
            </w:r>
          </w:p>
        </w:tc>
        <w:tc>
          <w:tcPr>
            <w:tcW w:w="2817" w:type="dxa"/>
            <w:tcBorders>
              <w:top w:val="single" w:sz="4" w:space="0" w:color="000000" w:themeColor="text1"/>
              <w:left w:val="nil"/>
              <w:bottom w:val="nil"/>
              <w:right w:val="single" w:sz="6" w:space="0" w:color="auto"/>
            </w:tcBorders>
          </w:tcPr>
          <w:p w14:paraId="76DB4DB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40</w:t>
            </w:r>
          </w:p>
        </w:tc>
        <w:tc>
          <w:tcPr>
            <w:tcW w:w="2977" w:type="dxa"/>
            <w:tcBorders>
              <w:top w:val="single" w:sz="4" w:space="0" w:color="000000" w:themeColor="text1"/>
              <w:left w:val="single" w:sz="4" w:space="0" w:color="000000" w:themeColor="text1"/>
              <w:bottom w:val="nil"/>
            </w:tcBorders>
          </w:tcPr>
          <w:p w14:paraId="5640E793"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118</w:t>
            </w:r>
          </w:p>
        </w:tc>
        <w:tc>
          <w:tcPr>
            <w:tcW w:w="2805" w:type="dxa"/>
            <w:tcBorders>
              <w:top w:val="single" w:sz="4" w:space="0" w:color="000000" w:themeColor="text1"/>
              <w:bottom w:val="nil"/>
              <w:right w:val="nil"/>
            </w:tcBorders>
          </w:tcPr>
          <w:p w14:paraId="1300C80C" w14:textId="26C2A34B" w:rsidR="006A0BAE" w:rsidRPr="003A41B3" w:rsidRDefault="006A0BAE" w:rsidP="00154091">
            <w:pPr>
              <w:widowControl w:val="0"/>
              <w:autoSpaceDE w:val="0"/>
              <w:autoSpaceDN w:val="0"/>
              <w:adjustRightInd w:val="0"/>
              <w:jc w:val="center"/>
              <w:rPr>
                <w:sz w:val="20"/>
                <w:szCs w:val="20"/>
              </w:rPr>
            </w:pPr>
          </w:p>
        </w:tc>
      </w:tr>
      <w:tr w:rsidR="006A0BAE" w:rsidRPr="003A41B3" w14:paraId="499FFC8A" w14:textId="77777777" w:rsidTr="00154091">
        <w:trPr>
          <w:gridAfter w:val="2"/>
          <w:wAfter w:w="40" w:type="dxa"/>
          <w:trHeight w:val="279"/>
        </w:trPr>
        <w:tc>
          <w:tcPr>
            <w:tcW w:w="2516" w:type="dxa"/>
            <w:tcBorders>
              <w:top w:val="nil"/>
              <w:left w:val="nil"/>
              <w:bottom w:val="nil"/>
              <w:right w:val="single" w:sz="4" w:space="0" w:color="FFFFFF" w:themeColor="background1"/>
            </w:tcBorders>
          </w:tcPr>
          <w:p w14:paraId="511985AD"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47" w:type="dxa"/>
            <w:tcBorders>
              <w:top w:val="nil"/>
              <w:left w:val="single" w:sz="4" w:space="0" w:color="FFFFFF" w:themeColor="background1"/>
              <w:bottom w:val="nil"/>
              <w:right w:val="nil"/>
            </w:tcBorders>
          </w:tcPr>
          <w:p w14:paraId="5B2A1D7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0.305</w:t>
            </w:r>
          </w:p>
        </w:tc>
        <w:tc>
          <w:tcPr>
            <w:tcW w:w="2817" w:type="dxa"/>
            <w:tcBorders>
              <w:top w:val="nil"/>
              <w:left w:val="nil"/>
              <w:bottom w:val="nil"/>
              <w:right w:val="single" w:sz="6" w:space="0" w:color="auto"/>
            </w:tcBorders>
          </w:tcPr>
          <w:p w14:paraId="79B8E2A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0.417</w:t>
            </w:r>
          </w:p>
        </w:tc>
        <w:tc>
          <w:tcPr>
            <w:tcW w:w="2977" w:type="dxa"/>
            <w:tcBorders>
              <w:top w:val="nil"/>
              <w:left w:val="single" w:sz="4" w:space="0" w:color="000000" w:themeColor="text1"/>
              <w:bottom w:val="nil"/>
            </w:tcBorders>
          </w:tcPr>
          <w:p w14:paraId="44DBEFA4" w14:textId="77777777" w:rsidR="006A0BAE" w:rsidRPr="003A41B3" w:rsidRDefault="006A0BAE" w:rsidP="00154091">
            <w:pPr>
              <w:widowControl w:val="0"/>
              <w:autoSpaceDE w:val="0"/>
              <w:autoSpaceDN w:val="0"/>
              <w:adjustRightInd w:val="0"/>
              <w:jc w:val="center"/>
              <w:rPr>
                <w:sz w:val="20"/>
              </w:rPr>
            </w:pPr>
            <w:r w:rsidRPr="003A41B3">
              <w:rPr>
                <w:sz w:val="20"/>
              </w:rPr>
              <w:t>0.195</w:t>
            </w:r>
          </w:p>
        </w:tc>
        <w:tc>
          <w:tcPr>
            <w:tcW w:w="2805" w:type="dxa"/>
            <w:tcBorders>
              <w:top w:val="nil"/>
              <w:bottom w:val="nil"/>
              <w:right w:val="nil"/>
            </w:tcBorders>
          </w:tcPr>
          <w:p w14:paraId="448551CD" w14:textId="13FF4745" w:rsidR="006A0BAE" w:rsidRPr="003A41B3" w:rsidRDefault="006A0BAE" w:rsidP="00154091">
            <w:pPr>
              <w:widowControl w:val="0"/>
              <w:autoSpaceDE w:val="0"/>
              <w:autoSpaceDN w:val="0"/>
              <w:adjustRightInd w:val="0"/>
              <w:jc w:val="center"/>
              <w:rPr>
                <w:sz w:val="20"/>
              </w:rPr>
            </w:pPr>
          </w:p>
        </w:tc>
      </w:tr>
      <w:tr w:rsidR="006A0BAE" w:rsidRPr="003A41B3" w14:paraId="7679F115" w14:textId="77777777" w:rsidTr="00154091">
        <w:trPr>
          <w:gridAfter w:val="1"/>
          <w:wAfter w:w="29" w:type="dxa"/>
          <w:trHeight w:val="388"/>
        </w:trPr>
        <w:tc>
          <w:tcPr>
            <w:tcW w:w="2516" w:type="dxa"/>
            <w:tcBorders>
              <w:top w:val="nil"/>
              <w:left w:val="nil"/>
              <w:bottom w:val="single" w:sz="4" w:space="0" w:color="000000"/>
              <w:right w:val="nil"/>
            </w:tcBorders>
            <w:vAlign w:val="center"/>
          </w:tcPr>
          <w:p w14:paraId="19A81686"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47" w:type="dxa"/>
            <w:tcBorders>
              <w:top w:val="nil"/>
              <w:left w:val="nil"/>
              <w:bottom w:val="single" w:sz="4" w:space="0" w:color="000000"/>
              <w:right w:val="nil"/>
            </w:tcBorders>
            <w:vAlign w:val="center"/>
          </w:tcPr>
          <w:p w14:paraId="6074C4BB" w14:textId="5859845A"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7" w:type="dxa"/>
            <w:tcBorders>
              <w:top w:val="nil"/>
              <w:left w:val="nil"/>
              <w:bottom w:val="single" w:sz="4" w:space="0" w:color="000000"/>
              <w:right w:val="single" w:sz="4" w:space="0" w:color="000000" w:themeColor="text1"/>
            </w:tcBorders>
            <w:vAlign w:val="center"/>
          </w:tcPr>
          <w:p w14:paraId="7AAC20A8" w14:textId="47152E80"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977" w:type="dxa"/>
            <w:tcBorders>
              <w:top w:val="nil"/>
              <w:left w:val="single" w:sz="4" w:space="0" w:color="000000" w:themeColor="text1"/>
              <w:bottom w:val="single" w:sz="4" w:space="0" w:color="000000"/>
              <w:right w:val="nil"/>
            </w:tcBorders>
            <w:vAlign w:val="center"/>
          </w:tcPr>
          <w:p w14:paraId="386DCE5C" w14:textId="35BEBC84"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6" w:type="dxa"/>
            <w:gridSpan w:val="2"/>
            <w:tcBorders>
              <w:top w:val="nil"/>
              <w:left w:val="nil"/>
              <w:bottom w:val="single" w:sz="4" w:space="0" w:color="000000"/>
              <w:right w:val="nil"/>
            </w:tcBorders>
            <w:vAlign w:val="center"/>
          </w:tcPr>
          <w:p w14:paraId="679266AD" w14:textId="435DDF6F" w:rsidR="006A0BAE" w:rsidRPr="003A41B3" w:rsidRDefault="006A0BAE" w:rsidP="00154091">
            <w:pPr>
              <w:widowControl w:val="0"/>
              <w:autoSpaceDE w:val="0"/>
              <w:autoSpaceDN w:val="0"/>
              <w:adjustRightInd w:val="0"/>
              <w:jc w:val="center"/>
              <w:rPr>
                <w:sz w:val="20"/>
                <w:szCs w:val="20"/>
              </w:rPr>
            </w:pPr>
          </w:p>
        </w:tc>
      </w:tr>
      <w:tr w:rsidR="006A0BAE" w:rsidRPr="003A41B3" w14:paraId="0AC30521" w14:textId="77777777" w:rsidTr="00154091">
        <w:trPr>
          <w:gridAfter w:val="1"/>
          <w:wAfter w:w="29" w:type="dxa"/>
          <w:trHeight w:val="705"/>
        </w:trPr>
        <w:tc>
          <w:tcPr>
            <w:tcW w:w="2516" w:type="dxa"/>
            <w:tcBorders>
              <w:top w:val="single" w:sz="4" w:space="0" w:color="000000"/>
              <w:left w:val="nil"/>
              <w:bottom w:val="nil"/>
              <w:right w:val="nil"/>
            </w:tcBorders>
            <w:vAlign w:val="center"/>
          </w:tcPr>
          <w:p w14:paraId="3F22A498" w14:textId="77777777" w:rsidR="006A0BAE" w:rsidRPr="003A41B3" w:rsidRDefault="006A0BAE" w:rsidP="00154091">
            <w:pPr>
              <w:widowControl w:val="0"/>
              <w:autoSpaceDE w:val="0"/>
              <w:autoSpaceDN w:val="0"/>
              <w:adjustRightInd w:val="0"/>
            </w:pPr>
          </w:p>
        </w:tc>
        <w:tc>
          <w:tcPr>
            <w:tcW w:w="5464" w:type="dxa"/>
            <w:gridSpan w:val="2"/>
            <w:tcBorders>
              <w:top w:val="single" w:sz="4" w:space="0" w:color="000000"/>
              <w:left w:val="nil"/>
              <w:right w:val="single" w:sz="4" w:space="0" w:color="000000" w:themeColor="text1"/>
            </w:tcBorders>
            <w:vAlign w:val="center"/>
          </w:tcPr>
          <w:p w14:paraId="2F113FB3"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EEsample_mean</w:t>
            </w:r>
            <w:proofErr w:type="spellEnd"/>
            <w:r w:rsidRPr="003A41B3">
              <w:rPr>
                <w:sz w:val="18"/>
                <w:szCs w:val="20"/>
              </w:rPr>
              <w:t>]∆Rating- [</w:t>
            </w:r>
            <w:proofErr w:type="spellStart"/>
            <w:r w:rsidRPr="003A41B3">
              <w:rPr>
                <w:sz w:val="18"/>
                <w:szCs w:val="20"/>
              </w:rPr>
              <w:t>EUsample_mean</w:t>
            </w:r>
            <w:proofErr w:type="spellEnd"/>
            <w:r w:rsidRPr="003A41B3">
              <w:rPr>
                <w:sz w:val="18"/>
                <w:szCs w:val="20"/>
              </w:rPr>
              <w:t>]∆Rating = 0</w:t>
            </w:r>
          </w:p>
        </w:tc>
        <w:tc>
          <w:tcPr>
            <w:tcW w:w="5793" w:type="dxa"/>
            <w:gridSpan w:val="3"/>
            <w:tcBorders>
              <w:top w:val="single" w:sz="4" w:space="0" w:color="000000"/>
              <w:left w:val="single" w:sz="4" w:space="0" w:color="000000" w:themeColor="text1"/>
              <w:right w:val="nil"/>
            </w:tcBorders>
            <w:vAlign w:val="center"/>
          </w:tcPr>
          <w:p w14:paraId="43C57FC2" w14:textId="0351761A" w:rsidR="006A0BAE" w:rsidRPr="003A41B3" w:rsidRDefault="006A0BAE" w:rsidP="00154091">
            <w:pPr>
              <w:widowControl w:val="0"/>
              <w:autoSpaceDE w:val="0"/>
              <w:autoSpaceDN w:val="0"/>
              <w:adjustRightInd w:val="0"/>
              <w:jc w:val="center"/>
              <w:rPr>
                <w:sz w:val="18"/>
                <w:szCs w:val="20"/>
              </w:rPr>
            </w:pPr>
          </w:p>
        </w:tc>
      </w:tr>
      <w:tr w:rsidR="006A0BAE" w:rsidRPr="003A41B3" w14:paraId="56AC925A" w14:textId="77777777" w:rsidTr="00154091">
        <w:trPr>
          <w:gridAfter w:val="2"/>
          <w:wAfter w:w="40" w:type="dxa"/>
          <w:trHeight w:val="279"/>
        </w:trPr>
        <w:tc>
          <w:tcPr>
            <w:tcW w:w="2516" w:type="dxa"/>
            <w:tcBorders>
              <w:top w:val="nil"/>
              <w:left w:val="nil"/>
              <w:bottom w:val="nil"/>
            </w:tcBorders>
            <w:vAlign w:val="center"/>
          </w:tcPr>
          <w:p w14:paraId="76A879AF" w14:textId="77777777" w:rsidR="006A0BAE" w:rsidRPr="003A41B3" w:rsidRDefault="006A0BAE" w:rsidP="00154091">
            <w:pPr>
              <w:widowControl w:val="0"/>
              <w:autoSpaceDE w:val="0"/>
              <w:autoSpaceDN w:val="0"/>
              <w:adjustRightInd w:val="0"/>
            </w:pPr>
          </w:p>
        </w:tc>
        <w:tc>
          <w:tcPr>
            <w:tcW w:w="2647" w:type="dxa"/>
          </w:tcPr>
          <w:p w14:paraId="38511F58"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17" w:type="dxa"/>
            <w:tcBorders>
              <w:right w:val="single" w:sz="4" w:space="0" w:color="000000" w:themeColor="text1"/>
            </w:tcBorders>
          </w:tcPr>
          <w:p w14:paraId="1B2C34AF"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77" w:type="dxa"/>
            <w:tcBorders>
              <w:left w:val="single" w:sz="4" w:space="0" w:color="000000" w:themeColor="text1"/>
            </w:tcBorders>
          </w:tcPr>
          <w:p w14:paraId="09EDDC85" w14:textId="2EC15A15" w:rsidR="006A0BAE" w:rsidRPr="003A41B3" w:rsidRDefault="006A0BAE" w:rsidP="00154091">
            <w:pPr>
              <w:widowControl w:val="0"/>
              <w:autoSpaceDE w:val="0"/>
              <w:autoSpaceDN w:val="0"/>
              <w:adjustRightInd w:val="0"/>
              <w:jc w:val="center"/>
              <w:rPr>
                <w:sz w:val="18"/>
                <w:szCs w:val="20"/>
              </w:rPr>
            </w:pPr>
          </w:p>
        </w:tc>
        <w:tc>
          <w:tcPr>
            <w:tcW w:w="2805" w:type="dxa"/>
            <w:tcBorders>
              <w:right w:val="nil"/>
            </w:tcBorders>
          </w:tcPr>
          <w:p w14:paraId="05317D9D" w14:textId="672C6F93" w:rsidR="006A0BAE" w:rsidRPr="003A41B3" w:rsidRDefault="006A0BAE" w:rsidP="00154091">
            <w:pPr>
              <w:widowControl w:val="0"/>
              <w:autoSpaceDE w:val="0"/>
              <w:autoSpaceDN w:val="0"/>
              <w:adjustRightInd w:val="0"/>
              <w:jc w:val="center"/>
              <w:rPr>
                <w:sz w:val="18"/>
                <w:szCs w:val="20"/>
              </w:rPr>
            </w:pPr>
          </w:p>
        </w:tc>
      </w:tr>
      <w:tr w:rsidR="006A0BAE" w:rsidRPr="003A41B3" w14:paraId="25088CAB" w14:textId="77777777" w:rsidTr="00154091">
        <w:trPr>
          <w:gridAfter w:val="2"/>
          <w:wAfter w:w="40" w:type="dxa"/>
          <w:trHeight w:val="279"/>
        </w:trPr>
        <w:tc>
          <w:tcPr>
            <w:tcW w:w="2516" w:type="dxa"/>
            <w:tcBorders>
              <w:top w:val="nil"/>
              <w:left w:val="nil"/>
              <w:bottom w:val="single" w:sz="4" w:space="0" w:color="000000" w:themeColor="text1"/>
              <w:right w:val="nil"/>
            </w:tcBorders>
            <w:vAlign w:val="center"/>
          </w:tcPr>
          <w:p w14:paraId="357767E1" w14:textId="77777777" w:rsidR="006A0BAE" w:rsidRPr="003A41B3" w:rsidRDefault="006A0BAE" w:rsidP="00154091">
            <w:pPr>
              <w:widowControl w:val="0"/>
              <w:autoSpaceDE w:val="0"/>
              <w:autoSpaceDN w:val="0"/>
              <w:adjustRightInd w:val="0"/>
            </w:pPr>
          </w:p>
        </w:tc>
        <w:tc>
          <w:tcPr>
            <w:tcW w:w="2647" w:type="dxa"/>
            <w:tcBorders>
              <w:left w:val="nil"/>
              <w:bottom w:val="single" w:sz="4" w:space="0" w:color="000000" w:themeColor="text1"/>
            </w:tcBorders>
          </w:tcPr>
          <w:p w14:paraId="40D8ECC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2.79</w:t>
            </w:r>
          </w:p>
        </w:tc>
        <w:tc>
          <w:tcPr>
            <w:tcW w:w="2817" w:type="dxa"/>
            <w:tcBorders>
              <w:bottom w:val="single" w:sz="4" w:space="0" w:color="000000" w:themeColor="text1"/>
              <w:right w:val="single" w:sz="4" w:space="0" w:color="000000" w:themeColor="text1"/>
            </w:tcBorders>
          </w:tcPr>
          <w:p w14:paraId="5D0006B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0.094</w:t>
            </w:r>
          </w:p>
        </w:tc>
        <w:tc>
          <w:tcPr>
            <w:tcW w:w="2977" w:type="dxa"/>
            <w:tcBorders>
              <w:left w:val="single" w:sz="4" w:space="0" w:color="000000" w:themeColor="text1"/>
              <w:bottom w:val="single" w:sz="4" w:space="0" w:color="000000" w:themeColor="text1"/>
            </w:tcBorders>
          </w:tcPr>
          <w:p w14:paraId="650EDA25" w14:textId="6BB3B2A2" w:rsidR="006A0BAE" w:rsidRPr="003A41B3" w:rsidRDefault="006A0BAE" w:rsidP="00154091">
            <w:pPr>
              <w:widowControl w:val="0"/>
              <w:autoSpaceDE w:val="0"/>
              <w:autoSpaceDN w:val="0"/>
              <w:adjustRightInd w:val="0"/>
              <w:jc w:val="center"/>
              <w:rPr>
                <w:sz w:val="20"/>
                <w:szCs w:val="20"/>
              </w:rPr>
            </w:pPr>
          </w:p>
        </w:tc>
        <w:tc>
          <w:tcPr>
            <w:tcW w:w="2805" w:type="dxa"/>
            <w:tcBorders>
              <w:bottom w:val="single" w:sz="4" w:space="0" w:color="000000" w:themeColor="text1"/>
              <w:right w:val="nil"/>
            </w:tcBorders>
          </w:tcPr>
          <w:p w14:paraId="05D3AFB6" w14:textId="4AA9B5E3" w:rsidR="006A0BAE" w:rsidRPr="003A41B3" w:rsidRDefault="006A0BAE" w:rsidP="00154091">
            <w:pPr>
              <w:widowControl w:val="0"/>
              <w:autoSpaceDE w:val="0"/>
              <w:autoSpaceDN w:val="0"/>
              <w:adjustRightInd w:val="0"/>
              <w:jc w:val="center"/>
              <w:rPr>
                <w:sz w:val="20"/>
                <w:szCs w:val="20"/>
              </w:rPr>
            </w:pPr>
          </w:p>
        </w:tc>
      </w:tr>
    </w:tbl>
    <w:p w14:paraId="540954C3" w14:textId="77777777" w:rsidR="006A0BAE" w:rsidRPr="003A41B3" w:rsidRDefault="006A0BAE" w:rsidP="006A0BAE">
      <w:pPr>
        <w:jc w:val="both"/>
        <w:rPr>
          <w:i/>
          <w:sz w:val="10"/>
          <w:szCs w:val="10"/>
        </w:rPr>
      </w:pPr>
    </w:p>
    <w:p w14:paraId="0505921D" w14:textId="0A641331" w:rsidR="006A0BAE" w:rsidRPr="003A41B3" w:rsidRDefault="006A0BAE" w:rsidP="006A0BAE">
      <w:pPr>
        <w:jc w:val="both"/>
        <w:rPr>
          <w:sz w:val="22"/>
          <w:szCs w:val="22"/>
        </w:rPr>
      </w:pPr>
      <w:r w:rsidRPr="003A41B3">
        <w:rPr>
          <w:i/>
          <w:sz w:val="22"/>
          <w:szCs w:val="22"/>
        </w:rPr>
        <w:t>Note:</w:t>
      </w:r>
      <w:r w:rsidRPr="003A41B3">
        <w:rPr>
          <w:sz w:val="22"/>
          <w:szCs w:val="22"/>
        </w:rPr>
        <w:t xml:space="preserve"> This table presents the estimated coefficients and robust z-statistics in parentheses from specification of Eq. (2) using Ordinary Least Squares followed by the F-test which compares the statistical difference between ∆Rating coefficients for the two groups of countries (EU vs EU identifier) in the post-identifier sample period (May 2012-June 2016). The credit rating dataset consists of daily positive and negative sovereign events by Moody’s based on 58-CCR rating scale. </w:t>
      </w:r>
      <w:r w:rsidR="004C32A4" w:rsidRPr="003A41B3">
        <w:rPr>
          <w:sz w:val="22"/>
          <w:szCs w:val="22"/>
        </w:rPr>
        <w:t>EU (EE) sub-sample consists of sovereign rating events with EU (EE) identifiers</w:t>
      </w:r>
      <w:r w:rsidRPr="003A41B3">
        <w:rPr>
          <w:sz w:val="22"/>
          <w:szCs w:val="22"/>
        </w:rPr>
        <w:t xml:space="preserve">. For every event observation there is a randomly selected non-event observation. The dependent variable is </w:t>
      </w:r>
      <w:r w:rsidRPr="003A41B3">
        <w:rPr>
          <w:i/>
          <w:sz w:val="22"/>
          <w:szCs w:val="22"/>
        </w:rPr>
        <w:t>∆Yield</w:t>
      </w:r>
      <w:r w:rsidRPr="003A41B3">
        <w:rPr>
          <w:sz w:val="22"/>
          <w:szCs w:val="22"/>
        </w:rPr>
        <w:t xml:space="preserve"> 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command in STATA. Country fixed effects are included (“yes”). We estimate Eq. (2) separately for positive and negative events with absolute values for interpretation reasons. ***, **, * are significance levels at 1%, 5% and 10%.</w:t>
      </w:r>
    </w:p>
    <w:p w14:paraId="41C30AC6" w14:textId="48D5FA6A" w:rsidR="006A0BAE" w:rsidRPr="003A41B3" w:rsidRDefault="003613B9" w:rsidP="006A0BAE">
      <w:pPr>
        <w:jc w:val="both"/>
        <w:rPr>
          <w:sz w:val="22"/>
          <w:szCs w:val="22"/>
        </w:rPr>
      </w:pPr>
      <w:r w:rsidRPr="003A41B3">
        <w:rPr>
          <w:sz w:val="22"/>
          <w:szCs w:val="22"/>
        </w:rPr>
        <w:t>(</w:t>
      </w:r>
      <w:r w:rsidRPr="003A41B3">
        <w:rPr>
          <w:sz w:val="22"/>
          <w:szCs w:val="22"/>
          <w:vertAlign w:val="superscript"/>
        </w:rPr>
        <w:t>a</w:t>
      </w:r>
      <w:r w:rsidRPr="003A41B3">
        <w:rPr>
          <w:sz w:val="22"/>
          <w:szCs w:val="22"/>
        </w:rPr>
        <w:t xml:space="preserve">)There are only 7 negative events by Moody’s in the EU </w:t>
      </w:r>
      <w:r w:rsidR="003E6449" w:rsidRPr="003A41B3">
        <w:rPr>
          <w:sz w:val="22"/>
          <w:szCs w:val="22"/>
        </w:rPr>
        <w:t xml:space="preserve">post-identifier </w:t>
      </w:r>
      <w:r w:rsidRPr="003A41B3">
        <w:rPr>
          <w:sz w:val="22"/>
          <w:szCs w:val="22"/>
        </w:rPr>
        <w:t>sub-sample</w:t>
      </w:r>
      <w:r w:rsidR="003E6449" w:rsidRPr="003A41B3">
        <w:rPr>
          <w:sz w:val="22"/>
          <w:szCs w:val="22"/>
        </w:rPr>
        <w:t>.</w:t>
      </w:r>
      <w:r w:rsidRPr="003A41B3">
        <w:rPr>
          <w:sz w:val="22"/>
          <w:szCs w:val="22"/>
        </w:rPr>
        <w:t xml:space="preserve"> </w:t>
      </w:r>
      <w:r w:rsidR="003E6449" w:rsidRPr="003A41B3">
        <w:rPr>
          <w:sz w:val="22"/>
          <w:szCs w:val="22"/>
        </w:rPr>
        <w:t>T</w:t>
      </w:r>
      <w:r w:rsidRPr="003A41B3">
        <w:rPr>
          <w:sz w:val="22"/>
          <w:szCs w:val="22"/>
        </w:rPr>
        <w:t xml:space="preserve">he results in this case are not reliable and we have not reported the </w:t>
      </w:r>
      <w:bookmarkStart w:id="79" w:name="_Hlk5281365"/>
      <w:r w:rsidRPr="003A41B3">
        <w:rPr>
          <w:sz w:val="22"/>
          <w:szCs w:val="22"/>
        </w:rPr>
        <w:t>F-test.</w:t>
      </w:r>
      <w:bookmarkEnd w:id="79"/>
    </w:p>
    <w:tbl>
      <w:tblPr>
        <w:tblW w:w="0" w:type="auto"/>
        <w:tblInd w:w="78" w:type="dxa"/>
        <w:tblLayout w:type="fixed"/>
        <w:tblLook w:val="0000" w:firstRow="0" w:lastRow="0" w:firstColumn="0" w:lastColumn="0" w:noHBand="0" w:noVBand="0"/>
      </w:tblPr>
      <w:tblGrid>
        <w:gridCol w:w="2517"/>
        <w:gridCol w:w="2647"/>
        <w:gridCol w:w="2816"/>
        <w:gridCol w:w="2978"/>
        <w:gridCol w:w="2806"/>
        <w:gridCol w:w="9"/>
        <w:gridCol w:w="24"/>
      </w:tblGrid>
      <w:tr w:rsidR="006A0BAE" w:rsidRPr="003A41B3" w14:paraId="5D3C00A1" w14:textId="77777777" w:rsidTr="00154091">
        <w:trPr>
          <w:trHeight w:val="542"/>
        </w:trPr>
        <w:tc>
          <w:tcPr>
            <w:tcW w:w="13797" w:type="dxa"/>
            <w:gridSpan w:val="7"/>
            <w:tcBorders>
              <w:top w:val="nil"/>
              <w:left w:val="nil"/>
              <w:bottom w:val="single" w:sz="4" w:space="0" w:color="000000" w:themeColor="text1"/>
              <w:right w:val="nil"/>
            </w:tcBorders>
          </w:tcPr>
          <w:p w14:paraId="72811628" w14:textId="43FE4D7F" w:rsidR="006A0BAE" w:rsidRPr="003A41B3" w:rsidRDefault="006A0BAE" w:rsidP="003E6449">
            <w:pPr>
              <w:widowControl w:val="0"/>
              <w:autoSpaceDE w:val="0"/>
              <w:autoSpaceDN w:val="0"/>
              <w:adjustRightInd w:val="0"/>
              <w:rPr>
                <w:b/>
              </w:rPr>
            </w:pPr>
            <w:r w:rsidRPr="003A41B3">
              <w:rPr>
                <w:b/>
              </w:rPr>
              <w:lastRenderedPageBreak/>
              <w:t>Table 9. Statistical differences between rating change coefficients by analyst location</w:t>
            </w:r>
            <w:r w:rsidR="003E6449" w:rsidRPr="003A41B3">
              <w:rPr>
                <w:b/>
              </w:rPr>
              <w:t>,</w:t>
            </w:r>
            <w:r w:rsidR="00154091" w:rsidRPr="003A41B3">
              <w:rPr>
                <w:b/>
              </w:rPr>
              <w:t xml:space="preserve"> </w:t>
            </w:r>
            <w:r w:rsidR="00154091" w:rsidRPr="003A41B3">
              <w:rPr>
                <w:b/>
                <w:sz w:val="22"/>
                <w:szCs w:val="22"/>
              </w:rPr>
              <w:t>May 2012-June 2016</w:t>
            </w:r>
            <w:r w:rsidRPr="003A41B3">
              <w:rPr>
                <w:b/>
              </w:rPr>
              <w:t>: Fitch</w:t>
            </w:r>
            <w:r w:rsidRPr="003A41B3">
              <w:t xml:space="preserve"> </w:t>
            </w:r>
          </w:p>
        </w:tc>
      </w:tr>
      <w:tr w:rsidR="006A0BAE" w:rsidRPr="003A41B3" w14:paraId="3E86BFB5" w14:textId="77777777" w:rsidTr="00154091">
        <w:trPr>
          <w:trHeight w:val="296"/>
        </w:trPr>
        <w:tc>
          <w:tcPr>
            <w:tcW w:w="7980" w:type="dxa"/>
            <w:gridSpan w:val="3"/>
            <w:tcBorders>
              <w:top w:val="single" w:sz="4" w:space="0" w:color="000000" w:themeColor="text1"/>
              <w:left w:val="nil"/>
              <w:bottom w:val="single" w:sz="4" w:space="0" w:color="000000" w:themeColor="text1"/>
              <w:right w:val="single" w:sz="4" w:space="0" w:color="000000" w:themeColor="text1"/>
            </w:tcBorders>
          </w:tcPr>
          <w:p w14:paraId="61F10351"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 xml:space="preserve">                                                   Fitch positive events</w:t>
            </w:r>
          </w:p>
        </w:tc>
        <w:tc>
          <w:tcPr>
            <w:tcW w:w="5817" w:type="dxa"/>
            <w:gridSpan w:val="4"/>
            <w:tcBorders>
              <w:top w:val="single" w:sz="4" w:space="0" w:color="000000" w:themeColor="text1"/>
              <w:left w:val="single" w:sz="4" w:space="0" w:color="000000" w:themeColor="text1"/>
              <w:bottom w:val="single" w:sz="4" w:space="0" w:color="000000" w:themeColor="text1"/>
              <w:right w:val="nil"/>
            </w:tcBorders>
          </w:tcPr>
          <w:p w14:paraId="76192AAA" w14:textId="77777777" w:rsidR="006A0BAE" w:rsidRPr="003A41B3" w:rsidRDefault="006A0BAE" w:rsidP="00154091">
            <w:pPr>
              <w:widowControl w:val="0"/>
              <w:autoSpaceDE w:val="0"/>
              <w:autoSpaceDN w:val="0"/>
              <w:adjustRightInd w:val="0"/>
              <w:jc w:val="center"/>
              <w:rPr>
                <w:b/>
                <w:bCs/>
                <w:sz w:val="20"/>
                <w:szCs w:val="20"/>
              </w:rPr>
            </w:pPr>
            <w:r w:rsidRPr="003A41B3">
              <w:rPr>
                <w:b/>
                <w:bCs/>
                <w:sz w:val="20"/>
                <w:szCs w:val="20"/>
              </w:rPr>
              <w:t>Fitch negative events</w:t>
            </w:r>
          </w:p>
        </w:tc>
      </w:tr>
      <w:tr w:rsidR="006A0BAE" w:rsidRPr="003A41B3" w14:paraId="3A6A1D43" w14:textId="77777777" w:rsidTr="00154091">
        <w:trPr>
          <w:gridAfter w:val="1"/>
          <w:wAfter w:w="24" w:type="dxa"/>
          <w:trHeight w:val="710"/>
        </w:trPr>
        <w:tc>
          <w:tcPr>
            <w:tcW w:w="2517" w:type="dxa"/>
            <w:tcBorders>
              <w:left w:val="nil"/>
              <w:bottom w:val="single" w:sz="4" w:space="0" w:color="000000" w:themeColor="text1"/>
            </w:tcBorders>
          </w:tcPr>
          <w:p w14:paraId="527557A6" w14:textId="77777777" w:rsidR="006A0BAE" w:rsidRPr="003A41B3" w:rsidRDefault="006A0BAE" w:rsidP="00154091">
            <w:pPr>
              <w:widowControl w:val="0"/>
              <w:autoSpaceDE w:val="0"/>
              <w:autoSpaceDN w:val="0"/>
              <w:adjustRightInd w:val="0"/>
            </w:pPr>
            <w:r w:rsidRPr="003A41B3">
              <w:rPr>
                <w:sz w:val="20"/>
                <w:szCs w:val="20"/>
              </w:rPr>
              <w:t>VARIABLES</w:t>
            </w:r>
          </w:p>
        </w:tc>
        <w:tc>
          <w:tcPr>
            <w:tcW w:w="5463" w:type="dxa"/>
            <w:gridSpan w:val="2"/>
            <w:tcBorders>
              <w:bottom w:val="single" w:sz="4" w:space="0" w:color="000000" w:themeColor="text1"/>
              <w:right w:val="single" w:sz="4" w:space="0" w:color="000000" w:themeColor="text1"/>
            </w:tcBorders>
            <w:vAlign w:val="center"/>
          </w:tcPr>
          <w:p w14:paraId="7AB04D6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F-tests using Eq. (2)</w:t>
            </w:r>
          </w:p>
        </w:tc>
        <w:tc>
          <w:tcPr>
            <w:tcW w:w="5793" w:type="dxa"/>
            <w:gridSpan w:val="3"/>
            <w:tcBorders>
              <w:left w:val="single" w:sz="4" w:space="0" w:color="000000" w:themeColor="text1"/>
              <w:right w:val="nil"/>
            </w:tcBorders>
            <w:vAlign w:val="center"/>
          </w:tcPr>
          <w:p w14:paraId="58972B6F" w14:textId="77777777" w:rsidR="006A0BAE" w:rsidRPr="003A41B3" w:rsidRDefault="006A0BAE" w:rsidP="00154091">
            <w:pPr>
              <w:widowControl w:val="0"/>
              <w:autoSpaceDE w:val="0"/>
              <w:autoSpaceDN w:val="0"/>
              <w:adjustRightInd w:val="0"/>
              <w:jc w:val="center"/>
              <w:rPr>
                <w:b/>
                <w:sz w:val="20"/>
                <w:szCs w:val="20"/>
              </w:rPr>
            </w:pPr>
            <w:r w:rsidRPr="003A41B3">
              <w:rPr>
                <w:sz w:val="20"/>
                <w:szCs w:val="20"/>
              </w:rPr>
              <w:t>F-tests using Eq. (2)</w:t>
            </w:r>
          </w:p>
        </w:tc>
      </w:tr>
      <w:tr w:rsidR="006A0BAE" w:rsidRPr="003A41B3" w14:paraId="2158D3AD" w14:textId="77777777" w:rsidTr="00154091">
        <w:trPr>
          <w:gridAfter w:val="2"/>
          <w:wAfter w:w="33" w:type="dxa"/>
          <w:trHeight w:val="442"/>
        </w:trPr>
        <w:tc>
          <w:tcPr>
            <w:tcW w:w="2517" w:type="dxa"/>
            <w:tcBorders>
              <w:top w:val="single" w:sz="4" w:space="0" w:color="000000" w:themeColor="text1"/>
              <w:left w:val="nil"/>
            </w:tcBorders>
          </w:tcPr>
          <w:p w14:paraId="13F16850" w14:textId="77777777" w:rsidR="006A0BAE" w:rsidRPr="003A41B3" w:rsidRDefault="006A0BAE" w:rsidP="00154091">
            <w:pPr>
              <w:widowControl w:val="0"/>
              <w:autoSpaceDE w:val="0"/>
              <w:autoSpaceDN w:val="0"/>
              <w:adjustRightInd w:val="0"/>
              <w:rPr>
                <w:sz w:val="20"/>
                <w:szCs w:val="20"/>
              </w:rPr>
            </w:pPr>
          </w:p>
        </w:tc>
        <w:tc>
          <w:tcPr>
            <w:tcW w:w="2647" w:type="dxa"/>
            <w:tcBorders>
              <w:top w:val="single" w:sz="4" w:space="0" w:color="000000" w:themeColor="text1"/>
            </w:tcBorders>
          </w:tcPr>
          <w:p w14:paraId="2F3B77C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16" w:type="dxa"/>
            <w:tcBorders>
              <w:top w:val="single" w:sz="4" w:space="0" w:color="000000" w:themeColor="text1"/>
              <w:right w:val="single" w:sz="4" w:space="0" w:color="000000" w:themeColor="text1"/>
            </w:tcBorders>
          </w:tcPr>
          <w:p w14:paraId="176F591A"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EU sub-sample</w:t>
            </w:r>
          </w:p>
        </w:tc>
        <w:tc>
          <w:tcPr>
            <w:tcW w:w="2978" w:type="dxa"/>
            <w:tcBorders>
              <w:top w:val="single" w:sz="4" w:space="0" w:color="000000"/>
              <w:left w:val="single" w:sz="4" w:space="0" w:color="000000" w:themeColor="text1"/>
            </w:tcBorders>
          </w:tcPr>
          <w:p w14:paraId="25B9F05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EE sub-sample</w:t>
            </w:r>
          </w:p>
        </w:tc>
        <w:tc>
          <w:tcPr>
            <w:tcW w:w="2806" w:type="dxa"/>
            <w:tcBorders>
              <w:top w:val="single" w:sz="4" w:space="0" w:color="000000"/>
              <w:right w:val="nil"/>
            </w:tcBorders>
          </w:tcPr>
          <w:p w14:paraId="6945444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EU sub-sample</w:t>
            </w:r>
          </w:p>
        </w:tc>
      </w:tr>
      <w:tr w:rsidR="006A0BAE" w:rsidRPr="003A41B3" w14:paraId="5F613F60" w14:textId="77777777" w:rsidTr="00154091">
        <w:trPr>
          <w:gridAfter w:val="2"/>
          <w:wAfter w:w="33" w:type="dxa"/>
          <w:trHeight w:val="279"/>
        </w:trPr>
        <w:tc>
          <w:tcPr>
            <w:tcW w:w="2517" w:type="dxa"/>
            <w:tcBorders>
              <w:left w:val="nil"/>
              <w:bottom w:val="nil"/>
            </w:tcBorders>
          </w:tcPr>
          <w:p w14:paraId="67BD47B2" w14:textId="77777777" w:rsidR="006A0BAE" w:rsidRPr="003A41B3" w:rsidRDefault="006A0BAE" w:rsidP="00154091">
            <w:pPr>
              <w:widowControl w:val="0"/>
              <w:autoSpaceDE w:val="0"/>
              <w:autoSpaceDN w:val="0"/>
              <w:adjustRightInd w:val="0"/>
              <w:rPr>
                <w:sz w:val="20"/>
                <w:szCs w:val="20"/>
              </w:rPr>
            </w:pPr>
            <w:r w:rsidRPr="003A41B3">
              <w:rPr>
                <w:sz w:val="20"/>
                <w:szCs w:val="20"/>
              </w:rPr>
              <w:t>∆Rating</w:t>
            </w:r>
          </w:p>
        </w:tc>
        <w:tc>
          <w:tcPr>
            <w:tcW w:w="2647" w:type="dxa"/>
            <w:tcBorders>
              <w:top w:val="nil"/>
              <w:left w:val="nil"/>
              <w:bottom w:val="nil"/>
              <w:right w:val="nil"/>
            </w:tcBorders>
          </w:tcPr>
          <w:p w14:paraId="63746C2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4.002***</w:t>
            </w:r>
          </w:p>
        </w:tc>
        <w:tc>
          <w:tcPr>
            <w:tcW w:w="2816" w:type="dxa"/>
            <w:tcBorders>
              <w:top w:val="nil"/>
              <w:left w:val="nil"/>
              <w:bottom w:val="nil"/>
              <w:right w:val="single" w:sz="6" w:space="0" w:color="auto"/>
            </w:tcBorders>
          </w:tcPr>
          <w:p w14:paraId="0466E58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-1.075*</w:t>
            </w:r>
          </w:p>
        </w:tc>
        <w:tc>
          <w:tcPr>
            <w:tcW w:w="2978" w:type="dxa"/>
            <w:tcBorders>
              <w:left w:val="single" w:sz="4" w:space="0" w:color="000000" w:themeColor="text1"/>
              <w:bottom w:val="nil"/>
            </w:tcBorders>
          </w:tcPr>
          <w:p w14:paraId="7A7F093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6.092***</w:t>
            </w:r>
          </w:p>
        </w:tc>
        <w:tc>
          <w:tcPr>
            <w:tcW w:w="2806" w:type="dxa"/>
            <w:tcBorders>
              <w:bottom w:val="nil"/>
              <w:right w:val="nil"/>
            </w:tcBorders>
          </w:tcPr>
          <w:p w14:paraId="7692234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2.114*</w:t>
            </w:r>
          </w:p>
        </w:tc>
      </w:tr>
      <w:tr w:rsidR="006A0BAE" w:rsidRPr="003A41B3" w14:paraId="781C34E9" w14:textId="77777777" w:rsidTr="00154091">
        <w:trPr>
          <w:gridAfter w:val="2"/>
          <w:wAfter w:w="33" w:type="dxa"/>
          <w:trHeight w:val="279"/>
        </w:trPr>
        <w:tc>
          <w:tcPr>
            <w:tcW w:w="2517" w:type="dxa"/>
            <w:tcBorders>
              <w:top w:val="nil"/>
              <w:left w:val="nil"/>
              <w:bottom w:val="nil"/>
            </w:tcBorders>
          </w:tcPr>
          <w:p w14:paraId="30C93033"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314AE4B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(3.12)</w:t>
            </w:r>
          </w:p>
        </w:tc>
        <w:tc>
          <w:tcPr>
            <w:tcW w:w="2816" w:type="dxa"/>
            <w:tcBorders>
              <w:top w:val="nil"/>
              <w:left w:val="nil"/>
              <w:bottom w:val="nil"/>
              <w:right w:val="single" w:sz="6" w:space="0" w:color="auto"/>
            </w:tcBorders>
          </w:tcPr>
          <w:p w14:paraId="21348E8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(-1.83)</w:t>
            </w:r>
          </w:p>
        </w:tc>
        <w:tc>
          <w:tcPr>
            <w:tcW w:w="2978" w:type="dxa"/>
            <w:tcBorders>
              <w:top w:val="nil"/>
              <w:left w:val="single" w:sz="4" w:space="0" w:color="000000" w:themeColor="text1"/>
              <w:bottom w:val="nil"/>
            </w:tcBorders>
          </w:tcPr>
          <w:p w14:paraId="784BBEC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(2.70)</w:t>
            </w:r>
          </w:p>
        </w:tc>
        <w:tc>
          <w:tcPr>
            <w:tcW w:w="2806" w:type="dxa"/>
            <w:tcBorders>
              <w:top w:val="nil"/>
              <w:bottom w:val="nil"/>
              <w:right w:val="nil"/>
            </w:tcBorders>
          </w:tcPr>
          <w:p w14:paraId="0CE2E948"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(1.72)</w:t>
            </w:r>
          </w:p>
        </w:tc>
      </w:tr>
      <w:tr w:rsidR="006A0BAE" w:rsidRPr="003A41B3" w14:paraId="393AEE70" w14:textId="77777777" w:rsidTr="00154091">
        <w:trPr>
          <w:gridAfter w:val="2"/>
          <w:wAfter w:w="33" w:type="dxa"/>
          <w:trHeight w:val="317"/>
        </w:trPr>
        <w:tc>
          <w:tcPr>
            <w:tcW w:w="2517" w:type="dxa"/>
            <w:tcBorders>
              <w:top w:val="nil"/>
              <w:left w:val="nil"/>
              <w:bottom w:val="nil"/>
            </w:tcBorders>
          </w:tcPr>
          <w:p w14:paraId="6D26D2F7" w14:textId="77777777" w:rsidR="006A0BAE" w:rsidRPr="003A41B3" w:rsidRDefault="006A0BAE" w:rsidP="00154091">
            <w:pPr>
              <w:widowControl w:val="0"/>
              <w:autoSpaceDE w:val="0"/>
              <w:autoSpaceDN w:val="0"/>
              <w:adjustRightInd w:val="0"/>
              <w:rPr>
                <w:sz w:val="20"/>
                <w:szCs w:val="20"/>
              </w:rPr>
            </w:pPr>
            <w:r w:rsidRPr="003A41B3">
              <w:rPr>
                <w:sz w:val="20"/>
                <w:szCs w:val="20"/>
              </w:rPr>
              <w:t>Rating58</w:t>
            </w:r>
          </w:p>
        </w:tc>
        <w:tc>
          <w:tcPr>
            <w:tcW w:w="2647" w:type="dxa"/>
            <w:tcBorders>
              <w:top w:val="nil"/>
              <w:left w:val="nil"/>
              <w:bottom w:val="nil"/>
              <w:right w:val="nil"/>
            </w:tcBorders>
          </w:tcPr>
          <w:p w14:paraId="0578458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-2.099***</w:t>
            </w:r>
          </w:p>
        </w:tc>
        <w:tc>
          <w:tcPr>
            <w:tcW w:w="2816" w:type="dxa"/>
            <w:tcBorders>
              <w:top w:val="nil"/>
              <w:left w:val="nil"/>
              <w:bottom w:val="nil"/>
              <w:right w:val="single" w:sz="6" w:space="0" w:color="auto"/>
            </w:tcBorders>
          </w:tcPr>
          <w:p w14:paraId="7210AA0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0.271*</w:t>
            </w:r>
          </w:p>
        </w:tc>
        <w:tc>
          <w:tcPr>
            <w:tcW w:w="2978" w:type="dxa"/>
            <w:tcBorders>
              <w:top w:val="nil"/>
              <w:left w:val="single" w:sz="4" w:space="0" w:color="000000" w:themeColor="text1"/>
              <w:bottom w:val="nil"/>
            </w:tcBorders>
          </w:tcPr>
          <w:p w14:paraId="0458BCA6"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-0.853</w:t>
            </w:r>
          </w:p>
        </w:tc>
        <w:tc>
          <w:tcPr>
            <w:tcW w:w="2806" w:type="dxa"/>
            <w:tcBorders>
              <w:top w:val="nil"/>
              <w:bottom w:val="nil"/>
              <w:right w:val="nil"/>
            </w:tcBorders>
          </w:tcPr>
          <w:p w14:paraId="5B49CC9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-0.077</w:t>
            </w:r>
          </w:p>
        </w:tc>
      </w:tr>
      <w:tr w:rsidR="006A0BAE" w:rsidRPr="003A41B3" w14:paraId="7F61547E" w14:textId="77777777" w:rsidTr="00154091">
        <w:trPr>
          <w:gridAfter w:val="2"/>
          <w:wAfter w:w="33" w:type="dxa"/>
          <w:trHeight w:val="279"/>
        </w:trPr>
        <w:tc>
          <w:tcPr>
            <w:tcW w:w="2517" w:type="dxa"/>
            <w:tcBorders>
              <w:top w:val="nil"/>
              <w:left w:val="nil"/>
              <w:bottom w:val="nil"/>
            </w:tcBorders>
          </w:tcPr>
          <w:p w14:paraId="24DA04E6"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5AFAA69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(-3.41)</w:t>
            </w:r>
          </w:p>
        </w:tc>
        <w:tc>
          <w:tcPr>
            <w:tcW w:w="2816" w:type="dxa"/>
            <w:tcBorders>
              <w:top w:val="nil"/>
              <w:left w:val="nil"/>
              <w:bottom w:val="nil"/>
              <w:right w:val="single" w:sz="6" w:space="0" w:color="auto"/>
            </w:tcBorders>
          </w:tcPr>
          <w:p w14:paraId="5CD61A8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(1.71)</w:t>
            </w:r>
          </w:p>
        </w:tc>
        <w:tc>
          <w:tcPr>
            <w:tcW w:w="2978" w:type="dxa"/>
            <w:tcBorders>
              <w:top w:val="nil"/>
              <w:left w:val="single" w:sz="4" w:space="0" w:color="000000" w:themeColor="text1"/>
              <w:bottom w:val="nil"/>
            </w:tcBorders>
          </w:tcPr>
          <w:p w14:paraId="1CC4191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(-0.96)</w:t>
            </w:r>
          </w:p>
        </w:tc>
        <w:tc>
          <w:tcPr>
            <w:tcW w:w="2806" w:type="dxa"/>
            <w:tcBorders>
              <w:top w:val="nil"/>
              <w:bottom w:val="nil"/>
              <w:right w:val="nil"/>
            </w:tcBorders>
          </w:tcPr>
          <w:p w14:paraId="2A043B3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(-0.76)</w:t>
            </w:r>
          </w:p>
        </w:tc>
      </w:tr>
      <w:tr w:rsidR="006A0BAE" w:rsidRPr="003A41B3" w14:paraId="3506121C" w14:textId="77777777" w:rsidTr="00154091">
        <w:trPr>
          <w:gridAfter w:val="2"/>
          <w:wAfter w:w="33" w:type="dxa"/>
          <w:trHeight w:val="279"/>
        </w:trPr>
        <w:tc>
          <w:tcPr>
            <w:tcW w:w="2517" w:type="dxa"/>
            <w:tcBorders>
              <w:top w:val="nil"/>
              <w:left w:val="nil"/>
              <w:bottom w:val="nil"/>
            </w:tcBorders>
          </w:tcPr>
          <w:p w14:paraId="53F374F6" w14:textId="77777777" w:rsidR="006A0BAE" w:rsidRPr="003A41B3" w:rsidRDefault="006A0BAE" w:rsidP="00154091">
            <w:pPr>
              <w:widowControl w:val="0"/>
              <w:autoSpaceDE w:val="0"/>
              <w:autoSpaceDN w:val="0"/>
              <w:adjustRightInd w:val="0"/>
              <w:rPr>
                <w:sz w:val="20"/>
                <w:szCs w:val="20"/>
              </w:rPr>
            </w:pPr>
            <w:r w:rsidRPr="003A41B3">
              <w:rPr>
                <w:sz w:val="20"/>
                <w:szCs w:val="20"/>
              </w:rPr>
              <w:t>Maturity</w:t>
            </w:r>
          </w:p>
        </w:tc>
        <w:tc>
          <w:tcPr>
            <w:tcW w:w="2647" w:type="dxa"/>
            <w:tcBorders>
              <w:top w:val="nil"/>
              <w:left w:val="nil"/>
              <w:bottom w:val="nil"/>
              <w:right w:val="nil"/>
            </w:tcBorders>
          </w:tcPr>
          <w:p w14:paraId="3DDADFB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-0.615</w:t>
            </w:r>
          </w:p>
        </w:tc>
        <w:tc>
          <w:tcPr>
            <w:tcW w:w="2816" w:type="dxa"/>
            <w:tcBorders>
              <w:top w:val="nil"/>
              <w:left w:val="nil"/>
              <w:bottom w:val="nil"/>
              <w:right w:val="single" w:sz="6" w:space="0" w:color="auto"/>
            </w:tcBorders>
          </w:tcPr>
          <w:p w14:paraId="10C4CA2B"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-5.948***</w:t>
            </w:r>
          </w:p>
        </w:tc>
        <w:tc>
          <w:tcPr>
            <w:tcW w:w="2978" w:type="dxa"/>
            <w:tcBorders>
              <w:top w:val="nil"/>
              <w:left w:val="single" w:sz="4" w:space="0" w:color="000000" w:themeColor="text1"/>
              <w:bottom w:val="nil"/>
            </w:tcBorders>
          </w:tcPr>
          <w:p w14:paraId="688C9BE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-3.919</w:t>
            </w:r>
          </w:p>
        </w:tc>
        <w:tc>
          <w:tcPr>
            <w:tcW w:w="2806" w:type="dxa"/>
            <w:tcBorders>
              <w:top w:val="nil"/>
              <w:bottom w:val="nil"/>
              <w:right w:val="nil"/>
            </w:tcBorders>
          </w:tcPr>
          <w:p w14:paraId="7546B7CC"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-0.569</w:t>
            </w:r>
          </w:p>
        </w:tc>
      </w:tr>
      <w:tr w:rsidR="006A0BAE" w:rsidRPr="003A41B3" w14:paraId="6AA80BBD" w14:textId="77777777" w:rsidTr="00154091">
        <w:trPr>
          <w:gridAfter w:val="2"/>
          <w:wAfter w:w="33" w:type="dxa"/>
          <w:trHeight w:val="279"/>
        </w:trPr>
        <w:tc>
          <w:tcPr>
            <w:tcW w:w="2517" w:type="dxa"/>
            <w:tcBorders>
              <w:top w:val="nil"/>
              <w:left w:val="nil"/>
            </w:tcBorders>
          </w:tcPr>
          <w:p w14:paraId="44F17F88"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nil"/>
              <w:right w:val="nil"/>
            </w:tcBorders>
          </w:tcPr>
          <w:p w14:paraId="7FB6698E"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(-0.24)</w:t>
            </w:r>
          </w:p>
        </w:tc>
        <w:tc>
          <w:tcPr>
            <w:tcW w:w="2816" w:type="dxa"/>
            <w:tcBorders>
              <w:top w:val="nil"/>
              <w:left w:val="nil"/>
              <w:bottom w:val="nil"/>
              <w:right w:val="single" w:sz="6" w:space="0" w:color="auto"/>
            </w:tcBorders>
          </w:tcPr>
          <w:p w14:paraId="13FC750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(-4.07)</w:t>
            </w:r>
          </w:p>
        </w:tc>
        <w:tc>
          <w:tcPr>
            <w:tcW w:w="2978" w:type="dxa"/>
            <w:tcBorders>
              <w:top w:val="nil"/>
              <w:left w:val="single" w:sz="4" w:space="0" w:color="000000" w:themeColor="text1"/>
            </w:tcBorders>
          </w:tcPr>
          <w:p w14:paraId="572284E7"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(-0.58)</w:t>
            </w:r>
          </w:p>
        </w:tc>
        <w:tc>
          <w:tcPr>
            <w:tcW w:w="2806" w:type="dxa"/>
            <w:tcBorders>
              <w:top w:val="nil"/>
              <w:right w:val="nil"/>
            </w:tcBorders>
          </w:tcPr>
          <w:p w14:paraId="62517951"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(-0.39)</w:t>
            </w:r>
          </w:p>
        </w:tc>
      </w:tr>
      <w:tr w:rsidR="006A0BAE" w:rsidRPr="003A41B3" w14:paraId="0FF42568" w14:textId="77777777" w:rsidTr="00154091">
        <w:trPr>
          <w:gridAfter w:val="2"/>
          <w:wAfter w:w="33" w:type="dxa"/>
          <w:trHeight w:val="279"/>
        </w:trPr>
        <w:tc>
          <w:tcPr>
            <w:tcW w:w="2517" w:type="dxa"/>
            <w:tcBorders>
              <w:top w:val="nil"/>
              <w:left w:val="nil"/>
              <w:bottom w:val="single" w:sz="4" w:space="0" w:color="000000" w:themeColor="text1"/>
            </w:tcBorders>
          </w:tcPr>
          <w:p w14:paraId="4BD74067" w14:textId="77777777" w:rsidR="006A0BAE" w:rsidRPr="003A41B3" w:rsidRDefault="006A0BAE" w:rsidP="00154091">
            <w:pPr>
              <w:widowControl w:val="0"/>
              <w:autoSpaceDE w:val="0"/>
              <w:autoSpaceDN w:val="0"/>
              <w:adjustRightInd w:val="0"/>
              <w:rPr>
                <w:sz w:val="20"/>
                <w:szCs w:val="20"/>
              </w:rPr>
            </w:pPr>
          </w:p>
        </w:tc>
        <w:tc>
          <w:tcPr>
            <w:tcW w:w="2647" w:type="dxa"/>
            <w:tcBorders>
              <w:top w:val="nil"/>
              <w:left w:val="nil"/>
              <w:bottom w:val="single" w:sz="4" w:space="0" w:color="000000" w:themeColor="text1"/>
              <w:right w:val="nil"/>
            </w:tcBorders>
          </w:tcPr>
          <w:p w14:paraId="1BCE9B18" w14:textId="77777777" w:rsidR="006A0BAE" w:rsidRPr="003A41B3" w:rsidRDefault="006A0BAE" w:rsidP="00154091">
            <w:pPr>
              <w:widowControl w:val="0"/>
              <w:autoSpaceDE w:val="0"/>
              <w:autoSpaceDN w:val="0"/>
              <w:adjustRightInd w:val="0"/>
              <w:jc w:val="center"/>
              <w:rPr>
                <w:sz w:val="20"/>
                <w:szCs w:val="20"/>
              </w:rPr>
            </w:pPr>
          </w:p>
        </w:tc>
        <w:tc>
          <w:tcPr>
            <w:tcW w:w="2816" w:type="dxa"/>
            <w:tcBorders>
              <w:top w:val="nil"/>
              <w:left w:val="nil"/>
              <w:bottom w:val="single" w:sz="4" w:space="0" w:color="000000" w:themeColor="text1"/>
              <w:right w:val="single" w:sz="6" w:space="0" w:color="auto"/>
            </w:tcBorders>
          </w:tcPr>
          <w:p w14:paraId="60209BDE" w14:textId="77777777" w:rsidR="006A0BAE" w:rsidRPr="003A41B3" w:rsidRDefault="006A0BAE" w:rsidP="00154091">
            <w:pPr>
              <w:widowControl w:val="0"/>
              <w:autoSpaceDE w:val="0"/>
              <w:autoSpaceDN w:val="0"/>
              <w:adjustRightInd w:val="0"/>
              <w:jc w:val="center"/>
              <w:rPr>
                <w:sz w:val="20"/>
                <w:szCs w:val="20"/>
              </w:rPr>
            </w:pPr>
          </w:p>
        </w:tc>
        <w:tc>
          <w:tcPr>
            <w:tcW w:w="2978" w:type="dxa"/>
            <w:tcBorders>
              <w:top w:val="nil"/>
              <w:left w:val="single" w:sz="4" w:space="0" w:color="000000" w:themeColor="text1"/>
              <w:bottom w:val="single" w:sz="4" w:space="0" w:color="000000" w:themeColor="text1"/>
            </w:tcBorders>
          </w:tcPr>
          <w:p w14:paraId="5E087DAC" w14:textId="77777777" w:rsidR="006A0BAE" w:rsidRPr="003A41B3" w:rsidRDefault="006A0BAE" w:rsidP="00154091">
            <w:pPr>
              <w:widowControl w:val="0"/>
              <w:autoSpaceDE w:val="0"/>
              <w:autoSpaceDN w:val="0"/>
              <w:adjustRightInd w:val="0"/>
              <w:jc w:val="center"/>
              <w:rPr>
                <w:sz w:val="20"/>
                <w:szCs w:val="20"/>
              </w:rPr>
            </w:pPr>
          </w:p>
        </w:tc>
        <w:tc>
          <w:tcPr>
            <w:tcW w:w="2806" w:type="dxa"/>
            <w:tcBorders>
              <w:top w:val="nil"/>
              <w:bottom w:val="single" w:sz="4" w:space="0" w:color="000000" w:themeColor="text1"/>
              <w:right w:val="nil"/>
            </w:tcBorders>
          </w:tcPr>
          <w:p w14:paraId="06CA0A27" w14:textId="77777777" w:rsidR="006A0BAE" w:rsidRPr="003A41B3" w:rsidRDefault="006A0BAE" w:rsidP="00154091">
            <w:pPr>
              <w:widowControl w:val="0"/>
              <w:autoSpaceDE w:val="0"/>
              <w:autoSpaceDN w:val="0"/>
              <w:adjustRightInd w:val="0"/>
              <w:jc w:val="center"/>
              <w:rPr>
                <w:sz w:val="20"/>
                <w:szCs w:val="20"/>
              </w:rPr>
            </w:pPr>
          </w:p>
        </w:tc>
      </w:tr>
      <w:tr w:rsidR="006A0BAE" w:rsidRPr="003A41B3" w14:paraId="6F8FFC5E" w14:textId="77777777" w:rsidTr="00154091">
        <w:trPr>
          <w:gridAfter w:val="2"/>
          <w:wAfter w:w="33" w:type="dxa"/>
          <w:trHeight w:val="279"/>
        </w:trPr>
        <w:tc>
          <w:tcPr>
            <w:tcW w:w="2517" w:type="dxa"/>
            <w:tcBorders>
              <w:top w:val="single" w:sz="4" w:space="0" w:color="000000" w:themeColor="text1"/>
              <w:left w:val="nil"/>
              <w:bottom w:val="nil"/>
              <w:right w:val="single" w:sz="4" w:space="0" w:color="FFFFFF" w:themeColor="background1"/>
            </w:tcBorders>
          </w:tcPr>
          <w:p w14:paraId="244BB2D7" w14:textId="77777777" w:rsidR="006A0BAE" w:rsidRPr="003A41B3" w:rsidRDefault="006A0BAE" w:rsidP="00154091">
            <w:pPr>
              <w:widowControl w:val="0"/>
              <w:autoSpaceDE w:val="0"/>
              <w:autoSpaceDN w:val="0"/>
              <w:adjustRightInd w:val="0"/>
              <w:rPr>
                <w:sz w:val="20"/>
                <w:szCs w:val="20"/>
              </w:rPr>
            </w:pPr>
            <w:r w:rsidRPr="003A41B3">
              <w:rPr>
                <w:sz w:val="20"/>
                <w:szCs w:val="20"/>
              </w:rPr>
              <w:t>Observations</w:t>
            </w:r>
          </w:p>
        </w:tc>
        <w:tc>
          <w:tcPr>
            <w:tcW w:w="2647" w:type="dxa"/>
            <w:tcBorders>
              <w:top w:val="single" w:sz="4" w:space="0" w:color="000000" w:themeColor="text1"/>
              <w:left w:val="single" w:sz="4" w:space="0" w:color="FFFFFF" w:themeColor="background1"/>
              <w:bottom w:val="nil"/>
              <w:right w:val="nil"/>
            </w:tcBorders>
          </w:tcPr>
          <w:p w14:paraId="0718B47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42</w:t>
            </w:r>
          </w:p>
        </w:tc>
        <w:tc>
          <w:tcPr>
            <w:tcW w:w="2816" w:type="dxa"/>
            <w:tcBorders>
              <w:top w:val="single" w:sz="4" w:space="0" w:color="000000" w:themeColor="text1"/>
              <w:left w:val="nil"/>
              <w:bottom w:val="nil"/>
              <w:right w:val="single" w:sz="6" w:space="0" w:color="auto"/>
            </w:tcBorders>
          </w:tcPr>
          <w:p w14:paraId="59CF918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62</w:t>
            </w:r>
          </w:p>
        </w:tc>
        <w:tc>
          <w:tcPr>
            <w:tcW w:w="2978" w:type="dxa"/>
            <w:tcBorders>
              <w:top w:val="single" w:sz="4" w:space="0" w:color="000000" w:themeColor="text1"/>
              <w:left w:val="single" w:sz="4" w:space="0" w:color="000000" w:themeColor="text1"/>
              <w:bottom w:val="nil"/>
            </w:tcBorders>
          </w:tcPr>
          <w:p w14:paraId="0B0E6AD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52</w:t>
            </w:r>
          </w:p>
        </w:tc>
        <w:tc>
          <w:tcPr>
            <w:tcW w:w="2806" w:type="dxa"/>
            <w:tcBorders>
              <w:top w:val="single" w:sz="4" w:space="0" w:color="000000" w:themeColor="text1"/>
              <w:bottom w:val="nil"/>
              <w:right w:val="nil"/>
            </w:tcBorders>
          </w:tcPr>
          <w:p w14:paraId="4324A30D"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74</w:t>
            </w:r>
          </w:p>
        </w:tc>
      </w:tr>
      <w:tr w:rsidR="006A0BAE" w:rsidRPr="003A41B3" w14:paraId="5182FDA7" w14:textId="77777777" w:rsidTr="00154091">
        <w:trPr>
          <w:gridAfter w:val="2"/>
          <w:wAfter w:w="33" w:type="dxa"/>
          <w:trHeight w:val="279"/>
        </w:trPr>
        <w:tc>
          <w:tcPr>
            <w:tcW w:w="2517" w:type="dxa"/>
            <w:tcBorders>
              <w:top w:val="nil"/>
              <w:left w:val="nil"/>
              <w:bottom w:val="nil"/>
              <w:right w:val="single" w:sz="4" w:space="0" w:color="FFFFFF" w:themeColor="background1"/>
            </w:tcBorders>
          </w:tcPr>
          <w:p w14:paraId="01D18967" w14:textId="77777777" w:rsidR="006A0BAE" w:rsidRPr="003A41B3" w:rsidRDefault="006A0BAE" w:rsidP="00154091">
            <w:pPr>
              <w:widowControl w:val="0"/>
              <w:autoSpaceDE w:val="0"/>
              <w:autoSpaceDN w:val="0"/>
              <w:adjustRightInd w:val="0"/>
              <w:rPr>
                <w:sz w:val="20"/>
                <w:szCs w:val="20"/>
              </w:rPr>
            </w:pPr>
            <w:r w:rsidRPr="003A41B3">
              <w:rPr>
                <w:sz w:val="20"/>
                <w:szCs w:val="20"/>
              </w:rPr>
              <w:t>R-squared</w:t>
            </w:r>
          </w:p>
        </w:tc>
        <w:tc>
          <w:tcPr>
            <w:tcW w:w="2647" w:type="dxa"/>
            <w:tcBorders>
              <w:top w:val="nil"/>
              <w:left w:val="single" w:sz="4" w:space="0" w:color="FFFFFF" w:themeColor="background1"/>
              <w:bottom w:val="nil"/>
              <w:right w:val="nil"/>
            </w:tcBorders>
          </w:tcPr>
          <w:p w14:paraId="5E90F395"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0.555</w:t>
            </w:r>
          </w:p>
        </w:tc>
        <w:tc>
          <w:tcPr>
            <w:tcW w:w="2816" w:type="dxa"/>
            <w:tcBorders>
              <w:top w:val="nil"/>
              <w:left w:val="nil"/>
              <w:bottom w:val="nil"/>
              <w:right w:val="single" w:sz="6" w:space="0" w:color="auto"/>
            </w:tcBorders>
          </w:tcPr>
          <w:p w14:paraId="79DD79B0"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0.589</w:t>
            </w:r>
          </w:p>
        </w:tc>
        <w:tc>
          <w:tcPr>
            <w:tcW w:w="2978" w:type="dxa"/>
            <w:tcBorders>
              <w:top w:val="nil"/>
              <w:left w:val="single" w:sz="4" w:space="0" w:color="000000" w:themeColor="text1"/>
              <w:bottom w:val="nil"/>
            </w:tcBorders>
          </w:tcPr>
          <w:p w14:paraId="40924E9F" w14:textId="77777777" w:rsidR="006A0BAE" w:rsidRPr="003A41B3" w:rsidRDefault="006A0BAE" w:rsidP="00154091">
            <w:pPr>
              <w:widowControl w:val="0"/>
              <w:autoSpaceDE w:val="0"/>
              <w:autoSpaceDN w:val="0"/>
              <w:adjustRightInd w:val="0"/>
              <w:jc w:val="center"/>
              <w:rPr>
                <w:sz w:val="20"/>
              </w:rPr>
            </w:pPr>
            <w:r w:rsidRPr="003A41B3">
              <w:rPr>
                <w:sz w:val="20"/>
              </w:rPr>
              <w:t>0.349</w:t>
            </w:r>
          </w:p>
        </w:tc>
        <w:tc>
          <w:tcPr>
            <w:tcW w:w="2806" w:type="dxa"/>
            <w:tcBorders>
              <w:top w:val="nil"/>
              <w:bottom w:val="nil"/>
              <w:right w:val="nil"/>
            </w:tcBorders>
          </w:tcPr>
          <w:p w14:paraId="47DF0300" w14:textId="77777777" w:rsidR="006A0BAE" w:rsidRPr="003A41B3" w:rsidRDefault="006A0BAE" w:rsidP="00154091">
            <w:pPr>
              <w:widowControl w:val="0"/>
              <w:autoSpaceDE w:val="0"/>
              <w:autoSpaceDN w:val="0"/>
              <w:adjustRightInd w:val="0"/>
              <w:jc w:val="center"/>
              <w:rPr>
                <w:sz w:val="20"/>
              </w:rPr>
            </w:pPr>
            <w:r w:rsidRPr="003A41B3">
              <w:rPr>
                <w:sz w:val="20"/>
              </w:rPr>
              <w:t>0.128</w:t>
            </w:r>
          </w:p>
        </w:tc>
      </w:tr>
      <w:tr w:rsidR="006A0BAE" w:rsidRPr="003A41B3" w14:paraId="2FDAAEA8" w14:textId="77777777" w:rsidTr="00154091">
        <w:trPr>
          <w:gridAfter w:val="1"/>
          <w:wAfter w:w="24" w:type="dxa"/>
          <w:trHeight w:val="388"/>
        </w:trPr>
        <w:tc>
          <w:tcPr>
            <w:tcW w:w="2517" w:type="dxa"/>
            <w:tcBorders>
              <w:top w:val="nil"/>
              <w:left w:val="nil"/>
              <w:bottom w:val="single" w:sz="4" w:space="0" w:color="000000"/>
              <w:right w:val="nil"/>
            </w:tcBorders>
            <w:vAlign w:val="center"/>
          </w:tcPr>
          <w:p w14:paraId="2949C3AA" w14:textId="77777777" w:rsidR="006A0BAE" w:rsidRPr="003A41B3" w:rsidRDefault="006A0BAE" w:rsidP="00154091">
            <w:pPr>
              <w:widowControl w:val="0"/>
              <w:autoSpaceDE w:val="0"/>
              <w:autoSpaceDN w:val="0"/>
              <w:adjustRightInd w:val="0"/>
              <w:rPr>
                <w:sz w:val="20"/>
                <w:szCs w:val="20"/>
              </w:rPr>
            </w:pPr>
            <w:r w:rsidRPr="003A41B3">
              <w:rPr>
                <w:rFonts w:eastAsia="Times New Roman"/>
                <w:sz w:val="20"/>
                <w:szCs w:val="20"/>
                <w:lang w:eastAsia="en-GB"/>
              </w:rPr>
              <w:t xml:space="preserve">country </w:t>
            </w:r>
            <w:proofErr w:type="spellStart"/>
            <w:r w:rsidRPr="003A41B3">
              <w:rPr>
                <w:rFonts w:eastAsia="Times New Roman"/>
                <w:sz w:val="20"/>
                <w:szCs w:val="20"/>
                <w:lang w:eastAsia="en-GB"/>
              </w:rPr>
              <w:t>fe</w:t>
            </w:r>
            <w:proofErr w:type="spellEnd"/>
          </w:p>
        </w:tc>
        <w:tc>
          <w:tcPr>
            <w:tcW w:w="2647" w:type="dxa"/>
            <w:tcBorders>
              <w:top w:val="nil"/>
              <w:left w:val="nil"/>
              <w:bottom w:val="single" w:sz="4" w:space="0" w:color="000000"/>
              <w:right w:val="nil"/>
            </w:tcBorders>
            <w:vAlign w:val="center"/>
          </w:tcPr>
          <w:p w14:paraId="0DE41BFD" w14:textId="757DA0CF"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6" w:type="dxa"/>
            <w:tcBorders>
              <w:top w:val="nil"/>
              <w:left w:val="nil"/>
              <w:bottom w:val="single" w:sz="4" w:space="0" w:color="000000"/>
              <w:right w:val="single" w:sz="4" w:space="0" w:color="000000" w:themeColor="text1"/>
            </w:tcBorders>
            <w:vAlign w:val="center"/>
          </w:tcPr>
          <w:p w14:paraId="03127A7A" w14:textId="13C80218" w:rsidR="006A0BAE" w:rsidRPr="003A41B3" w:rsidRDefault="00876F92"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978" w:type="dxa"/>
            <w:tcBorders>
              <w:top w:val="nil"/>
              <w:left w:val="single" w:sz="4" w:space="0" w:color="000000" w:themeColor="text1"/>
              <w:bottom w:val="single" w:sz="4" w:space="0" w:color="000000"/>
              <w:right w:val="nil"/>
            </w:tcBorders>
            <w:vAlign w:val="center"/>
          </w:tcPr>
          <w:p w14:paraId="76F14B52" w14:textId="77777777" w:rsidR="006A0BAE" w:rsidRPr="003A41B3" w:rsidRDefault="006A0BAE"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2815" w:type="dxa"/>
            <w:gridSpan w:val="2"/>
            <w:tcBorders>
              <w:top w:val="nil"/>
              <w:left w:val="nil"/>
              <w:bottom w:val="single" w:sz="4" w:space="0" w:color="000000"/>
              <w:right w:val="nil"/>
            </w:tcBorders>
            <w:vAlign w:val="center"/>
          </w:tcPr>
          <w:p w14:paraId="21E3810E" w14:textId="77777777" w:rsidR="006A0BAE" w:rsidRPr="003A41B3" w:rsidRDefault="006A0BAE" w:rsidP="00154091">
            <w:pPr>
              <w:widowControl w:val="0"/>
              <w:autoSpaceDE w:val="0"/>
              <w:autoSpaceDN w:val="0"/>
              <w:adjustRightInd w:val="0"/>
              <w:jc w:val="center"/>
              <w:rPr>
                <w:sz w:val="20"/>
                <w:szCs w:val="20"/>
              </w:rPr>
            </w:pPr>
            <w:r w:rsidRPr="003A41B3">
              <w:rPr>
                <w:rFonts w:eastAsia="Times New Roman"/>
                <w:sz w:val="20"/>
                <w:szCs w:val="20"/>
                <w:lang w:eastAsia="en-GB"/>
              </w:rPr>
              <w:t>Yes</w:t>
            </w:r>
          </w:p>
        </w:tc>
      </w:tr>
      <w:tr w:rsidR="006A0BAE" w:rsidRPr="003A41B3" w14:paraId="68CDC24C" w14:textId="77777777" w:rsidTr="00154091">
        <w:trPr>
          <w:gridAfter w:val="1"/>
          <w:wAfter w:w="24" w:type="dxa"/>
          <w:trHeight w:val="705"/>
        </w:trPr>
        <w:tc>
          <w:tcPr>
            <w:tcW w:w="2517" w:type="dxa"/>
            <w:tcBorders>
              <w:top w:val="single" w:sz="4" w:space="0" w:color="000000"/>
              <w:left w:val="nil"/>
              <w:bottom w:val="nil"/>
              <w:right w:val="nil"/>
            </w:tcBorders>
            <w:vAlign w:val="center"/>
          </w:tcPr>
          <w:p w14:paraId="736B4230" w14:textId="77777777" w:rsidR="006A0BAE" w:rsidRPr="003A41B3" w:rsidRDefault="006A0BAE" w:rsidP="00154091">
            <w:pPr>
              <w:widowControl w:val="0"/>
              <w:autoSpaceDE w:val="0"/>
              <w:autoSpaceDN w:val="0"/>
              <w:adjustRightInd w:val="0"/>
            </w:pPr>
          </w:p>
        </w:tc>
        <w:tc>
          <w:tcPr>
            <w:tcW w:w="5463" w:type="dxa"/>
            <w:gridSpan w:val="2"/>
            <w:tcBorders>
              <w:top w:val="single" w:sz="4" w:space="0" w:color="000000"/>
              <w:left w:val="nil"/>
              <w:right w:val="single" w:sz="4" w:space="0" w:color="000000" w:themeColor="text1"/>
            </w:tcBorders>
            <w:vAlign w:val="center"/>
          </w:tcPr>
          <w:p w14:paraId="74D71F80"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EEsample_mean</w:t>
            </w:r>
            <w:proofErr w:type="spellEnd"/>
            <w:r w:rsidRPr="003A41B3">
              <w:rPr>
                <w:sz w:val="18"/>
                <w:szCs w:val="20"/>
              </w:rPr>
              <w:t>]∆Rating- [</w:t>
            </w:r>
            <w:proofErr w:type="spellStart"/>
            <w:r w:rsidRPr="003A41B3">
              <w:rPr>
                <w:sz w:val="18"/>
                <w:szCs w:val="20"/>
              </w:rPr>
              <w:t>EUsample_mean</w:t>
            </w:r>
            <w:proofErr w:type="spellEnd"/>
            <w:r w:rsidRPr="003A41B3">
              <w:rPr>
                <w:sz w:val="18"/>
                <w:szCs w:val="20"/>
              </w:rPr>
              <w:t>]∆Rating = 0</w:t>
            </w:r>
          </w:p>
        </w:tc>
        <w:tc>
          <w:tcPr>
            <w:tcW w:w="5793" w:type="dxa"/>
            <w:gridSpan w:val="3"/>
            <w:tcBorders>
              <w:top w:val="single" w:sz="4" w:space="0" w:color="000000"/>
              <w:left w:val="single" w:sz="4" w:space="0" w:color="000000" w:themeColor="text1"/>
              <w:right w:val="nil"/>
            </w:tcBorders>
            <w:vAlign w:val="center"/>
          </w:tcPr>
          <w:p w14:paraId="7BE05946"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w:t>
            </w:r>
            <w:proofErr w:type="spellStart"/>
            <w:r w:rsidRPr="003A41B3">
              <w:rPr>
                <w:sz w:val="18"/>
                <w:szCs w:val="20"/>
              </w:rPr>
              <w:t>EEsample_mean</w:t>
            </w:r>
            <w:proofErr w:type="spellEnd"/>
            <w:r w:rsidRPr="003A41B3">
              <w:rPr>
                <w:sz w:val="18"/>
                <w:szCs w:val="20"/>
              </w:rPr>
              <w:t>]∆Rating - [</w:t>
            </w:r>
            <w:proofErr w:type="spellStart"/>
            <w:r w:rsidRPr="003A41B3">
              <w:rPr>
                <w:sz w:val="18"/>
                <w:szCs w:val="20"/>
              </w:rPr>
              <w:t>EUsample_mean</w:t>
            </w:r>
            <w:proofErr w:type="spellEnd"/>
            <w:r w:rsidRPr="003A41B3">
              <w:rPr>
                <w:sz w:val="18"/>
                <w:szCs w:val="20"/>
              </w:rPr>
              <w:t>]∆Rating = 0</w:t>
            </w:r>
          </w:p>
        </w:tc>
      </w:tr>
      <w:tr w:rsidR="006A0BAE" w:rsidRPr="003A41B3" w14:paraId="103B50B2" w14:textId="77777777" w:rsidTr="00154091">
        <w:trPr>
          <w:gridAfter w:val="2"/>
          <w:wAfter w:w="33" w:type="dxa"/>
          <w:trHeight w:val="279"/>
        </w:trPr>
        <w:tc>
          <w:tcPr>
            <w:tcW w:w="2517" w:type="dxa"/>
            <w:tcBorders>
              <w:top w:val="nil"/>
              <w:left w:val="nil"/>
              <w:bottom w:val="nil"/>
            </w:tcBorders>
            <w:vAlign w:val="center"/>
          </w:tcPr>
          <w:p w14:paraId="38A3BECB" w14:textId="77777777" w:rsidR="006A0BAE" w:rsidRPr="003A41B3" w:rsidRDefault="006A0BAE" w:rsidP="00154091">
            <w:pPr>
              <w:widowControl w:val="0"/>
              <w:autoSpaceDE w:val="0"/>
              <w:autoSpaceDN w:val="0"/>
              <w:adjustRightInd w:val="0"/>
            </w:pPr>
          </w:p>
        </w:tc>
        <w:tc>
          <w:tcPr>
            <w:tcW w:w="2647" w:type="dxa"/>
          </w:tcPr>
          <w:p w14:paraId="7CDB3BC6"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16" w:type="dxa"/>
            <w:tcBorders>
              <w:right w:val="single" w:sz="4" w:space="0" w:color="000000" w:themeColor="text1"/>
            </w:tcBorders>
          </w:tcPr>
          <w:p w14:paraId="01910675" w14:textId="77777777" w:rsidR="006A0BAE" w:rsidRPr="003A41B3" w:rsidRDefault="006A0BAE" w:rsidP="00154091">
            <w:pPr>
              <w:widowControl w:val="0"/>
              <w:autoSpaceDE w:val="0"/>
              <w:autoSpaceDN w:val="0"/>
              <w:adjustRightInd w:val="0"/>
              <w:rPr>
                <w:sz w:val="18"/>
                <w:szCs w:val="20"/>
              </w:rPr>
            </w:pPr>
            <w:r w:rsidRPr="003A41B3">
              <w:rPr>
                <w:sz w:val="18"/>
                <w:szCs w:val="20"/>
              </w:rPr>
              <w:t>Test:  Prob &gt; chi2</w:t>
            </w:r>
          </w:p>
        </w:tc>
        <w:tc>
          <w:tcPr>
            <w:tcW w:w="2978" w:type="dxa"/>
            <w:tcBorders>
              <w:left w:val="single" w:sz="4" w:space="0" w:color="000000" w:themeColor="text1"/>
            </w:tcBorders>
          </w:tcPr>
          <w:p w14:paraId="33B15CCB"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chi2 ( 1)</w:t>
            </w:r>
          </w:p>
        </w:tc>
        <w:tc>
          <w:tcPr>
            <w:tcW w:w="2806" w:type="dxa"/>
            <w:tcBorders>
              <w:right w:val="nil"/>
            </w:tcBorders>
          </w:tcPr>
          <w:p w14:paraId="3641AA9E" w14:textId="77777777" w:rsidR="006A0BAE" w:rsidRPr="003A41B3" w:rsidRDefault="006A0BAE" w:rsidP="00154091">
            <w:pPr>
              <w:widowControl w:val="0"/>
              <w:autoSpaceDE w:val="0"/>
              <w:autoSpaceDN w:val="0"/>
              <w:adjustRightInd w:val="0"/>
              <w:jc w:val="center"/>
              <w:rPr>
                <w:sz w:val="18"/>
                <w:szCs w:val="20"/>
              </w:rPr>
            </w:pPr>
            <w:r w:rsidRPr="003A41B3">
              <w:rPr>
                <w:sz w:val="18"/>
                <w:szCs w:val="20"/>
              </w:rPr>
              <w:t>Test:  Prob &gt; chi2</w:t>
            </w:r>
          </w:p>
        </w:tc>
      </w:tr>
      <w:tr w:rsidR="006A0BAE" w:rsidRPr="003A41B3" w14:paraId="10966FE6" w14:textId="77777777" w:rsidTr="00154091">
        <w:trPr>
          <w:gridAfter w:val="2"/>
          <w:wAfter w:w="33" w:type="dxa"/>
          <w:trHeight w:val="279"/>
        </w:trPr>
        <w:tc>
          <w:tcPr>
            <w:tcW w:w="2517" w:type="dxa"/>
            <w:tcBorders>
              <w:top w:val="nil"/>
              <w:left w:val="nil"/>
              <w:bottom w:val="single" w:sz="4" w:space="0" w:color="000000" w:themeColor="text1"/>
              <w:right w:val="nil"/>
            </w:tcBorders>
            <w:vAlign w:val="center"/>
          </w:tcPr>
          <w:p w14:paraId="4E937E00" w14:textId="77777777" w:rsidR="006A0BAE" w:rsidRPr="003A41B3" w:rsidRDefault="006A0BAE" w:rsidP="00154091">
            <w:pPr>
              <w:widowControl w:val="0"/>
              <w:autoSpaceDE w:val="0"/>
              <w:autoSpaceDN w:val="0"/>
              <w:adjustRightInd w:val="0"/>
            </w:pPr>
          </w:p>
        </w:tc>
        <w:tc>
          <w:tcPr>
            <w:tcW w:w="2647" w:type="dxa"/>
            <w:tcBorders>
              <w:left w:val="nil"/>
              <w:bottom w:val="single" w:sz="4" w:space="0" w:color="000000" w:themeColor="text1"/>
            </w:tcBorders>
          </w:tcPr>
          <w:p w14:paraId="0B55AED4"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12.92</w:t>
            </w:r>
          </w:p>
        </w:tc>
        <w:tc>
          <w:tcPr>
            <w:tcW w:w="2816" w:type="dxa"/>
            <w:tcBorders>
              <w:bottom w:val="single" w:sz="4" w:space="0" w:color="000000" w:themeColor="text1"/>
              <w:right w:val="single" w:sz="4" w:space="0" w:color="000000" w:themeColor="text1"/>
            </w:tcBorders>
          </w:tcPr>
          <w:p w14:paraId="7120B2E9"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0.000</w:t>
            </w:r>
          </w:p>
        </w:tc>
        <w:tc>
          <w:tcPr>
            <w:tcW w:w="2978" w:type="dxa"/>
            <w:tcBorders>
              <w:left w:val="single" w:sz="4" w:space="0" w:color="000000" w:themeColor="text1"/>
              <w:bottom w:val="single" w:sz="4" w:space="0" w:color="000000" w:themeColor="text1"/>
            </w:tcBorders>
          </w:tcPr>
          <w:p w14:paraId="0E7C81D2" w14:textId="77777777" w:rsidR="006A0BAE" w:rsidRPr="003A41B3" w:rsidRDefault="006A0BAE" w:rsidP="00154091">
            <w:pPr>
              <w:widowControl w:val="0"/>
              <w:autoSpaceDE w:val="0"/>
              <w:autoSpaceDN w:val="0"/>
              <w:adjustRightInd w:val="0"/>
              <w:jc w:val="center"/>
              <w:rPr>
                <w:sz w:val="20"/>
                <w:szCs w:val="20"/>
              </w:rPr>
            </w:pPr>
            <w:r w:rsidRPr="003A41B3">
              <w:rPr>
                <w:sz w:val="20"/>
                <w:szCs w:val="20"/>
              </w:rPr>
              <w:t>2.76</w:t>
            </w:r>
          </w:p>
        </w:tc>
        <w:tc>
          <w:tcPr>
            <w:tcW w:w="2806" w:type="dxa"/>
            <w:tcBorders>
              <w:bottom w:val="single" w:sz="4" w:space="0" w:color="000000" w:themeColor="text1"/>
              <w:right w:val="nil"/>
            </w:tcBorders>
          </w:tcPr>
          <w:p w14:paraId="598CFB6D" w14:textId="77777777" w:rsidR="006A0BAE" w:rsidRPr="003A41B3" w:rsidRDefault="006A0BAE" w:rsidP="00154091">
            <w:pPr>
              <w:widowControl w:val="0"/>
              <w:autoSpaceDE w:val="0"/>
              <w:autoSpaceDN w:val="0"/>
              <w:adjustRightInd w:val="0"/>
              <w:jc w:val="center"/>
            </w:pPr>
            <w:r w:rsidRPr="003A41B3">
              <w:rPr>
                <w:sz w:val="20"/>
                <w:szCs w:val="20"/>
              </w:rPr>
              <w:t>0.096</w:t>
            </w:r>
          </w:p>
        </w:tc>
      </w:tr>
    </w:tbl>
    <w:p w14:paraId="764F8239" w14:textId="77777777" w:rsidR="006A0BAE" w:rsidRPr="003A41B3" w:rsidRDefault="006A0BAE" w:rsidP="006A0BAE">
      <w:pPr>
        <w:jc w:val="both"/>
        <w:rPr>
          <w:i/>
          <w:sz w:val="10"/>
          <w:szCs w:val="10"/>
        </w:rPr>
      </w:pPr>
    </w:p>
    <w:p w14:paraId="6343C356" w14:textId="4BE0D28A" w:rsidR="006A0BAE" w:rsidRPr="003A41B3" w:rsidRDefault="006A0BAE" w:rsidP="006A0BAE">
      <w:pPr>
        <w:jc w:val="both"/>
        <w:rPr>
          <w:sz w:val="22"/>
          <w:szCs w:val="22"/>
        </w:rPr>
      </w:pPr>
      <w:r w:rsidRPr="003A41B3">
        <w:rPr>
          <w:i/>
          <w:sz w:val="22"/>
          <w:szCs w:val="22"/>
        </w:rPr>
        <w:t>Note:</w:t>
      </w:r>
      <w:r w:rsidRPr="003A41B3">
        <w:rPr>
          <w:sz w:val="22"/>
          <w:szCs w:val="22"/>
        </w:rPr>
        <w:t xml:space="preserve"> This table presents the estimated coefficients and robust z-statistics in parentheses from specification of Eq. (2) using Ordinary Least Squares followed by the F-test which compares the statistical difference between ∆Rating coefficients for the two groups of countries (EU vs EU identifier) in the post-identifier sample period (May 2012-June 2016). The credit rating dataset consists of daily positive and negative sovereign events by Fitch based on 58-CCR rating. </w:t>
      </w:r>
      <w:r w:rsidR="004C32A4" w:rsidRPr="003A41B3">
        <w:rPr>
          <w:sz w:val="22"/>
          <w:szCs w:val="22"/>
        </w:rPr>
        <w:t>EU (EE) sub-sample consists of sovereign rating events with EU (EE) identifiers</w:t>
      </w:r>
      <w:r w:rsidRPr="003A41B3">
        <w:rPr>
          <w:sz w:val="22"/>
          <w:szCs w:val="22"/>
        </w:rPr>
        <w:t xml:space="preserve">. For every event observation there is a randomly selected non-event observation. The dependent variable is </w:t>
      </w:r>
      <w:r w:rsidRPr="003A41B3">
        <w:rPr>
          <w:i/>
          <w:sz w:val="22"/>
          <w:szCs w:val="22"/>
        </w:rPr>
        <w:t>∆Yield</w:t>
      </w:r>
      <w:r w:rsidRPr="003A41B3">
        <w:rPr>
          <w:sz w:val="22"/>
          <w:szCs w:val="22"/>
        </w:rPr>
        <w:t xml:space="preserve"> which measures, in basis points, the changes in the window [0, +1] sovereign yield spreads towards the benchmark US bonds on a particular sovereign bond </w:t>
      </w:r>
      <w:proofErr w:type="spellStart"/>
      <w:r w:rsidRPr="003A41B3">
        <w:rPr>
          <w:sz w:val="22"/>
          <w:szCs w:val="22"/>
        </w:rPr>
        <w:t>i</w:t>
      </w:r>
      <w:proofErr w:type="spellEnd"/>
      <w:r w:rsidRPr="003A41B3">
        <w:rPr>
          <w:sz w:val="22"/>
          <w:szCs w:val="22"/>
        </w:rPr>
        <w:t xml:space="preserve"> on the event day t. The independent variables are defined in Table 3. F-test conducted using ‘</w:t>
      </w:r>
      <w:proofErr w:type="spellStart"/>
      <w:r w:rsidRPr="003A41B3">
        <w:rPr>
          <w:sz w:val="22"/>
          <w:szCs w:val="22"/>
        </w:rPr>
        <w:t>suest</w:t>
      </w:r>
      <w:proofErr w:type="spellEnd"/>
      <w:r w:rsidRPr="003A41B3">
        <w:rPr>
          <w:sz w:val="22"/>
          <w:szCs w:val="22"/>
        </w:rPr>
        <w:t>’ command in STATA. Country fixed effects are included (“yes”). We estimate Eq. (2) separately for positive and negative events with absolute values for interpretation reasons. ***, **, * are significance levels at 1%, 5% and 10%.</w:t>
      </w:r>
    </w:p>
    <w:p w14:paraId="39A9932F" w14:textId="77777777" w:rsidR="006A0BAE" w:rsidRPr="003A41B3" w:rsidRDefault="006A0BAE" w:rsidP="006A0BAE">
      <w:pPr>
        <w:jc w:val="both"/>
        <w:rPr>
          <w:sz w:val="18"/>
          <w:szCs w:val="18"/>
        </w:rPr>
      </w:pPr>
    </w:p>
    <w:p w14:paraId="39803CDA" w14:textId="77777777" w:rsidR="006A0BAE" w:rsidRPr="003A41B3" w:rsidRDefault="006A0BAE" w:rsidP="006A0BAE">
      <w:pPr>
        <w:jc w:val="both"/>
        <w:rPr>
          <w:sz w:val="2"/>
          <w:szCs w:val="18"/>
        </w:rPr>
      </w:pPr>
    </w:p>
    <w:tbl>
      <w:tblPr>
        <w:tblpPr w:leftFromText="180" w:rightFromText="180" w:vertAnchor="text" w:horzAnchor="margin" w:tblpY="-44"/>
        <w:tblW w:w="0" w:type="auto"/>
        <w:tblLayout w:type="fixed"/>
        <w:tblLook w:val="0000" w:firstRow="0" w:lastRow="0" w:firstColumn="0" w:lastColumn="0" w:noHBand="0" w:noVBand="0"/>
      </w:tblPr>
      <w:tblGrid>
        <w:gridCol w:w="3132"/>
        <w:gridCol w:w="1813"/>
        <w:gridCol w:w="1816"/>
        <w:gridCol w:w="1813"/>
        <w:gridCol w:w="1813"/>
        <w:gridCol w:w="1813"/>
        <w:gridCol w:w="1484"/>
      </w:tblGrid>
      <w:tr w:rsidR="003328CB" w:rsidRPr="003A41B3" w14:paraId="752146A5" w14:textId="77777777" w:rsidTr="001718F2">
        <w:trPr>
          <w:trHeight w:val="326"/>
        </w:trPr>
        <w:tc>
          <w:tcPr>
            <w:tcW w:w="13684" w:type="dxa"/>
            <w:gridSpan w:val="7"/>
            <w:tcBorders>
              <w:top w:val="nil"/>
              <w:left w:val="nil"/>
              <w:bottom w:val="nil"/>
              <w:right w:val="nil"/>
            </w:tcBorders>
          </w:tcPr>
          <w:p w14:paraId="0CD57CCC" w14:textId="77777777" w:rsidR="003328CB" w:rsidRPr="003A41B3" w:rsidRDefault="003328CB" w:rsidP="003328CB">
            <w:pPr>
              <w:widowControl w:val="0"/>
              <w:autoSpaceDE w:val="0"/>
              <w:autoSpaceDN w:val="0"/>
              <w:adjustRightInd w:val="0"/>
              <w:spacing w:line="360" w:lineRule="auto"/>
              <w:rPr>
                <w:b/>
              </w:rPr>
            </w:pPr>
            <w:r w:rsidRPr="003A41B3">
              <w:rPr>
                <w:b/>
              </w:rPr>
              <w:lastRenderedPageBreak/>
              <w:t>Table 10. Difference-in-Differences estimation: Treatment versus control countries</w:t>
            </w:r>
          </w:p>
        </w:tc>
      </w:tr>
      <w:tr w:rsidR="003328CB" w:rsidRPr="003A41B3" w14:paraId="57009547" w14:textId="77777777" w:rsidTr="001718F2">
        <w:trPr>
          <w:trHeight w:val="301"/>
        </w:trPr>
        <w:tc>
          <w:tcPr>
            <w:tcW w:w="3132" w:type="dxa"/>
            <w:tcBorders>
              <w:top w:val="single" w:sz="6" w:space="0" w:color="auto"/>
              <w:left w:val="nil"/>
              <w:bottom w:val="single" w:sz="6" w:space="0" w:color="auto"/>
              <w:right w:val="nil"/>
            </w:tcBorders>
          </w:tcPr>
          <w:p w14:paraId="18A00C0C" w14:textId="77777777" w:rsidR="003328CB" w:rsidRPr="003A41B3" w:rsidRDefault="003328CB" w:rsidP="003328CB">
            <w:pPr>
              <w:widowControl w:val="0"/>
              <w:autoSpaceDE w:val="0"/>
              <w:autoSpaceDN w:val="0"/>
              <w:adjustRightInd w:val="0"/>
              <w:rPr>
                <w:sz w:val="20"/>
                <w:szCs w:val="20"/>
              </w:rPr>
            </w:pPr>
            <w:r w:rsidRPr="003A41B3">
              <w:rPr>
                <w:sz w:val="20"/>
                <w:szCs w:val="20"/>
              </w:rPr>
              <w:t>VARIABLES</w:t>
            </w:r>
          </w:p>
        </w:tc>
        <w:tc>
          <w:tcPr>
            <w:tcW w:w="1813" w:type="dxa"/>
            <w:tcBorders>
              <w:top w:val="single" w:sz="6" w:space="0" w:color="auto"/>
              <w:left w:val="nil"/>
              <w:bottom w:val="single" w:sz="6" w:space="0" w:color="auto"/>
              <w:right w:val="nil"/>
            </w:tcBorders>
          </w:tcPr>
          <w:p w14:paraId="4EFAF59C"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S&amp;P +</w:t>
            </w:r>
          </w:p>
        </w:tc>
        <w:tc>
          <w:tcPr>
            <w:tcW w:w="1816" w:type="dxa"/>
            <w:tcBorders>
              <w:top w:val="single" w:sz="6" w:space="0" w:color="auto"/>
              <w:left w:val="nil"/>
              <w:bottom w:val="single" w:sz="6" w:space="0" w:color="auto"/>
              <w:right w:val="nil"/>
            </w:tcBorders>
          </w:tcPr>
          <w:p w14:paraId="0CAD45EE"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S&amp;P -</w:t>
            </w:r>
          </w:p>
        </w:tc>
        <w:tc>
          <w:tcPr>
            <w:tcW w:w="1813" w:type="dxa"/>
            <w:tcBorders>
              <w:top w:val="single" w:sz="6" w:space="0" w:color="auto"/>
              <w:left w:val="nil"/>
              <w:bottom w:val="single" w:sz="6" w:space="0" w:color="auto"/>
              <w:right w:val="nil"/>
            </w:tcBorders>
          </w:tcPr>
          <w:p w14:paraId="6E607048"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Moody's +</w:t>
            </w:r>
          </w:p>
        </w:tc>
        <w:tc>
          <w:tcPr>
            <w:tcW w:w="1813" w:type="dxa"/>
            <w:tcBorders>
              <w:top w:val="single" w:sz="6" w:space="0" w:color="auto"/>
              <w:left w:val="nil"/>
              <w:bottom w:val="single" w:sz="6" w:space="0" w:color="auto"/>
              <w:right w:val="nil"/>
            </w:tcBorders>
          </w:tcPr>
          <w:p w14:paraId="04C07C89"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Moody's -</w:t>
            </w:r>
          </w:p>
        </w:tc>
        <w:tc>
          <w:tcPr>
            <w:tcW w:w="1813" w:type="dxa"/>
            <w:tcBorders>
              <w:top w:val="single" w:sz="6" w:space="0" w:color="auto"/>
              <w:left w:val="nil"/>
              <w:bottom w:val="single" w:sz="6" w:space="0" w:color="auto"/>
              <w:right w:val="nil"/>
            </w:tcBorders>
          </w:tcPr>
          <w:p w14:paraId="67764957"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Fitch +</w:t>
            </w:r>
          </w:p>
        </w:tc>
        <w:tc>
          <w:tcPr>
            <w:tcW w:w="1484" w:type="dxa"/>
            <w:tcBorders>
              <w:top w:val="single" w:sz="6" w:space="0" w:color="auto"/>
              <w:left w:val="nil"/>
              <w:bottom w:val="single" w:sz="6" w:space="0" w:color="auto"/>
              <w:right w:val="nil"/>
            </w:tcBorders>
          </w:tcPr>
          <w:p w14:paraId="3FE889F0" w14:textId="77777777" w:rsidR="003328CB" w:rsidRPr="003A41B3" w:rsidRDefault="003328CB" w:rsidP="003328CB">
            <w:pPr>
              <w:widowControl w:val="0"/>
              <w:autoSpaceDE w:val="0"/>
              <w:autoSpaceDN w:val="0"/>
              <w:adjustRightInd w:val="0"/>
              <w:jc w:val="center"/>
              <w:rPr>
                <w:b/>
                <w:sz w:val="20"/>
                <w:szCs w:val="20"/>
              </w:rPr>
            </w:pPr>
            <w:r w:rsidRPr="003A41B3">
              <w:rPr>
                <w:b/>
                <w:sz w:val="20"/>
                <w:szCs w:val="20"/>
              </w:rPr>
              <w:t>Fitch -</w:t>
            </w:r>
          </w:p>
        </w:tc>
      </w:tr>
      <w:tr w:rsidR="003328CB" w:rsidRPr="003A41B3" w14:paraId="31CD0CD9" w14:textId="77777777" w:rsidTr="001718F2">
        <w:trPr>
          <w:trHeight w:val="301"/>
        </w:trPr>
        <w:tc>
          <w:tcPr>
            <w:tcW w:w="3132" w:type="dxa"/>
            <w:tcBorders>
              <w:top w:val="nil"/>
              <w:left w:val="nil"/>
              <w:bottom w:val="nil"/>
              <w:right w:val="nil"/>
            </w:tcBorders>
          </w:tcPr>
          <w:p w14:paraId="4C6B9D82"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shd w:val="clear" w:color="auto" w:fill="auto"/>
            <w:vAlign w:val="bottom"/>
          </w:tcPr>
          <w:p w14:paraId="57866076" w14:textId="77777777" w:rsidR="003328CB" w:rsidRPr="003A41B3" w:rsidRDefault="003328CB" w:rsidP="003328CB">
            <w:pPr>
              <w:widowControl w:val="0"/>
              <w:autoSpaceDE w:val="0"/>
              <w:autoSpaceDN w:val="0"/>
              <w:adjustRightInd w:val="0"/>
              <w:jc w:val="center"/>
              <w:rPr>
                <w:sz w:val="20"/>
                <w:szCs w:val="20"/>
              </w:rPr>
            </w:pPr>
          </w:p>
        </w:tc>
        <w:tc>
          <w:tcPr>
            <w:tcW w:w="1816" w:type="dxa"/>
            <w:tcBorders>
              <w:top w:val="nil"/>
              <w:left w:val="nil"/>
              <w:bottom w:val="nil"/>
              <w:right w:val="nil"/>
            </w:tcBorders>
          </w:tcPr>
          <w:p w14:paraId="592F7FB5"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0E4331BA"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42D7606C"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5B9ADD62" w14:textId="77777777" w:rsidR="003328CB" w:rsidRPr="003A41B3" w:rsidRDefault="003328CB" w:rsidP="003328CB">
            <w:pPr>
              <w:widowControl w:val="0"/>
              <w:autoSpaceDE w:val="0"/>
              <w:autoSpaceDN w:val="0"/>
              <w:adjustRightInd w:val="0"/>
              <w:jc w:val="center"/>
              <w:rPr>
                <w:sz w:val="20"/>
                <w:szCs w:val="20"/>
              </w:rPr>
            </w:pPr>
          </w:p>
        </w:tc>
        <w:tc>
          <w:tcPr>
            <w:tcW w:w="1484" w:type="dxa"/>
            <w:tcBorders>
              <w:top w:val="nil"/>
              <w:left w:val="nil"/>
              <w:bottom w:val="nil"/>
              <w:right w:val="nil"/>
            </w:tcBorders>
          </w:tcPr>
          <w:p w14:paraId="5F2BE3BF" w14:textId="77777777" w:rsidR="003328CB" w:rsidRPr="003A41B3" w:rsidRDefault="003328CB" w:rsidP="003328CB">
            <w:pPr>
              <w:widowControl w:val="0"/>
              <w:autoSpaceDE w:val="0"/>
              <w:autoSpaceDN w:val="0"/>
              <w:adjustRightInd w:val="0"/>
              <w:jc w:val="center"/>
              <w:rPr>
                <w:sz w:val="20"/>
                <w:szCs w:val="20"/>
              </w:rPr>
            </w:pPr>
          </w:p>
        </w:tc>
      </w:tr>
      <w:tr w:rsidR="003328CB" w:rsidRPr="003A41B3" w14:paraId="0F67C6AD" w14:textId="77777777" w:rsidTr="001718F2">
        <w:trPr>
          <w:trHeight w:val="301"/>
        </w:trPr>
        <w:tc>
          <w:tcPr>
            <w:tcW w:w="3132" w:type="dxa"/>
            <w:tcBorders>
              <w:top w:val="nil"/>
              <w:left w:val="nil"/>
              <w:bottom w:val="nil"/>
              <w:right w:val="nil"/>
            </w:tcBorders>
          </w:tcPr>
          <w:p w14:paraId="2272C158" w14:textId="77777777" w:rsidR="003328CB" w:rsidRPr="003A41B3" w:rsidRDefault="003328CB" w:rsidP="003328CB">
            <w:pPr>
              <w:widowControl w:val="0"/>
              <w:autoSpaceDE w:val="0"/>
              <w:autoSpaceDN w:val="0"/>
              <w:adjustRightInd w:val="0"/>
              <w:rPr>
                <w:sz w:val="20"/>
                <w:szCs w:val="20"/>
              </w:rPr>
            </w:pPr>
            <w:r w:rsidRPr="003A41B3">
              <w:rPr>
                <w:sz w:val="20"/>
                <w:szCs w:val="20"/>
              </w:rPr>
              <w:t>∆Rating*EUB</w:t>
            </w:r>
          </w:p>
        </w:tc>
        <w:tc>
          <w:tcPr>
            <w:tcW w:w="1813" w:type="dxa"/>
            <w:tcBorders>
              <w:top w:val="nil"/>
              <w:left w:val="nil"/>
              <w:bottom w:val="nil"/>
              <w:right w:val="nil"/>
            </w:tcBorders>
            <w:shd w:val="clear" w:color="auto" w:fill="auto"/>
            <w:vAlign w:val="bottom"/>
          </w:tcPr>
          <w:p w14:paraId="276FFEA6" w14:textId="321F0B7E" w:rsidR="003328CB" w:rsidRPr="003A41B3" w:rsidRDefault="003328CB" w:rsidP="00AA6633">
            <w:pPr>
              <w:widowControl w:val="0"/>
              <w:autoSpaceDE w:val="0"/>
              <w:autoSpaceDN w:val="0"/>
              <w:adjustRightInd w:val="0"/>
              <w:jc w:val="center"/>
              <w:rPr>
                <w:sz w:val="20"/>
                <w:szCs w:val="20"/>
              </w:rPr>
            </w:pPr>
            <w:r w:rsidRPr="003A41B3">
              <w:rPr>
                <w:sz w:val="20"/>
                <w:szCs w:val="20"/>
              </w:rPr>
              <w:t>-9.02</w:t>
            </w:r>
            <w:r w:rsidR="00AA6633" w:rsidRPr="003A41B3">
              <w:rPr>
                <w:sz w:val="20"/>
                <w:szCs w:val="20"/>
              </w:rPr>
              <w:t>6</w:t>
            </w:r>
            <w:r w:rsidRPr="003A41B3">
              <w:rPr>
                <w:sz w:val="20"/>
                <w:szCs w:val="20"/>
              </w:rPr>
              <w:t>***</w:t>
            </w:r>
          </w:p>
        </w:tc>
        <w:tc>
          <w:tcPr>
            <w:tcW w:w="1816" w:type="dxa"/>
            <w:tcBorders>
              <w:top w:val="nil"/>
              <w:left w:val="nil"/>
              <w:bottom w:val="nil"/>
              <w:right w:val="nil"/>
            </w:tcBorders>
            <w:shd w:val="clear" w:color="auto" w:fill="auto"/>
            <w:vAlign w:val="bottom"/>
          </w:tcPr>
          <w:p w14:paraId="0E88EA31" w14:textId="1FE65392" w:rsidR="003328CB" w:rsidRPr="003A41B3" w:rsidRDefault="003328CB" w:rsidP="003328CB">
            <w:pPr>
              <w:widowControl w:val="0"/>
              <w:autoSpaceDE w:val="0"/>
              <w:autoSpaceDN w:val="0"/>
              <w:adjustRightInd w:val="0"/>
              <w:jc w:val="center"/>
              <w:rPr>
                <w:sz w:val="20"/>
                <w:szCs w:val="20"/>
              </w:rPr>
            </w:pPr>
            <w:r w:rsidRPr="003A41B3">
              <w:rPr>
                <w:sz w:val="20"/>
                <w:szCs w:val="20"/>
              </w:rPr>
              <w:t>1</w:t>
            </w:r>
            <w:r w:rsidR="00AA6633" w:rsidRPr="003A41B3">
              <w:rPr>
                <w:sz w:val="20"/>
                <w:szCs w:val="20"/>
              </w:rPr>
              <w:t>.214</w:t>
            </w:r>
          </w:p>
        </w:tc>
        <w:tc>
          <w:tcPr>
            <w:tcW w:w="1813" w:type="dxa"/>
            <w:tcBorders>
              <w:top w:val="nil"/>
              <w:left w:val="nil"/>
              <w:bottom w:val="nil"/>
              <w:right w:val="nil"/>
            </w:tcBorders>
            <w:shd w:val="clear" w:color="auto" w:fill="auto"/>
            <w:vAlign w:val="bottom"/>
          </w:tcPr>
          <w:p w14:paraId="358D2302" w14:textId="61141F8D" w:rsidR="003328CB" w:rsidRPr="003A41B3" w:rsidRDefault="003328CB" w:rsidP="003328CB">
            <w:pPr>
              <w:widowControl w:val="0"/>
              <w:autoSpaceDE w:val="0"/>
              <w:autoSpaceDN w:val="0"/>
              <w:adjustRightInd w:val="0"/>
              <w:jc w:val="center"/>
              <w:rPr>
                <w:sz w:val="20"/>
                <w:szCs w:val="20"/>
              </w:rPr>
            </w:pPr>
            <w:r w:rsidRPr="003A41B3">
              <w:rPr>
                <w:sz w:val="20"/>
                <w:szCs w:val="20"/>
              </w:rPr>
              <w:t>0.528</w:t>
            </w:r>
          </w:p>
        </w:tc>
        <w:tc>
          <w:tcPr>
            <w:tcW w:w="1813" w:type="dxa"/>
            <w:tcBorders>
              <w:top w:val="nil"/>
              <w:left w:val="nil"/>
              <w:bottom w:val="nil"/>
              <w:right w:val="nil"/>
            </w:tcBorders>
            <w:shd w:val="clear" w:color="auto" w:fill="auto"/>
            <w:vAlign w:val="bottom"/>
          </w:tcPr>
          <w:p w14:paraId="0284C8F7" w14:textId="2FBD3F99" w:rsidR="003328CB" w:rsidRPr="003A41B3" w:rsidRDefault="00AA6633" w:rsidP="003328CB">
            <w:pPr>
              <w:widowControl w:val="0"/>
              <w:autoSpaceDE w:val="0"/>
              <w:autoSpaceDN w:val="0"/>
              <w:adjustRightInd w:val="0"/>
              <w:jc w:val="center"/>
              <w:rPr>
                <w:sz w:val="20"/>
                <w:szCs w:val="20"/>
              </w:rPr>
            </w:pPr>
            <w:r w:rsidRPr="003A41B3">
              <w:rPr>
                <w:sz w:val="20"/>
                <w:szCs w:val="20"/>
              </w:rPr>
              <w:t>-3.210</w:t>
            </w:r>
          </w:p>
        </w:tc>
        <w:tc>
          <w:tcPr>
            <w:tcW w:w="1813" w:type="dxa"/>
            <w:tcBorders>
              <w:top w:val="nil"/>
              <w:left w:val="nil"/>
              <w:bottom w:val="nil"/>
              <w:right w:val="nil"/>
            </w:tcBorders>
            <w:shd w:val="clear" w:color="auto" w:fill="auto"/>
            <w:vAlign w:val="bottom"/>
          </w:tcPr>
          <w:p w14:paraId="3B1E58EA" w14:textId="00A8461B" w:rsidR="003328CB" w:rsidRPr="003A41B3" w:rsidRDefault="003328CB" w:rsidP="003328CB">
            <w:pPr>
              <w:widowControl w:val="0"/>
              <w:autoSpaceDE w:val="0"/>
              <w:autoSpaceDN w:val="0"/>
              <w:adjustRightInd w:val="0"/>
              <w:jc w:val="center"/>
              <w:rPr>
                <w:sz w:val="20"/>
                <w:szCs w:val="20"/>
              </w:rPr>
            </w:pPr>
            <w:r w:rsidRPr="003A41B3">
              <w:rPr>
                <w:sz w:val="20"/>
                <w:szCs w:val="20"/>
              </w:rPr>
              <w:t>-2.128</w:t>
            </w:r>
          </w:p>
        </w:tc>
        <w:tc>
          <w:tcPr>
            <w:tcW w:w="1484" w:type="dxa"/>
            <w:tcBorders>
              <w:top w:val="nil"/>
              <w:left w:val="nil"/>
              <w:bottom w:val="nil"/>
              <w:right w:val="nil"/>
            </w:tcBorders>
            <w:shd w:val="clear" w:color="auto" w:fill="auto"/>
            <w:vAlign w:val="bottom"/>
          </w:tcPr>
          <w:p w14:paraId="1645D0CB" w14:textId="3127D4D9" w:rsidR="003328CB" w:rsidRPr="003A41B3" w:rsidRDefault="00AA6633" w:rsidP="003328CB">
            <w:pPr>
              <w:widowControl w:val="0"/>
              <w:autoSpaceDE w:val="0"/>
              <w:autoSpaceDN w:val="0"/>
              <w:adjustRightInd w:val="0"/>
              <w:jc w:val="center"/>
              <w:rPr>
                <w:sz w:val="20"/>
                <w:szCs w:val="20"/>
              </w:rPr>
            </w:pPr>
            <w:r w:rsidRPr="003A41B3">
              <w:rPr>
                <w:sz w:val="20"/>
                <w:szCs w:val="20"/>
              </w:rPr>
              <w:t>2.167</w:t>
            </w:r>
            <w:r w:rsidR="003328CB" w:rsidRPr="003A41B3">
              <w:rPr>
                <w:sz w:val="20"/>
                <w:szCs w:val="20"/>
              </w:rPr>
              <w:t>*</w:t>
            </w:r>
          </w:p>
        </w:tc>
      </w:tr>
      <w:tr w:rsidR="003328CB" w:rsidRPr="003A41B3" w14:paraId="357E05FE" w14:textId="77777777" w:rsidTr="001718F2">
        <w:trPr>
          <w:trHeight w:val="301"/>
        </w:trPr>
        <w:tc>
          <w:tcPr>
            <w:tcW w:w="3132" w:type="dxa"/>
            <w:tcBorders>
              <w:top w:val="nil"/>
              <w:left w:val="nil"/>
              <w:bottom w:val="nil"/>
              <w:right w:val="nil"/>
            </w:tcBorders>
          </w:tcPr>
          <w:p w14:paraId="1B3DA6E7" w14:textId="77777777" w:rsidR="003328CB" w:rsidRPr="003A41B3" w:rsidRDefault="003328CB" w:rsidP="003328CB">
            <w:pPr>
              <w:widowControl w:val="0"/>
              <w:autoSpaceDE w:val="0"/>
              <w:autoSpaceDN w:val="0"/>
              <w:adjustRightInd w:val="0"/>
              <w:jc w:val="right"/>
            </w:pPr>
          </w:p>
        </w:tc>
        <w:tc>
          <w:tcPr>
            <w:tcW w:w="1813" w:type="dxa"/>
            <w:tcBorders>
              <w:top w:val="nil"/>
              <w:left w:val="nil"/>
              <w:bottom w:val="nil"/>
              <w:right w:val="nil"/>
            </w:tcBorders>
            <w:shd w:val="clear" w:color="auto" w:fill="auto"/>
            <w:vAlign w:val="bottom"/>
          </w:tcPr>
          <w:p w14:paraId="2738AD68"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(-2.95)</w:t>
            </w:r>
          </w:p>
        </w:tc>
        <w:tc>
          <w:tcPr>
            <w:tcW w:w="1816" w:type="dxa"/>
            <w:tcBorders>
              <w:top w:val="nil"/>
              <w:left w:val="nil"/>
              <w:bottom w:val="nil"/>
              <w:right w:val="nil"/>
            </w:tcBorders>
            <w:shd w:val="clear" w:color="auto" w:fill="auto"/>
            <w:vAlign w:val="bottom"/>
          </w:tcPr>
          <w:p w14:paraId="44613F2E"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(0.77)</w:t>
            </w:r>
          </w:p>
        </w:tc>
        <w:tc>
          <w:tcPr>
            <w:tcW w:w="1813" w:type="dxa"/>
            <w:tcBorders>
              <w:top w:val="nil"/>
              <w:left w:val="nil"/>
              <w:bottom w:val="nil"/>
              <w:right w:val="nil"/>
            </w:tcBorders>
            <w:shd w:val="clear" w:color="auto" w:fill="auto"/>
            <w:vAlign w:val="bottom"/>
          </w:tcPr>
          <w:p w14:paraId="61C19DBA"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(0.12)</w:t>
            </w:r>
          </w:p>
        </w:tc>
        <w:tc>
          <w:tcPr>
            <w:tcW w:w="1813" w:type="dxa"/>
            <w:tcBorders>
              <w:top w:val="nil"/>
              <w:left w:val="nil"/>
              <w:bottom w:val="nil"/>
              <w:right w:val="nil"/>
            </w:tcBorders>
            <w:shd w:val="clear" w:color="auto" w:fill="auto"/>
            <w:vAlign w:val="bottom"/>
          </w:tcPr>
          <w:p w14:paraId="5BCCD67D"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(-0.43)</w:t>
            </w:r>
          </w:p>
        </w:tc>
        <w:tc>
          <w:tcPr>
            <w:tcW w:w="1813" w:type="dxa"/>
            <w:tcBorders>
              <w:top w:val="nil"/>
              <w:left w:val="nil"/>
              <w:bottom w:val="nil"/>
              <w:right w:val="nil"/>
            </w:tcBorders>
            <w:shd w:val="clear" w:color="auto" w:fill="auto"/>
            <w:vAlign w:val="bottom"/>
          </w:tcPr>
          <w:p w14:paraId="5C4D6528"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(-1.09)</w:t>
            </w:r>
          </w:p>
        </w:tc>
        <w:tc>
          <w:tcPr>
            <w:tcW w:w="1484" w:type="dxa"/>
            <w:tcBorders>
              <w:top w:val="nil"/>
              <w:left w:val="nil"/>
              <w:bottom w:val="nil"/>
              <w:right w:val="nil"/>
            </w:tcBorders>
            <w:shd w:val="clear" w:color="auto" w:fill="auto"/>
            <w:vAlign w:val="bottom"/>
          </w:tcPr>
          <w:p w14:paraId="202E9104"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(1.67)</w:t>
            </w:r>
          </w:p>
        </w:tc>
      </w:tr>
      <w:tr w:rsidR="001F74A2" w:rsidRPr="003A41B3" w14:paraId="6550488D" w14:textId="77777777" w:rsidTr="001718F2">
        <w:trPr>
          <w:trHeight w:val="301"/>
        </w:trPr>
        <w:tc>
          <w:tcPr>
            <w:tcW w:w="3132" w:type="dxa"/>
            <w:tcBorders>
              <w:top w:val="nil"/>
              <w:left w:val="nil"/>
              <w:bottom w:val="nil"/>
              <w:right w:val="nil"/>
            </w:tcBorders>
          </w:tcPr>
          <w:p w14:paraId="3EB8BC50" w14:textId="77777777" w:rsidR="003328CB" w:rsidRPr="003A41B3" w:rsidRDefault="003328CB" w:rsidP="003328CB">
            <w:pPr>
              <w:widowControl w:val="0"/>
              <w:autoSpaceDE w:val="0"/>
              <w:autoSpaceDN w:val="0"/>
              <w:adjustRightInd w:val="0"/>
              <w:rPr>
                <w:sz w:val="20"/>
                <w:szCs w:val="20"/>
              </w:rPr>
            </w:pPr>
            <w:r w:rsidRPr="003A41B3">
              <w:rPr>
                <w:sz w:val="20"/>
                <w:szCs w:val="20"/>
              </w:rPr>
              <w:t>∆Rating*EEB</w:t>
            </w:r>
          </w:p>
        </w:tc>
        <w:tc>
          <w:tcPr>
            <w:tcW w:w="1813" w:type="dxa"/>
            <w:tcBorders>
              <w:top w:val="nil"/>
              <w:left w:val="nil"/>
              <w:bottom w:val="nil"/>
              <w:right w:val="nil"/>
            </w:tcBorders>
            <w:shd w:val="clear" w:color="auto" w:fill="auto"/>
            <w:vAlign w:val="bottom"/>
          </w:tcPr>
          <w:p w14:paraId="501D1723" w14:textId="756953D8" w:rsidR="003328CB" w:rsidRPr="003A41B3" w:rsidRDefault="00AA6633" w:rsidP="003328CB">
            <w:pPr>
              <w:widowControl w:val="0"/>
              <w:autoSpaceDE w:val="0"/>
              <w:autoSpaceDN w:val="0"/>
              <w:adjustRightInd w:val="0"/>
              <w:jc w:val="center"/>
              <w:rPr>
                <w:sz w:val="20"/>
                <w:szCs w:val="20"/>
              </w:rPr>
            </w:pPr>
            <w:r w:rsidRPr="003A41B3">
              <w:rPr>
                <w:sz w:val="20"/>
                <w:szCs w:val="20"/>
              </w:rPr>
              <w:t>-3.297</w:t>
            </w:r>
            <w:r w:rsidR="003328CB" w:rsidRPr="003A41B3">
              <w:rPr>
                <w:sz w:val="20"/>
                <w:szCs w:val="20"/>
              </w:rPr>
              <w:t>**</w:t>
            </w:r>
          </w:p>
        </w:tc>
        <w:tc>
          <w:tcPr>
            <w:tcW w:w="1816" w:type="dxa"/>
            <w:tcBorders>
              <w:top w:val="nil"/>
              <w:left w:val="nil"/>
              <w:bottom w:val="nil"/>
              <w:right w:val="nil"/>
            </w:tcBorders>
            <w:shd w:val="clear" w:color="auto" w:fill="auto"/>
            <w:vAlign w:val="bottom"/>
          </w:tcPr>
          <w:p w14:paraId="070D7DE6" w14:textId="4F31A82E" w:rsidR="003328CB" w:rsidRPr="003A41B3" w:rsidRDefault="003328CB" w:rsidP="003328CB">
            <w:pPr>
              <w:widowControl w:val="0"/>
              <w:autoSpaceDE w:val="0"/>
              <w:autoSpaceDN w:val="0"/>
              <w:adjustRightInd w:val="0"/>
              <w:jc w:val="center"/>
              <w:rPr>
                <w:sz w:val="20"/>
                <w:szCs w:val="20"/>
              </w:rPr>
            </w:pPr>
            <w:r w:rsidRPr="003A41B3">
              <w:rPr>
                <w:sz w:val="20"/>
                <w:szCs w:val="20"/>
              </w:rPr>
              <w:t>0.660</w:t>
            </w:r>
          </w:p>
        </w:tc>
        <w:tc>
          <w:tcPr>
            <w:tcW w:w="1813" w:type="dxa"/>
            <w:tcBorders>
              <w:top w:val="nil"/>
              <w:left w:val="nil"/>
              <w:bottom w:val="nil"/>
              <w:right w:val="nil"/>
            </w:tcBorders>
            <w:shd w:val="clear" w:color="auto" w:fill="auto"/>
            <w:vAlign w:val="bottom"/>
          </w:tcPr>
          <w:p w14:paraId="2BA38E6A" w14:textId="2CBACEFD" w:rsidR="003328CB" w:rsidRPr="003A41B3" w:rsidRDefault="003328CB" w:rsidP="00AA6633">
            <w:pPr>
              <w:widowControl w:val="0"/>
              <w:autoSpaceDE w:val="0"/>
              <w:autoSpaceDN w:val="0"/>
              <w:adjustRightInd w:val="0"/>
              <w:jc w:val="center"/>
              <w:rPr>
                <w:sz w:val="20"/>
                <w:szCs w:val="20"/>
              </w:rPr>
            </w:pPr>
            <w:r w:rsidRPr="003A41B3">
              <w:rPr>
                <w:sz w:val="20"/>
                <w:szCs w:val="20"/>
              </w:rPr>
              <w:t>-4.70</w:t>
            </w:r>
            <w:r w:rsidR="00AA6633" w:rsidRPr="003A41B3">
              <w:rPr>
                <w:sz w:val="20"/>
                <w:szCs w:val="20"/>
              </w:rPr>
              <w:t>2</w:t>
            </w:r>
            <w:r w:rsidRPr="003A41B3">
              <w:rPr>
                <w:sz w:val="20"/>
                <w:szCs w:val="20"/>
              </w:rPr>
              <w:t>**</w:t>
            </w:r>
          </w:p>
        </w:tc>
        <w:tc>
          <w:tcPr>
            <w:tcW w:w="1813" w:type="dxa"/>
            <w:tcBorders>
              <w:top w:val="nil"/>
              <w:left w:val="nil"/>
              <w:bottom w:val="nil"/>
              <w:right w:val="nil"/>
            </w:tcBorders>
            <w:shd w:val="clear" w:color="auto" w:fill="auto"/>
            <w:vAlign w:val="bottom"/>
          </w:tcPr>
          <w:p w14:paraId="3C9B3247" w14:textId="36FBE4FB" w:rsidR="003328CB" w:rsidRPr="003A41B3" w:rsidRDefault="003328CB" w:rsidP="003328CB">
            <w:pPr>
              <w:widowControl w:val="0"/>
              <w:autoSpaceDE w:val="0"/>
              <w:autoSpaceDN w:val="0"/>
              <w:adjustRightInd w:val="0"/>
              <w:jc w:val="center"/>
              <w:rPr>
                <w:sz w:val="20"/>
                <w:szCs w:val="20"/>
              </w:rPr>
            </w:pPr>
            <w:r w:rsidRPr="003A41B3">
              <w:rPr>
                <w:sz w:val="20"/>
                <w:szCs w:val="20"/>
              </w:rPr>
              <w:t>-1.182</w:t>
            </w:r>
          </w:p>
        </w:tc>
        <w:tc>
          <w:tcPr>
            <w:tcW w:w="1813" w:type="dxa"/>
            <w:tcBorders>
              <w:top w:val="nil"/>
              <w:left w:val="nil"/>
              <w:bottom w:val="nil"/>
              <w:right w:val="nil"/>
            </w:tcBorders>
            <w:shd w:val="clear" w:color="auto" w:fill="auto"/>
            <w:vAlign w:val="bottom"/>
          </w:tcPr>
          <w:p w14:paraId="28E4A95B" w14:textId="4EE205EC" w:rsidR="003328CB" w:rsidRPr="003A41B3" w:rsidRDefault="00AA6633" w:rsidP="003328CB">
            <w:pPr>
              <w:widowControl w:val="0"/>
              <w:autoSpaceDE w:val="0"/>
              <w:autoSpaceDN w:val="0"/>
              <w:adjustRightInd w:val="0"/>
              <w:jc w:val="center"/>
              <w:rPr>
                <w:sz w:val="20"/>
                <w:szCs w:val="20"/>
              </w:rPr>
            </w:pPr>
            <w:r w:rsidRPr="003A41B3">
              <w:rPr>
                <w:sz w:val="20"/>
                <w:szCs w:val="20"/>
              </w:rPr>
              <w:t>0.78</w:t>
            </w:r>
            <w:r w:rsidR="003328CB" w:rsidRPr="003A41B3">
              <w:rPr>
                <w:sz w:val="20"/>
                <w:szCs w:val="20"/>
              </w:rPr>
              <w:t>5</w:t>
            </w:r>
          </w:p>
        </w:tc>
        <w:tc>
          <w:tcPr>
            <w:tcW w:w="1484" w:type="dxa"/>
            <w:tcBorders>
              <w:top w:val="nil"/>
              <w:left w:val="nil"/>
              <w:bottom w:val="nil"/>
              <w:right w:val="nil"/>
            </w:tcBorders>
            <w:shd w:val="clear" w:color="auto" w:fill="auto"/>
            <w:vAlign w:val="bottom"/>
          </w:tcPr>
          <w:p w14:paraId="6741E08C" w14:textId="422293D6" w:rsidR="003328CB" w:rsidRPr="003A41B3" w:rsidRDefault="003328CB" w:rsidP="00AA6633">
            <w:pPr>
              <w:widowControl w:val="0"/>
              <w:autoSpaceDE w:val="0"/>
              <w:autoSpaceDN w:val="0"/>
              <w:adjustRightInd w:val="0"/>
              <w:jc w:val="center"/>
              <w:rPr>
                <w:sz w:val="20"/>
                <w:szCs w:val="20"/>
              </w:rPr>
            </w:pPr>
            <w:r w:rsidRPr="003A41B3">
              <w:rPr>
                <w:sz w:val="20"/>
                <w:szCs w:val="20"/>
              </w:rPr>
              <w:t>7.58</w:t>
            </w:r>
            <w:r w:rsidR="00AA6633" w:rsidRPr="003A41B3">
              <w:rPr>
                <w:sz w:val="20"/>
                <w:szCs w:val="20"/>
              </w:rPr>
              <w:t>2</w:t>
            </w:r>
            <w:r w:rsidRPr="003A41B3">
              <w:rPr>
                <w:sz w:val="20"/>
                <w:szCs w:val="20"/>
              </w:rPr>
              <w:t>***</w:t>
            </w:r>
          </w:p>
        </w:tc>
      </w:tr>
      <w:tr w:rsidR="003328CB" w:rsidRPr="003A41B3" w14:paraId="0957D16D" w14:textId="77777777" w:rsidTr="001718F2">
        <w:trPr>
          <w:trHeight w:val="301"/>
        </w:trPr>
        <w:tc>
          <w:tcPr>
            <w:tcW w:w="3132" w:type="dxa"/>
            <w:tcBorders>
              <w:top w:val="nil"/>
              <w:left w:val="nil"/>
              <w:bottom w:val="nil"/>
              <w:right w:val="nil"/>
            </w:tcBorders>
          </w:tcPr>
          <w:p w14:paraId="53FC466D" w14:textId="77777777" w:rsidR="003328CB" w:rsidRPr="003A41B3" w:rsidRDefault="003328CB" w:rsidP="003328CB">
            <w:pPr>
              <w:widowControl w:val="0"/>
              <w:autoSpaceDE w:val="0"/>
              <w:autoSpaceDN w:val="0"/>
              <w:adjustRightInd w:val="0"/>
              <w:jc w:val="right"/>
            </w:pPr>
          </w:p>
        </w:tc>
        <w:tc>
          <w:tcPr>
            <w:tcW w:w="1813" w:type="dxa"/>
            <w:tcBorders>
              <w:top w:val="nil"/>
              <w:left w:val="nil"/>
              <w:bottom w:val="nil"/>
              <w:right w:val="nil"/>
            </w:tcBorders>
            <w:shd w:val="clear" w:color="auto" w:fill="auto"/>
            <w:vAlign w:val="bottom"/>
          </w:tcPr>
          <w:p w14:paraId="1026B172"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(-2.14)</w:t>
            </w:r>
          </w:p>
        </w:tc>
        <w:tc>
          <w:tcPr>
            <w:tcW w:w="1816" w:type="dxa"/>
            <w:tcBorders>
              <w:top w:val="nil"/>
              <w:left w:val="nil"/>
              <w:bottom w:val="nil"/>
              <w:right w:val="nil"/>
            </w:tcBorders>
            <w:shd w:val="clear" w:color="auto" w:fill="auto"/>
            <w:vAlign w:val="bottom"/>
          </w:tcPr>
          <w:p w14:paraId="377220D5"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(0.27)</w:t>
            </w:r>
          </w:p>
        </w:tc>
        <w:tc>
          <w:tcPr>
            <w:tcW w:w="1813" w:type="dxa"/>
            <w:tcBorders>
              <w:top w:val="nil"/>
              <w:left w:val="nil"/>
              <w:bottom w:val="nil"/>
              <w:right w:val="nil"/>
            </w:tcBorders>
            <w:shd w:val="clear" w:color="auto" w:fill="auto"/>
            <w:vAlign w:val="bottom"/>
          </w:tcPr>
          <w:p w14:paraId="30624A9F"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(-2.20)</w:t>
            </w:r>
          </w:p>
        </w:tc>
        <w:tc>
          <w:tcPr>
            <w:tcW w:w="1813" w:type="dxa"/>
            <w:tcBorders>
              <w:top w:val="nil"/>
              <w:left w:val="nil"/>
              <w:bottom w:val="nil"/>
              <w:right w:val="nil"/>
            </w:tcBorders>
            <w:shd w:val="clear" w:color="auto" w:fill="auto"/>
            <w:vAlign w:val="bottom"/>
          </w:tcPr>
          <w:p w14:paraId="45D574ED"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(-0.31)</w:t>
            </w:r>
          </w:p>
        </w:tc>
        <w:tc>
          <w:tcPr>
            <w:tcW w:w="1813" w:type="dxa"/>
            <w:tcBorders>
              <w:top w:val="nil"/>
              <w:left w:val="nil"/>
              <w:bottom w:val="nil"/>
              <w:right w:val="nil"/>
            </w:tcBorders>
            <w:shd w:val="clear" w:color="auto" w:fill="auto"/>
            <w:vAlign w:val="bottom"/>
          </w:tcPr>
          <w:p w14:paraId="28F386A9"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(0.61)</w:t>
            </w:r>
          </w:p>
        </w:tc>
        <w:tc>
          <w:tcPr>
            <w:tcW w:w="1484" w:type="dxa"/>
            <w:tcBorders>
              <w:top w:val="nil"/>
              <w:left w:val="nil"/>
              <w:bottom w:val="nil"/>
              <w:right w:val="nil"/>
            </w:tcBorders>
            <w:shd w:val="clear" w:color="auto" w:fill="auto"/>
            <w:vAlign w:val="bottom"/>
          </w:tcPr>
          <w:p w14:paraId="2181BDB7"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(3.16)</w:t>
            </w:r>
          </w:p>
        </w:tc>
      </w:tr>
      <w:tr w:rsidR="001F74A2" w:rsidRPr="003A41B3" w14:paraId="28FD4DAA" w14:textId="77777777" w:rsidTr="001718F2">
        <w:trPr>
          <w:trHeight w:val="301"/>
        </w:trPr>
        <w:tc>
          <w:tcPr>
            <w:tcW w:w="3132" w:type="dxa"/>
            <w:tcBorders>
              <w:top w:val="nil"/>
              <w:left w:val="nil"/>
              <w:bottom w:val="nil"/>
              <w:right w:val="nil"/>
            </w:tcBorders>
          </w:tcPr>
          <w:p w14:paraId="090A0211" w14:textId="77777777" w:rsidR="003328CB" w:rsidRPr="003A41B3" w:rsidRDefault="003328CB" w:rsidP="003328CB">
            <w:pPr>
              <w:widowControl w:val="0"/>
              <w:autoSpaceDE w:val="0"/>
              <w:autoSpaceDN w:val="0"/>
              <w:adjustRightInd w:val="0"/>
              <w:rPr>
                <w:sz w:val="20"/>
                <w:szCs w:val="20"/>
              </w:rPr>
            </w:pPr>
            <w:r w:rsidRPr="003A41B3">
              <w:rPr>
                <w:sz w:val="20"/>
                <w:szCs w:val="20"/>
              </w:rPr>
              <w:t>∆Rating*EE</w:t>
            </w:r>
          </w:p>
        </w:tc>
        <w:tc>
          <w:tcPr>
            <w:tcW w:w="1813" w:type="dxa"/>
            <w:tcBorders>
              <w:top w:val="nil"/>
              <w:left w:val="nil"/>
              <w:bottom w:val="nil"/>
              <w:right w:val="nil"/>
            </w:tcBorders>
            <w:shd w:val="clear" w:color="auto" w:fill="auto"/>
            <w:vAlign w:val="bottom"/>
          </w:tcPr>
          <w:p w14:paraId="5FFDF3E1" w14:textId="78D75B6E" w:rsidR="003328CB" w:rsidRPr="003A41B3" w:rsidRDefault="003328CB" w:rsidP="003328CB">
            <w:pPr>
              <w:widowControl w:val="0"/>
              <w:autoSpaceDE w:val="0"/>
              <w:autoSpaceDN w:val="0"/>
              <w:adjustRightInd w:val="0"/>
              <w:jc w:val="center"/>
              <w:rPr>
                <w:sz w:val="20"/>
                <w:szCs w:val="20"/>
              </w:rPr>
            </w:pPr>
            <w:r w:rsidRPr="003A41B3">
              <w:rPr>
                <w:sz w:val="20"/>
                <w:szCs w:val="20"/>
              </w:rPr>
              <w:t>2.722</w:t>
            </w:r>
          </w:p>
        </w:tc>
        <w:tc>
          <w:tcPr>
            <w:tcW w:w="1816" w:type="dxa"/>
            <w:tcBorders>
              <w:top w:val="nil"/>
              <w:left w:val="nil"/>
              <w:bottom w:val="nil"/>
              <w:right w:val="nil"/>
            </w:tcBorders>
            <w:shd w:val="clear" w:color="auto" w:fill="auto"/>
            <w:vAlign w:val="bottom"/>
          </w:tcPr>
          <w:p w14:paraId="2C81F74D" w14:textId="5450C9E4" w:rsidR="003328CB" w:rsidRPr="003A41B3" w:rsidRDefault="003328CB" w:rsidP="003328CB">
            <w:pPr>
              <w:widowControl w:val="0"/>
              <w:autoSpaceDE w:val="0"/>
              <w:autoSpaceDN w:val="0"/>
              <w:adjustRightInd w:val="0"/>
              <w:jc w:val="center"/>
              <w:rPr>
                <w:sz w:val="20"/>
                <w:szCs w:val="20"/>
              </w:rPr>
            </w:pPr>
            <w:r w:rsidRPr="003A41B3">
              <w:rPr>
                <w:sz w:val="20"/>
                <w:szCs w:val="20"/>
              </w:rPr>
              <w:t>2.288</w:t>
            </w:r>
          </w:p>
        </w:tc>
        <w:tc>
          <w:tcPr>
            <w:tcW w:w="1813" w:type="dxa"/>
            <w:tcBorders>
              <w:top w:val="nil"/>
              <w:left w:val="nil"/>
              <w:bottom w:val="nil"/>
              <w:right w:val="nil"/>
            </w:tcBorders>
            <w:shd w:val="clear" w:color="auto" w:fill="auto"/>
            <w:vAlign w:val="bottom"/>
          </w:tcPr>
          <w:p w14:paraId="10F9026B" w14:textId="02A3AA86" w:rsidR="003328CB" w:rsidRPr="003A41B3" w:rsidRDefault="00AA6633" w:rsidP="003328CB">
            <w:pPr>
              <w:widowControl w:val="0"/>
              <w:autoSpaceDE w:val="0"/>
              <w:autoSpaceDN w:val="0"/>
              <w:adjustRightInd w:val="0"/>
              <w:jc w:val="center"/>
              <w:rPr>
                <w:sz w:val="20"/>
                <w:szCs w:val="20"/>
              </w:rPr>
            </w:pPr>
            <w:r w:rsidRPr="003A41B3">
              <w:rPr>
                <w:sz w:val="20"/>
                <w:szCs w:val="20"/>
              </w:rPr>
              <w:t>5.005</w:t>
            </w:r>
            <w:r w:rsidR="003328CB" w:rsidRPr="003A41B3">
              <w:rPr>
                <w:sz w:val="20"/>
                <w:szCs w:val="20"/>
              </w:rPr>
              <w:t>**</w:t>
            </w:r>
          </w:p>
        </w:tc>
        <w:tc>
          <w:tcPr>
            <w:tcW w:w="1813" w:type="dxa"/>
            <w:tcBorders>
              <w:top w:val="nil"/>
              <w:left w:val="nil"/>
              <w:bottom w:val="nil"/>
              <w:right w:val="nil"/>
            </w:tcBorders>
            <w:shd w:val="clear" w:color="auto" w:fill="auto"/>
            <w:vAlign w:val="bottom"/>
          </w:tcPr>
          <w:p w14:paraId="3BDE7440" w14:textId="4583494D" w:rsidR="003328CB" w:rsidRPr="003A41B3" w:rsidRDefault="003328CB" w:rsidP="003328CB">
            <w:pPr>
              <w:widowControl w:val="0"/>
              <w:autoSpaceDE w:val="0"/>
              <w:autoSpaceDN w:val="0"/>
              <w:adjustRightInd w:val="0"/>
              <w:jc w:val="center"/>
              <w:rPr>
                <w:sz w:val="20"/>
                <w:szCs w:val="20"/>
              </w:rPr>
            </w:pPr>
            <w:r w:rsidRPr="003A41B3">
              <w:rPr>
                <w:sz w:val="20"/>
                <w:szCs w:val="20"/>
              </w:rPr>
              <w:t>5</w:t>
            </w:r>
            <w:r w:rsidR="00AA6633" w:rsidRPr="003A41B3">
              <w:rPr>
                <w:sz w:val="20"/>
                <w:szCs w:val="20"/>
              </w:rPr>
              <w:t>.569</w:t>
            </w:r>
          </w:p>
        </w:tc>
        <w:tc>
          <w:tcPr>
            <w:tcW w:w="1813" w:type="dxa"/>
            <w:tcBorders>
              <w:top w:val="nil"/>
              <w:left w:val="nil"/>
              <w:bottom w:val="nil"/>
              <w:right w:val="nil"/>
            </w:tcBorders>
            <w:shd w:val="clear" w:color="auto" w:fill="auto"/>
            <w:vAlign w:val="bottom"/>
          </w:tcPr>
          <w:p w14:paraId="601E89A0" w14:textId="3016616E" w:rsidR="003328CB" w:rsidRPr="003A41B3" w:rsidRDefault="003328CB" w:rsidP="00AA6633">
            <w:pPr>
              <w:widowControl w:val="0"/>
              <w:autoSpaceDE w:val="0"/>
              <w:autoSpaceDN w:val="0"/>
              <w:adjustRightInd w:val="0"/>
              <w:jc w:val="center"/>
              <w:rPr>
                <w:sz w:val="20"/>
                <w:szCs w:val="20"/>
              </w:rPr>
            </w:pPr>
            <w:r w:rsidRPr="003A41B3">
              <w:rPr>
                <w:sz w:val="20"/>
                <w:szCs w:val="20"/>
              </w:rPr>
              <w:t>0.39</w:t>
            </w:r>
            <w:r w:rsidR="00AA6633" w:rsidRPr="003A41B3">
              <w:rPr>
                <w:sz w:val="20"/>
                <w:szCs w:val="20"/>
              </w:rPr>
              <w:t>1</w:t>
            </w:r>
          </w:p>
        </w:tc>
        <w:tc>
          <w:tcPr>
            <w:tcW w:w="1484" w:type="dxa"/>
            <w:tcBorders>
              <w:top w:val="nil"/>
              <w:left w:val="nil"/>
              <w:bottom w:val="nil"/>
              <w:right w:val="nil"/>
            </w:tcBorders>
            <w:shd w:val="clear" w:color="auto" w:fill="auto"/>
            <w:vAlign w:val="bottom"/>
          </w:tcPr>
          <w:p w14:paraId="0E9298D1" w14:textId="7D90A14E" w:rsidR="003328CB" w:rsidRPr="003A41B3" w:rsidRDefault="003328CB" w:rsidP="00AA6633">
            <w:pPr>
              <w:widowControl w:val="0"/>
              <w:autoSpaceDE w:val="0"/>
              <w:autoSpaceDN w:val="0"/>
              <w:adjustRightInd w:val="0"/>
              <w:jc w:val="center"/>
              <w:rPr>
                <w:sz w:val="20"/>
                <w:szCs w:val="20"/>
              </w:rPr>
            </w:pPr>
            <w:r w:rsidRPr="003A41B3">
              <w:rPr>
                <w:sz w:val="20"/>
                <w:szCs w:val="20"/>
              </w:rPr>
              <w:t>-0.60</w:t>
            </w:r>
            <w:r w:rsidR="00AA6633" w:rsidRPr="003A41B3">
              <w:rPr>
                <w:sz w:val="20"/>
                <w:szCs w:val="20"/>
              </w:rPr>
              <w:t>1</w:t>
            </w:r>
          </w:p>
        </w:tc>
      </w:tr>
      <w:tr w:rsidR="003328CB" w:rsidRPr="003A41B3" w14:paraId="59AB1454" w14:textId="77777777" w:rsidTr="001718F2">
        <w:trPr>
          <w:trHeight w:val="301"/>
        </w:trPr>
        <w:tc>
          <w:tcPr>
            <w:tcW w:w="3132" w:type="dxa"/>
            <w:tcBorders>
              <w:top w:val="nil"/>
              <w:left w:val="nil"/>
              <w:bottom w:val="nil"/>
              <w:right w:val="nil"/>
            </w:tcBorders>
          </w:tcPr>
          <w:p w14:paraId="18992E07" w14:textId="77777777" w:rsidR="003328CB" w:rsidRPr="003A41B3" w:rsidRDefault="003328CB" w:rsidP="003328CB">
            <w:pPr>
              <w:widowControl w:val="0"/>
              <w:autoSpaceDE w:val="0"/>
              <w:autoSpaceDN w:val="0"/>
              <w:adjustRightInd w:val="0"/>
              <w:jc w:val="right"/>
              <w:rPr>
                <w:sz w:val="20"/>
                <w:szCs w:val="20"/>
              </w:rPr>
            </w:pPr>
          </w:p>
        </w:tc>
        <w:tc>
          <w:tcPr>
            <w:tcW w:w="1813" w:type="dxa"/>
            <w:tcBorders>
              <w:top w:val="nil"/>
              <w:left w:val="nil"/>
              <w:bottom w:val="nil"/>
              <w:right w:val="nil"/>
            </w:tcBorders>
            <w:shd w:val="clear" w:color="auto" w:fill="auto"/>
            <w:vAlign w:val="bottom"/>
          </w:tcPr>
          <w:p w14:paraId="47879005"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(1.27)</w:t>
            </w:r>
          </w:p>
        </w:tc>
        <w:tc>
          <w:tcPr>
            <w:tcW w:w="1816" w:type="dxa"/>
            <w:tcBorders>
              <w:top w:val="nil"/>
              <w:left w:val="nil"/>
              <w:bottom w:val="nil"/>
              <w:right w:val="nil"/>
            </w:tcBorders>
            <w:shd w:val="clear" w:color="auto" w:fill="auto"/>
            <w:vAlign w:val="bottom"/>
          </w:tcPr>
          <w:p w14:paraId="36ACE29D"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(0.81)</w:t>
            </w:r>
          </w:p>
        </w:tc>
        <w:tc>
          <w:tcPr>
            <w:tcW w:w="1813" w:type="dxa"/>
            <w:tcBorders>
              <w:top w:val="nil"/>
              <w:left w:val="nil"/>
              <w:bottom w:val="nil"/>
              <w:right w:val="nil"/>
            </w:tcBorders>
            <w:shd w:val="clear" w:color="auto" w:fill="auto"/>
            <w:vAlign w:val="bottom"/>
          </w:tcPr>
          <w:p w14:paraId="217E6FDD"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(1.98)</w:t>
            </w:r>
          </w:p>
        </w:tc>
        <w:tc>
          <w:tcPr>
            <w:tcW w:w="1813" w:type="dxa"/>
            <w:tcBorders>
              <w:top w:val="nil"/>
              <w:left w:val="nil"/>
              <w:bottom w:val="nil"/>
              <w:right w:val="nil"/>
            </w:tcBorders>
            <w:shd w:val="clear" w:color="auto" w:fill="auto"/>
            <w:vAlign w:val="bottom"/>
          </w:tcPr>
          <w:p w14:paraId="0A962810"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(1.38)</w:t>
            </w:r>
          </w:p>
        </w:tc>
        <w:tc>
          <w:tcPr>
            <w:tcW w:w="1813" w:type="dxa"/>
            <w:tcBorders>
              <w:top w:val="nil"/>
              <w:left w:val="nil"/>
              <w:bottom w:val="nil"/>
              <w:right w:val="nil"/>
            </w:tcBorders>
            <w:shd w:val="clear" w:color="auto" w:fill="auto"/>
            <w:vAlign w:val="bottom"/>
          </w:tcPr>
          <w:p w14:paraId="3D8B98D2"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(0.25)</w:t>
            </w:r>
          </w:p>
        </w:tc>
        <w:tc>
          <w:tcPr>
            <w:tcW w:w="1484" w:type="dxa"/>
            <w:tcBorders>
              <w:top w:val="nil"/>
              <w:left w:val="nil"/>
              <w:bottom w:val="nil"/>
              <w:right w:val="nil"/>
            </w:tcBorders>
            <w:shd w:val="clear" w:color="auto" w:fill="auto"/>
            <w:vAlign w:val="bottom"/>
          </w:tcPr>
          <w:p w14:paraId="2F72942B"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(-0.23)</w:t>
            </w:r>
          </w:p>
        </w:tc>
      </w:tr>
      <w:tr w:rsidR="001F74A2" w:rsidRPr="003A41B3" w14:paraId="01476680" w14:textId="77777777" w:rsidTr="001718F2">
        <w:trPr>
          <w:trHeight w:val="301"/>
        </w:trPr>
        <w:tc>
          <w:tcPr>
            <w:tcW w:w="3132" w:type="dxa"/>
            <w:tcBorders>
              <w:top w:val="nil"/>
              <w:left w:val="nil"/>
              <w:bottom w:val="nil"/>
              <w:right w:val="nil"/>
            </w:tcBorders>
          </w:tcPr>
          <w:p w14:paraId="1337CB23" w14:textId="77777777" w:rsidR="003328CB" w:rsidRPr="003A41B3" w:rsidRDefault="003328CB" w:rsidP="003328CB">
            <w:pPr>
              <w:widowControl w:val="0"/>
              <w:autoSpaceDE w:val="0"/>
              <w:autoSpaceDN w:val="0"/>
              <w:adjustRightInd w:val="0"/>
              <w:rPr>
                <w:sz w:val="20"/>
                <w:szCs w:val="20"/>
              </w:rPr>
            </w:pPr>
            <w:r w:rsidRPr="003A41B3">
              <w:rPr>
                <w:sz w:val="20"/>
                <w:szCs w:val="20"/>
              </w:rPr>
              <w:t>∆Rating*EU</w:t>
            </w:r>
          </w:p>
        </w:tc>
        <w:tc>
          <w:tcPr>
            <w:tcW w:w="1813" w:type="dxa"/>
            <w:tcBorders>
              <w:top w:val="nil"/>
              <w:left w:val="nil"/>
              <w:bottom w:val="nil"/>
              <w:right w:val="nil"/>
            </w:tcBorders>
            <w:shd w:val="clear" w:color="auto" w:fill="auto"/>
            <w:vAlign w:val="bottom"/>
          </w:tcPr>
          <w:p w14:paraId="5E78B16A" w14:textId="1DA747A8" w:rsidR="003328CB" w:rsidRPr="003A41B3" w:rsidRDefault="003328CB" w:rsidP="00AA6633">
            <w:pPr>
              <w:widowControl w:val="0"/>
              <w:autoSpaceDE w:val="0"/>
              <w:autoSpaceDN w:val="0"/>
              <w:adjustRightInd w:val="0"/>
              <w:jc w:val="center"/>
              <w:rPr>
                <w:sz w:val="20"/>
                <w:szCs w:val="20"/>
              </w:rPr>
            </w:pPr>
            <w:r w:rsidRPr="003A41B3">
              <w:rPr>
                <w:sz w:val="20"/>
                <w:szCs w:val="20"/>
              </w:rPr>
              <w:t>8.94</w:t>
            </w:r>
            <w:r w:rsidR="00AA6633" w:rsidRPr="003A41B3">
              <w:rPr>
                <w:sz w:val="20"/>
                <w:szCs w:val="20"/>
              </w:rPr>
              <w:t>6</w:t>
            </w:r>
            <w:r w:rsidRPr="003A41B3">
              <w:rPr>
                <w:sz w:val="20"/>
                <w:szCs w:val="20"/>
              </w:rPr>
              <w:t>***</w:t>
            </w:r>
          </w:p>
        </w:tc>
        <w:tc>
          <w:tcPr>
            <w:tcW w:w="1816" w:type="dxa"/>
            <w:tcBorders>
              <w:top w:val="nil"/>
              <w:left w:val="nil"/>
              <w:bottom w:val="nil"/>
              <w:right w:val="nil"/>
            </w:tcBorders>
            <w:shd w:val="clear" w:color="auto" w:fill="auto"/>
            <w:vAlign w:val="bottom"/>
          </w:tcPr>
          <w:p w14:paraId="573B1615" w14:textId="632D2B2E" w:rsidR="003328CB" w:rsidRPr="003A41B3" w:rsidRDefault="003328CB" w:rsidP="003328CB">
            <w:pPr>
              <w:widowControl w:val="0"/>
              <w:autoSpaceDE w:val="0"/>
              <w:autoSpaceDN w:val="0"/>
              <w:adjustRightInd w:val="0"/>
              <w:jc w:val="center"/>
              <w:rPr>
                <w:sz w:val="20"/>
                <w:szCs w:val="20"/>
              </w:rPr>
            </w:pPr>
            <w:r w:rsidRPr="003A41B3">
              <w:rPr>
                <w:sz w:val="20"/>
                <w:szCs w:val="20"/>
              </w:rPr>
              <w:t>1.413</w:t>
            </w:r>
          </w:p>
        </w:tc>
        <w:tc>
          <w:tcPr>
            <w:tcW w:w="1813" w:type="dxa"/>
            <w:tcBorders>
              <w:top w:val="nil"/>
              <w:left w:val="nil"/>
              <w:bottom w:val="nil"/>
              <w:right w:val="nil"/>
            </w:tcBorders>
            <w:shd w:val="clear" w:color="auto" w:fill="auto"/>
            <w:vAlign w:val="bottom"/>
          </w:tcPr>
          <w:p w14:paraId="10CB1706" w14:textId="74C7D0B5" w:rsidR="003328CB" w:rsidRPr="003A41B3" w:rsidRDefault="003328CB" w:rsidP="00AA6633">
            <w:pPr>
              <w:widowControl w:val="0"/>
              <w:autoSpaceDE w:val="0"/>
              <w:autoSpaceDN w:val="0"/>
              <w:adjustRightInd w:val="0"/>
              <w:jc w:val="center"/>
              <w:rPr>
                <w:sz w:val="20"/>
                <w:szCs w:val="20"/>
              </w:rPr>
            </w:pPr>
            <w:r w:rsidRPr="003A41B3">
              <w:rPr>
                <w:sz w:val="20"/>
                <w:szCs w:val="20"/>
              </w:rPr>
              <w:t>-1.05</w:t>
            </w:r>
            <w:r w:rsidR="00AA6633" w:rsidRPr="003A41B3">
              <w:rPr>
                <w:sz w:val="20"/>
                <w:szCs w:val="20"/>
              </w:rPr>
              <w:t>8</w:t>
            </w:r>
          </w:p>
        </w:tc>
        <w:tc>
          <w:tcPr>
            <w:tcW w:w="1813" w:type="dxa"/>
            <w:tcBorders>
              <w:top w:val="nil"/>
              <w:left w:val="nil"/>
              <w:bottom w:val="nil"/>
              <w:right w:val="nil"/>
            </w:tcBorders>
            <w:shd w:val="clear" w:color="auto" w:fill="auto"/>
            <w:vAlign w:val="bottom"/>
          </w:tcPr>
          <w:p w14:paraId="5A3EEA2A" w14:textId="30F4F053" w:rsidR="003328CB" w:rsidRPr="003A41B3" w:rsidRDefault="003328CB" w:rsidP="00AA6633">
            <w:pPr>
              <w:widowControl w:val="0"/>
              <w:autoSpaceDE w:val="0"/>
              <w:autoSpaceDN w:val="0"/>
              <w:adjustRightInd w:val="0"/>
              <w:jc w:val="center"/>
              <w:rPr>
                <w:sz w:val="20"/>
                <w:szCs w:val="20"/>
              </w:rPr>
            </w:pPr>
            <w:r w:rsidRPr="003A41B3">
              <w:rPr>
                <w:sz w:val="20"/>
                <w:szCs w:val="20"/>
              </w:rPr>
              <w:t>12.64</w:t>
            </w:r>
            <w:r w:rsidR="00AA6633" w:rsidRPr="003A41B3">
              <w:rPr>
                <w:sz w:val="20"/>
                <w:szCs w:val="20"/>
              </w:rPr>
              <w:t>6</w:t>
            </w:r>
          </w:p>
        </w:tc>
        <w:tc>
          <w:tcPr>
            <w:tcW w:w="1813" w:type="dxa"/>
            <w:tcBorders>
              <w:top w:val="nil"/>
              <w:left w:val="nil"/>
              <w:bottom w:val="nil"/>
              <w:right w:val="nil"/>
            </w:tcBorders>
            <w:shd w:val="clear" w:color="auto" w:fill="auto"/>
            <w:vAlign w:val="bottom"/>
          </w:tcPr>
          <w:p w14:paraId="3AAA34CF" w14:textId="565A38F5" w:rsidR="003328CB" w:rsidRPr="003A41B3" w:rsidRDefault="003328CB" w:rsidP="00AA6633">
            <w:pPr>
              <w:widowControl w:val="0"/>
              <w:autoSpaceDE w:val="0"/>
              <w:autoSpaceDN w:val="0"/>
              <w:adjustRightInd w:val="0"/>
              <w:jc w:val="center"/>
              <w:rPr>
                <w:sz w:val="20"/>
                <w:szCs w:val="20"/>
              </w:rPr>
            </w:pPr>
            <w:r w:rsidRPr="003A41B3">
              <w:rPr>
                <w:sz w:val="20"/>
                <w:szCs w:val="20"/>
              </w:rPr>
              <w:t>1.23</w:t>
            </w:r>
            <w:r w:rsidR="00AA6633" w:rsidRPr="003A41B3">
              <w:rPr>
                <w:sz w:val="20"/>
                <w:szCs w:val="20"/>
              </w:rPr>
              <w:t>7</w:t>
            </w:r>
          </w:p>
        </w:tc>
        <w:tc>
          <w:tcPr>
            <w:tcW w:w="1484" w:type="dxa"/>
            <w:tcBorders>
              <w:top w:val="nil"/>
              <w:left w:val="nil"/>
              <w:bottom w:val="nil"/>
              <w:right w:val="nil"/>
            </w:tcBorders>
            <w:shd w:val="clear" w:color="auto" w:fill="auto"/>
            <w:vAlign w:val="bottom"/>
          </w:tcPr>
          <w:p w14:paraId="2EB8C417" w14:textId="037F14EC" w:rsidR="003328CB" w:rsidRPr="003A41B3" w:rsidRDefault="003328CB" w:rsidP="00AA6633">
            <w:pPr>
              <w:widowControl w:val="0"/>
              <w:autoSpaceDE w:val="0"/>
              <w:autoSpaceDN w:val="0"/>
              <w:adjustRightInd w:val="0"/>
              <w:jc w:val="center"/>
              <w:rPr>
                <w:sz w:val="20"/>
                <w:szCs w:val="20"/>
              </w:rPr>
            </w:pPr>
            <w:r w:rsidRPr="003A41B3">
              <w:rPr>
                <w:sz w:val="20"/>
                <w:szCs w:val="20"/>
              </w:rPr>
              <w:t>-1.3</w:t>
            </w:r>
            <w:r w:rsidR="00AA6633" w:rsidRPr="003A41B3">
              <w:rPr>
                <w:sz w:val="20"/>
                <w:szCs w:val="20"/>
              </w:rPr>
              <w:t>30</w:t>
            </w:r>
          </w:p>
        </w:tc>
      </w:tr>
      <w:tr w:rsidR="003328CB" w:rsidRPr="003A41B3" w14:paraId="7E591BDE" w14:textId="77777777" w:rsidTr="001718F2">
        <w:trPr>
          <w:trHeight w:val="301"/>
        </w:trPr>
        <w:tc>
          <w:tcPr>
            <w:tcW w:w="3132" w:type="dxa"/>
            <w:tcBorders>
              <w:top w:val="nil"/>
              <w:left w:val="nil"/>
              <w:bottom w:val="nil"/>
              <w:right w:val="nil"/>
            </w:tcBorders>
          </w:tcPr>
          <w:p w14:paraId="2B33DC32" w14:textId="77777777" w:rsidR="003328CB" w:rsidRPr="003A41B3" w:rsidRDefault="003328CB" w:rsidP="003328CB">
            <w:pPr>
              <w:widowControl w:val="0"/>
              <w:autoSpaceDE w:val="0"/>
              <w:autoSpaceDN w:val="0"/>
              <w:adjustRightInd w:val="0"/>
              <w:rPr>
                <w:sz w:val="20"/>
                <w:szCs w:val="20"/>
              </w:rPr>
            </w:pPr>
          </w:p>
        </w:tc>
        <w:tc>
          <w:tcPr>
            <w:tcW w:w="1813" w:type="dxa"/>
            <w:tcBorders>
              <w:top w:val="nil"/>
              <w:left w:val="nil"/>
              <w:bottom w:val="nil"/>
              <w:right w:val="nil"/>
            </w:tcBorders>
            <w:shd w:val="clear" w:color="auto" w:fill="auto"/>
            <w:vAlign w:val="bottom"/>
          </w:tcPr>
          <w:p w14:paraId="7F933DA2"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(2.70)</w:t>
            </w:r>
          </w:p>
        </w:tc>
        <w:tc>
          <w:tcPr>
            <w:tcW w:w="1816" w:type="dxa"/>
            <w:tcBorders>
              <w:top w:val="nil"/>
              <w:left w:val="nil"/>
              <w:bottom w:val="nil"/>
              <w:right w:val="nil"/>
            </w:tcBorders>
            <w:shd w:val="clear" w:color="auto" w:fill="auto"/>
            <w:vAlign w:val="bottom"/>
          </w:tcPr>
          <w:p w14:paraId="4EB06287"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(0.66)</w:t>
            </w:r>
          </w:p>
        </w:tc>
        <w:tc>
          <w:tcPr>
            <w:tcW w:w="1813" w:type="dxa"/>
            <w:tcBorders>
              <w:top w:val="nil"/>
              <w:left w:val="nil"/>
              <w:bottom w:val="nil"/>
              <w:right w:val="nil"/>
            </w:tcBorders>
            <w:shd w:val="clear" w:color="auto" w:fill="auto"/>
            <w:vAlign w:val="bottom"/>
          </w:tcPr>
          <w:p w14:paraId="5FC0C236"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(-0.22)</w:t>
            </w:r>
          </w:p>
        </w:tc>
        <w:tc>
          <w:tcPr>
            <w:tcW w:w="1813" w:type="dxa"/>
            <w:tcBorders>
              <w:top w:val="nil"/>
              <w:left w:val="nil"/>
              <w:bottom w:val="nil"/>
              <w:right w:val="nil"/>
            </w:tcBorders>
            <w:shd w:val="clear" w:color="auto" w:fill="auto"/>
            <w:vAlign w:val="bottom"/>
          </w:tcPr>
          <w:p w14:paraId="00E78469"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(1.49)</w:t>
            </w:r>
          </w:p>
        </w:tc>
        <w:tc>
          <w:tcPr>
            <w:tcW w:w="1813" w:type="dxa"/>
            <w:tcBorders>
              <w:top w:val="nil"/>
              <w:left w:val="nil"/>
              <w:bottom w:val="nil"/>
              <w:right w:val="nil"/>
            </w:tcBorders>
            <w:shd w:val="clear" w:color="auto" w:fill="auto"/>
            <w:vAlign w:val="bottom"/>
          </w:tcPr>
          <w:p w14:paraId="4CCF6E1C"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(0.59)</w:t>
            </w:r>
          </w:p>
        </w:tc>
        <w:tc>
          <w:tcPr>
            <w:tcW w:w="1484" w:type="dxa"/>
            <w:tcBorders>
              <w:top w:val="nil"/>
              <w:left w:val="nil"/>
              <w:bottom w:val="nil"/>
              <w:right w:val="nil"/>
            </w:tcBorders>
            <w:shd w:val="clear" w:color="auto" w:fill="auto"/>
            <w:vAlign w:val="bottom"/>
          </w:tcPr>
          <w:p w14:paraId="4CC00A54"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(-0.71)</w:t>
            </w:r>
          </w:p>
        </w:tc>
      </w:tr>
      <w:tr w:rsidR="003328CB" w:rsidRPr="003A41B3" w14:paraId="06A62857" w14:textId="77777777" w:rsidTr="001718F2">
        <w:trPr>
          <w:trHeight w:val="301"/>
        </w:trPr>
        <w:tc>
          <w:tcPr>
            <w:tcW w:w="3132" w:type="dxa"/>
            <w:tcBorders>
              <w:top w:val="nil"/>
              <w:left w:val="nil"/>
              <w:bottom w:val="nil"/>
              <w:right w:val="nil"/>
            </w:tcBorders>
          </w:tcPr>
          <w:p w14:paraId="3B8F0E4F" w14:textId="77777777" w:rsidR="003328CB" w:rsidRPr="003A41B3" w:rsidRDefault="003328CB" w:rsidP="003328CB">
            <w:pPr>
              <w:widowControl w:val="0"/>
              <w:autoSpaceDE w:val="0"/>
              <w:autoSpaceDN w:val="0"/>
              <w:adjustRightInd w:val="0"/>
              <w:rPr>
                <w:sz w:val="20"/>
                <w:szCs w:val="20"/>
              </w:rPr>
            </w:pPr>
            <w:r w:rsidRPr="003A41B3">
              <w:rPr>
                <w:sz w:val="20"/>
                <w:szCs w:val="20"/>
              </w:rPr>
              <w:t>Rating58</w:t>
            </w:r>
          </w:p>
        </w:tc>
        <w:tc>
          <w:tcPr>
            <w:tcW w:w="1813" w:type="dxa"/>
            <w:tcBorders>
              <w:top w:val="nil"/>
              <w:left w:val="nil"/>
              <w:bottom w:val="nil"/>
              <w:right w:val="nil"/>
            </w:tcBorders>
            <w:shd w:val="clear" w:color="auto" w:fill="auto"/>
            <w:vAlign w:val="bottom"/>
          </w:tcPr>
          <w:p w14:paraId="7A24AD82" w14:textId="649FF5F2" w:rsidR="003328CB" w:rsidRPr="003A41B3" w:rsidRDefault="003328CB" w:rsidP="00AA6633">
            <w:pPr>
              <w:widowControl w:val="0"/>
              <w:autoSpaceDE w:val="0"/>
              <w:autoSpaceDN w:val="0"/>
              <w:adjustRightInd w:val="0"/>
              <w:jc w:val="center"/>
              <w:rPr>
                <w:sz w:val="20"/>
                <w:szCs w:val="20"/>
              </w:rPr>
            </w:pPr>
            <w:r w:rsidRPr="003A41B3">
              <w:rPr>
                <w:sz w:val="20"/>
                <w:szCs w:val="20"/>
              </w:rPr>
              <w:t>0.18</w:t>
            </w:r>
            <w:r w:rsidR="00AA6633" w:rsidRPr="003A41B3">
              <w:rPr>
                <w:sz w:val="20"/>
                <w:szCs w:val="20"/>
              </w:rPr>
              <w:t>4</w:t>
            </w:r>
          </w:p>
        </w:tc>
        <w:tc>
          <w:tcPr>
            <w:tcW w:w="1816" w:type="dxa"/>
            <w:tcBorders>
              <w:top w:val="nil"/>
              <w:left w:val="nil"/>
              <w:bottom w:val="nil"/>
              <w:right w:val="nil"/>
            </w:tcBorders>
            <w:shd w:val="clear" w:color="auto" w:fill="auto"/>
            <w:vAlign w:val="bottom"/>
          </w:tcPr>
          <w:p w14:paraId="6C2158FF" w14:textId="4B4C05C6" w:rsidR="003328CB" w:rsidRPr="003A41B3" w:rsidRDefault="003328CB" w:rsidP="00AA6633">
            <w:pPr>
              <w:widowControl w:val="0"/>
              <w:autoSpaceDE w:val="0"/>
              <w:autoSpaceDN w:val="0"/>
              <w:adjustRightInd w:val="0"/>
              <w:jc w:val="center"/>
              <w:rPr>
                <w:sz w:val="20"/>
                <w:szCs w:val="20"/>
              </w:rPr>
            </w:pPr>
            <w:r w:rsidRPr="003A41B3">
              <w:rPr>
                <w:sz w:val="20"/>
                <w:szCs w:val="20"/>
              </w:rPr>
              <w:t>0.46</w:t>
            </w:r>
            <w:r w:rsidR="00AA6633" w:rsidRPr="003A41B3">
              <w:rPr>
                <w:sz w:val="20"/>
                <w:szCs w:val="20"/>
              </w:rPr>
              <w:t>8</w:t>
            </w:r>
          </w:p>
        </w:tc>
        <w:tc>
          <w:tcPr>
            <w:tcW w:w="1813" w:type="dxa"/>
            <w:tcBorders>
              <w:top w:val="nil"/>
              <w:left w:val="nil"/>
              <w:bottom w:val="nil"/>
              <w:right w:val="nil"/>
            </w:tcBorders>
            <w:shd w:val="clear" w:color="auto" w:fill="auto"/>
            <w:vAlign w:val="bottom"/>
          </w:tcPr>
          <w:p w14:paraId="566029BE" w14:textId="15C6832C" w:rsidR="003328CB" w:rsidRPr="003A41B3" w:rsidRDefault="003328CB" w:rsidP="00AA6633">
            <w:pPr>
              <w:widowControl w:val="0"/>
              <w:autoSpaceDE w:val="0"/>
              <w:autoSpaceDN w:val="0"/>
              <w:adjustRightInd w:val="0"/>
              <w:jc w:val="center"/>
              <w:rPr>
                <w:sz w:val="20"/>
                <w:szCs w:val="20"/>
              </w:rPr>
            </w:pPr>
            <w:r w:rsidRPr="003A41B3">
              <w:rPr>
                <w:sz w:val="20"/>
                <w:szCs w:val="20"/>
              </w:rPr>
              <w:t>-0.29</w:t>
            </w:r>
            <w:r w:rsidR="00AA6633" w:rsidRPr="003A41B3">
              <w:rPr>
                <w:sz w:val="20"/>
                <w:szCs w:val="20"/>
              </w:rPr>
              <w:t>7</w:t>
            </w:r>
          </w:p>
        </w:tc>
        <w:tc>
          <w:tcPr>
            <w:tcW w:w="1813" w:type="dxa"/>
            <w:tcBorders>
              <w:top w:val="nil"/>
              <w:left w:val="nil"/>
              <w:bottom w:val="nil"/>
              <w:right w:val="nil"/>
            </w:tcBorders>
            <w:shd w:val="clear" w:color="auto" w:fill="auto"/>
            <w:vAlign w:val="bottom"/>
          </w:tcPr>
          <w:p w14:paraId="422E48A6" w14:textId="1C395995" w:rsidR="003328CB" w:rsidRPr="003A41B3" w:rsidRDefault="003328CB" w:rsidP="003328CB">
            <w:pPr>
              <w:widowControl w:val="0"/>
              <w:autoSpaceDE w:val="0"/>
              <w:autoSpaceDN w:val="0"/>
              <w:adjustRightInd w:val="0"/>
              <w:jc w:val="center"/>
              <w:rPr>
                <w:sz w:val="20"/>
                <w:szCs w:val="20"/>
              </w:rPr>
            </w:pPr>
            <w:r w:rsidRPr="003A41B3">
              <w:rPr>
                <w:sz w:val="20"/>
                <w:szCs w:val="20"/>
              </w:rPr>
              <w:t>0.490</w:t>
            </w:r>
          </w:p>
        </w:tc>
        <w:tc>
          <w:tcPr>
            <w:tcW w:w="1813" w:type="dxa"/>
            <w:tcBorders>
              <w:top w:val="nil"/>
              <w:left w:val="nil"/>
              <w:bottom w:val="nil"/>
              <w:right w:val="nil"/>
            </w:tcBorders>
            <w:shd w:val="clear" w:color="auto" w:fill="auto"/>
            <w:vAlign w:val="bottom"/>
          </w:tcPr>
          <w:p w14:paraId="04A5CDFE" w14:textId="2851C6C8" w:rsidR="003328CB" w:rsidRPr="003A41B3" w:rsidRDefault="00AA6633" w:rsidP="003328CB">
            <w:pPr>
              <w:widowControl w:val="0"/>
              <w:autoSpaceDE w:val="0"/>
              <w:autoSpaceDN w:val="0"/>
              <w:adjustRightInd w:val="0"/>
              <w:jc w:val="center"/>
              <w:rPr>
                <w:sz w:val="20"/>
                <w:szCs w:val="20"/>
              </w:rPr>
            </w:pPr>
            <w:r w:rsidRPr="003A41B3">
              <w:rPr>
                <w:sz w:val="20"/>
                <w:szCs w:val="20"/>
              </w:rPr>
              <w:t>-0.371</w:t>
            </w:r>
            <w:r w:rsidR="003328CB" w:rsidRPr="003A41B3">
              <w:rPr>
                <w:sz w:val="20"/>
                <w:szCs w:val="20"/>
              </w:rPr>
              <w:t>*</w:t>
            </w:r>
          </w:p>
        </w:tc>
        <w:tc>
          <w:tcPr>
            <w:tcW w:w="1484" w:type="dxa"/>
            <w:tcBorders>
              <w:top w:val="nil"/>
              <w:left w:val="nil"/>
              <w:bottom w:val="nil"/>
              <w:right w:val="nil"/>
            </w:tcBorders>
            <w:shd w:val="clear" w:color="auto" w:fill="auto"/>
            <w:vAlign w:val="bottom"/>
          </w:tcPr>
          <w:p w14:paraId="67DC39E6" w14:textId="2A7EE562" w:rsidR="003328CB" w:rsidRPr="003A41B3" w:rsidRDefault="003328CB" w:rsidP="003328CB">
            <w:pPr>
              <w:widowControl w:val="0"/>
              <w:autoSpaceDE w:val="0"/>
              <w:autoSpaceDN w:val="0"/>
              <w:adjustRightInd w:val="0"/>
              <w:jc w:val="center"/>
              <w:rPr>
                <w:sz w:val="20"/>
                <w:szCs w:val="20"/>
              </w:rPr>
            </w:pPr>
            <w:r w:rsidRPr="003A41B3">
              <w:rPr>
                <w:sz w:val="20"/>
                <w:szCs w:val="20"/>
              </w:rPr>
              <w:t>0.060</w:t>
            </w:r>
          </w:p>
        </w:tc>
      </w:tr>
      <w:tr w:rsidR="003328CB" w:rsidRPr="003A41B3" w14:paraId="6674488E" w14:textId="77777777" w:rsidTr="001718F2">
        <w:trPr>
          <w:trHeight w:val="301"/>
        </w:trPr>
        <w:tc>
          <w:tcPr>
            <w:tcW w:w="3132" w:type="dxa"/>
            <w:tcBorders>
              <w:top w:val="nil"/>
              <w:left w:val="nil"/>
              <w:bottom w:val="nil"/>
              <w:right w:val="nil"/>
            </w:tcBorders>
          </w:tcPr>
          <w:p w14:paraId="2F6647C8" w14:textId="77777777" w:rsidR="003328CB" w:rsidRPr="003A41B3" w:rsidRDefault="003328CB" w:rsidP="003328CB">
            <w:pPr>
              <w:widowControl w:val="0"/>
              <w:autoSpaceDE w:val="0"/>
              <w:autoSpaceDN w:val="0"/>
              <w:adjustRightInd w:val="0"/>
              <w:jc w:val="right"/>
            </w:pPr>
          </w:p>
        </w:tc>
        <w:tc>
          <w:tcPr>
            <w:tcW w:w="1813" w:type="dxa"/>
            <w:tcBorders>
              <w:top w:val="nil"/>
              <w:left w:val="nil"/>
              <w:bottom w:val="nil"/>
              <w:right w:val="nil"/>
            </w:tcBorders>
            <w:shd w:val="clear" w:color="auto" w:fill="auto"/>
            <w:vAlign w:val="bottom"/>
          </w:tcPr>
          <w:p w14:paraId="01DC83A6"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(0.50)</w:t>
            </w:r>
          </w:p>
        </w:tc>
        <w:tc>
          <w:tcPr>
            <w:tcW w:w="1816" w:type="dxa"/>
            <w:tcBorders>
              <w:top w:val="nil"/>
              <w:left w:val="nil"/>
              <w:bottom w:val="nil"/>
              <w:right w:val="nil"/>
            </w:tcBorders>
            <w:shd w:val="clear" w:color="auto" w:fill="auto"/>
            <w:vAlign w:val="bottom"/>
          </w:tcPr>
          <w:p w14:paraId="03B32F6E"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(1.63)</w:t>
            </w:r>
          </w:p>
        </w:tc>
        <w:tc>
          <w:tcPr>
            <w:tcW w:w="1813" w:type="dxa"/>
            <w:tcBorders>
              <w:top w:val="nil"/>
              <w:left w:val="nil"/>
              <w:bottom w:val="nil"/>
              <w:right w:val="nil"/>
            </w:tcBorders>
            <w:shd w:val="clear" w:color="auto" w:fill="auto"/>
            <w:vAlign w:val="bottom"/>
          </w:tcPr>
          <w:p w14:paraId="0C2F4451"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(-0.91)</w:t>
            </w:r>
          </w:p>
        </w:tc>
        <w:tc>
          <w:tcPr>
            <w:tcW w:w="1813" w:type="dxa"/>
            <w:tcBorders>
              <w:top w:val="nil"/>
              <w:left w:val="nil"/>
              <w:bottom w:val="nil"/>
              <w:right w:val="nil"/>
            </w:tcBorders>
            <w:shd w:val="clear" w:color="auto" w:fill="auto"/>
            <w:vAlign w:val="bottom"/>
          </w:tcPr>
          <w:p w14:paraId="0C5C8820"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(1.22)</w:t>
            </w:r>
          </w:p>
        </w:tc>
        <w:tc>
          <w:tcPr>
            <w:tcW w:w="1813" w:type="dxa"/>
            <w:tcBorders>
              <w:top w:val="nil"/>
              <w:left w:val="nil"/>
              <w:bottom w:val="nil"/>
              <w:right w:val="nil"/>
            </w:tcBorders>
            <w:shd w:val="clear" w:color="auto" w:fill="auto"/>
            <w:vAlign w:val="bottom"/>
          </w:tcPr>
          <w:p w14:paraId="54DEDA64"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(-1.77)</w:t>
            </w:r>
          </w:p>
        </w:tc>
        <w:tc>
          <w:tcPr>
            <w:tcW w:w="1484" w:type="dxa"/>
            <w:tcBorders>
              <w:top w:val="nil"/>
              <w:left w:val="nil"/>
              <w:bottom w:val="nil"/>
              <w:right w:val="nil"/>
            </w:tcBorders>
            <w:shd w:val="clear" w:color="auto" w:fill="auto"/>
            <w:vAlign w:val="bottom"/>
          </w:tcPr>
          <w:p w14:paraId="046D0C0F"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(0.27)</w:t>
            </w:r>
          </w:p>
        </w:tc>
      </w:tr>
      <w:tr w:rsidR="001F74A2" w:rsidRPr="003A41B3" w14:paraId="0C5512AA" w14:textId="77777777" w:rsidTr="001718F2">
        <w:trPr>
          <w:trHeight w:val="301"/>
        </w:trPr>
        <w:tc>
          <w:tcPr>
            <w:tcW w:w="3132" w:type="dxa"/>
            <w:tcBorders>
              <w:top w:val="nil"/>
              <w:left w:val="nil"/>
              <w:bottom w:val="nil"/>
              <w:right w:val="nil"/>
            </w:tcBorders>
          </w:tcPr>
          <w:p w14:paraId="161056C4" w14:textId="77777777" w:rsidR="003328CB" w:rsidRPr="003A41B3" w:rsidRDefault="003328CB" w:rsidP="003328CB">
            <w:pPr>
              <w:widowControl w:val="0"/>
              <w:autoSpaceDE w:val="0"/>
              <w:autoSpaceDN w:val="0"/>
              <w:adjustRightInd w:val="0"/>
              <w:rPr>
                <w:sz w:val="20"/>
                <w:szCs w:val="20"/>
              </w:rPr>
            </w:pPr>
            <w:r w:rsidRPr="003A41B3">
              <w:rPr>
                <w:sz w:val="20"/>
                <w:szCs w:val="20"/>
              </w:rPr>
              <w:t>Maturity</w:t>
            </w:r>
          </w:p>
        </w:tc>
        <w:tc>
          <w:tcPr>
            <w:tcW w:w="1813" w:type="dxa"/>
            <w:tcBorders>
              <w:top w:val="nil"/>
              <w:left w:val="nil"/>
              <w:bottom w:val="nil"/>
              <w:right w:val="nil"/>
            </w:tcBorders>
            <w:shd w:val="clear" w:color="auto" w:fill="auto"/>
            <w:vAlign w:val="bottom"/>
          </w:tcPr>
          <w:p w14:paraId="0BDD5541" w14:textId="4E451439" w:rsidR="003328CB" w:rsidRPr="003A41B3" w:rsidRDefault="003328CB" w:rsidP="00AA6633">
            <w:pPr>
              <w:widowControl w:val="0"/>
              <w:autoSpaceDE w:val="0"/>
              <w:autoSpaceDN w:val="0"/>
              <w:adjustRightInd w:val="0"/>
              <w:jc w:val="center"/>
              <w:rPr>
                <w:sz w:val="20"/>
                <w:szCs w:val="20"/>
              </w:rPr>
            </w:pPr>
            <w:r w:rsidRPr="003A41B3">
              <w:rPr>
                <w:sz w:val="20"/>
                <w:szCs w:val="20"/>
              </w:rPr>
              <w:t>-2.13</w:t>
            </w:r>
            <w:r w:rsidR="00AA6633" w:rsidRPr="003A41B3">
              <w:rPr>
                <w:sz w:val="20"/>
                <w:szCs w:val="20"/>
              </w:rPr>
              <w:t>1</w:t>
            </w:r>
          </w:p>
        </w:tc>
        <w:tc>
          <w:tcPr>
            <w:tcW w:w="1816" w:type="dxa"/>
            <w:tcBorders>
              <w:top w:val="nil"/>
              <w:left w:val="nil"/>
              <w:bottom w:val="nil"/>
              <w:right w:val="nil"/>
            </w:tcBorders>
            <w:shd w:val="clear" w:color="auto" w:fill="auto"/>
            <w:vAlign w:val="bottom"/>
          </w:tcPr>
          <w:p w14:paraId="451C4CFE" w14:textId="60C5AED1" w:rsidR="003328CB" w:rsidRPr="003A41B3" w:rsidRDefault="003328CB" w:rsidP="00AA6633">
            <w:pPr>
              <w:widowControl w:val="0"/>
              <w:autoSpaceDE w:val="0"/>
              <w:autoSpaceDN w:val="0"/>
              <w:adjustRightInd w:val="0"/>
              <w:jc w:val="center"/>
              <w:rPr>
                <w:sz w:val="20"/>
                <w:szCs w:val="20"/>
              </w:rPr>
            </w:pPr>
            <w:r w:rsidRPr="003A41B3">
              <w:rPr>
                <w:sz w:val="20"/>
                <w:szCs w:val="20"/>
              </w:rPr>
              <w:t>-2.51</w:t>
            </w:r>
            <w:r w:rsidR="00AA6633" w:rsidRPr="003A41B3">
              <w:rPr>
                <w:sz w:val="20"/>
                <w:szCs w:val="20"/>
              </w:rPr>
              <w:t>5</w:t>
            </w:r>
          </w:p>
        </w:tc>
        <w:tc>
          <w:tcPr>
            <w:tcW w:w="1813" w:type="dxa"/>
            <w:tcBorders>
              <w:top w:val="nil"/>
              <w:left w:val="nil"/>
              <w:bottom w:val="nil"/>
              <w:right w:val="nil"/>
            </w:tcBorders>
            <w:shd w:val="clear" w:color="auto" w:fill="auto"/>
            <w:vAlign w:val="bottom"/>
          </w:tcPr>
          <w:p w14:paraId="69C296D2" w14:textId="2FC69AA6" w:rsidR="003328CB" w:rsidRPr="003A41B3" w:rsidRDefault="003328CB" w:rsidP="003328CB">
            <w:pPr>
              <w:widowControl w:val="0"/>
              <w:autoSpaceDE w:val="0"/>
              <w:autoSpaceDN w:val="0"/>
              <w:adjustRightInd w:val="0"/>
              <w:jc w:val="center"/>
              <w:rPr>
                <w:sz w:val="20"/>
                <w:szCs w:val="20"/>
              </w:rPr>
            </w:pPr>
            <w:r w:rsidRPr="003A41B3">
              <w:rPr>
                <w:sz w:val="20"/>
                <w:szCs w:val="20"/>
              </w:rPr>
              <w:t>-</w:t>
            </w:r>
            <w:r w:rsidR="00AA6633" w:rsidRPr="003A41B3">
              <w:rPr>
                <w:sz w:val="20"/>
                <w:szCs w:val="20"/>
              </w:rPr>
              <w:t>3.893</w:t>
            </w:r>
            <w:r w:rsidRPr="003A41B3">
              <w:rPr>
                <w:sz w:val="20"/>
                <w:szCs w:val="20"/>
              </w:rPr>
              <w:t>**</w:t>
            </w:r>
          </w:p>
        </w:tc>
        <w:tc>
          <w:tcPr>
            <w:tcW w:w="1813" w:type="dxa"/>
            <w:tcBorders>
              <w:top w:val="nil"/>
              <w:left w:val="nil"/>
              <w:bottom w:val="nil"/>
              <w:right w:val="nil"/>
            </w:tcBorders>
            <w:shd w:val="clear" w:color="auto" w:fill="auto"/>
            <w:vAlign w:val="bottom"/>
          </w:tcPr>
          <w:p w14:paraId="6920DB5D" w14:textId="1A17C9B1" w:rsidR="003328CB" w:rsidRPr="003A41B3" w:rsidRDefault="003328CB" w:rsidP="003328CB">
            <w:pPr>
              <w:widowControl w:val="0"/>
              <w:autoSpaceDE w:val="0"/>
              <w:autoSpaceDN w:val="0"/>
              <w:adjustRightInd w:val="0"/>
              <w:jc w:val="center"/>
              <w:rPr>
                <w:sz w:val="20"/>
                <w:szCs w:val="20"/>
              </w:rPr>
            </w:pPr>
            <w:r w:rsidRPr="003A41B3">
              <w:rPr>
                <w:sz w:val="20"/>
                <w:szCs w:val="20"/>
              </w:rPr>
              <w:t>-0.250</w:t>
            </w:r>
          </w:p>
        </w:tc>
        <w:tc>
          <w:tcPr>
            <w:tcW w:w="1813" w:type="dxa"/>
            <w:tcBorders>
              <w:top w:val="nil"/>
              <w:left w:val="nil"/>
              <w:bottom w:val="nil"/>
              <w:right w:val="nil"/>
            </w:tcBorders>
            <w:shd w:val="clear" w:color="auto" w:fill="auto"/>
            <w:vAlign w:val="bottom"/>
          </w:tcPr>
          <w:p w14:paraId="2C8C8043" w14:textId="78FD08E8" w:rsidR="003328CB" w:rsidRPr="003A41B3" w:rsidRDefault="00AA6633" w:rsidP="003328CB">
            <w:pPr>
              <w:widowControl w:val="0"/>
              <w:autoSpaceDE w:val="0"/>
              <w:autoSpaceDN w:val="0"/>
              <w:adjustRightInd w:val="0"/>
              <w:jc w:val="center"/>
              <w:rPr>
                <w:sz w:val="20"/>
                <w:szCs w:val="20"/>
              </w:rPr>
            </w:pPr>
            <w:r w:rsidRPr="003A41B3">
              <w:rPr>
                <w:sz w:val="20"/>
                <w:szCs w:val="20"/>
              </w:rPr>
              <w:t>-2.558</w:t>
            </w:r>
            <w:r w:rsidR="003328CB" w:rsidRPr="003A41B3">
              <w:rPr>
                <w:sz w:val="20"/>
                <w:szCs w:val="20"/>
              </w:rPr>
              <w:t>**</w:t>
            </w:r>
          </w:p>
        </w:tc>
        <w:tc>
          <w:tcPr>
            <w:tcW w:w="1484" w:type="dxa"/>
            <w:tcBorders>
              <w:top w:val="nil"/>
              <w:left w:val="nil"/>
              <w:bottom w:val="nil"/>
              <w:right w:val="nil"/>
            </w:tcBorders>
            <w:shd w:val="clear" w:color="auto" w:fill="auto"/>
            <w:vAlign w:val="bottom"/>
          </w:tcPr>
          <w:p w14:paraId="25215F63" w14:textId="3629FD52" w:rsidR="003328CB" w:rsidRPr="003A41B3" w:rsidRDefault="003328CB" w:rsidP="00AA6633">
            <w:pPr>
              <w:widowControl w:val="0"/>
              <w:autoSpaceDE w:val="0"/>
              <w:autoSpaceDN w:val="0"/>
              <w:adjustRightInd w:val="0"/>
              <w:jc w:val="center"/>
              <w:rPr>
                <w:sz w:val="20"/>
                <w:szCs w:val="20"/>
              </w:rPr>
            </w:pPr>
            <w:r w:rsidRPr="003A41B3">
              <w:rPr>
                <w:sz w:val="20"/>
                <w:szCs w:val="20"/>
              </w:rPr>
              <w:t>-2.23</w:t>
            </w:r>
            <w:r w:rsidR="00AA6633" w:rsidRPr="003A41B3">
              <w:rPr>
                <w:sz w:val="20"/>
                <w:szCs w:val="20"/>
              </w:rPr>
              <w:t>9</w:t>
            </w:r>
          </w:p>
        </w:tc>
      </w:tr>
      <w:tr w:rsidR="003328CB" w:rsidRPr="003A41B3" w14:paraId="48B4DA9A" w14:textId="77777777" w:rsidTr="001718F2">
        <w:trPr>
          <w:trHeight w:val="301"/>
        </w:trPr>
        <w:tc>
          <w:tcPr>
            <w:tcW w:w="3132" w:type="dxa"/>
            <w:tcBorders>
              <w:top w:val="nil"/>
              <w:left w:val="nil"/>
              <w:bottom w:val="nil"/>
              <w:right w:val="nil"/>
            </w:tcBorders>
          </w:tcPr>
          <w:p w14:paraId="36B9B1FD" w14:textId="77777777" w:rsidR="003328CB" w:rsidRPr="003A41B3" w:rsidRDefault="003328CB" w:rsidP="003328CB">
            <w:pPr>
              <w:widowControl w:val="0"/>
              <w:autoSpaceDE w:val="0"/>
              <w:autoSpaceDN w:val="0"/>
              <w:adjustRightInd w:val="0"/>
              <w:rPr>
                <w:sz w:val="20"/>
                <w:szCs w:val="20"/>
              </w:rPr>
            </w:pPr>
          </w:p>
        </w:tc>
        <w:tc>
          <w:tcPr>
            <w:tcW w:w="1813" w:type="dxa"/>
            <w:tcBorders>
              <w:top w:val="nil"/>
              <w:left w:val="nil"/>
              <w:bottom w:val="nil"/>
              <w:right w:val="nil"/>
            </w:tcBorders>
            <w:vAlign w:val="bottom"/>
          </w:tcPr>
          <w:p w14:paraId="0CEE1386"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(-1.27)</w:t>
            </w:r>
          </w:p>
        </w:tc>
        <w:tc>
          <w:tcPr>
            <w:tcW w:w="1816" w:type="dxa"/>
            <w:tcBorders>
              <w:top w:val="nil"/>
              <w:left w:val="nil"/>
              <w:bottom w:val="nil"/>
              <w:right w:val="nil"/>
            </w:tcBorders>
            <w:shd w:val="clear" w:color="auto" w:fill="auto"/>
            <w:vAlign w:val="bottom"/>
          </w:tcPr>
          <w:p w14:paraId="246FC2A4"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(-1.39)</w:t>
            </w:r>
          </w:p>
        </w:tc>
        <w:tc>
          <w:tcPr>
            <w:tcW w:w="1813" w:type="dxa"/>
            <w:tcBorders>
              <w:top w:val="nil"/>
              <w:left w:val="nil"/>
              <w:bottom w:val="nil"/>
              <w:right w:val="nil"/>
            </w:tcBorders>
            <w:shd w:val="clear" w:color="auto" w:fill="auto"/>
            <w:vAlign w:val="bottom"/>
          </w:tcPr>
          <w:p w14:paraId="6E8AC193"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(-2.50)</w:t>
            </w:r>
          </w:p>
        </w:tc>
        <w:tc>
          <w:tcPr>
            <w:tcW w:w="1813" w:type="dxa"/>
            <w:tcBorders>
              <w:top w:val="nil"/>
              <w:left w:val="nil"/>
              <w:bottom w:val="nil"/>
              <w:right w:val="nil"/>
            </w:tcBorders>
            <w:shd w:val="clear" w:color="auto" w:fill="auto"/>
            <w:vAlign w:val="bottom"/>
          </w:tcPr>
          <w:p w14:paraId="5C3126DA"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(-0.08)</w:t>
            </w:r>
          </w:p>
        </w:tc>
        <w:tc>
          <w:tcPr>
            <w:tcW w:w="1813" w:type="dxa"/>
            <w:tcBorders>
              <w:top w:val="nil"/>
              <w:left w:val="nil"/>
              <w:bottom w:val="nil"/>
              <w:right w:val="nil"/>
            </w:tcBorders>
            <w:shd w:val="clear" w:color="auto" w:fill="auto"/>
            <w:vAlign w:val="bottom"/>
          </w:tcPr>
          <w:p w14:paraId="64AC5C2C"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(-2.55)</w:t>
            </w:r>
          </w:p>
        </w:tc>
        <w:tc>
          <w:tcPr>
            <w:tcW w:w="1484" w:type="dxa"/>
            <w:tcBorders>
              <w:top w:val="nil"/>
              <w:left w:val="nil"/>
              <w:bottom w:val="nil"/>
              <w:right w:val="nil"/>
            </w:tcBorders>
            <w:shd w:val="clear" w:color="auto" w:fill="auto"/>
            <w:vAlign w:val="bottom"/>
          </w:tcPr>
          <w:p w14:paraId="4359022A"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(-1.30)</w:t>
            </w:r>
          </w:p>
        </w:tc>
      </w:tr>
      <w:tr w:rsidR="003328CB" w:rsidRPr="003A41B3" w14:paraId="01802310" w14:textId="77777777" w:rsidTr="001718F2">
        <w:trPr>
          <w:trHeight w:val="301"/>
        </w:trPr>
        <w:tc>
          <w:tcPr>
            <w:tcW w:w="3132" w:type="dxa"/>
            <w:tcBorders>
              <w:top w:val="nil"/>
              <w:left w:val="nil"/>
              <w:bottom w:val="nil"/>
              <w:right w:val="nil"/>
            </w:tcBorders>
          </w:tcPr>
          <w:p w14:paraId="5D331B83" w14:textId="77777777" w:rsidR="003328CB" w:rsidRPr="003A41B3" w:rsidRDefault="003328CB" w:rsidP="003328CB">
            <w:pPr>
              <w:widowControl w:val="0"/>
              <w:autoSpaceDE w:val="0"/>
              <w:autoSpaceDN w:val="0"/>
              <w:adjustRightInd w:val="0"/>
              <w:rPr>
                <w:sz w:val="20"/>
                <w:szCs w:val="20"/>
              </w:rPr>
            </w:pPr>
          </w:p>
        </w:tc>
        <w:tc>
          <w:tcPr>
            <w:tcW w:w="1813" w:type="dxa"/>
            <w:tcBorders>
              <w:top w:val="nil"/>
              <w:left w:val="nil"/>
              <w:bottom w:val="nil"/>
              <w:right w:val="nil"/>
            </w:tcBorders>
          </w:tcPr>
          <w:p w14:paraId="0CB35B11" w14:textId="77777777" w:rsidR="003328CB" w:rsidRPr="003A41B3" w:rsidRDefault="003328CB" w:rsidP="003328CB">
            <w:pPr>
              <w:widowControl w:val="0"/>
              <w:autoSpaceDE w:val="0"/>
              <w:autoSpaceDN w:val="0"/>
              <w:adjustRightInd w:val="0"/>
              <w:jc w:val="center"/>
              <w:rPr>
                <w:sz w:val="20"/>
                <w:szCs w:val="20"/>
              </w:rPr>
            </w:pPr>
          </w:p>
        </w:tc>
        <w:tc>
          <w:tcPr>
            <w:tcW w:w="1816" w:type="dxa"/>
            <w:tcBorders>
              <w:top w:val="nil"/>
              <w:left w:val="nil"/>
              <w:bottom w:val="nil"/>
              <w:right w:val="nil"/>
            </w:tcBorders>
          </w:tcPr>
          <w:p w14:paraId="57B952EC"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7BAF06F7"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04AB2CC4" w14:textId="77777777" w:rsidR="003328CB" w:rsidRPr="003A41B3" w:rsidRDefault="003328CB" w:rsidP="003328CB">
            <w:pPr>
              <w:widowControl w:val="0"/>
              <w:autoSpaceDE w:val="0"/>
              <w:autoSpaceDN w:val="0"/>
              <w:adjustRightInd w:val="0"/>
              <w:jc w:val="center"/>
              <w:rPr>
                <w:sz w:val="20"/>
                <w:szCs w:val="20"/>
              </w:rPr>
            </w:pPr>
          </w:p>
        </w:tc>
        <w:tc>
          <w:tcPr>
            <w:tcW w:w="1813" w:type="dxa"/>
            <w:tcBorders>
              <w:top w:val="nil"/>
              <w:left w:val="nil"/>
              <w:bottom w:val="nil"/>
              <w:right w:val="nil"/>
            </w:tcBorders>
          </w:tcPr>
          <w:p w14:paraId="35E11892" w14:textId="77777777" w:rsidR="003328CB" w:rsidRPr="003A41B3" w:rsidRDefault="003328CB" w:rsidP="003328CB">
            <w:pPr>
              <w:widowControl w:val="0"/>
              <w:autoSpaceDE w:val="0"/>
              <w:autoSpaceDN w:val="0"/>
              <w:adjustRightInd w:val="0"/>
              <w:jc w:val="center"/>
              <w:rPr>
                <w:sz w:val="20"/>
                <w:szCs w:val="20"/>
              </w:rPr>
            </w:pPr>
          </w:p>
        </w:tc>
        <w:tc>
          <w:tcPr>
            <w:tcW w:w="1484" w:type="dxa"/>
            <w:tcBorders>
              <w:top w:val="nil"/>
              <w:left w:val="nil"/>
              <w:bottom w:val="nil"/>
              <w:right w:val="nil"/>
            </w:tcBorders>
          </w:tcPr>
          <w:p w14:paraId="177869D1" w14:textId="77777777" w:rsidR="003328CB" w:rsidRPr="003A41B3" w:rsidRDefault="003328CB" w:rsidP="003328CB">
            <w:pPr>
              <w:widowControl w:val="0"/>
              <w:autoSpaceDE w:val="0"/>
              <w:autoSpaceDN w:val="0"/>
              <w:adjustRightInd w:val="0"/>
              <w:jc w:val="center"/>
              <w:rPr>
                <w:sz w:val="20"/>
                <w:szCs w:val="20"/>
              </w:rPr>
            </w:pPr>
          </w:p>
        </w:tc>
      </w:tr>
      <w:tr w:rsidR="003328CB" w:rsidRPr="003A41B3" w14:paraId="00A50857" w14:textId="77777777" w:rsidTr="001718F2">
        <w:trPr>
          <w:trHeight w:val="301"/>
        </w:trPr>
        <w:tc>
          <w:tcPr>
            <w:tcW w:w="3132" w:type="dxa"/>
            <w:tcBorders>
              <w:top w:val="single" w:sz="6" w:space="0" w:color="auto"/>
              <w:left w:val="nil"/>
              <w:bottom w:val="nil"/>
              <w:right w:val="nil"/>
            </w:tcBorders>
          </w:tcPr>
          <w:p w14:paraId="2BCDCFC4" w14:textId="77777777" w:rsidR="003328CB" w:rsidRPr="003A41B3" w:rsidRDefault="003328CB" w:rsidP="003328CB">
            <w:pPr>
              <w:widowControl w:val="0"/>
              <w:autoSpaceDE w:val="0"/>
              <w:autoSpaceDN w:val="0"/>
              <w:adjustRightInd w:val="0"/>
              <w:rPr>
                <w:sz w:val="20"/>
                <w:szCs w:val="20"/>
              </w:rPr>
            </w:pPr>
            <w:r w:rsidRPr="003A41B3">
              <w:rPr>
                <w:sz w:val="20"/>
                <w:szCs w:val="20"/>
              </w:rPr>
              <w:t>Observations</w:t>
            </w:r>
          </w:p>
        </w:tc>
        <w:tc>
          <w:tcPr>
            <w:tcW w:w="1813" w:type="dxa"/>
            <w:tcBorders>
              <w:top w:val="single" w:sz="6" w:space="0" w:color="auto"/>
              <w:left w:val="nil"/>
              <w:bottom w:val="nil"/>
              <w:right w:val="nil"/>
            </w:tcBorders>
          </w:tcPr>
          <w:p w14:paraId="11A85977"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304</w:t>
            </w:r>
          </w:p>
        </w:tc>
        <w:tc>
          <w:tcPr>
            <w:tcW w:w="1816" w:type="dxa"/>
            <w:tcBorders>
              <w:top w:val="single" w:sz="6" w:space="0" w:color="auto"/>
              <w:left w:val="nil"/>
              <w:bottom w:val="nil"/>
              <w:right w:val="nil"/>
            </w:tcBorders>
          </w:tcPr>
          <w:p w14:paraId="027CDF3F"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388</w:t>
            </w:r>
          </w:p>
        </w:tc>
        <w:tc>
          <w:tcPr>
            <w:tcW w:w="1813" w:type="dxa"/>
            <w:tcBorders>
              <w:top w:val="single" w:sz="6" w:space="0" w:color="auto"/>
              <w:left w:val="nil"/>
              <w:bottom w:val="nil"/>
              <w:right w:val="nil"/>
            </w:tcBorders>
          </w:tcPr>
          <w:p w14:paraId="0B8D27C7"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282</w:t>
            </w:r>
          </w:p>
        </w:tc>
        <w:tc>
          <w:tcPr>
            <w:tcW w:w="1813" w:type="dxa"/>
            <w:tcBorders>
              <w:top w:val="single" w:sz="6" w:space="0" w:color="auto"/>
              <w:left w:val="nil"/>
              <w:bottom w:val="nil"/>
              <w:right w:val="nil"/>
            </w:tcBorders>
          </w:tcPr>
          <w:p w14:paraId="413BBBC0"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208</w:t>
            </w:r>
          </w:p>
        </w:tc>
        <w:tc>
          <w:tcPr>
            <w:tcW w:w="1813" w:type="dxa"/>
            <w:tcBorders>
              <w:top w:val="single" w:sz="6" w:space="0" w:color="auto"/>
              <w:left w:val="nil"/>
              <w:bottom w:val="nil"/>
              <w:right w:val="nil"/>
            </w:tcBorders>
          </w:tcPr>
          <w:p w14:paraId="2B9E7B4A"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232</w:t>
            </w:r>
          </w:p>
        </w:tc>
        <w:tc>
          <w:tcPr>
            <w:tcW w:w="1484" w:type="dxa"/>
            <w:tcBorders>
              <w:top w:val="single" w:sz="6" w:space="0" w:color="auto"/>
              <w:left w:val="nil"/>
              <w:bottom w:val="nil"/>
              <w:right w:val="nil"/>
            </w:tcBorders>
          </w:tcPr>
          <w:p w14:paraId="79EC7DDA" w14:textId="77777777" w:rsidR="003328CB" w:rsidRPr="003A41B3" w:rsidRDefault="003328CB" w:rsidP="003328CB">
            <w:pPr>
              <w:widowControl w:val="0"/>
              <w:autoSpaceDE w:val="0"/>
              <w:autoSpaceDN w:val="0"/>
              <w:adjustRightInd w:val="0"/>
              <w:jc w:val="center"/>
              <w:rPr>
                <w:sz w:val="20"/>
                <w:szCs w:val="20"/>
              </w:rPr>
            </w:pPr>
            <w:r w:rsidRPr="003A41B3">
              <w:rPr>
                <w:sz w:val="20"/>
                <w:szCs w:val="20"/>
              </w:rPr>
              <w:t>232</w:t>
            </w:r>
          </w:p>
        </w:tc>
      </w:tr>
      <w:tr w:rsidR="003328CB" w:rsidRPr="003A41B3" w14:paraId="195979A8" w14:textId="77777777" w:rsidTr="001718F2">
        <w:trPr>
          <w:trHeight w:val="301"/>
        </w:trPr>
        <w:tc>
          <w:tcPr>
            <w:tcW w:w="3132" w:type="dxa"/>
            <w:tcBorders>
              <w:top w:val="nil"/>
              <w:left w:val="nil"/>
              <w:bottom w:val="nil"/>
              <w:right w:val="nil"/>
            </w:tcBorders>
          </w:tcPr>
          <w:p w14:paraId="563D93B2" w14:textId="77777777" w:rsidR="003328CB" w:rsidRPr="003A41B3" w:rsidRDefault="003328CB" w:rsidP="003328CB">
            <w:pPr>
              <w:widowControl w:val="0"/>
              <w:autoSpaceDE w:val="0"/>
              <w:autoSpaceDN w:val="0"/>
              <w:adjustRightInd w:val="0"/>
              <w:rPr>
                <w:sz w:val="20"/>
                <w:szCs w:val="20"/>
              </w:rPr>
            </w:pPr>
            <w:r w:rsidRPr="003A41B3">
              <w:rPr>
                <w:sz w:val="20"/>
                <w:szCs w:val="20"/>
              </w:rPr>
              <w:t>R-squared</w:t>
            </w:r>
          </w:p>
        </w:tc>
        <w:tc>
          <w:tcPr>
            <w:tcW w:w="1813" w:type="dxa"/>
            <w:tcBorders>
              <w:top w:val="nil"/>
              <w:left w:val="nil"/>
              <w:bottom w:val="nil"/>
              <w:right w:val="nil"/>
            </w:tcBorders>
          </w:tcPr>
          <w:p w14:paraId="1358064F" w14:textId="77777777" w:rsidR="003328CB" w:rsidRPr="003A41B3" w:rsidRDefault="003328CB" w:rsidP="003328CB">
            <w:pPr>
              <w:jc w:val="center"/>
              <w:rPr>
                <w:sz w:val="20"/>
                <w:szCs w:val="20"/>
                <w:lang w:val="en-GB"/>
              </w:rPr>
            </w:pPr>
            <w:r w:rsidRPr="003A41B3">
              <w:rPr>
                <w:sz w:val="20"/>
                <w:szCs w:val="20"/>
              </w:rPr>
              <w:t>0.1221</w:t>
            </w:r>
          </w:p>
        </w:tc>
        <w:tc>
          <w:tcPr>
            <w:tcW w:w="1816" w:type="dxa"/>
            <w:tcBorders>
              <w:top w:val="nil"/>
              <w:left w:val="nil"/>
              <w:bottom w:val="nil"/>
              <w:right w:val="nil"/>
            </w:tcBorders>
          </w:tcPr>
          <w:p w14:paraId="32F6C032" w14:textId="77777777" w:rsidR="003328CB" w:rsidRPr="003A41B3" w:rsidRDefault="003328CB" w:rsidP="003328CB">
            <w:pPr>
              <w:jc w:val="center"/>
              <w:rPr>
                <w:sz w:val="20"/>
                <w:szCs w:val="20"/>
                <w:lang w:val="en-GB"/>
              </w:rPr>
            </w:pPr>
            <w:r w:rsidRPr="003A41B3">
              <w:rPr>
                <w:sz w:val="20"/>
                <w:szCs w:val="20"/>
              </w:rPr>
              <w:t>0.1134</w:t>
            </w:r>
          </w:p>
        </w:tc>
        <w:tc>
          <w:tcPr>
            <w:tcW w:w="1813" w:type="dxa"/>
            <w:tcBorders>
              <w:top w:val="nil"/>
              <w:left w:val="nil"/>
              <w:bottom w:val="nil"/>
              <w:right w:val="nil"/>
            </w:tcBorders>
          </w:tcPr>
          <w:p w14:paraId="3F37FA2F" w14:textId="77777777" w:rsidR="003328CB" w:rsidRPr="003A41B3" w:rsidRDefault="003328CB" w:rsidP="003328CB">
            <w:pPr>
              <w:jc w:val="center"/>
              <w:rPr>
                <w:sz w:val="20"/>
                <w:szCs w:val="20"/>
                <w:lang w:val="en-GB"/>
              </w:rPr>
            </w:pPr>
            <w:r w:rsidRPr="003A41B3">
              <w:rPr>
                <w:sz w:val="20"/>
                <w:szCs w:val="20"/>
              </w:rPr>
              <w:t>0.1953</w:t>
            </w:r>
          </w:p>
        </w:tc>
        <w:tc>
          <w:tcPr>
            <w:tcW w:w="1813" w:type="dxa"/>
            <w:tcBorders>
              <w:top w:val="nil"/>
              <w:left w:val="nil"/>
              <w:bottom w:val="nil"/>
              <w:right w:val="nil"/>
            </w:tcBorders>
          </w:tcPr>
          <w:p w14:paraId="6185A381" w14:textId="77777777" w:rsidR="003328CB" w:rsidRPr="003A41B3" w:rsidRDefault="003328CB" w:rsidP="003328CB">
            <w:pPr>
              <w:jc w:val="center"/>
              <w:rPr>
                <w:sz w:val="20"/>
                <w:szCs w:val="20"/>
                <w:lang w:val="en-GB"/>
              </w:rPr>
            </w:pPr>
            <w:r w:rsidRPr="003A41B3">
              <w:rPr>
                <w:sz w:val="20"/>
                <w:szCs w:val="20"/>
              </w:rPr>
              <w:t>0.2585</w:t>
            </w:r>
          </w:p>
        </w:tc>
        <w:tc>
          <w:tcPr>
            <w:tcW w:w="1813" w:type="dxa"/>
            <w:tcBorders>
              <w:top w:val="nil"/>
              <w:left w:val="nil"/>
              <w:bottom w:val="nil"/>
              <w:right w:val="nil"/>
            </w:tcBorders>
          </w:tcPr>
          <w:p w14:paraId="5EDE822C" w14:textId="77777777" w:rsidR="003328CB" w:rsidRPr="003A41B3" w:rsidRDefault="003328CB" w:rsidP="003328CB">
            <w:pPr>
              <w:jc w:val="center"/>
              <w:rPr>
                <w:sz w:val="20"/>
                <w:szCs w:val="20"/>
                <w:lang w:val="en-GB"/>
              </w:rPr>
            </w:pPr>
            <w:r w:rsidRPr="003A41B3">
              <w:rPr>
                <w:sz w:val="20"/>
                <w:szCs w:val="20"/>
              </w:rPr>
              <w:t>0.2353</w:t>
            </w:r>
          </w:p>
        </w:tc>
        <w:tc>
          <w:tcPr>
            <w:tcW w:w="1484" w:type="dxa"/>
            <w:tcBorders>
              <w:top w:val="nil"/>
              <w:left w:val="nil"/>
              <w:bottom w:val="nil"/>
              <w:right w:val="nil"/>
            </w:tcBorders>
          </w:tcPr>
          <w:p w14:paraId="1934CAEC" w14:textId="77777777" w:rsidR="003328CB" w:rsidRPr="003A41B3" w:rsidRDefault="003328CB" w:rsidP="003328CB">
            <w:pPr>
              <w:jc w:val="center"/>
              <w:rPr>
                <w:sz w:val="20"/>
                <w:szCs w:val="20"/>
                <w:lang w:val="en-GB"/>
              </w:rPr>
            </w:pPr>
            <w:r w:rsidRPr="003A41B3">
              <w:rPr>
                <w:sz w:val="20"/>
                <w:szCs w:val="20"/>
              </w:rPr>
              <w:t>0.3368</w:t>
            </w:r>
          </w:p>
        </w:tc>
      </w:tr>
      <w:tr w:rsidR="003328CB" w:rsidRPr="003A41B3" w14:paraId="1F7CFC00" w14:textId="77777777" w:rsidTr="001718F2">
        <w:trPr>
          <w:trHeight w:val="301"/>
        </w:trPr>
        <w:tc>
          <w:tcPr>
            <w:tcW w:w="3132" w:type="dxa"/>
            <w:tcBorders>
              <w:top w:val="nil"/>
              <w:left w:val="nil"/>
              <w:bottom w:val="single" w:sz="6" w:space="0" w:color="auto"/>
              <w:right w:val="nil"/>
            </w:tcBorders>
          </w:tcPr>
          <w:p w14:paraId="189CE52B" w14:textId="77777777" w:rsidR="003328CB" w:rsidRPr="003A41B3" w:rsidRDefault="003328CB" w:rsidP="003328CB">
            <w:pPr>
              <w:widowControl w:val="0"/>
              <w:autoSpaceDE w:val="0"/>
              <w:autoSpaceDN w:val="0"/>
              <w:adjustRightInd w:val="0"/>
              <w:rPr>
                <w:sz w:val="20"/>
                <w:szCs w:val="20"/>
              </w:rPr>
            </w:pPr>
            <w:r w:rsidRPr="003A41B3">
              <w:rPr>
                <w:sz w:val="20"/>
                <w:szCs w:val="20"/>
              </w:rPr>
              <w:t xml:space="preserve">country </w:t>
            </w:r>
            <w:proofErr w:type="spellStart"/>
            <w:r w:rsidRPr="003A41B3">
              <w:rPr>
                <w:sz w:val="20"/>
                <w:szCs w:val="20"/>
              </w:rPr>
              <w:t>fe</w:t>
            </w:r>
            <w:proofErr w:type="spellEnd"/>
          </w:p>
        </w:tc>
        <w:tc>
          <w:tcPr>
            <w:tcW w:w="1813" w:type="dxa"/>
            <w:tcBorders>
              <w:top w:val="nil"/>
              <w:left w:val="nil"/>
              <w:bottom w:val="single" w:sz="6" w:space="0" w:color="auto"/>
              <w:right w:val="nil"/>
            </w:tcBorders>
          </w:tcPr>
          <w:p w14:paraId="561072DE" w14:textId="6AD314BC"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1816" w:type="dxa"/>
            <w:tcBorders>
              <w:top w:val="nil"/>
              <w:left w:val="nil"/>
              <w:bottom w:val="single" w:sz="6" w:space="0" w:color="auto"/>
              <w:right w:val="nil"/>
            </w:tcBorders>
          </w:tcPr>
          <w:p w14:paraId="50139D18" w14:textId="332F04B6"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1813" w:type="dxa"/>
            <w:tcBorders>
              <w:top w:val="nil"/>
              <w:left w:val="nil"/>
              <w:bottom w:val="single" w:sz="6" w:space="0" w:color="auto"/>
              <w:right w:val="nil"/>
            </w:tcBorders>
          </w:tcPr>
          <w:p w14:paraId="1B7E7185" w14:textId="5612AB8E"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1813" w:type="dxa"/>
            <w:tcBorders>
              <w:top w:val="nil"/>
              <w:left w:val="nil"/>
              <w:bottom w:val="single" w:sz="6" w:space="0" w:color="auto"/>
              <w:right w:val="nil"/>
            </w:tcBorders>
          </w:tcPr>
          <w:p w14:paraId="5CD5BFF3" w14:textId="3807B62C"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1813" w:type="dxa"/>
            <w:tcBorders>
              <w:top w:val="nil"/>
              <w:left w:val="nil"/>
              <w:bottom w:val="single" w:sz="6" w:space="0" w:color="auto"/>
              <w:right w:val="nil"/>
            </w:tcBorders>
          </w:tcPr>
          <w:p w14:paraId="0F31B5CE" w14:textId="61F0E007"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c>
          <w:tcPr>
            <w:tcW w:w="1484" w:type="dxa"/>
            <w:tcBorders>
              <w:top w:val="nil"/>
              <w:left w:val="nil"/>
              <w:bottom w:val="single" w:sz="6" w:space="0" w:color="auto"/>
              <w:right w:val="nil"/>
            </w:tcBorders>
          </w:tcPr>
          <w:p w14:paraId="0118623A" w14:textId="75971413" w:rsidR="003328CB" w:rsidRPr="003A41B3" w:rsidRDefault="00876F92" w:rsidP="003328CB">
            <w:pPr>
              <w:widowControl w:val="0"/>
              <w:autoSpaceDE w:val="0"/>
              <w:autoSpaceDN w:val="0"/>
              <w:adjustRightInd w:val="0"/>
              <w:jc w:val="center"/>
              <w:rPr>
                <w:sz w:val="20"/>
                <w:szCs w:val="20"/>
              </w:rPr>
            </w:pPr>
            <w:r w:rsidRPr="003A41B3">
              <w:rPr>
                <w:rFonts w:eastAsia="Times New Roman"/>
                <w:sz w:val="20"/>
                <w:szCs w:val="20"/>
                <w:lang w:eastAsia="en-GB"/>
              </w:rPr>
              <w:t>Yes</w:t>
            </w:r>
          </w:p>
        </w:tc>
      </w:tr>
    </w:tbl>
    <w:p w14:paraId="50C063F2" w14:textId="77777777" w:rsidR="006A0BAE" w:rsidRPr="003A41B3" w:rsidRDefault="006A0BAE" w:rsidP="006A0BAE">
      <w:pPr>
        <w:pStyle w:val="ListParagraph"/>
        <w:tabs>
          <w:tab w:val="left" w:pos="284"/>
        </w:tabs>
        <w:spacing w:after="0" w:line="240" w:lineRule="auto"/>
        <w:ind w:left="0"/>
        <w:rPr>
          <w:rFonts w:ascii="Times New Roman" w:hAnsi="Times New Roman" w:cs="Times New Roman"/>
          <w:i/>
          <w:sz w:val="12"/>
          <w:szCs w:val="12"/>
        </w:rPr>
      </w:pPr>
    </w:p>
    <w:p w14:paraId="7FC7174C" w14:textId="77777777" w:rsidR="006A0BAE" w:rsidRPr="003A41B3" w:rsidRDefault="006A0BAE" w:rsidP="006A0BAE">
      <w:pPr>
        <w:pStyle w:val="ListParagraph"/>
        <w:tabs>
          <w:tab w:val="left" w:pos="284"/>
        </w:tabs>
        <w:spacing w:after="0" w:line="240" w:lineRule="auto"/>
        <w:ind w:left="0"/>
        <w:rPr>
          <w:rFonts w:ascii="Times New Roman" w:hAnsi="Times New Roman" w:cs="Times New Roman"/>
          <w:sz w:val="22"/>
        </w:rPr>
      </w:pPr>
      <w:r w:rsidRPr="003A41B3">
        <w:rPr>
          <w:rFonts w:ascii="Times New Roman" w:hAnsi="Times New Roman" w:cs="Times New Roman"/>
          <w:i/>
          <w:sz w:val="22"/>
        </w:rPr>
        <w:t>Note:</w:t>
      </w:r>
      <w:r w:rsidRPr="003A41B3">
        <w:rPr>
          <w:rFonts w:ascii="Times New Roman" w:hAnsi="Times New Roman" w:cs="Times New Roman"/>
          <w:sz w:val="22"/>
        </w:rPr>
        <w:t xml:space="preserve"> This table presents the estimated coefficients and robust z-statistics in parentheses from specifications of Eq. (3) using Ordinary Least Squares. The credit rating dataset consists of daily positive and negative sovereign events by: S&amp;P, Moody’s and Fitch based on 58-CCR rating scale for 70 countries during Jan 2006-June 2016. For every event observation there is a randomly selected non-event observation. The dependent variable is </w:t>
      </w:r>
      <w:r w:rsidRPr="003A41B3">
        <w:rPr>
          <w:rFonts w:ascii="Times New Roman" w:hAnsi="Times New Roman" w:cs="Times New Roman"/>
          <w:i/>
          <w:sz w:val="22"/>
        </w:rPr>
        <w:t xml:space="preserve">∆Yield </w:t>
      </w:r>
      <w:r w:rsidRPr="003A41B3">
        <w:rPr>
          <w:rFonts w:ascii="Times New Roman" w:hAnsi="Times New Roman" w:cs="Times New Roman"/>
          <w:sz w:val="22"/>
        </w:rPr>
        <w:t xml:space="preserve">which measures, in basis points, the changes in the window [0, +1] sovereign yield spreads towards the benchmark US bonds on a particular sovereign bond </w:t>
      </w:r>
      <w:proofErr w:type="spellStart"/>
      <w:r w:rsidRPr="003A41B3">
        <w:rPr>
          <w:rFonts w:ascii="Times New Roman" w:hAnsi="Times New Roman" w:cs="Times New Roman"/>
          <w:sz w:val="22"/>
        </w:rPr>
        <w:t>i</w:t>
      </w:r>
      <w:proofErr w:type="spellEnd"/>
      <w:r w:rsidRPr="003A41B3">
        <w:rPr>
          <w:rFonts w:ascii="Times New Roman" w:hAnsi="Times New Roman" w:cs="Times New Roman"/>
          <w:sz w:val="22"/>
        </w:rPr>
        <w:t xml:space="preserve"> on the event day t. </w:t>
      </w:r>
      <w:r w:rsidRPr="003A41B3">
        <w:rPr>
          <w:rFonts w:ascii="Times New Roman" w:hAnsi="Times New Roman" w:cs="Times New Roman"/>
          <w:i/>
          <w:sz w:val="22"/>
        </w:rPr>
        <w:t>EEB</w:t>
      </w:r>
      <w:r w:rsidRPr="003A41B3">
        <w:rPr>
          <w:rFonts w:ascii="Times New Roman" w:hAnsi="Times New Roman" w:cs="Times New Roman"/>
          <w:sz w:val="22"/>
        </w:rPr>
        <w:t xml:space="preserve"> (‘EE’ Before) equals to 1 during the pre-identifier period for those countries which have the ‘EE’ identifier in the post-identifier period, and 0 otherwise. </w:t>
      </w:r>
      <w:r w:rsidRPr="003A41B3">
        <w:rPr>
          <w:rFonts w:ascii="Times New Roman" w:hAnsi="Times New Roman" w:cs="Times New Roman"/>
          <w:i/>
          <w:sz w:val="22"/>
        </w:rPr>
        <w:t xml:space="preserve">EUB </w:t>
      </w:r>
      <w:r w:rsidRPr="003A41B3">
        <w:rPr>
          <w:rFonts w:ascii="Times New Roman" w:hAnsi="Times New Roman" w:cs="Times New Roman"/>
          <w:sz w:val="22"/>
        </w:rPr>
        <w:t xml:space="preserve">(‘EU’ Before) equals to 1 during the pre-identifier period for those countries which have the ‘EU’ identifier in the post-identifier period, and 0 otherwise. </w:t>
      </w:r>
      <w:r w:rsidRPr="003A41B3">
        <w:rPr>
          <w:rFonts w:ascii="Times New Roman" w:hAnsi="Times New Roman" w:cs="Times New Roman"/>
          <w:i/>
          <w:sz w:val="22"/>
        </w:rPr>
        <w:t>EE (EU)</w:t>
      </w:r>
      <w:r w:rsidRPr="003A41B3">
        <w:rPr>
          <w:rFonts w:ascii="Times New Roman" w:hAnsi="Times New Roman" w:cs="Times New Roman"/>
          <w:sz w:val="22"/>
        </w:rPr>
        <w:t xml:space="preserve"> takes the value of 1 if the rating of sovereign </w:t>
      </w:r>
      <w:proofErr w:type="spellStart"/>
      <w:r w:rsidRPr="003A41B3">
        <w:rPr>
          <w:rFonts w:ascii="Times New Roman" w:hAnsi="Times New Roman" w:cs="Times New Roman"/>
          <w:sz w:val="22"/>
        </w:rPr>
        <w:t>i</w:t>
      </w:r>
      <w:proofErr w:type="spellEnd"/>
      <w:r w:rsidRPr="003A41B3">
        <w:rPr>
          <w:rFonts w:ascii="Times New Roman" w:hAnsi="Times New Roman" w:cs="Times New Roman"/>
          <w:sz w:val="22"/>
        </w:rPr>
        <w:t xml:space="preserve"> is EU endorsed (EU originated) in the post-identifier period (30 April 2012), 0 otherwise. </w:t>
      </w:r>
      <w:r w:rsidRPr="003A41B3">
        <w:rPr>
          <w:rFonts w:ascii="Times New Roman" w:hAnsi="Times New Roman" w:cs="Times New Roman"/>
          <w:i/>
          <w:sz w:val="22"/>
        </w:rPr>
        <w:t>Rating58</w:t>
      </w:r>
      <w:r w:rsidRPr="003A41B3">
        <w:rPr>
          <w:rFonts w:ascii="Times New Roman" w:hAnsi="Times New Roman" w:cs="Times New Roman"/>
          <w:sz w:val="22"/>
        </w:rPr>
        <w:t xml:space="preserve"> represents sovereign’s CCR taking values 1-58. </w:t>
      </w:r>
      <w:r w:rsidRPr="003A41B3">
        <w:rPr>
          <w:rFonts w:ascii="Times New Roman" w:hAnsi="Times New Roman" w:cs="Times New Roman"/>
          <w:i/>
          <w:sz w:val="22"/>
        </w:rPr>
        <w:t>Maturity</w:t>
      </w:r>
      <w:r w:rsidRPr="003A41B3">
        <w:rPr>
          <w:rFonts w:ascii="Times New Roman" w:hAnsi="Times New Roman" w:cs="Times New Roman"/>
          <w:sz w:val="22"/>
        </w:rPr>
        <w:t xml:space="preserve"> is bond’s time to maturity. Country fixed effects are included (“yes”). We estimate Eq. (3) separately for positive and negative events with absolute values for interpretation reasons. ***, **, * are significance levels at 1%, 5% and 10%.</w:t>
      </w:r>
    </w:p>
    <w:p w14:paraId="13D5BD64" w14:textId="77777777" w:rsidR="006A0BAE" w:rsidRPr="003A41B3" w:rsidRDefault="006A0BAE" w:rsidP="006A0BAE">
      <w:pPr>
        <w:pStyle w:val="ListParagraph"/>
        <w:tabs>
          <w:tab w:val="left" w:pos="284"/>
        </w:tabs>
        <w:spacing w:after="0" w:line="240" w:lineRule="auto"/>
        <w:ind w:left="0"/>
        <w:rPr>
          <w:rFonts w:ascii="Times New Roman" w:hAnsi="Times New Roman" w:cs="Times New Roman"/>
          <w:sz w:val="22"/>
        </w:rPr>
      </w:pPr>
    </w:p>
    <w:p w14:paraId="09CF65B2" w14:textId="77777777" w:rsidR="006A0BAE" w:rsidRPr="003A41B3" w:rsidRDefault="006A0BAE" w:rsidP="006A0BAE"/>
    <w:p w14:paraId="0006CDEE" w14:textId="3F27EDC3" w:rsidR="00EF0F38" w:rsidRPr="003A41B3" w:rsidRDefault="00EF0F38" w:rsidP="00EF0F38">
      <w:pPr>
        <w:jc w:val="both"/>
        <w:rPr>
          <w:sz w:val="20"/>
          <w:szCs w:val="20"/>
        </w:rPr>
      </w:pPr>
    </w:p>
    <w:p w14:paraId="476169E8" w14:textId="77777777" w:rsidR="00445458" w:rsidRPr="003A41B3" w:rsidRDefault="00445458" w:rsidP="00EF0F38">
      <w:pPr>
        <w:jc w:val="both"/>
        <w:rPr>
          <w:sz w:val="20"/>
          <w:szCs w:val="20"/>
        </w:rPr>
        <w:sectPr w:rsidR="00445458" w:rsidRPr="003A41B3" w:rsidSect="001B3B86">
          <w:headerReference w:type="default" r:id="rId13"/>
          <w:headerReference w:type="first" r:id="rId14"/>
          <w:footerReference w:type="first" r:id="rId15"/>
          <w:pgSz w:w="16838" w:h="11906" w:orient="landscape"/>
          <w:pgMar w:top="1440" w:right="1440" w:bottom="1440" w:left="1440" w:header="709" w:footer="709" w:gutter="0"/>
          <w:cols w:space="708"/>
          <w:docGrid w:linePitch="360"/>
        </w:sectPr>
      </w:pPr>
    </w:p>
    <w:p w14:paraId="7F28C0DE" w14:textId="56CA5F7F" w:rsidR="00445458" w:rsidRPr="003A41B3" w:rsidRDefault="00445458" w:rsidP="00445458">
      <w:pPr>
        <w:rPr>
          <w:b/>
          <w:lang w:eastAsia="en-GB"/>
        </w:rPr>
      </w:pPr>
      <w:r w:rsidRPr="003A41B3">
        <w:rPr>
          <w:b/>
          <w:lang w:eastAsia="en-GB"/>
        </w:rPr>
        <w:lastRenderedPageBreak/>
        <w:t xml:space="preserve">    Appendix A</w:t>
      </w:r>
      <w:r w:rsidR="0045636D" w:rsidRPr="003A41B3">
        <w:rPr>
          <w:b/>
          <w:lang w:eastAsia="en-GB"/>
        </w:rPr>
        <w:t>:</w:t>
      </w:r>
      <w:r w:rsidRPr="003A41B3">
        <w:rPr>
          <w:b/>
          <w:lang w:eastAsia="en-GB"/>
        </w:rPr>
        <w:t xml:space="preserve"> </w:t>
      </w:r>
      <w:r w:rsidRPr="003A41B3">
        <w:rPr>
          <w:b/>
        </w:rPr>
        <w:t>Credit rating scale</w:t>
      </w:r>
    </w:p>
    <w:tbl>
      <w:tblPr>
        <w:tblW w:w="8979" w:type="dxa"/>
        <w:tblInd w:w="93" w:type="dxa"/>
        <w:tblLook w:val="04A0" w:firstRow="1" w:lastRow="0" w:firstColumn="1" w:lastColumn="0" w:noHBand="0" w:noVBand="1"/>
      </w:tblPr>
      <w:tblGrid>
        <w:gridCol w:w="1892"/>
        <w:gridCol w:w="2126"/>
        <w:gridCol w:w="425"/>
        <w:gridCol w:w="709"/>
        <w:gridCol w:w="1985"/>
        <w:gridCol w:w="1842"/>
      </w:tblGrid>
      <w:tr w:rsidR="00445458" w:rsidRPr="003A41B3" w14:paraId="5FC548BF" w14:textId="77777777" w:rsidTr="006B720C">
        <w:trPr>
          <w:trHeight w:val="113"/>
        </w:trPr>
        <w:tc>
          <w:tcPr>
            <w:tcW w:w="1892" w:type="dxa"/>
            <w:tcBorders>
              <w:top w:val="double" w:sz="4" w:space="0" w:color="auto"/>
              <w:left w:val="nil"/>
              <w:bottom w:val="double" w:sz="4" w:space="0" w:color="auto"/>
              <w:right w:val="nil"/>
            </w:tcBorders>
            <w:shd w:val="clear" w:color="auto" w:fill="auto"/>
            <w:noWrap/>
            <w:vAlign w:val="center"/>
            <w:hideMark/>
          </w:tcPr>
          <w:p w14:paraId="597C11D0" w14:textId="77777777" w:rsidR="00445458" w:rsidRPr="003A41B3" w:rsidRDefault="00445458" w:rsidP="00154091">
            <w:pPr>
              <w:rPr>
                <w:rFonts w:eastAsia="Times New Roman"/>
                <w:b/>
                <w:bCs/>
                <w:sz w:val="18"/>
                <w:szCs w:val="18"/>
                <w:lang w:eastAsia="en-GB"/>
              </w:rPr>
            </w:pPr>
            <w:r w:rsidRPr="003A41B3">
              <w:rPr>
                <w:rFonts w:eastAsia="Times New Roman"/>
                <w:b/>
                <w:bCs/>
                <w:sz w:val="18"/>
                <w:szCs w:val="18"/>
                <w:lang w:eastAsia="en-GB"/>
              </w:rPr>
              <w:t>Rating symbols</w:t>
            </w:r>
          </w:p>
        </w:tc>
        <w:tc>
          <w:tcPr>
            <w:tcW w:w="2126" w:type="dxa"/>
            <w:tcBorders>
              <w:top w:val="double" w:sz="4" w:space="0" w:color="auto"/>
              <w:left w:val="nil"/>
              <w:bottom w:val="double" w:sz="4" w:space="0" w:color="auto"/>
              <w:right w:val="nil"/>
            </w:tcBorders>
            <w:vAlign w:val="center"/>
          </w:tcPr>
          <w:p w14:paraId="07C43A7F" w14:textId="02AB2EF4" w:rsidR="00445458" w:rsidRPr="003A41B3" w:rsidRDefault="00445458" w:rsidP="00154091">
            <w:pPr>
              <w:rPr>
                <w:rFonts w:eastAsia="Times New Roman"/>
                <w:b/>
                <w:bCs/>
                <w:sz w:val="18"/>
                <w:szCs w:val="18"/>
                <w:lang w:eastAsia="en-GB"/>
              </w:rPr>
            </w:pPr>
            <w:r w:rsidRPr="003A41B3">
              <w:rPr>
                <w:rFonts w:eastAsia="Times New Roman"/>
                <w:b/>
                <w:bCs/>
                <w:sz w:val="18"/>
                <w:szCs w:val="18"/>
                <w:lang w:eastAsia="en-GB"/>
              </w:rPr>
              <w:t>Outlook/</w:t>
            </w:r>
            <w:r w:rsidR="00261E7F" w:rsidRPr="003A41B3">
              <w:rPr>
                <w:rFonts w:eastAsia="Times New Roman"/>
                <w:b/>
                <w:bCs/>
                <w:sz w:val="18"/>
                <w:szCs w:val="18"/>
                <w:lang w:eastAsia="en-GB"/>
              </w:rPr>
              <w:t>W</w:t>
            </w:r>
            <w:r w:rsidRPr="003A41B3">
              <w:rPr>
                <w:rFonts w:eastAsia="Times New Roman"/>
                <w:b/>
                <w:bCs/>
                <w:sz w:val="18"/>
                <w:szCs w:val="18"/>
                <w:lang w:eastAsia="en-GB"/>
              </w:rPr>
              <w:t>atch</w:t>
            </w:r>
          </w:p>
        </w:tc>
        <w:tc>
          <w:tcPr>
            <w:tcW w:w="425" w:type="dxa"/>
            <w:tcBorders>
              <w:top w:val="double" w:sz="4" w:space="0" w:color="auto"/>
              <w:left w:val="nil"/>
              <w:bottom w:val="double" w:sz="4" w:space="0" w:color="auto"/>
              <w:right w:val="nil"/>
            </w:tcBorders>
            <w:vAlign w:val="center"/>
          </w:tcPr>
          <w:p w14:paraId="0E04DD20" w14:textId="77777777" w:rsidR="00445458" w:rsidRPr="003A41B3" w:rsidRDefault="00445458" w:rsidP="00154091">
            <w:pPr>
              <w:jc w:val="center"/>
              <w:rPr>
                <w:rFonts w:eastAsia="Times New Roman"/>
                <w:b/>
                <w:bCs/>
                <w:sz w:val="18"/>
                <w:szCs w:val="18"/>
                <w:lang w:eastAsia="en-GB"/>
              </w:rPr>
            </w:pPr>
          </w:p>
        </w:tc>
        <w:tc>
          <w:tcPr>
            <w:tcW w:w="709" w:type="dxa"/>
            <w:tcBorders>
              <w:top w:val="double" w:sz="4" w:space="0" w:color="auto"/>
              <w:left w:val="nil"/>
              <w:bottom w:val="double" w:sz="4" w:space="0" w:color="auto"/>
              <w:right w:val="nil"/>
            </w:tcBorders>
            <w:shd w:val="clear" w:color="auto" w:fill="auto"/>
            <w:noWrap/>
            <w:vAlign w:val="center"/>
            <w:hideMark/>
          </w:tcPr>
          <w:p w14:paraId="5C03C1A3" w14:textId="77777777" w:rsidR="00445458" w:rsidRPr="003A41B3" w:rsidRDefault="00445458" w:rsidP="00154091">
            <w:pPr>
              <w:jc w:val="center"/>
              <w:rPr>
                <w:rFonts w:eastAsia="Times New Roman"/>
                <w:b/>
                <w:bCs/>
                <w:sz w:val="18"/>
                <w:szCs w:val="18"/>
                <w:lang w:eastAsia="en-GB"/>
              </w:rPr>
            </w:pPr>
            <w:r w:rsidRPr="003A41B3">
              <w:rPr>
                <w:rFonts w:eastAsia="Times New Roman"/>
                <w:b/>
                <w:bCs/>
                <w:sz w:val="18"/>
                <w:szCs w:val="18"/>
                <w:lang w:eastAsia="en-GB"/>
              </w:rPr>
              <w:t xml:space="preserve">58-point </w:t>
            </w:r>
          </w:p>
        </w:tc>
        <w:tc>
          <w:tcPr>
            <w:tcW w:w="1985" w:type="dxa"/>
            <w:tcBorders>
              <w:top w:val="double" w:sz="4" w:space="0" w:color="auto"/>
              <w:left w:val="nil"/>
              <w:bottom w:val="double" w:sz="4" w:space="0" w:color="auto"/>
              <w:right w:val="nil"/>
            </w:tcBorders>
            <w:shd w:val="clear" w:color="auto" w:fill="auto"/>
            <w:noWrap/>
            <w:vAlign w:val="center"/>
            <w:hideMark/>
          </w:tcPr>
          <w:p w14:paraId="17287C42" w14:textId="51B81FDA" w:rsidR="00445458" w:rsidRPr="003A41B3" w:rsidRDefault="00261E7F" w:rsidP="00154091">
            <w:pPr>
              <w:jc w:val="center"/>
              <w:rPr>
                <w:rFonts w:eastAsia="Times New Roman"/>
                <w:b/>
                <w:bCs/>
                <w:sz w:val="18"/>
                <w:szCs w:val="18"/>
                <w:lang w:eastAsia="en-GB"/>
              </w:rPr>
            </w:pPr>
            <w:r w:rsidRPr="003A41B3">
              <w:rPr>
                <w:rFonts w:eastAsia="Times New Roman"/>
                <w:b/>
                <w:bCs/>
                <w:sz w:val="18"/>
                <w:szCs w:val="18"/>
                <w:lang w:eastAsia="en-GB"/>
              </w:rPr>
              <w:t>A</w:t>
            </w:r>
            <w:r w:rsidR="00445458" w:rsidRPr="003A41B3">
              <w:rPr>
                <w:rFonts w:eastAsia="Times New Roman"/>
                <w:b/>
                <w:bCs/>
                <w:sz w:val="18"/>
                <w:szCs w:val="18"/>
                <w:lang w:eastAsia="en-GB"/>
              </w:rPr>
              <w:t>djustments</w:t>
            </w:r>
          </w:p>
        </w:tc>
        <w:tc>
          <w:tcPr>
            <w:tcW w:w="1842" w:type="dxa"/>
            <w:tcBorders>
              <w:top w:val="double" w:sz="4" w:space="0" w:color="auto"/>
              <w:left w:val="nil"/>
              <w:bottom w:val="double" w:sz="4" w:space="0" w:color="auto"/>
              <w:right w:val="nil"/>
            </w:tcBorders>
            <w:shd w:val="clear" w:color="auto" w:fill="auto"/>
            <w:vAlign w:val="center"/>
            <w:hideMark/>
          </w:tcPr>
          <w:p w14:paraId="0733B4FD" w14:textId="77777777" w:rsidR="00445458" w:rsidRPr="003A41B3" w:rsidRDefault="00445458" w:rsidP="00154091">
            <w:pPr>
              <w:jc w:val="center"/>
              <w:rPr>
                <w:rFonts w:eastAsia="Times New Roman"/>
                <w:b/>
                <w:bCs/>
                <w:sz w:val="18"/>
                <w:szCs w:val="18"/>
                <w:lang w:eastAsia="en-GB"/>
              </w:rPr>
            </w:pPr>
            <w:r w:rsidRPr="003A41B3">
              <w:rPr>
                <w:rFonts w:eastAsia="Times New Roman"/>
                <w:b/>
                <w:bCs/>
                <w:sz w:val="18"/>
                <w:szCs w:val="18"/>
                <w:lang w:eastAsia="en-GB"/>
              </w:rPr>
              <w:t>58-point CCR</w:t>
            </w:r>
          </w:p>
          <w:p w14:paraId="65B30C8C" w14:textId="77777777" w:rsidR="00445458" w:rsidRPr="003A41B3" w:rsidRDefault="00445458" w:rsidP="00154091">
            <w:pPr>
              <w:jc w:val="center"/>
              <w:rPr>
                <w:rFonts w:eastAsia="Times New Roman"/>
                <w:b/>
                <w:bCs/>
                <w:sz w:val="18"/>
                <w:szCs w:val="18"/>
                <w:lang w:eastAsia="en-GB"/>
              </w:rPr>
            </w:pPr>
            <w:r w:rsidRPr="003A41B3">
              <w:rPr>
                <w:rFonts w:eastAsia="Times New Roman"/>
                <w:b/>
                <w:bCs/>
                <w:sz w:val="18"/>
                <w:szCs w:val="18"/>
                <w:lang w:eastAsia="en-GB"/>
              </w:rPr>
              <w:t>scale</w:t>
            </w:r>
          </w:p>
        </w:tc>
      </w:tr>
      <w:tr w:rsidR="00445458" w:rsidRPr="003A41B3" w14:paraId="12AE3A39" w14:textId="77777777" w:rsidTr="006B720C">
        <w:trPr>
          <w:trHeight w:val="113"/>
        </w:trPr>
        <w:tc>
          <w:tcPr>
            <w:tcW w:w="1892" w:type="dxa"/>
            <w:tcBorders>
              <w:top w:val="nil"/>
              <w:left w:val="nil"/>
              <w:right w:val="nil"/>
            </w:tcBorders>
            <w:shd w:val="clear" w:color="auto" w:fill="auto"/>
            <w:noWrap/>
            <w:vAlign w:val="bottom"/>
            <w:hideMark/>
          </w:tcPr>
          <w:p w14:paraId="2E849F94"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w:t>
            </w:r>
            <w:proofErr w:type="spellStart"/>
            <w:r w:rsidRPr="003A41B3">
              <w:rPr>
                <w:rFonts w:eastAsia="Times New Roman"/>
                <w:sz w:val="18"/>
                <w:szCs w:val="18"/>
                <w:lang w:eastAsia="en-GB"/>
              </w:rPr>
              <w:t>Aaa</w:t>
            </w:r>
            <w:proofErr w:type="spellEnd"/>
          </w:p>
        </w:tc>
        <w:tc>
          <w:tcPr>
            <w:tcW w:w="2126" w:type="dxa"/>
            <w:tcBorders>
              <w:top w:val="nil"/>
              <w:left w:val="nil"/>
              <w:right w:val="nil"/>
            </w:tcBorders>
            <w:vAlign w:val="center"/>
          </w:tcPr>
          <w:p w14:paraId="30EAC29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right w:val="nil"/>
            </w:tcBorders>
            <w:vAlign w:val="center"/>
          </w:tcPr>
          <w:p w14:paraId="3937DBD2"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hideMark/>
          </w:tcPr>
          <w:p w14:paraId="19E7C2EF"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6B2E0FC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right w:val="nil"/>
            </w:tcBorders>
            <w:shd w:val="clear" w:color="auto" w:fill="auto"/>
            <w:noWrap/>
            <w:vAlign w:val="center"/>
            <w:hideMark/>
          </w:tcPr>
          <w:p w14:paraId="611F638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58</w:t>
            </w:r>
          </w:p>
        </w:tc>
      </w:tr>
      <w:tr w:rsidR="00445458" w:rsidRPr="003A41B3" w14:paraId="6E6B0008" w14:textId="77777777" w:rsidTr="006B720C">
        <w:trPr>
          <w:trHeight w:val="113"/>
        </w:trPr>
        <w:tc>
          <w:tcPr>
            <w:tcW w:w="1892" w:type="dxa"/>
            <w:tcBorders>
              <w:top w:val="nil"/>
              <w:left w:val="nil"/>
              <w:right w:val="nil"/>
            </w:tcBorders>
            <w:shd w:val="clear" w:color="auto" w:fill="auto"/>
            <w:noWrap/>
            <w:vAlign w:val="bottom"/>
            <w:hideMark/>
          </w:tcPr>
          <w:p w14:paraId="40FC556E"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w:t>
            </w:r>
            <w:proofErr w:type="spellStart"/>
            <w:r w:rsidRPr="003A41B3">
              <w:rPr>
                <w:rFonts w:eastAsia="Times New Roman"/>
                <w:sz w:val="18"/>
                <w:szCs w:val="18"/>
                <w:lang w:eastAsia="en-GB"/>
              </w:rPr>
              <w:t>Aaa</w:t>
            </w:r>
            <w:proofErr w:type="spellEnd"/>
          </w:p>
        </w:tc>
        <w:tc>
          <w:tcPr>
            <w:tcW w:w="2126" w:type="dxa"/>
            <w:tcBorders>
              <w:top w:val="nil"/>
              <w:left w:val="nil"/>
              <w:right w:val="nil"/>
            </w:tcBorders>
            <w:vAlign w:val="center"/>
          </w:tcPr>
          <w:p w14:paraId="2B6623B2"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08742920"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07EF91E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58</w:t>
            </w:r>
          </w:p>
        </w:tc>
        <w:tc>
          <w:tcPr>
            <w:tcW w:w="1985" w:type="dxa"/>
            <w:tcBorders>
              <w:top w:val="nil"/>
              <w:left w:val="nil"/>
              <w:right w:val="nil"/>
            </w:tcBorders>
            <w:shd w:val="clear" w:color="auto" w:fill="auto"/>
            <w:noWrap/>
            <w:vAlign w:val="center"/>
            <w:hideMark/>
          </w:tcPr>
          <w:p w14:paraId="0CBD000C"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49B77785"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57</w:t>
            </w:r>
          </w:p>
        </w:tc>
      </w:tr>
      <w:tr w:rsidR="00445458" w:rsidRPr="003A41B3" w14:paraId="01E7DA23" w14:textId="77777777" w:rsidTr="006B720C">
        <w:trPr>
          <w:trHeight w:val="113"/>
        </w:trPr>
        <w:tc>
          <w:tcPr>
            <w:tcW w:w="1892" w:type="dxa"/>
            <w:tcBorders>
              <w:top w:val="nil"/>
              <w:left w:val="nil"/>
              <w:right w:val="nil"/>
            </w:tcBorders>
            <w:shd w:val="clear" w:color="auto" w:fill="auto"/>
            <w:noWrap/>
            <w:vAlign w:val="bottom"/>
            <w:hideMark/>
          </w:tcPr>
          <w:p w14:paraId="19ED244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w:t>
            </w:r>
            <w:proofErr w:type="spellStart"/>
            <w:r w:rsidRPr="003A41B3">
              <w:rPr>
                <w:rFonts w:eastAsia="Times New Roman"/>
                <w:sz w:val="18"/>
                <w:szCs w:val="18"/>
                <w:lang w:eastAsia="en-GB"/>
              </w:rPr>
              <w:t>Aaa</w:t>
            </w:r>
            <w:proofErr w:type="spellEnd"/>
          </w:p>
        </w:tc>
        <w:tc>
          <w:tcPr>
            <w:tcW w:w="2126" w:type="dxa"/>
            <w:tcBorders>
              <w:top w:val="nil"/>
              <w:left w:val="nil"/>
              <w:right w:val="nil"/>
            </w:tcBorders>
            <w:vAlign w:val="center"/>
          </w:tcPr>
          <w:p w14:paraId="3995648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right w:val="nil"/>
            </w:tcBorders>
            <w:vAlign w:val="center"/>
          </w:tcPr>
          <w:p w14:paraId="333E5361"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2EF109B3"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700DEDF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right w:val="nil"/>
            </w:tcBorders>
            <w:shd w:val="clear" w:color="auto" w:fill="auto"/>
            <w:noWrap/>
            <w:vAlign w:val="center"/>
            <w:hideMark/>
          </w:tcPr>
          <w:p w14:paraId="616F2A0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56</w:t>
            </w:r>
          </w:p>
        </w:tc>
      </w:tr>
      <w:tr w:rsidR="00445458" w:rsidRPr="003A41B3" w14:paraId="6979F7C8"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36A82B8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AA+/Aa1</w:t>
            </w:r>
          </w:p>
        </w:tc>
        <w:tc>
          <w:tcPr>
            <w:tcW w:w="2126" w:type="dxa"/>
            <w:tcBorders>
              <w:top w:val="dashSmallGap" w:sz="4" w:space="0" w:color="auto"/>
              <w:left w:val="nil"/>
              <w:bottom w:val="nil"/>
              <w:right w:val="nil"/>
            </w:tcBorders>
            <w:vAlign w:val="center"/>
          </w:tcPr>
          <w:p w14:paraId="6C9AFC4C"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10CDD2D1"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59505380"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79A02C3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10CC33B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57</w:t>
            </w:r>
          </w:p>
        </w:tc>
      </w:tr>
      <w:tr w:rsidR="00445458" w:rsidRPr="003A41B3" w14:paraId="16B06D08" w14:textId="77777777" w:rsidTr="006B720C">
        <w:trPr>
          <w:trHeight w:val="113"/>
        </w:trPr>
        <w:tc>
          <w:tcPr>
            <w:tcW w:w="1892" w:type="dxa"/>
            <w:tcBorders>
              <w:top w:val="nil"/>
              <w:left w:val="nil"/>
              <w:bottom w:val="nil"/>
              <w:right w:val="nil"/>
            </w:tcBorders>
            <w:shd w:val="clear" w:color="auto" w:fill="auto"/>
            <w:noWrap/>
            <w:vAlign w:val="bottom"/>
            <w:hideMark/>
          </w:tcPr>
          <w:p w14:paraId="0723A03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AA+/Aa1</w:t>
            </w:r>
          </w:p>
        </w:tc>
        <w:tc>
          <w:tcPr>
            <w:tcW w:w="2126" w:type="dxa"/>
            <w:tcBorders>
              <w:top w:val="nil"/>
              <w:left w:val="nil"/>
              <w:bottom w:val="nil"/>
              <w:right w:val="nil"/>
            </w:tcBorders>
            <w:vAlign w:val="center"/>
          </w:tcPr>
          <w:p w14:paraId="7CC6B27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6DB9D141"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12BE1E94"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22A7D7F4"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1C146A5C"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56</w:t>
            </w:r>
          </w:p>
        </w:tc>
      </w:tr>
      <w:tr w:rsidR="00445458" w:rsidRPr="003A41B3" w14:paraId="40BD4087" w14:textId="77777777" w:rsidTr="006B720C">
        <w:trPr>
          <w:trHeight w:val="113"/>
        </w:trPr>
        <w:tc>
          <w:tcPr>
            <w:tcW w:w="1892" w:type="dxa"/>
            <w:tcBorders>
              <w:top w:val="nil"/>
              <w:left w:val="nil"/>
              <w:bottom w:val="nil"/>
              <w:right w:val="nil"/>
            </w:tcBorders>
            <w:shd w:val="clear" w:color="auto" w:fill="auto"/>
            <w:noWrap/>
            <w:vAlign w:val="bottom"/>
            <w:hideMark/>
          </w:tcPr>
          <w:p w14:paraId="0953859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AA+/Aa1</w:t>
            </w:r>
          </w:p>
        </w:tc>
        <w:tc>
          <w:tcPr>
            <w:tcW w:w="2126" w:type="dxa"/>
            <w:tcBorders>
              <w:top w:val="nil"/>
              <w:left w:val="nil"/>
              <w:bottom w:val="nil"/>
              <w:right w:val="nil"/>
            </w:tcBorders>
            <w:vAlign w:val="center"/>
          </w:tcPr>
          <w:p w14:paraId="6439398A"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02613FC0"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49258F5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55</w:t>
            </w:r>
          </w:p>
        </w:tc>
        <w:tc>
          <w:tcPr>
            <w:tcW w:w="1985" w:type="dxa"/>
            <w:tcBorders>
              <w:top w:val="nil"/>
              <w:left w:val="nil"/>
              <w:bottom w:val="nil"/>
              <w:right w:val="nil"/>
            </w:tcBorders>
            <w:shd w:val="clear" w:color="auto" w:fill="auto"/>
            <w:noWrap/>
            <w:vAlign w:val="center"/>
            <w:hideMark/>
          </w:tcPr>
          <w:p w14:paraId="40F8A2F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1D90DDE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55</w:t>
            </w:r>
          </w:p>
        </w:tc>
      </w:tr>
      <w:tr w:rsidR="00445458" w:rsidRPr="003A41B3" w14:paraId="0232B3E6" w14:textId="77777777" w:rsidTr="006B720C">
        <w:trPr>
          <w:trHeight w:val="113"/>
        </w:trPr>
        <w:tc>
          <w:tcPr>
            <w:tcW w:w="1892" w:type="dxa"/>
            <w:tcBorders>
              <w:top w:val="nil"/>
              <w:left w:val="nil"/>
              <w:right w:val="nil"/>
            </w:tcBorders>
            <w:shd w:val="clear" w:color="auto" w:fill="auto"/>
            <w:noWrap/>
            <w:vAlign w:val="bottom"/>
            <w:hideMark/>
          </w:tcPr>
          <w:p w14:paraId="3761494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AA+/Aa1</w:t>
            </w:r>
          </w:p>
        </w:tc>
        <w:tc>
          <w:tcPr>
            <w:tcW w:w="2126" w:type="dxa"/>
            <w:tcBorders>
              <w:top w:val="nil"/>
              <w:left w:val="nil"/>
              <w:right w:val="nil"/>
            </w:tcBorders>
            <w:vAlign w:val="center"/>
          </w:tcPr>
          <w:p w14:paraId="2A44A7D2"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26E6EF45"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39CF2303"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5A7EFFB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55259A6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54</w:t>
            </w:r>
          </w:p>
        </w:tc>
      </w:tr>
      <w:tr w:rsidR="00445458" w:rsidRPr="003A41B3" w14:paraId="69B40A7A"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6E2C2956"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AA+/Aa1</w:t>
            </w:r>
          </w:p>
        </w:tc>
        <w:tc>
          <w:tcPr>
            <w:tcW w:w="2126" w:type="dxa"/>
            <w:tcBorders>
              <w:top w:val="nil"/>
              <w:left w:val="nil"/>
              <w:bottom w:val="dashSmallGap" w:sz="4" w:space="0" w:color="auto"/>
              <w:right w:val="nil"/>
            </w:tcBorders>
            <w:vAlign w:val="center"/>
          </w:tcPr>
          <w:p w14:paraId="2F3ABD9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7B87D8EA"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0B602EC1"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03EE53B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690E76C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53</w:t>
            </w:r>
          </w:p>
        </w:tc>
      </w:tr>
      <w:tr w:rsidR="00445458" w:rsidRPr="003A41B3" w14:paraId="1EAD44E2"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3B02E7D3"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AA/Aa2</w:t>
            </w:r>
          </w:p>
        </w:tc>
        <w:tc>
          <w:tcPr>
            <w:tcW w:w="2126" w:type="dxa"/>
            <w:tcBorders>
              <w:top w:val="dashSmallGap" w:sz="4" w:space="0" w:color="auto"/>
              <w:left w:val="nil"/>
              <w:bottom w:val="nil"/>
              <w:right w:val="nil"/>
            </w:tcBorders>
            <w:vAlign w:val="center"/>
          </w:tcPr>
          <w:p w14:paraId="79846D01"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6856BA05"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2F3646AF"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50427C5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21A819FA"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54</w:t>
            </w:r>
          </w:p>
        </w:tc>
      </w:tr>
      <w:tr w:rsidR="00445458" w:rsidRPr="003A41B3" w14:paraId="39530C3D" w14:textId="77777777" w:rsidTr="006B720C">
        <w:trPr>
          <w:trHeight w:val="113"/>
        </w:trPr>
        <w:tc>
          <w:tcPr>
            <w:tcW w:w="1892" w:type="dxa"/>
            <w:tcBorders>
              <w:top w:val="nil"/>
              <w:left w:val="nil"/>
              <w:bottom w:val="nil"/>
              <w:right w:val="nil"/>
            </w:tcBorders>
            <w:shd w:val="clear" w:color="auto" w:fill="auto"/>
            <w:noWrap/>
            <w:vAlign w:val="bottom"/>
            <w:hideMark/>
          </w:tcPr>
          <w:p w14:paraId="78386724"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AA/Aa2</w:t>
            </w:r>
          </w:p>
        </w:tc>
        <w:tc>
          <w:tcPr>
            <w:tcW w:w="2126" w:type="dxa"/>
            <w:tcBorders>
              <w:top w:val="nil"/>
              <w:left w:val="nil"/>
              <w:bottom w:val="nil"/>
              <w:right w:val="nil"/>
            </w:tcBorders>
            <w:vAlign w:val="center"/>
          </w:tcPr>
          <w:p w14:paraId="26D9D68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0E06C13F"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3CC9619E"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14B2C584"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295007A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53</w:t>
            </w:r>
          </w:p>
        </w:tc>
      </w:tr>
      <w:tr w:rsidR="00445458" w:rsidRPr="003A41B3" w14:paraId="0A0CBDA7" w14:textId="77777777" w:rsidTr="006B720C">
        <w:trPr>
          <w:trHeight w:val="113"/>
        </w:trPr>
        <w:tc>
          <w:tcPr>
            <w:tcW w:w="1892" w:type="dxa"/>
            <w:tcBorders>
              <w:top w:val="nil"/>
              <w:left w:val="nil"/>
              <w:bottom w:val="nil"/>
              <w:right w:val="nil"/>
            </w:tcBorders>
            <w:shd w:val="clear" w:color="auto" w:fill="auto"/>
            <w:noWrap/>
            <w:vAlign w:val="bottom"/>
            <w:hideMark/>
          </w:tcPr>
          <w:p w14:paraId="42095CD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AA/Aa2</w:t>
            </w:r>
          </w:p>
        </w:tc>
        <w:tc>
          <w:tcPr>
            <w:tcW w:w="2126" w:type="dxa"/>
            <w:tcBorders>
              <w:top w:val="nil"/>
              <w:left w:val="nil"/>
              <w:bottom w:val="nil"/>
              <w:right w:val="nil"/>
            </w:tcBorders>
            <w:vAlign w:val="center"/>
          </w:tcPr>
          <w:p w14:paraId="7C3BBEC1"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1B11EEB9"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090FA09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52</w:t>
            </w:r>
          </w:p>
        </w:tc>
        <w:tc>
          <w:tcPr>
            <w:tcW w:w="1985" w:type="dxa"/>
            <w:tcBorders>
              <w:top w:val="nil"/>
              <w:left w:val="nil"/>
              <w:bottom w:val="nil"/>
              <w:right w:val="nil"/>
            </w:tcBorders>
            <w:shd w:val="clear" w:color="auto" w:fill="auto"/>
            <w:noWrap/>
            <w:vAlign w:val="center"/>
            <w:hideMark/>
          </w:tcPr>
          <w:p w14:paraId="37909F5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423DA85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52</w:t>
            </w:r>
          </w:p>
        </w:tc>
      </w:tr>
      <w:tr w:rsidR="00445458" w:rsidRPr="003A41B3" w14:paraId="043E68EA" w14:textId="77777777" w:rsidTr="006B720C">
        <w:trPr>
          <w:trHeight w:val="113"/>
        </w:trPr>
        <w:tc>
          <w:tcPr>
            <w:tcW w:w="1892" w:type="dxa"/>
            <w:tcBorders>
              <w:top w:val="nil"/>
              <w:left w:val="nil"/>
              <w:right w:val="nil"/>
            </w:tcBorders>
            <w:shd w:val="clear" w:color="auto" w:fill="auto"/>
            <w:noWrap/>
            <w:vAlign w:val="bottom"/>
            <w:hideMark/>
          </w:tcPr>
          <w:p w14:paraId="25D460E6"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AA/Aa2</w:t>
            </w:r>
          </w:p>
        </w:tc>
        <w:tc>
          <w:tcPr>
            <w:tcW w:w="2126" w:type="dxa"/>
            <w:tcBorders>
              <w:top w:val="nil"/>
              <w:left w:val="nil"/>
              <w:right w:val="nil"/>
            </w:tcBorders>
            <w:vAlign w:val="center"/>
          </w:tcPr>
          <w:p w14:paraId="5F9617FE"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1C234D35"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1EE3E5D6"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27F5131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7FE94239"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51</w:t>
            </w:r>
          </w:p>
        </w:tc>
      </w:tr>
      <w:tr w:rsidR="00445458" w:rsidRPr="003A41B3" w14:paraId="67F7DC31"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694B7F38"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AA/Aa2</w:t>
            </w:r>
          </w:p>
        </w:tc>
        <w:tc>
          <w:tcPr>
            <w:tcW w:w="2126" w:type="dxa"/>
            <w:tcBorders>
              <w:top w:val="nil"/>
              <w:left w:val="nil"/>
              <w:bottom w:val="dashSmallGap" w:sz="4" w:space="0" w:color="auto"/>
              <w:right w:val="nil"/>
            </w:tcBorders>
            <w:vAlign w:val="center"/>
          </w:tcPr>
          <w:p w14:paraId="105C799D"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46B22F96"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54D2FB9E"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3D0BD15D"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096BA505"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50</w:t>
            </w:r>
          </w:p>
        </w:tc>
      </w:tr>
      <w:tr w:rsidR="00445458" w:rsidRPr="003A41B3" w14:paraId="7E0AE385"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2AC72D14"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AA-/Aa3</w:t>
            </w:r>
          </w:p>
        </w:tc>
        <w:tc>
          <w:tcPr>
            <w:tcW w:w="2126" w:type="dxa"/>
            <w:tcBorders>
              <w:top w:val="dashSmallGap" w:sz="4" w:space="0" w:color="auto"/>
              <w:left w:val="nil"/>
              <w:bottom w:val="nil"/>
              <w:right w:val="nil"/>
            </w:tcBorders>
            <w:vAlign w:val="center"/>
          </w:tcPr>
          <w:p w14:paraId="36191F13"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7CC9E853"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5E59BAB3"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335C43E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75A533A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51</w:t>
            </w:r>
          </w:p>
        </w:tc>
      </w:tr>
      <w:tr w:rsidR="00445458" w:rsidRPr="003A41B3" w14:paraId="01F16AA4" w14:textId="77777777" w:rsidTr="006B720C">
        <w:trPr>
          <w:trHeight w:val="113"/>
        </w:trPr>
        <w:tc>
          <w:tcPr>
            <w:tcW w:w="1892" w:type="dxa"/>
            <w:tcBorders>
              <w:top w:val="nil"/>
              <w:left w:val="nil"/>
              <w:bottom w:val="nil"/>
              <w:right w:val="nil"/>
            </w:tcBorders>
            <w:shd w:val="clear" w:color="auto" w:fill="auto"/>
            <w:noWrap/>
            <w:vAlign w:val="bottom"/>
            <w:hideMark/>
          </w:tcPr>
          <w:p w14:paraId="02C751A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AA-/Aa3</w:t>
            </w:r>
          </w:p>
        </w:tc>
        <w:tc>
          <w:tcPr>
            <w:tcW w:w="2126" w:type="dxa"/>
            <w:tcBorders>
              <w:top w:val="nil"/>
              <w:left w:val="nil"/>
              <w:bottom w:val="nil"/>
              <w:right w:val="nil"/>
            </w:tcBorders>
            <w:vAlign w:val="center"/>
          </w:tcPr>
          <w:p w14:paraId="3394B36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6AB39604"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37A2DB33"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7DC0061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4AB6CD5D"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50</w:t>
            </w:r>
          </w:p>
        </w:tc>
      </w:tr>
      <w:tr w:rsidR="00445458" w:rsidRPr="003A41B3" w14:paraId="3BD6F12C" w14:textId="77777777" w:rsidTr="006B720C">
        <w:trPr>
          <w:trHeight w:val="113"/>
        </w:trPr>
        <w:tc>
          <w:tcPr>
            <w:tcW w:w="1892" w:type="dxa"/>
            <w:tcBorders>
              <w:top w:val="nil"/>
              <w:left w:val="nil"/>
              <w:bottom w:val="nil"/>
              <w:right w:val="nil"/>
            </w:tcBorders>
            <w:shd w:val="clear" w:color="auto" w:fill="auto"/>
            <w:noWrap/>
            <w:vAlign w:val="bottom"/>
            <w:hideMark/>
          </w:tcPr>
          <w:p w14:paraId="2594D98A"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AA-/Aa3</w:t>
            </w:r>
          </w:p>
        </w:tc>
        <w:tc>
          <w:tcPr>
            <w:tcW w:w="2126" w:type="dxa"/>
            <w:tcBorders>
              <w:top w:val="nil"/>
              <w:left w:val="nil"/>
              <w:bottom w:val="nil"/>
              <w:right w:val="nil"/>
            </w:tcBorders>
            <w:vAlign w:val="center"/>
          </w:tcPr>
          <w:p w14:paraId="5A6A534F"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3C0AD5D1"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151B26B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49</w:t>
            </w:r>
          </w:p>
        </w:tc>
        <w:tc>
          <w:tcPr>
            <w:tcW w:w="1985" w:type="dxa"/>
            <w:tcBorders>
              <w:top w:val="nil"/>
              <w:left w:val="nil"/>
              <w:bottom w:val="nil"/>
              <w:right w:val="nil"/>
            </w:tcBorders>
            <w:shd w:val="clear" w:color="auto" w:fill="auto"/>
            <w:noWrap/>
            <w:vAlign w:val="center"/>
            <w:hideMark/>
          </w:tcPr>
          <w:p w14:paraId="4DAA0CA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0FB372E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49</w:t>
            </w:r>
          </w:p>
        </w:tc>
      </w:tr>
      <w:tr w:rsidR="00445458" w:rsidRPr="003A41B3" w14:paraId="434C5AF7" w14:textId="77777777" w:rsidTr="006B720C">
        <w:trPr>
          <w:trHeight w:val="113"/>
        </w:trPr>
        <w:tc>
          <w:tcPr>
            <w:tcW w:w="1892" w:type="dxa"/>
            <w:tcBorders>
              <w:top w:val="nil"/>
              <w:left w:val="nil"/>
              <w:right w:val="nil"/>
            </w:tcBorders>
            <w:shd w:val="clear" w:color="auto" w:fill="auto"/>
            <w:noWrap/>
            <w:vAlign w:val="bottom"/>
            <w:hideMark/>
          </w:tcPr>
          <w:p w14:paraId="3FEEE8A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AA-/Aa3</w:t>
            </w:r>
          </w:p>
        </w:tc>
        <w:tc>
          <w:tcPr>
            <w:tcW w:w="2126" w:type="dxa"/>
            <w:tcBorders>
              <w:top w:val="nil"/>
              <w:left w:val="nil"/>
              <w:right w:val="nil"/>
            </w:tcBorders>
            <w:vAlign w:val="center"/>
          </w:tcPr>
          <w:p w14:paraId="4B5FDC9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379EF7E8"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5CE038BC"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20ED760A"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50D62D2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48</w:t>
            </w:r>
          </w:p>
        </w:tc>
      </w:tr>
      <w:tr w:rsidR="00445458" w:rsidRPr="003A41B3" w14:paraId="2839E9A4"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634A9CF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AA-/Aa3</w:t>
            </w:r>
          </w:p>
        </w:tc>
        <w:tc>
          <w:tcPr>
            <w:tcW w:w="2126" w:type="dxa"/>
            <w:tcBorders>
              <w:top w:val="nil"/>
              <w:left w:val="nil"/>
              <w:bottom w:val="dashSmallGap" w:sz="4" w:space="0" w:color="auto"/>
              <w:right w:val="nil"/>
            </w:tcBorders>
            <w:vAlign w:val="center"/>
          </w:tcPr>
          <w:p w14:paraId="40752E9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6A881AEF"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3DADD9F2"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518EDF6C"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711E202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47</w:t>
            </w:r>
          </w:p>
        </w:tc>
      </w:tr>
      <w:tr w:rsidR="00FC4318" w:rsidRPr="003A41B3" w14:paraId="33E9321E" w14:textId="77777777" w:rsidTr="006B720C">
        <w:trPr>
          <w:trHeight w:val="113"/>
        </w:trPr>
        <w:tc>
          <w:tcPr>
            <w:tcW w:w="1892" w:type="dxa"/>
            <w:tcBorders>
              <w:top w:val="dashSmallGap" w:sz="4" w:space="0" w:color="auto"/>
              <w:left w:val="nil"/>
              <w:bottom w:val="nil"/>
              <w:right w:val="nil"/>
            </w:tcBorders>
            <w:shd w:val="clear" w:color="auto" w:fill="auto"/>
            <w:noWrap/>
            <w:vAlign w:val="bottom"/>
          </w:tcPr>
          <w:p w14:paraId="20A4055F" w14:textId="163F8BC9" w:rsidR="00FC4318" w:rsidRPr="003A41B3" w:rsidRDefault="008E4B2A" w:rsidP="008E4B2A">
            <w:pPr>
              <w:spacing w:line="276" w:lineRule="auto"/>
              <w:rPr>
                <w:rFonts w:eastAsia="Times New Roman"/>
                <w:sz w:val="18"/>
                <w:szCs w:val="18"/>
                <w:lang w:eastAsia="en-GB"/>
              </w:rPr>
            </w:pPr>
            <w:r w:rsidRPr="003A41B3">
              <w:rPr>
                <w:rFonts w:eastAsia="Times New Roman"/>
                <w:sz w:val="18"/>
                <w:szCs w:val="18"/>
                <w:lang w:eastAsia="en-GB"/>
              </w:rPr>
              <w:t>[……]</w:t>
            </w:r>
          </w:p>
        </w:tc>
        <w:tc>
          <w:tcPr>
            <w:tcW w:w="2126" w:type="dxa"/>
            <w:tcBorders>
              <w:top w:val="dashSmallGap" w:sz="4" w:space="0" w:color="auto"/>
              <w:left w:val="nil"/>
              <w:bottom w:val="nil"/>
              <w:right w:val="nil"/>
            </w:tcBorders>
            <w:vAlign w:val="center"/>
          </w:tcPr>
          <w:p w14:paraId="4F6EE0D5" w14:textId="4FF9E92C" w:rsidR="00FC4318" w:rsidRPr="003A41B3" w:rsidRDefault="008E4B2A" w:rsidP="00154091">
            <w:pPr>
              <w:rPr>
                <w:rFonts w:eastAsia="Times New Roman"/>
                <w:sz w:val="18"/>
                <w:szCs w:val="18"/>
                <w:lang w:eastAsia="en-GB"/>
              </w:rPr>
            </w:pPr>
            <w:r w:rsidRPr="003A41B3">
              <w:rPr>
                <w:rFonts w:eastAsia="Times New Roman"/>
                <w:sz w:val="18"/>
                <w:szCs w:val="18"/>
                <w:lang w:eastAsia="en-GB"/>
              </w:rPr>
              <w:t>[……]</w:t>
            </w:r>
          </w:p>
        </w:tc>
        <w:tc>
          <w:tcPr>
            <w:tcW w:w="425" w:type="dxa"/>
            <w:tcBorders>
              <w:top w:val="dashSmallGap" w:sz="4" w:space="0" w:color="auto"/>
              <w:left w:val="nil"/>
              <w:bottom w:val="nil"/>
              <w:right w:val="nil"/>
            </w:tcBorders>
            <w:vAlign w:val="center"/>
          </w:tcPr>
          <w:p w14:paraId="6BB4249E" w14:textId="77777777" w:rsidR="00FC4318" w:rsidRPr="003A41B3" w:rsidRDefault="00FC431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78EDA80C" w14:textId="4D3B1C95" w:rsidR="00FC4318" w:rsidRPr="003A41B3" w:rsidRDefault="008E4B2A" w:rsidP="00154091">
            <w:pPr>
              <w:jc w:val="center"/>
              <w:rPr>
                <w:rFonts w:eastAsia="Times New Roman"/>
                <w:sz w:val="18"/>
                <w:szCs w:val="18"/>
                <w:lang w:eastAsia="en-GB"/>
              </w:rPr>
            </w:pPr>
            <w:r w:rsidRPr="003A41B3">
              <w:rPr>
                <w:rFonts w:eastAsia="Times New Roman"/>
                <w:sz w:val="18"/>
                <w:szCs w:val="18"/>
                <w:lang w:eastAsia="en-GB"/>
              </w:rPr>
              <w:t>[……]</w:t>
            </w:r>
          </w:p>
        </w:tc>
        <w:tc>
          <w:tcPr>
            <w:tcW w:w="1985" w:type="dxa"/>
            <w:tcBorders>
              <w:top w:val="dashSmallGap" w:sz="4" w:space="0" w:color="auto"/>
              <w:left w:val="nil"/>
              <w:bottom w:val="nil"/>
              <w:right w:val="nil"/>
            </w:tcBorders>
            <w:shd w:val="clear" w:color="auto" w:fill="auto"/>
            <w:noWrap/>
            <w:vAlign w:val="center"/>
          </w:tcPr>
          <w:p w14:paraId="5054CEDE" w14:textId="4173268F" w:rsidR="00FC4318" w:rsidRPr="003A41B3" w:rsidRDefault="008E4B2A" w:rsidP="00154091">
            <w:pPr>
              <w:jc w:val="center"/>
              <w:rPr>
                <w:rFonts w:eastAsia="Times New Roman"/>
                <w:sz w:val="18"/>
                <w:szCs w:val="18"/>
                <w:lang w:eastAsia="en-GB"/>
              </w:rPr>
            </w:pPr>
            <w:r w:rsidRPr="003A41B3">
              <w:rPr>
                <w:rFonts w:eastAsia="Times New Roman"/>
                <w:sz w:val="18"/>
                <w:szCs w:val="18"/>
                <w:lang w:eastAsia="en-GB"/>
              </w:rPr>
              <w:t>[……]</w:t>
            </w:r>
          </w:p>
        </w:tc>
        <w:tc>
          <w:tcPr>
            <w:tcW w:w="1842" w:type="dxa"/>
            <w:tcBorders>
              <w:top w:val="dashSmallGap" w:sz="4" w:space="0" w:color="auto"/>
              <w:left w:val="nil"/>
              <w:bottom w:val="nil"/>
              <w:right w:val="nil"/>
            </w:tcBorders>
            <w:shd w:val="clear" w:color="auto" w:fill="auto"/>
            <w:noWrap/>
            <w:vAlign w:val="center"/>
          </w:tcPr>
          <w:p w14:paraId="6090F3E3" w14:textId="799B132A" w:rsidR="00FC4318" w:rsidRPr="003A41B3" w:rsidRDefault="008E4B2A" w:rsidP="00154091">
            <w:pPr>
              <w:jc w:val="center"/>
              <w:rPr>
                <w:rFonts w:eastAsia="Times New Roman"/>
                <w:sz w:val="18"/>
                <w:szCs w:val="18"/>
                <w:lang w:eastAsia="en-GB"/>
              </w:rPr>
            </w:pPr>
            <w:r w:rsidRPr="003A41B3">
              <w:rPr>
                <w:rFonts w:eastAsia="Times New Roman"/>
                <w:sz w:val="18"/>
                <w:szCs w:val="18"/>
                <w:lang w:eastAsia="en-GB"/>
              </w:rPr>
              <w:t>[……]</w:t>
            </w:r>
          </w:p>
        </w:tc>
      </w:tr>
      <w:tr w:rsidR="00445458" w:rsidRPr="003A41B3" w14:paraId="2144D81C"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04964FF1"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B-/B3</w:t>
            </w:r>
          </w:p>
        </w:tc>
        <w:tc>
          <w:tcPr>
            <w:tcW w:w="2126" w:type="dxa"/>
            <w:tcBorders>
              <w:top w:val="dashSmallGap" w:sz="4" w:space="0" w:color="auto"/>
              <w:left w:val="nil"/>
              <w:bottom w:val="nil"/>
              <w:right w:val="nil"/>
            </w:tcBorders>
            <w:vAlign w:val="center"/>
          </w:tcPr>
          <w:p w14:paraId="158589F3"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3F09E800"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3B4007C2"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22765FA4"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323FD8F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15</w:t>
            </w:r>
          </w:p>
        </w:tc>
      </w:tr>
      <w:tr w:rsidR="00445458" w:rsidRPr="003A41B3" w14:paraId="44092783" w14:textId="77777777" w:rsidTr="006B720C">
        <w:trPr>
          <w:trHeight w:val="113"/>
        </w:trPr>
        <w:tc>
          <w:tcPr>
            <w:tcW w:w="1892" w:type="dxa"/>
            <w:tcBorders>
              <w:top w:val="nil"/>
              <w:left w:val="nil"/>
              <w:bottom w:val="nil"/>
              <w:right w:val="nil"/>
            </w:tcBorders>
            <w:shd w:val="clear" w:color="auto" w:fill="auto"/>
            <w:noWrap/>
            <w:vAlign w:val="bottom"/>
            <w:hideMark/>
          </w:tcPr>
          <w:p w14:paraId="6923763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B-/B3</w:t>
            </w:r>
          </w:p>
        </w:tc>
        <w:tc>
          <w:tcPr>
            <w:tcW w:w="2126" w:type="dxa"/>
            <w:tcBorders>
              <w:top w:val="nil"/>
              <w:left w:val="nil"/>
              <w:bottom w:val="nil"/>
              <w:right w:val="nil"/>
            </w:tcBorders>
            <w:vAlign w:val="center"/>
          </w:tcPr>
          <w:p w14:paraId="107B509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65CE4E58"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46B57E40"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3BB948F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4E32401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14</w:t>
            </w:r>
          </w:p>
        </w:tc>
      </w:tr>
      <w:tr w:rsidR="00445458" w:rsidRPr="003A41B3" w14:paraId="396C0AED" w14:textId="77777777" w:rsidTr="006B720C">
        <w:trPr>
          <w:trHeight w:val="113"/>
        </w:trPr>
        <w:tc>
          <w:tcPr>
            <w:tcW w:w="1892" w:type="dxa"/>
            <w:tcBorders>
              <w:top w:val="nil"/>
              <w:left w:val="nil"/>
              <w:bottom w:val="nil"/>
              <w:right w:val="nil"/>
            </w:tcBorders>
            <w:shd w:val="clear" w:color="auto" w:fill="auto"/>
            <w:noWrap/>
            <w:vAlign w:val="bottom"/>
            <w:hideMark/>
          </w:tcPr>
          <w:p w14:paraId="2E3D9ABE"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B-/B3</w:t>
            </w:r>
          </w:p>
        </w:tc>
        <w:tc>
          <w:tcPr>
            <w:tcW w:w="2126" w:type="dxa"/>
            <w:tcBorders>
              <w:top w:val="nil"/>
              <w:left w:val="nil"/>
              <w:bottom w:val="nil"/>
              <w:right w:val="nil"/>
            </w:tcBorders>
            <w:vAlign w:val="center"/>
          </w:tcPr>
          <w:p w14:paraId="0C662FD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4744E84C"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795C32F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13</w:t>
            </w:r>
          </w:p>
        </w:tc>
        <w:tc>
          <w:tcPr>
            <w:tcW w:w="1985" w:type="dxa"/>
            <w:tcBorders>
              <w:top w:val="nil"/>
              <w:left w:val="nil"/>
              <w:bottom w:val="nil"/>
              <w:right w:val="nil"/>
            </w:tcBorders>
            <w:shd w:val="clear" w:color="auto" w:fill="auto"/>
            <w:noWrap/>
            <w:vAlign w:val="center"/>
            <w:hideMark/>
          </w:tcPr>
          <w:p w14:paraId="611B0B6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6592910A"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13</w:t>
            </w:r>
          </w:p>
        </w:tc>
      </w:tr>
      <w:tr w:rsidR="00445458" w:rsidRPr="003A41B3" w14:paraId="487D05F8" w14:textId="77777777" w:rsidTr="006B720C">
        <w:trPr>
          <w:trHeight w:val="113"/>
        </w:trPr>
        <w:tc>
          <w:tcPr>
            <w:tcW w:w="1892" w:type="dxa"/>
            <w:tcBorders>
              <w:top w:val="nil"/>
              <w:left w:val="nil"/>
              <w:right w:val="nil"/>
            </w:tcBorders>
            <w:shd w:val="clear" w:color="auto" w:fill="auto"/>
            <w:noWrap/>
            <w:vAlign w:val="bottom"/>
            <w:hideMark/>
          </w:tcPr>
          <w:p w14:paraId="00EBEEA2"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B-/B3</w:t>
            </w:r>
          </w:p>
        </w:tc>
        <w:tc>
          <w:tcPr>
            <w:tcW w:w="2126" w:type="dxa"/>
            <w:tcBorders>
              <w:top w:val="nil"/>
              <w:left w:val="nil"/>
              <w:right w:val="nil"/>
            </w:tcBorders>
            <w:vAlign w:val="center"/>
          </w:tcPr>
          <w:p w14:paraId="762E69BB"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6D9B2391"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5192278E"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6F0459E9"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14FA2BF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12</w:t>
            </w:r>
          </w:p>
        </w:tc>
      </w:tr>
      <w:tr w:rsidR="00445458" w:rsidRPr="003A41B3" w14:paraId="7E52DDA6"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7F5AD0E2"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B-/B3</w:t>
            </w:r>
          </w:p>
        </w:tc>
        <w:tc>
          <w:tcPr>
            <w:tcW w:w="2126" w:type="dxa"/>
            <w:tcBorders>
              <w:top w:val="nil"/>
              <w:left w:val="nil"/>
              <w:bottom w:val="dashSmallGap" w:sz="4" w:space="0" w:color="auto"/>
              <w:right w:val="nil"/>
            </w:tcBorders>
            <w:vAlign w:val="center"/>
          </w:tcPr>
          <w:p w14:paraId="5A0C6D7A"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29D0D96F"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3C9AE0E5"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1CB27D5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067E7B4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11</w:t>
            </w:r>
          </w:p>
        </w:tc>
      </w:tr>
      <w:tr w:rsidR="00445458" w:rsidRPr="003A41B3" w14:paraId="3403D050"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4C0E13B4"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CCC+/Caa1</w:t>
            </w:r>
          </w:p>
        </w:tc>
        <w:tc>
          <w:tcPr>
            <w:tcW w:w="2126" w:type="dxa"/>
            <w:tcBorders>
              <w:top w:val="dashSmallGap" w:sz="4" w:space="0" w:color="auto"/>
              <w:left w:val="nil"/>
              <w:bottom w:val="nil"/>
              <w:right w:val="nil"/>
            </w:tcBorders>
            <w:vAlign w:val="center"/>
          </w:tcPr>
          <w:p w14:paraId="5316B788"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298BBFC3"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0302AF75"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1911CC9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5AE248F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12</w:t>
            </w:r>
          </w:p>
        </w:tc>
      </w:tr>
      <w:tr w:rsidR="00445458" w:rsidRPr="003A41B3" w14:paraId="52D0C7F4" w14:textId="77777777" w:rsidTr="006B720C">
        <w:trPr>
          <w:trHeight w:val="113"/>
        </w:trPr>
        <w:tc>
          <w:tcPr>
            <w:tcW w:w="1892" w:type="dxa"/>
            <w:tcBorders>
              <w:top w:val="nil"/>
              <w:left w:val="nil"/>
              <w:bottom w:val="nil"/>
              <w:right w:val="nil"/>
            </w:tcBorders>
            <w:shd w:val="clear" w:color="auto" w:fill="auto"/>
            <w:noWrap/>
            <w:vAlign w:val="bottom"/>
            <w:hideMark/>
          </w:tcPr>
          <w:p w14:paraId="115B573F"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CCC+/Caa1</w:t>
            </w:r>
          </w:p>
        </w:tc>
        <w:tc>
          <w:tcPr>
            <w:tcW w:w="2126" w:type="dxa"/>
            <w:tcBorders>
              <w:top w:val="nil"/>
              <w:left w:val="nil"/>
              <w:bottom w:val="nil"/>
              <w:right w:val="nil"/>
            </w:tcBorders>
            <w:vAlign w:val="center"/>
          </w:tcPr>
          <w:p w14:paraId="782EB89E"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336D7019"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216A6E2B"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0B113D6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2F6DE48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11</w:t>
            </w:r>
          </w:p>
        </w:tc>
      </w:tr>
      <w:tr w:rsidR="00445458" w:rsidRPr="003A41B3" w14:paraId="5CD008A1" w14:textId="77777777" w:rsidTr="006B720C">
        <w:trPr>
          <w:trHeight w:val="113"/>
        </w:trPr>
        <w:tc>
          <w:tcPr>
            <w:tcW w:w="1892" w:type="dxa"/>
            <w:tcBorders>
              <w:top w:val="nil"/>
              <w:left w:val="nil"/>
              <w:bottom w:val="nil"/>
              <w:right w:val="nil"/>
            </w:tcBorders>
            <w:shd w:val="clear" w:color="auto" w:fill="auto"/>
            <w:noWrap/>
            <w:vAlign w:val="bottom"/>
            <w:hideMark/>
          </w:tcPr>
          <w:p w14:paraId="2E93CC1C"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CCC+/Caa1</w:t>
            </w:r>
          </w:p>
        </w:tc>
        <w:tc>
          <w:tcPr>
            <w:tcW w:w="2126" w:type="dxa"/>
            <w:tcBorders>
              <w:top w:val="nil"/>
              <w:left w:val="nil"/>
              <w:bottom w:val="nil"/>
              <w:right w:val="nil"/>
            </w:tcBorders>
            <w:vAlign w:val="center"/>
          </w:tcPr>
          <w:p w14:paraId="770A1A4C"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599FC46D"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5B90E66C"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10</w:t>
            </w:r>
          </w:p>
        </w:tc>
        <w:tc>
          <w:tcPr>
            <w:tcW w:w="1985" w:type="dxa"/>
            <w:tcBorders>
              <w:top w:val="nil"/>
              <w:left w:val="nil"/>
              <w:bottom w:val="nil"/>
              <w:right w:val="nil"/>
            </w:tcBorders>
            <w:shd w:val="clear" w:color="auto" w:fill="auto"/>
            <w:noWrap/>
            <w:vAlign w:val="center"/>
            <w:hideMark/>
          </w:tcPr>
          <w:p w14:paraId="60E4A38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3E61B01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10</w:t>
            </w:r>
          </w:p>
        </w:tc>
      </w:tr>
      <w:tr w:rsidR="00445458" w:rsidRPr="003A41B3" w14:paraId="4E5B2E49" w14:textId="77777777" w:rsidTr="006B720C">
        <w:trPr>
          <w:trHeight w:val="113"/>
        </w:trPr>
        <w:tc>
          <w:tcPr>
            <w:tcW w:w="1892" w:type="dxa"/>
            <w:tcBorders>
              <w:top w:val="nil"/>
              <w:left w:val="nil"/>
              <w:right w:val="nil"/>
            </w:tcBorders>
            <w:shd w:val="clear" w:color="auto" w:fill="auto"/>
            <w:noWrap/>
            <w:vAlign w:val="bottom"/>
            <w:hideMark/>
          </w:tcPr>
          <w:p w14:paraId="33E7F17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CCC+/Caa1</w:t>
            </w:r>
          </w:p>
        </w:tc>
        <w:tc>
          <w:tcPr>
            <w:tcW w:w="2126" w:type="dxa"/>
            <w:tcBorders>
              <w:top w:val="nil"/>
              <w:left w:val="nil"/>
              <w:right w:val="nil"/>
            </w:tcBorders>
            <w:vAlign w:val="center"/>
          </w:tcPr>
          <w:p w14:paraId="6427281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4D38D2BE"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5C1DD1D0"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7F06F7D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496001A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9</w:t>
            </w:r>
          </w:p>
        </w:tc>
      </w:tr>
      <w:tr w:rsidR="00445458" w:rsidRPr="003A41B3" w14:paraId="5BB9739D"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1B0B799F"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CCC+/Caa1</w:t>
            </w:r>
          </w:p>
        </w:tc>
        <w:tc>
          <w:tcPr>
            <w:tcW w:w="2126" w:type="dxa"/>
            <w:tcBorders>
              <w:top w:val="nil"/>
              <w:left w:val="nil"/>
              <w:bottom w:val="dashSmallGap" w:sz="4" w:space="0" w:color="auto"/>
              <w:right w:val="nil"/>
            </w:tcBorders>
            <w:vAlign w:val="center"/>
          </w:tcPr>
          <w:p w14:paraId="22457DBD"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5EF57F3E"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4ED594D9"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72BC1AE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355FFF9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8</w:t>
            </w:r>
          </w:p>
        </w:tc>
      </w:tr>
      <w:tr w:rsidR="00445458" w:rsidRPr="003A41B3" w14:paraId="5FD5AFF0"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74952686"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CCC/Caa2</w:t>
            </w:r>
          </w:p>
        </w:tc>
        <w:tc>
          <w:tcPr>
            <w:tcW w:w="2126" w:type="dxa"/>
            <w:tcBorders>
              <w:top w:val="dashSmallGap" w:sz="4" w:space="0" w:color="auto"/>
              <w:left w:val="nil"/>
              <w:bottom w:val="nil"/>
              <w:right w:val="nil"/>
            </w:tcBorders>
            <w:vAlign w:val="center"/>
          </w:tcPr>
          <w:p w14:paraId="18F3D061"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5C8DC9B7"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45D5D7EE"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37C9AB1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4EB46A57"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9</w:t>
            </w:r>
          </w:p>
        </w:tc>
      </w:tr>
      <w:tr w:rsidR="00445458" w:rsidRPr="003A41B3" w14:paraId="13699885" w14:textId="77777777" w:rsidTr="006B720C">
        <w:trPr>
          <w:trHeight w:val="113"/>
        </w:trPr>
        <w:tc>
          <w:tcPr>
            <w:tcW w:w="1892" w:type="dxa"/>
            <w:tcBorders>
              <w:top w:val="nil"/>
              <w:left w:val="nil"/>
              <w:bottom w:val="nil"/>
              <w:right w:val="nil"/>
            </w:tcBorders>
            <w:shd w:val="clear" w:color="auto" w:fill="auto"/>
            <w:noWrap/>
            <w:vAlign w:val="bottom"/>
            <w:hideMark/>
          </w:tcPr>
          <w:p w14:paraId="23CB6C92"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CCC/Caa2</w:t>
            </w:r>
          </w:p>
        </w:tc>
        <w:tc>
          <w:tcPr>
            <w:tcW w:w="2126" w:type="dxa"/>
            <w:tcBorders>
              <w:top w:val="nil"/>
              <w:left w:val="nil"/>
              <w:bottom w:val="nil"/>
              <w:right w:val="nil"/>
            </w:tcBorders>
            <w:vAlign w:val="center"/>
          </w:tcPr>
          <w:p w14:paraId="4E10E37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78F368E7"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4E9FB1A1"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5F6E3E8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2362E25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8</w:t>
            </w:r>
          </w:p>
        </w:tc>
      </w:tr>
      <w:tr w:rsidR="00445458" w:rsidRPr="003A41B3" w14:paraId="3CC5787A" w14:textId="77777777" w:rsidTr="006B720C">
        <w:trPr>
          <w:trHeight w:val="113"/>
        </w:trPr>
        <w:tc>
          <w:tcPr>
            <w:tcW w:w="1892" w:type="dxa"/>
            <w:tcBorders>
              <w:top w:val="nil"/>
              <w:left w:val="nil"/>
              <w:bottom w:val="nil"/>
              <w:right w:val="nil"/>
            </w:tcBorders>
            <w:shd w:val="clear" w:color="auto" w:fill="auto"/>
            <w:noWrap/>
            <w:vAlign w:val="bottom"/>
            <w:hideMark/>
          </w:tcPr>
          <w:p w14:paraId="550CE81A"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CCC/Caa2</w:t>
            </w:r>
          </w:p>
        </w:tc>
        <w:tc>
          <w:tcPr>
            <w:tcW w:w="2126" w:type="dxa"/>
            <w:tcBorders>
              <w:top w:val="nil"/>
              <w:left w:val="nil"/>
              <w:bottom w:val="nil"/>
              <w:right w:val="nil"/>
            </w:tcBorders>
            <w:vAlign w:val="center"/>
          </w:tcPr>
          <w:p w14:paraId="6B3119B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55B46D60"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545379E8"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7</w:t>
            </w:r>
          </w:p>
        </w:tc>
        <w:tc>
          <w:tcPr>
            <w:tcW w:w="1985" w:type="dxa"/>
            <w:tcBorders>
              <w:top w:val="nil"/>
              <w:left w:val="nil"/>
              <w:bottom w:val="nil"/>
              <w:right w:val="nil"/>
            </w:tcBorders>
            <w:shd w:val="clear" w:color="auto" w:fill="auto"/>
            <w:noWrap/>
            <w:vAlign w:val="center"/>
            <w:hideMark/>
          </w:tcPr>
          <w:p w14:paraId="2178951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29FB9A9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7</w:t>
            </w:r>
          </w:p>
        </w:tc>
      </w:tr>
      <w:tr w:rsidR="00445458" w:rsidRPr="003A41B3" w14:paraId="2D63DAF1" w14:textId="77777777" w:rsidTr="006B720C">
        <w:trPr>
          <w:trHeight w:val="113"/>
        </w:trPr>
        <w:tc>
          <w:tcPr>
            <w:tcW w:w="1892" w:type="dxa"/>
            <w:tcBorders>
              <w:top w:val="nil"/>
              <w:left w:val="nil"/>
              <w:right w:val="nil"/>
            </w:tcBorders>
            <w:shd w:val="clear" w:color="auto" w:fill="auto"/>
            <w:noWrap/>
            <w:vAlign w:val="bottom"/>
            <w:hideMark/>
          </w:tcPr>
          <w:p w14:paraId="7EABC399"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CCC/Caa2</w:t>
            </w:r>
          </w:p>
        </w:tc>
        <w:tc>
          <w:tcPr>
            <w:tcW w:w="2126" w:type="dxa"/>
            <w:tcBorders>
              <w:top w:val="nil"/>
              <w:left w:val="nil"/>
              <w:right w:val="nil"/>
            </w:tcBorders>
            <w:vAlign w:val="center"/>
          </w:tcPr>
          <w:p w14:paraId="1E7BB846"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0B591A4B"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1737C9AB"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5240573F"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095FF99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6</w:t>
            </w:r>
          </w:p>
        </w:tc>
      </w:tr>
      <w:tr w:rsidR="00445458" w:rsidRPr="003A41B3" w14:paraId="7603F282"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6AD30DF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CCC/Caa2</w:t>
            </w:r>
          </w:p>
        </w:tc>
        <w:tc>
          <w:tcPr>
            <w:tcW w:w="2126" w:type="dxa"/>
            <w:tcBorders>
              <w:top w:val="nil"/>
              <w:left w:val="nil"/>
              <w:bottom w:val="dashSmallGap" w:sz="4" w:space="0" w:color="auto"/>
              <w:right w:val="nil"/>
            </w:tcBorders>
            <w:vAlign w:val="center"/>
          </w:tcPr>
          <w:p w14:paraId="3DCBA25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481F7C68"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10EC6C4A"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59030EE6"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655F7A59"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w:t>
            </w:r>
          </w:p>
        </w:tc>
      </w:tr>
      <w:tr w:rsidR="00445458" w:rsidRPr="003A41B3" w14:paraId="78BD3E23" w14:textId="77777777" w:rsidTr="006B720C">
        <w:trPr>
          <w:trHeight w:val="113"/>
        </w:trPr>
        <w:tc>
          <w:tcPr>
            <w:tcW w:w="1892" w:type="dxa"/>
            <w:tcBorders>
              <w:top w:val="dashSmallGap" w:sz="4" w:space="0" w:color="auto"/>
              <w:left w:val="nil"/>
              <w:bottom w:val="nil"/>
              <w:right w:val="nil"/>
            </w:tcBorders>
            <w:shd w:val="clear" w:color="auto" w:fill="auto"/>
            <w:noWrap/>
            <w:vAlign w:val="bottom"/>
            <w:hideMark/>
          </w:tcPr>
          <w:p w14:paraId="107B6BE0"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CCC-/Caa3</w:t>
            </w:r>
          </w:p>
        </w:tc>
        <w:tc>
          <w:tcPr>
            <w:tcW w:w="2126" w:type="dxa"/>
            <w:tcBorders>
              <w:top w:val="dashSmallGap" w:sz="4" w:space="0" w:color="auto"/>
              <w:left w:val="nil"/>
              <w:bottom w:val="nil"/>
              <w:right w:val="nil"/>
            </w:tcBorders>
            <w:vAlign w:val="center"/>
          </w:tcPr>
          <w:p w14:paraId="69E6339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watch</w:t>
            </w:r>
          </w:p>
        </w:tc>
        <w:tc>
          <w:tcPr>
            <w:tcW w:w="425" w:type="dxa"/>
            <w:tcBorders>
              <w:top w:val="dashSmallGap" w:sz="4" w:space="0" w:color="auto"/>
              <w:left w:val="nil"/>
              <w:bottom w:val="nil"/>
              <w:right w:val="nil"/>
            </w:tcBorders>
            <w:vAlign w:val="center"/>
          </w:tcPr>
          <w:p w14:paraId="3F55D8B6" w14:textId="77777777" w:rsidR="00445458" w:rsidRPr="003A41B3" w:rsidRDefault="00445458" w:rsidP="00154091">
            <w:pPr>
              <w:jc w:val="center"/>
              <w:rPr>
                <w:rFonts w:eastAsia="Times New Roman"/>
                <w:sz w:val="18"/>
                <w:szCs w:val="18"/>
                <w:lang w:eastAsia="en-GB"/>
              </w:rPr>
            </w:pPr>
          </w:p>
        </w:tc>
        <w:tc>
          <w:tcPr>
            <w:tcW w:w="709" w:type="dxa"/>
            <w:tcBorders>
              <w:top w:val="dashSmallGap" w:sz="4" w:space="0" w:color="auto"/>
              <w:left w:val="nil"/>
              <w:bottom w:val="nil"/>
              <w:right w:val="nil"/>
            </w:tcBorders>
            <w:shd w:val="clear" w:color="auto" w:fill="auto"/>
            <w:noWrap/>
            <w:vAlign w:val="center"/>
          </w:tcPr>
          <w:p w14:paraId="2CF60971" w14:textId="77777777" w:rsidR="00445458" w:rsidRPr="003A41B3" w:rsidRDefault="00445458" w:rsidP="00154091">
            <w:pPr>
              <w:jc w:val="center"/>
              <w:rPr>
                <w:rFonts w:eastAsia="Times New Roman"/>
                <w:sz w:val="18"/>
                <w:szCs w:val="18"/>
                <w:lang w:eastAsia="en-GB"/>
              </w:rPr>
            </w:pPr>
          </w:p>
        </w:tc>
        <w:tc>
          <w:tcPr>
            <w:tcW w:w="1985" w:type="dxa"/>
            <w:tcBorders>
              <w:top w:val="dashSmallGap" w:sz="4" w:space="0" w:color="auto"/>
              <w:left w:val="nil"/>
              <w:bottom w:val="nil"/>
              <w:right w:val="nil"/>
            </w:tcBorders>
            <w:shd w:val="clear" w:color="auto" w:fill="auto"/>
            <w:noWrap/>
            <w:vAlign w:val="center"/>
            <w:hideMark/>
          </w:tcPr>
          <w:p w14:paraId="75D4F529"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dashSmallGap" w:sz="4" w:space="0" w:color="auto"/>
              <w:left w:val="nil"/>
              <w:bottom w:val="nil"/>
              <w:right w:val="nil"/>
            </w:tcBorders>
            <w:shd w:val="clear" w:color="auto" w:fill="auto"/>
            <w:noWrap/>
            <w:vAlign w:val="center"/>
            <w:hideMark/>
          </w:tcPr>
          <w:p w14:paraId="05CE202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6</w:t>
            </w:r>
          </w:p>
        </w:tc>
      </w:tr>
      <w:tr w:rsidR="00445458" w:rsidRPr="003A41B3" w14:paraId="56CA74D2" w14:textId="77777777" w:rsidTr="006B720C">
        <w:trPr>
          <w:trHeight w:val="113"/>
        </w:trPr>
        <w:tc>
          <w:tcPr>
            <w:tcW w:w="1892" w:type="dxa"/>
            <w:tcBorders>
              <w:top w:val="nil"/>
              <w:left w:val="nil"/>
              <w:bottom w:val="nil"/>
              <w:right w:val="nil"/>
            </w:tcBorders>
            <w:shd w:val="clear" w:color="auto" w:fill="auto"/>
            <w:noWrap/>
            <w:vAlign w:val="bottom"/>
            <w:hideMark/>
          </w:tcPr>
          <w:p w14:paraId="0F05C213"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CCC-/Caa3</w:t>
            </w:r>
          </w:p>
        </w:tc>
        <w:tc>
          <w:tcPr>
            <w:tcW w:w="2126" w:type="dxa"/>
            <w:tcBorders>
              <w:top w:val="nil"/>
              <w:left w:val="nil"/>
              <w:bottom w:val="nil"/>
              <w:right w:val="nil"/>
            </w:tcBorders>
            <w:vAlign w:val="center"/>
          </w:tcPr>
          <w:p w14:paraId="6AF30208"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positive outlook</w:t>
            </w:r>
          </w:p>
        </w:tc>
        <w:tc>
          <w:tcPr>
            <w:tcW w:w="425" w:type="dxa"/>
            <w:tcBorders>
              <w:top w:val="nil"/>
              <w:left w:val="nil"/>
              <w:bottom w:val="nil"/>
              <w:right w:val="nil"/>
            </w:tcBorders>
            <w:vAlign w:val="center"/>
          </w:tcPr>
          <w:p w14:paraId="07A1D06A"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tcPr>
          <w:p w14:paraId="5890F7BC"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nil"/>
              <w:right w:val="nil"/>
            </w:tcBorders>
            <w:shd w:val="clear" w:color="auto" w:fill="auto"/>
            <w:noWrap/>
            <w:vAlign w:val="center"/>
            <w:hideMark/>
          </w:tcPr>
          <w:p w14:paraId="4C7CBF7D"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bottom w:val="nil"/>
              <w:right w:val="nil"/>
            </w:tcBorders>
            <w:shd w:val="clear" w:color="auto" w:fill="auto"/>
            <w:noWrap/>
            <w:vAlign w:val="center"/>
            <w:hideMark/>
          </w:tcPr>
          <w:p w14:paraId="68CAF03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5</w:t>
            </w:r>
          </w:p>
        </w:tc>
      </w:tr>
      <w:tr w:rsidR="00445458" w:rsidRPr="003A41B3" w14:paraId="51A09799" w14:textId="77777777" w:rsidTr="006B720C">
        <w:trPr>
          <w:trHeight w:val="113"/>
        </w:trPr>
        <w:tc>
          <w:tcPr>
            <w:tcW w:w="1892" w:type="dxa"/>
            <w:tcBorders>
              <w:top w:val="nil"/>
              <w:left w:val="nil"/>
              <w:bottom w:val="nil"/>
              <w:right w:val="nil"/>
            </w:tcBorders>
            <w:shd w:val="clear" w:color="auto" w:fill="auto"/>
            <w:noWrap/>
            <w:vAlign w:val="bottom"/>
            <w:hideMark/>
          </w:tcPr>
          <w:p w14:paraId="2FF08F28"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CCC-/Caa3</w:t>
            </w:r>
          </w:p>
        </w:tc>
        <w:tc>
          <w:tcPr>
            <w:tcW w:w="2126" w:type="dxa"/>
            <w:tcBorders>
              <w:top w:val="nil"/>
              <w:left w:val="nil"/>
              <w:bottom w:val="nil"/>
              <w:right w:val="nil"/>
            </w:tcBorders>
            <w:vAlign w:val="center"/>
          </w:tcPr>
          <w:p w14:paraId="3AB0B67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stable watch/outlook</w:t>
            </w:r>
          </w:p>
        </w:tc>
        <w:tc>
          <w:tcPr>
            <w:tcW w:w="425" w:type="dxa"/>
            <w:tcBorders>
              <w:top w:val="nil"/>
              <w:left w:val="nil"/>
              <w:bottom w:val="nil"/>
              <w:right w:val="nil"/>
            </w:tcBorders>
            <w:vAlign w:val="center"/>
          </w:tcPr>
          <w:p w14:paraId="2854D144"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nil"/>
              <w:right w:val="nil"/>
            </w:tcBorders>
            <w:shd w:val="clear" w:color="auto" w:fill="auto"/>
            <w:noWrap/>
            <w:vAlign w:val="center"/>
            <w:hideMark/>
          </w:tcPr>
          <w:p w14:paraId="15A503E3"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w:t>
            </w:r>
          </w:p>
        </w:tc>
        <w:tc>
          <w:tcPr>
            <w:tcW w:w="1985" w:type="dxa"/>
            <w:tcBorders>
              <w:top w:val="nil"/>
              <w:left w:val="nil"/>
              <w:bottom w:val="nil"/>
              <w:right w:val="nil"/>
            </w:tcBorders>
            <w:shd w:val="clear" w:color="auto" w:fill="auto"/>
            <w:noWrap/>
            <w:vAlign w:val="center"/>
            <w:hideMark/>
          </w:tcPr>
          <w:p w14:paraId="7692D84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0</w:t>
            </w:r>
          </w:p>
        </w:tc>
        <w:tc>
          <w:tcPr>
            <w:tcW w:w="1842" w:type="dxa"/>
            <w:tcBorders>
              <w:top w:val="nil"/>
              <w:left w:val="nil"/>
              <w:bottom w:val="nil"/>
              <w:right w:val="nil"/>
            </w:tcBorders>
            <w:shd w:val="clear" w:color="auto" w:fill="auto"/>
            <w:noWrap/>
            <w:vAlign w:val="center"/>
            <w:hideMark/>
          </w:tcPr>
          <w:p w14:paraId="7A81150E"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4</w:t>
            </w:r>
          </w:p>
        </w:tc>
      </w:tr>
      <w:tr w:rsidR="00445458" w:rsidRPr="003A41B3" w14:paraId="5D9ADC49" w14:textId="77777777" w:rsidTr="006B720C">
        <w:trPr>
          <w:trHeight w:val="113"/>
        </w:trPr>
        <w:tc>
          <w:tcPr>
            <w:tcW w:w="1892" w:type="dxa"/>
            <w:tcBorders>
              <w:top w:val="nil"/>
              <w:left w:val="nil"/>
              <w:right w:val="nil"/>
            </w:tcBorders>
            <w:shd w:val="clear" w:color="auto" w:fill="auto"/>
            <w:noWrap/>
            <w:vAlign w:val="bottom"/>
            <w:hideMark/>
          </w:tcPr>
          <w:p w14:paraId="18E4AB57"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CCC-/Caa3</w:t>
            </w:r>
          </w:p>
        </w:tc>
        <w:tc>
          <w:tcPr>
            <w:tcW w:w="2126" w:type="dxa"/>
            <w:tcBorders>
              <w:top w:val="nil"/>
              <w:left w:val="nil"/>
              <w:right w:val="nil"/>
            </w:tcBorders>
            <w:vAlign w:val="center"/>
          </w:tcPr>
          <w:p w14:paraId="178DEB85"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outlook</w:t>
            </w:r>
          </w:p>
        </w:tc>
        <w:tc>
          <w:tcPr>
            <w:tcW w:w="425" w:type="dxa"/>
            <w:tcBorders>
              <w:top w:val="nil"/>
              <w:left w:val="nil"/>
              <w:right w:val="nil"/>
            </w:tcBorders>
            <w:vAlign w:val="center"/>
          </w:tcPr>
          <w:p w14:paraId="3A9108A9" w14:textId="77777777" w:rsidR="00445458" w:rsidRPr="003A41B3" w:rsidRDefault="00445458" w:rsidP="00154091">
            <w:pPr>
              <w:jc w:val="center"/>
              <w:rPr>
                <w:rFonts w:eastAsia="Times New Roman"/>
                <w:sz w:val="18"/>
                <w:szCs w:val="18"/>
                <w:lang w:eastAsia="en-GB"/>
              </w:rPr>
            </w:pPr>
          </w:p>
        </w:tc>
        <w:tc>
          <w:tcPr>
            <w:tcW w:w="709" w:type="dxa"/>
            <w:tcBorders>
              <w:top w:val="nil"/>
              <w:left w:val="nil"/>
              <w:right w:val="nil"/>
            </w:tcBorders>
            <w:shd w:val="clear" w:color="auto" w:fill="auto"/>
            <w:noWrap/>
            <w:vAlign w:val="center"/>
          </w:tcPr>
          <w:p w14:paraId="289A79C8" w14:textId="77777777" w:rsidR="00445458" w:rsidRPr="003A41B3" w:rsidRDefault="00445458" w:rsidP="00154091">
            <w:pPr>
              <w:jc w:val="center"/>
              <w:rPr>
                <w:rFonts w:eastAsia="Times New Roman"/>
                <w:sz w:val="18"/>
                <w:szCs w:val="18"/>
                <w:lang w:eastAsia="en-GB"/>
              </w:rPr>
            </w:pPr>
          </w:p>
        </w:tc>
        <w:tc>
          <w:tcPr>
            <w:tcW w:w="1985" w:type="dxa"/>
            <w:tcBorders>
              <w:top w:val="nil"/>
              <w:left w:val="nil"/>
              <w:right w:val="nil"/>
            </w:tcBorders>
            <w:shd w:val="clear" w:color="auto" w:fill="auto"/>
            <w:noWrap/>
            <w:vAlign w:val="center"/>
            <w:hideMark/>
          </w:tcPr>
          <w:p w14:paraId="493EBCDB"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842" w:type="dxa"/>
            <w:tcBorders>
              <w:top w:val="nil"/>
              <w:left w:val="nil"/>
              <w:right w:val="nil"/>
            </w:tcBorders>
            <w:shd w:val="clear" w:color="auto" w:fill="auto"/>
            <w:noWrap/>
            <w:vAlign w:val="center"/>
            <w:hideMark/>
          </w:tcPr>
          <w:p w14:paraId="06DFF72D"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3</w:t>
            </w:r>
          </w:p>
        </w:tc>
      </w:tr>
      <w:tr w:rsidR="00445458" w:rsidRPr="003A41B3" w14:paraId="7879561F" w14:textId="77777777" w:rsidTr="006B720C">
        <w:trPr>
          <w:trHeight w:val="113"/>
        </w:trPr>
        <w:tc>
          <w:tcPr>
            <w:tcW w:w="1892" w:type="dxa"/>
            <w:tcBorders>
              <w:top w:val="nil"/>
              <w:left w:val="nil"/>
              <w:bottom w:val="dashSmallGap" w:sz="4" w:space="0" w:color="auto"/>
              <w:right w:val="nil"/>
            </w:tcBorders>
            <w:shd w:val="clear" w:color="auto" w:fill="auto"/>
            <w:noWrap/>
            <w:vAlign w:val="bottom"/>
            <w:hideMark/>
          </w:tcPr>
          <w:p w14:paraId="1901CFFD"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CCC-/Caa3</w:t>
            </w:r>
          </w:p>
        </w:tc>
        <w:tc>
          <w:tcPr>
            <w:tcW w:w="2126" w:type="dxa"/>
            <w:tcBorders>
              <w:top w:val="nil"/>
              <w:left w:val="nil"/>
              <w:bottom w:val="dashSmallGap" w:sz="4" w:space="0" w:color="auto"/>
              <w:right w:val="nil"/>
            </w:tcBorders>
            <w:vAlign w:val="center"/>
          </w:tcPr>
          <w:p w14:paraId="7594CCDC"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negative watch</w:t>
            </w:r>
          </w:p>
        </w:tc>
        <w:tc>
          <w:tcPr>
            <w:tcW w:w="425" w:type="dxa"/>
            <w:tcBorders>
              <w:top w:val="nil"/>
              <w:left w:val="nil"/>
              <w:bottom w:val="dashSmallGap" w:sz="4" w:space="0" w:color="auto"/>
              <w:right w:val="nil"/>
            </w:tcBorders>
            <w:vAlign w:val="center"/>
          </w:tcPr>
          <w:p w14:paraId="68841DB6"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ashSmallGap" w:sz="4" w:space="0" w:color="auto"/>
              <w:right w:val="nil"/>
            </w:tcBorders>
            <w:shd w:val="clear" w:color="auto" w:fill="auto"/>
            <w:noWrap/>
            <w:vAlign w:val="center"/>
          </w:tcPr>
          <w:p w14:paraId="2F7BCBE0" w14:textId="77777777" w:rsidR="00445458" w:rsidRPr="003A41B3" w:rsidRDefault="00445458" w:rsidP="00154091">
            <w:pPr>
              <w:jc w:val="center"/>
              <w:rPr>
                <w:rFonts w:eastAsia="Times New Roman"/>
                <w:sz w:val="18"/>
                <w:szCs w:val="18"/>
                <w:lang w:eastAsia="en-GB"/>
              </w:rPr>
            </w:pPr>
          </w:p>
        </w:tc>
        <w:tc>
          <w:tcPr>
            <w:tcW w:w="1985" w:type="dxa"/>
            <w:tcBorders>
              <w:top w:val="nil"/>
              <w:left w:val="nil"/>
              <w:bottom w:val="dashSmallGap" w:sz="4" w:space="0" w:color="auto"/>
              <w:right w:val="nil"/>
            </w:tcBorders>
            <w:shd w:val="clear" w:color="auto" w:fill="auto"/>
            <w:noWrap/>
            <w:vAlign w:val="center"/>
            <w:hideMark/>
          </w:tcPr>
          <w:p w14:paraId="3B492412"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c>
          <w:tcPr>
            <w:tcW w:w="1842" w:type="dxa"/>
            <w:tcBorders>
              <w:top w:val="nil"/>
              <w:left w:val="nil"/>
              <w:bottom w:val="dashSmallGap" w:sz="4" w:space="0" w:color="auto"/>
              <w:right w:val="nil"/>
            </w:tcBorders>
            <w:shd w:val="clear" w:color="auto" w:fill="auto"/>
            <w:noWrap/>
            <w:vAlign w:val="center"/>
            <w:hideMark/>
          </w:tcPr>
          <w:p w14:paraId="7FF99C41"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2</w:t>
            </w:r>
          </w:p>
        </w:tc>
      </w:tr>
      <w:tr w:rsidR="00445458" w:rsidRPr="003A41B3" w14:paraId="371FAD2A" w14:textId="77777777" w:rsidTr="006B720C">
        <w:trPr>
          <w:trHeight w:val="113"/>
        </w:trPr>
        <w:tc>
          <w:tcPr>
            <w:tcW w:w="1892" w:type="dxa"/>
            <w:tcBorders>
              <w:top w:val="nil"/>
              <w:left w:val="nil"/>
              <w:bottom w:val="double" w:sz="4" w:space="0" w:color="auto"/>
              <w:right w:val="nil"/>
            </w:tcBorders>
            <w:shd w:val="clear" w:color="auto" w:fill="auto"/>
            <w:noWrap/>
            <w:vAlign w:val="bottom"/>
            <w:hideMark/>
          </w:tcPr>
          <w:p w14:paraId="61E9CA36" w14:textId="77777777" w:rsidR="00445458" w:rsidRPr="003A41B3" w:rsidRDefault="00445458" w:rsidP="00154091">
            <w:pPr>
              <w:rPr>
                <w:rFonts w:eastAsia="Times New Roman"/>
                <w:sz w:val="18"/>
                <w:szCs w:val="18"/>
                <w:lang w:eastAsia="en-GB"/>
              </w:rPr>
            </w:pPr>
            <w:r w:rsidRPr="003A41B3">
              <w:rPr>
                <w:rFonts w:eastAsia="Times New Roman"/>
                <w:sz w:val="18"/>
                <w:szCs w:val="18"/>
                <w:lang w:eastAsia="en-GB"/>
              </w:rPr>
              <w:t>CC, SD, D/</w:t>
            </w:r>
          </w:p>
          <w:p w14:paraId="60FF69A2" w14:textId="77777777" w:rsidR="00445458" w:rsidRPr="003A41B3" w:rsidRDefault="00445458" w:rsidP="00154091">
            <w:pPr>
              <w:rPr>
                <w:rFonts w:eastAsia="Times New Roman"/>
                <w:b/>
                <w:bCs/>
                <w:sz w:val="18"/>
                <w:szCs w:val="18"/>
                <w:lang w:eastAsia="en-GB"/>
              </w:rPr>
            </w:pPr>
            <w:r w:rsidRPr="003A41B3">
              <w:rPr>
                <w:rFonts w:eastAsia="Times New Roman"/>
                <w:sz w:val="18"/>
                <w:szCs w:val="18"/>
                <w:lang w:eastAsia="en-GB"/>
              </w:rPr>
              <w:t>Ca, C/ RD, D</w:t>
            </w:r>
          </w:p>
        </w:tc>
        <w:tc>
          <w:tcPr>
            <w:tcW w:w="2126" w:type="dxa"/>
            <w:tcBorders>
              <w:top w:val="nil"/>
              <w:left w:val="nil"/>
              <w:bottom w:val="double" w:sz="4" w:space="0" w:color="auto"/>
              <w:right w:val="nil"/>
            </w:tcBorders>
            <w:vAlign w:val="center"/>
          </w:tcPr>
          <w:p w14:paraId="41845AE5" w14:textId="77777777" w:rsidR="00445458" w:rsidRPr="003A41B3" w:rsidRDefault="00445458" w:rsidP="00154091">
            <w:pPr>
              <w:rPr>
                <w:rFonts w:eastAsia="Times New Roman"/>
                <w:sz w:val="18"/>
                <w:szCs w:val="18"/>
                <w:lang w:eastAsia="en-GB"/>
              </w:rPr>
            </w:pPr>
          </w:p>
        </w:tc>
        <w:tc>
          <w:tcPr>
            <w:tcW w:w="425" w:type="dxa"/>
            <w:tcBorders>
              <w:top w:val="nil"/>
              <w:left w:val="nil"/>
              <w:bottom w:val="double" w:sz="4" w:space="0" w:color="auto"/>
              <w:right w:val="nil"/>
            </w:tcBorders>
            <w:vAlign w:val="center"/>
          </w:tcPr>
          <w:p w14:paraId="0D9FE460" w14:textId="77777777" w:rsidR="00445458" w:rsidRPr="003A41B3" w:rsidRDefault="00445458" w:rsidP="00154091">
            <w:pPr>
              <w:jc w:val="center"/>
              <w:rPr>
                <w:rFonts w:eastAsia="Times New Roman"/>
                <w:sz w:val="18"/>
                <w:szCs w:val="18"/>
                <w:lang w:eastAsia="en-GB"/>
              </w:rPr>
            </w:pPr>
          </w:p>
        </w:tc>
        <w:tc>
          <w:tcPr>
            <w:tcW w:w="709" w:type="dxa"/>
            <w:tcBorders>
              <w:top w:val="nil"/>
              <w:left w:val="nil"/>
              <w:bottom w:val="double" w:sz="4" w:space="0" w:color="auto"/>
              <w:right w:val="nil"/>
            </w:tcBorders>
            <w:shd w:val="clear" w:color="auto" w:fill="auto"/>
            <w:noWrap/>
            <w:vAlign w:val="center"/>
          </w:tcPr>
          <w:p w14:paraId="56748970"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c>
          <w:tcPr>
            <w:tcW w:w="1985" w:type="dxa"/>
            <w:tcBorders>
              <w:top w:val="nil"/>
              <w:left w:val="nil"/>
              <w:bottom w:val="double" w:sz="4" w:space="0" w:color="auto"/>
              <w:right w:val="nil"/>
            </w:tcBorders>
            <w:shd w:val="clear" w:color="auto" w:fill="auto"/>
            <w:noWrap/>
            <w:vAlign w:val="center"/>
            <w:hideMark/>
          </w:tcPr>
          <w:p w14:paraId="4FC980A0" w14:textId="77777777" w:rsidR="00445458" w:rsidRPr="003A41B3" w:rsidRDefault="00445458" w:rsidP="00154091">
            <w:pPr>
              <w:jc w:val="center"/>
              <w:rPr>
                <w:rFonts w:eastAsia="Times New Roman"/>
                <w:sz w:val="18"/>
                <w:szCs w:val="18"/>
                <w:lang w:eastAsia="en-GB"/>
              </w:rPr>
            </w:pPr>
          </w:p>
        </w:tc>
        <w:tc>
          <w:tcPr>
            <w:tcW w:w="1842" w:type="dxa"/>
            <w:tcBorders>
              <w:top w:val="nil"/>
              <w:left w:val="nil"/>
              <w:bottom w:val="double" w:sz="4" w:space="0" w:color="auto"/>
              <w:right w:val="nil"/>
            </w:tcBorders>
            <w:shd w:val="clear" w:color="auto" w:fill="auto"/>
            <w:noWrap/>
            <w:vAlign w:val="center"/>
            <w:hideMark/>
          </w:tcPr>
          <w:p w14:paraId="00586C65" w14:textId="77777777" w:rsidR="00445458" w:rsidRPr="003A41B3" w:rsidRDefault="00445458" w:rsidP="00154091">
            <w:pPr>
              <w:jc w:val="center"/>
              <w:rPr>
                <w:rFonts w:eastAsia="Times New Roman"/>
                <w:sz w:val="18"/>
                <w:szCs w:val="18"/>
                <w:lang w:eastAsia="en-GB"/>
              </w:rPr>
            </w:pPr>
            <w:r w:rsidRPr="003A41B3">
              <w:rPr>
                <w:rFonts w:eastAsia="Times New Roman"/>
                <w:sz w:val="18"/>
                <w:szCs w:val="18"/>
                <w:lang w:eastAsia="en-GB"/>
              </w:rPr>
              <w:t>1</w:t>
            </w:r>
          </w:p>
        </w:tc>
      </w:tr>
    </w:tbl>
    <w:p w14:paraId="79D92741" w14:textId="3EC22670" w:rsidR="00445458" w:rsidRPr="003A41B3" w:rsidRDefault="00445458" w:rsidP="00FC4318">
      <w:pPr>
        <w:jc w:val="both"/>
        <w:rPr>
          <w:sz w:val="20"/>
          <w:szCs w:val="20"/>
        </w:rPr>
      </w:pPr>
      <w:r w:rsidRPr="003A41B3">
        <w:t xml:space="preserve"> </w:t>
      </w:r>
      <w:r w:rsidRPr="003A41B3">
        <w:rPr>
          <w:sz w:val="20"/>
          <w:szCs w:val="20"/>
        </w:rPr>
        <w:t xml:space="preserve">This Table presents the transformation of the alphabetical rating scale to </w:t>
      </w:r>
      <w:r w:rsidR="003E6449" w:rsidRPr="003A41B3">
        <w:rPr>
          <w:sz w:val="20"/>
          <w:szCs w:val="20"/>
        </w:rPr>
        <w:t xml:space="preserve">the </w:t>
      </w:r>
      <w:r w:rsidRPr="003A41B3">
        <w:rPr>
          <w:sz w:val="20"/>
          <w:szCs w:val="20"/>
        </w:rPr>
        <w:t>58-point CCR numerical rating scale.</w:t>
      </w:r>
    </w:p>
    <w:sectPr w:rsidR="00445458" w:rsidRPr="003A41B3" w:rsidSect="0044545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5D12" w14:textId="77777777" w:rsidR="003F30F9" w:rsidRDefault="003F30F9" w:rsidP="00CB4C2B">
      <w:r>
        <w:separator/>
      </w:r>
    </w:p>
  </w:endnote>
  <w:endnote w:type="continuationSeparator" w:id="0">
    <w:p w14:paraId="2880B742" w14:textId="77777777" w:rsidR="003F30F9" w:rsidRDefault="003F30F9" w:rsidP="00CB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29571"/>
      <w:docPartObj>
        <w:docPartGallery w:val="Page Numbers (Bottom of Page)"/>
        <w:docPartUnique/>
      </w:docPartObj>
    </w:sdtPr>
    <w:sdtEndPr>
      <w:rPr>
        <w:noProof/>
      </w:rPr>
    </w:sdtEndPr>
    <w:sdtContent>
      <w:p w14:paraId="166B5E92" w14:textId="57B520CF" w:rsidR="00375F64" w:rsidRDefault="00375F64" w:rsidP="006C4538">
        <w:pPr>
          <w:pStyle w:val="Footer"/>
          <w:jc w:val="right"/>
        </w:pPr>
        <w:r>
          <w:fldChar w:fldCharType="begin"/>
        </w:r>
        <w:r>
          <w:instrText xml:space="preserve"> PAGE   \* MERGEFORMAT </w:instrText>
        </w:r>
        <w:r>
          <w:fldChar w:fldCharType="separate"/>
        </w:r>
        <w:r w:rsidR="001F74A2">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A33B" w14:textId="35AEFC18" w:rsidR="00375F64" w:rsidRDefault="00375F64" w:rsidP="3E744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375F64" w14:paraId="475EBC1A" w14:textId="77777777" w:rsidTr="3E744EE9">
      <w:tc>
        <w:tcPr>
          <w:tcW w:w="3009" w:type="dxa"/>
        </w:tcPr>
        <w:p w14:paraId="00402786" w14:textId="5070C4D6" w:rsidR="00375F64" w:rsidRDefault="00375F64" w:rsidP="3E744EE9">
          <w:pPr>
            <w:pStyle w:val="Header"/>
            <w:ind w:left="-115"/>
          </w:pPr>
        </w:p>
      </w:tc>
      <w:tc>
        <w:tcPr>
          <w:tcW w:w="3009" w:type="dxa"/>
        </w:tcPr>
        <w:p w14:paraId="02C6C5EE" w14:textId="768F3EAF" w:rsidR="00375F64" w:rsidRDefault="00375F64" w:rsidP="3E744EE9">
          <w:pPr>
            <w:pStyle w:val="Header"/>
            <w:jc w:val="center"/>
          </w:pPr>
        </w:p>
      </w:tc>
      <w:tc>
        <w:tcPr>
          <w:tcW w:w="3009" w:type="dxa"/>
        </w:tcPr>
        <w:p w14:paraId="5D98F7DD" w14:textId="7807ACD9" w:rsidR="00375F64" w:rsidRDefault="00375F64" w:rsidP="3E744EE9">
          <w:pPr>
            <w:pStyle w:val="Header"/>
            <w:ind w:right="-115"/>
            <w:jc w:val="right"/>
          </w:pPr>
        </w:p>
      </w:tc>
    </w:tr>
  </w:tbl>
  <w:p w14:paraId="69866CC1" w14:textId="5C815E5C" w:rsidR="00375F64" w:rsidRDefault="00375F64" w:rsidP="3E74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BA6A" w14:textId="77777777" w:rsidR="003F30F9" w:rsidRDefault="003F30F9" w:rsidP="00CB4C2B">
      <w:r>
        <w:separator/>
      </w:r>
    </w:p>
  </w:footnote>
  <w:footnote w:type="continuationSeparator" w:id="0">
    <w:p w14:paraId="6474EFEC" w14:textId="77777777" w:rsidR="003F30F9" w:rsidRDefault="003F30F9" w:rsidP="00CB4C2B">
      <w:r>
        <w:continuationSeparator/>
      </w:r>
    </w:p>
  </w:footnote>
  <w:footnote w:id="1">
    <w:p w14:paraId="403F08F5"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rPr>
        <w:t xml:space="preserve"> ESMA (2017a) state that more than two thirds of the ratings used for regulatory purposes in Europe are ‘endorsed’.</w:t>
      </w:r>
    </w:p>
  </w:footnote>
  <w:footnote w:id="2">
    <w:p w14:paraId="4D476CDB" w14:textId="77777777" w:rsidR="00375F64" w:rsidRPr="007B0CD5" w:rsidRDefault="00375F64" w:rsidP="007B0CD5">
      <w:pPr>
        <w:spacing w:line="276" w:lineRule="auto"/>
        <w:jc w:val="both"/>
        <w:rPr>
          <w:sz w:val="21"/>
          <w:szCs w:val="21"/>
        </w:rPr>
      </w:pPr>
      <w:r w:rsidRPr="007B0CD5">
        <w:rPr>
          <w:sz w:val="21"/>
          <w:szCs w:val="21"/>
          <w:vertAlign w:val="superscript"/>
        </w:rPr>
        <w:footnoteRef/>
      </w:r>
      <w:r w:rsidRPr="007B0CD5">
        <w:rPr>
          <w:sz w:val="21"/>
          <w:szCs w:val="21"/>
        </w:rPr>
        <w:t xml:space="preserve"> These include: (</w:t>
      </w:r>
      <w:proofErr w:type="spellStart"/>
      <w:r w:rsidRPr="007B0CD5">
        <w:rPr>
          <w:sz w:val="21"/>
          <w:szCs w:val="21"/>
        </w:rPr>
        <w:t>i</w:t>
      </w:r>
      <w:proofErr w:type="spellEnd"/>
      <w:r w:rsidRPr="007B0CD5">
        <w:rPr>
          <w:sz w:val="21"/>
          <w:szCs w:val="21"/>
        </w:rPr>
        <w:t>) extent of regulatory and supervisory framework; (ii) corporate governance; (iii) conflict of interest; (iv) organizational constraints; (v) quality of methodologies and ratings; (vi) disclosure rules; (vii) supervision and enforcement rules.</w:t>
      </w:r>
    </w:p>
  </w:footnote>
  <w:footnote w:id="3">
    <w:p w14:paraId="4827DCD5"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rPr>
        <w:t xml:space="preserve"> The equivalence tests conducted by ESMA, announced before end-April 2012, concluded that ratings originating from Argentina, Australia, Brazil, Canada, Hong Kong, Japan, Mexico, Singapore and the United States fulfil this requirement. After that date, market participants in the EU (e.g., banks calculating capital adequacy positions) were forbidden from using ratings originating from unrecognized jurisdictions for regulatory purposes </w:t>
      </w:r>
      <w:r w:rsidRPr="007B0CD5">
        <w:rPr>
          <w:rFonts w:ascii="Times New Roman" w:hAnsi="Times New Roman" w:cs="Times New Roman"/>
          <w:color w:val="000000" w:themeColor="text1"/>
          <w:sz w:val="21"/>
          <w:szCs w:val="21"/>
        </w:rPr>
        <w:t>(ESMA, 2012).</w:t>
      </w:r>
    </w:p>
  </w:footnote>
  <w:footnote w:id="4">
    <w:p w14:paraId="3C4FB7F6"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 xml:space="preserve">We discuss Data prior to Methodology in order to explain and define variables and data issues that will be required in the methodology.   </w:t>
      </w:r>
    </w:p>
  </w:footnote>
  <w:footnote w:id="5">
    <w:p w14:paraId="59513760"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rPr>
        <w:t xml:space="preserve"> Outliers in sub-samples are identified using the MM-robust regression method and are excluded before estimation. The rule applied here is that robust standardized residuals (vertical dimension outlier) which lie outside the range [-20, +20] and [0, 20] of the robust distance of the distribution (horizontal dimension outlier) are excluded from the analysis. As a result, 5% of the data sample was discarded. </w:t>
      </w:r>
    </w:p>
  </w:footnote>
  <w:footnote w:id="6">
    <w:p w14:paraId="1BC64401" w14:textId="77777777" w:rsidR="00375F64" w:rsidRPr="007B0CD5" w:rsidRDefault="00375F64" w:rsidP="007B0CD5">
      <w:pPr>
        <w:pStyle w:val="FootnoteText"/>
        <w:spacing w:line="276" w:lineRule="auto"/>
        <w:rPr>
          <w:rFonts w:ascii="Times New Roman" w:hAnsi="Times New Roman" w:cs="Times New Roman"/>
          <w:sz w:val="21"/>
          <w:szCs w:val="21"/>
          <w:lang w:val="en-US"/>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Because we use US Treasury bonds as a benchmark for the sovereign credit spread, we exclude the few rating events for the US within the sample period.</w:t>
      </w:r>
    </w:p>
  </w:footnote>
  <w:footnote w:id="7">
    <w:p w14:paraId="202BA3F2"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The starting sample includes sovereign ratings for</w:t>
      </w:r>
      <w:r w:rsidRPr="007B0CD5">
        <w:rPr>
          <w:rFonts w:ascii="Times New Roman" w:hAnsi="Times New Roman" w:cs="Times New Roman"/>
          <w:color w:val="FF0000"/>
          <w:sz w:val="21"/>
          <w:szCs w:val="21"/>
        </w:rPr>
        <w:t xml:space="preserve"> </w:t>
      </w:r>
      <w:r w:rsidRPr="007B0CD5">
        <w:rPr>
          <w:rFonts w:ascii="Times New Roman" w:hAnsi="Times New Roman" w:cs="Times New Roman"/>
          <w:sz w:val="21"/>
          <w:szCs w:val="21"/>
        </w:rPr>
        <w:t>91</w:t>
      </w:r>
      <w:r w:rsidRPr="007B0CD5">
        <w:rPr>
          <w:rFonts w:ascii="Times New Roman" w:hAnsi="Times New Roman" w:cs="Times New Roman"/>
          <w:color w:val="FF0000"/>
          <w:sz w:val="21"/>
          <w:szCs w:val="21"/>
        </w:rPr>
        <w:t xml:space="preserve"> </w:t>
      </w:r>
      <w:r w:rsidRPr="007B0CD5">
        <w:rPr>
          <w:rFonts w:ascii="Times New Roman" w:hAnsi="Times New Roman" w:cs="Times New Roman"/>
          <w:sz w:val="21"/>
          <w:szCs w:val="21"/>
        </w:rPr>
        <w:t xml:space="preserve">countries, and then is reduced to 70 countries on the basis of bond data availability. These 70 countries reflect large developed and emerging countries. </w:t>
      </w:r>
    </w:p>
  </w:footnote>
  <w:footnote w:id="8">
    <w:p w14:paraId="453D3CA0"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However, in the post-</w:t>
      </w:r>
      <w:r w:rsidRPr="007B0CD5">
        <w:rPr>
          <w:rFonts w:ascii="Times New Roman" w:hAnsi="Times New Roman" w:cs="Times New Roman"/>
          <w:color w:val="000000" w:themeColor="text1"/>
          <w:sz w:val="21"/>
          <w:szCs w:val="21"/>
        </w:rPr>
        <w:t>identifier</w:t>
      </w:r>
      <w:r w:rsidRPr="007B0CD5">
        <w:rPr>
          <w:rFonts w:ascii="Times New Roman" w:hAnsi="Times New Roman" w:cs="Times New Roman"/>
          <w:sz w:val="21"/>
          <w:szCs w:val="21"/>
        </w:rPr>
        <w:t xml:space="preserve"> period, Moody’s and Fitch </w:t>
      </w:r>
      <w:r w:rsidRPr="007B0CD5">
        <w:rPr>
          <w:rFonts w:ascii="Times New Roman" w:hAnsi="Times New Roman" w:cs="Times New Roman"/>
          <w:color w:val="000000" w:themeColor="text1"/>
          <w:sz w:val="21"/>
          <w:szCs w:val="21"/>
        </w:rPr>
        <w:t>issue 52% downgrades against 48% upgrades</w:t>
      </w:r>
      <w:r w:rsidRPr="007B0CD5">
        <w:rPr>
          <w:rFonts w:ascii="Times New Roman" w:hAnsi="Times New Roman" w:cs="Times New Roman"/>
          <w:sz w:val="21"/>
          <w:szCs w:val="21"/>
        </w:rPr>
        <w:t>.</w:t>
      </w:r>
    </w:p>
  </w:footnote>
  <w:footnote w:id="9">
    <w:p w14:paraId="594BAB6D"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Despite its role in the European debt crisis, Greece does not feature in our sample because it did not issue any bonds denominated in US dollars which met our selection criteria.</w:t>
      </w:r>
    </w:p>
  </w:footnote>
  <w:footnote w:id="10">
    <w:p w14:paraId="46FC649E"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rPr>
        <w:t xml:space="preserve"> If the model was estimated using only event dates, relevant coefficients would be measuring the incremental change of rating action exceeding one CCR point in the yield spreads.</w:t>
      </w:r>
    </w:p>
  </w:footnote>
  <w:footnote w:id="11">
    <w:p w14:paraId="5BACCA14"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 xml:space="preserve">The non-event sample for each CRA contains the same number of observations as the event sample. </w:t>
      </w:r>
    </w:p>
  </w:footnote>
  <w:footnote w:id="12">
    <w:p w14:paraId="0ED14273" w14:textId="77777777" w:rsidR="00375F64" w:rsidRPr="007B0CD5" w:rsidRDefault="00375F64" w:rsidP="007B0CD5">
      <w:pPr>
        <w:pStyle w:val="FootnoteText"/>
        <w:spacing w:line="276" w:lineRule="auto"/>
        <w:rPr>
          <w:rFonts w:ascii="Times New Roman" w:hAnsi="Times New Roman" w:cs="Times New Roman"/>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rPr>
        <w:t xml:space="preserve"> For example, increased competition coincides with lower quality (inflated) ratings from incumbents in the corporate rating market (Dimitrov et al., 2015) and the structured finance rating market (</w:t>
      </w:r>
      <w:r w:rsidRPr="007B0CD5">
        <w:rPr>
          <w:rFonts w:ascii="Times New Roman" w:hAnsi="Times New Roman" w:cs="Times New Roman"/>
          <w:sz w:val="21"/>
          <w:szCs w:val="21"/>
        </w:rPr>
        <w:fldChar w:fldCharType="begin" w:fldLock="1"/>
      </w:r>
      <w:r w:rsidRPr="007B0CD5">
        <w:rPr>
          <w:rFonts w:ascii="Times New Roman" w:hAnsi="Times New Roman" w:cs="Times New Roman"/>
          <w:sz w:val="21"/>
          <w:szCs w:val="21"/>
        </w:rPr>
        <w:instrText>ADDIN CSL_CITATION { "citationItems" : [ { "id" : "ITEM-1", "itemData" : { "author" : [ { "dropping-particle" : "", "family" : "Flynn", "given" : "Sean", "non-dropping-particle" : "", "parse-names" : false, "suffix" : "" }, { "dropping-particle" : "", "family" : "Ghent", "given" : "Andra", "non-dropping-particle" : "", "parse-names" : false, "suffix" : "" } ], "container-title" : "Management Science, Forthcoming", "id" : "ITEM-1", "issue" : "March", "issued" : { "date-parts" : [ [ "2017" ] ] }, "title" : "Competition and Credit Ratings After the Fall", "type" : "article-journal" }, "uris" : [ "http://www.mendeley.com/documents/?uuid=d47424f6-92f3-49c1-908b-5bad6fc8d1e7" ] } ], "mendeley" : { "formattedCitation" : "Flynn and Ghent (2017)", "plainTextFormattedCitation" : "Flynn and Ghent (2017)", "previouslyFormattedCitation" : "Flynn and Ghent (2017)" }, "properties" : { "noteIndex" : 0 }, "schema" : "https://github.com/citation-style-language/schema/raw/master/csl-citation.json" }</w:instrText>
      </w:r>
      <w:r w:rsidRPr="007B0CD5">
        <w:rPr>
          <w:rFonts w:ascii="Times New Roman" w:hAnsi="Times New Roman" w:cs="Times New Roman"/>
          <w:sz w:val="21"/>
          <w:szCs w:val="21"/>
        </w:rPr>
        <w:fldChar w:fldCharType="separate"/>
      </w:r>
      <w:r w:rsidRPr="007B0CD5">
        <w:rPr>
          <w:rFonts w:ascii="Times New Roman" w:hAnsi="Times New Roman" w:cs="Times New Roman"/>
          <w:noProof/>
          <w:sz w:val="21"/>
          <w:szCs w:val="21"/>
        </w:rPr>
        <w:t>Flynn and Ghent, 2018</w:t>
      </w:r>
      <w:r w:rsidRPr="007B0CD5">
        <w:rPr>
          <w:rFonts w:ascii="Times New Roman" w:hAnsi="Times New Roman" w:cs="Times New Roman"/>
          <w:sz w:val="21"/>
          <w:szCs w:val="21"/>
        </w:rPr>
        <w:fldChar w:fldCharType="end"/>
      </w:r>
      <w:r w:rsidRPr="007B0CD5">
        <w:rPr>
          <w:rFonts w:ascii="Times New Roman" w:hAnsi="Times New Roman" w:cs="Times New Roman"/>
          <w:sz w:val="21"/>
          <w:szCs w:val="21"/>
        </w:rPr>
        <w:t>).</w:t>
      </w:r>
    </w:p>
  </w:footnote>
  <w:footnote w:id="13">
    <w:p w14:paraId="797223CA" w14:textId="384C9265" w:rsidR="00375F64" w:rsidRPr="007B0CD5" w:rsidRDefault="00375F64" w:rsidP="007B0CD5">
      <w:pPr>
        <w:pStyle w:val="FootnoteText"/>
        <w:spacing w:line="276" w:lineRule="auto"/>
        <w:rPr>
          <w:rFonts w:ascii="Times New Roman" w:hAnsi="Times New Roman" w:cs="Times New Roman"/>
          <w:sz w:val="21"/>
          <w:szCs w:val="21"/>
        </w:rPr>
      </w:pPr>
      <w:r w:rsidRPr="007B0CD5">
        <w:rPr>
          <w:rFonts w:ascii="Times New Roman" w:hAnsi="Times New Roman" w:cs="Times New Roman"/>
          <w:sz w:val="21"/>
          <w:szCs w:val="21"/>
          <w:vertAlign w:val="superscript"/>
        </w:rPr>
        <w:footnoteRef/>
      </w:r>
      <w:r w:rsidRPr="007B0CD5">
        <w:rPr>
          <w:rFonts w:ascii="Times New Roman" w:hAnsi="Times New Roman" w:cs="Times New Roman"/>
          <w:sz w:val="21"/>
          <w:szCs w:val="21"/>
          <w:vertAlign w:val="superscript"/>
        </w:rPr>
        <w:t xml:space="preserve"> </w:t>
      </w:r>
      <w:r w:rsidRPr="007B0CD5">
        <w:rPr>
          <w:rFonts w:ascii="Times New Roman" w:hAnsi="Times New Roman" w:cs="Times New Roman"/>
          <w:sz w:val="21"/>
          <w:szCs w:val="21"/>
        </w:rPr>
        <w:t xml:space="preserve">We also estimate </w:t>
      </w:r>
      <w:proofErr w:type="spellStart"/>
      <w:r w:rsidRPr="007B0CD5">
        <w:rPr>
          <w:rFonts w:ascii="Times New Roman" w:hAnsi="Times New Roman" w:cs="Times New Roman"/>
          <w:sz w:val="21"/>
          <w:szCs w:val="21"/>
        </w:rPr>
        <w:t>Eqs</w:t>
      </w:r>
      <w:proofErr w:type="spellEnd"/>
      <w:r w:rsidRPr="007B0CD5">
        <w:rPr>
          <w:rFonts w:ascii="Times New Roman" w:hAnsi="Times New Roman" w:cs="Times New Roman"/>
          <w:sz w:val="21"/>
          <w:szCs w:val="21"/>
        </w:rPr>
        <w:t xml:space="preserve">. (1), (2) and (3) using a binary variable that equals 1 on the day of a rating event and 0 otherwise. The results (available on request) are consistent. </w:t>
      </w:r>
    </w:p>
  </w:footnote>
  <w:footnote w:id="14">
    <w:p w14:paraId="12EFE4F4" w14:textId="1EAACD02" w:rsidR="00375F64" w:rsidRPr="007B0CD5" w:rsidRDefault="00375F64" w:rsidP="007B0CD5">
      <w:pPr>
        <w:pStyle w:val="FootnoteText"/>
        <w:spacing w:line="276" w:lineRule="auto"/>
        <w:rPr>
          <w:rFonts w:ascii="Times New Roman" w:hAnsi="Times New Roman" w:cs="Times New Roman"/>
          <w:sz w:val="21"/>
          <w:szCs w:val="21"/>
          <w:lang w:val="en-US"/>
        </w:rPr>
      </w:pPr>
      <w:r w:rsidRPr="007B0CD5">
        <w:rPr>
          <w:rFonts w:ascii="Times New Roman" w:hAnsi="Times New Roman" w:cs="Times New Roman"/>
          <w:color w:val="000000" w:themeColor="text1"/>
          <w:sz w:val="21"/>
          <w:szCs w:val="21"/>
          <w:vertAlign w:val="superscript"/>
        </w:rPr>
        <w:footnoteRef/>
      </w:r>
      <w:r w:rsidRPr="007B0CD5">
        <w:rPr>
          <w:rFonts w:ascii="Times New Roman" w:hAnsi="Times New Roman" w:cs="Times New Roman"/>
          <w:color w:val="000000" w:themeColor="text1"/>
          <w:sz w:val="21"/>
          <w:szCs w:val="21"/>
        </w:rPr>
        <w:t xml:space="preserve"> </w:t>
      </w:r>
      <w:bookmarkStart w:id="19" w:name="_Hlk5475833"/>
      <w:r w:rsidRPr="007B0CD5">
        <w:rPr>
          <w:rFonts w:ascii="Times New Roman" w:hAnsi="Times New Roman" w:cs="Times New Roman"/>
          <w:color w:val="000000" w:themeColor="text1"/>
          <w:sz w:val="21"/>
          <w:szCs w:val="21"/>
        </w:rPr>
        <w:t xml:space="preserve">We also estimate </w:t>
      </w:r>
      <w:proofErr w:type="spellStart"/>
      <w:r w:rsidRPr="007B0CD5">
        <w:rPr>
          <w:rFonts w:ascii="Times New Roman" w:hAnsi="Times New Roman" w:cs="Times New Roman"/>
          <w:color w:val="000000" w:themeColor="text1"/>
          <w:sz w:val="21"/>
          <w:szCs w:val="21"/>
        </w:rPr>
        <w:t>Eqs</w:t>
      </w:r>
      <w:proofErr w:type="spellEnd"/>
      <w:r w:rsidRPr="007B0CD5">
        <w:rPr>
          <w:rFonts w:ascii="Times New Roman" w:hAnsi="Times New Roman" w:cs="Times New Roman"/>
          <w:color w:val="000000" w:themeColor="text1"/>
          <w:sz w:val="21"/>
          <w:szCs w:val="21"/>
        </w:rPr>
        <w:t>. (1), (2) and (3) including global time-</w:t>
      </w:r>
      <w:r w:rsidRPr="007B0CD5">
        <w:rPr>
          <w:rFonts w:ascii="Times New Roman" w:hAnsi="Times New Roman" w:cs="Times New Roman"/>
          <w:sz w:val="21"/>
          <w:szCs w:val="21"/>
        </w:rPr>
        <w:t xml:space="preserve">varying risk factors (e.g. Acharya et al., 2013; </w:t>
      </w:r>
      <w:proofErr w:type="spellStart"/>
      <w:r w:rsidRPr="007B0CD5">
        <w:rPr>
          <w:rFonts w:ascii="Times New Roman" w:hAnsi="Times New Roman" w:cs="Times New Roman"/>
          <w:sz w:val="21"/>
          <w:szCs w:val="21"/>
        </w:rPr>
        <w:t>Bedendo</w:t>
      </w:r>
      <w:proofErr w:type="spellEnd"/>
      <w:r w:rsidRPr="007B0CD5">
        <w:rPr>
          <w:rFonts w:ascii="Times New Roman" w:hAnsi="Times New Roman" w:cs="Times New Roman"/>
          <w:sz w:val="21"/>
          <w:szCs w:val="21"/>
        </w:rPr>
        <w:t xml:space="preserve"> et al., 2018; Kahl et al., 2013). In separate estimations, we include one of three risk factors to explain the yield spreads: CBOE VIX volatility index, Treasury rate (5 years maturity), and interest </w:t>
      </w:r>
      <w:r w:rsidRPr="007B0CD5">
        <w:rPr>
          <w:rFonts w:ascii="Times New Roman" w:hAnsi="Times New Roman" w:cs="Times New Roman"/>
          <w:color w:val="000000" w:themeColor="text1"/>
          <w:sz w:val="21"/>
          <w:szCs w:val="21"/>
        </w:rPr>
        <w:t>rate swap spreads (5 years maturity). These results confirm the main findings.</w:t>
      </w:r>
      <w:bookmarkEnd w:id="19"/>
      <w:r w:rsidRPr="007B0CD5">
        <w:rPr>
          <w:rFonts w:ascii="Times New Roman" w:hAnsi="Times New Roman" w:cs="Times New Roman"/>
          <w:color w:val="000000" w:themeColor="text1"/>
          <w:sz w:val="21"/>
          <w:szCs w:val="21"/>
        </w:rPr>
        <w:t xml:space="preserve"> </w:t>
      </w:r>
    </w:p>
  </w:footnote>
  <w:footnote w:id="15">
    <w:p w14:paraId="182F2BD3" w14:textId="4CF03813" w:rsidR="00375F64" w:rsidRPr="007B0CD5" w:rsidRDefault="00375F64" w:rsidP="007B0CD5">
      <w:pPr>
        <w:pStyle w:val="FootnoteText"/>
        <w:spacing w:line="276" w:lineRule="auto"/>
        <w:rPr>
          <w:rFonts w:ascii="Times New Roman" w:hAnsi="Times New Roman" w:cs="Times New Roman"/>
          <w:sz w:val="21"/>
          <w:szCs w:val="21"/>
          <w:lang w:val="en-US"/>
        </w:rPr>
      </w:pPr>
      <w:r w:rsidRPr="007B0CD5">
        <w:rPr>
          <w:rFonts w:ascii="Times New Roman" w:hAnsi="Times New Roman" w:cs="Times New Roman"/>
          <w:color w:val="000000" w:themeColor="text1"/>
          <w:sz w:val="21"/>
          <w:szCs w:val="21"/>
          <w:vertAlign w:val="superscript"/>
        </w:rPr>
        <w:footnoteRef/>
      </w:r>
      <w:r w:rsidRPr="007B0CD5">
        <w:rPr>
          <w:rFonts w:ascii="Times New Roman" w:hAnsi="Times New Roman" w:cs="Times New Roman"/>
          <w:color w:val="000000" w:themeColor="text1"/>
          <w:sz w:val="21"/>
          <w:szCs w:val="21"/>
          <w:vertAlign w:val="superscript"/>
        </w:rPr>
        <w:t xml:space="preserve"> </w:t>
      </w:r>
      <w:r w:rsidRPr="007B0CD5">
        <w:rPr>
          <w:rFonts w:ascii="Times New Roman" w:hAnsi="Times New Roman" w:cs="Times New Roman"/>
          <w:color w:val="000000" w:themeColor="text1"/>
          <w:sz w:val="21"/>
          <w:szCs w:val="21"/>
        </w:rPr>
        <w:t>The test is performed using seemingly unrelated regression, which estimates the simultaneous (co)variance of the coefficients of the two equations being compared.</w:t>
      </w:r>
    </w:p>
  </w:footnote>
  <w:footnote w:id="16">
    <w:p w14:paraId="180F2D9A" w14:textId="3C1A7674" w:rsidR="00375F64" w:rsidRPr="007B0CD5" w:rsidRDefault="00375F64" w:rsidP="007B0CD5">
      <w:pPr>
        <w:autoSpaceDE w:val="0"/>
        <w:autoSpaceDN w:val="0"/>
        <w:adjustRightInd w:val="0"/>
        <w:spacing w:line="276" w:lineRule="auto"/>
        <w:jc w:val="both"/>
        <w:rPr>
          <w:sz w:val="21"/>
          <w:szCs w:val="21"/>
        </w:rPr>
      </w:pPr>
      <w:r w:rsidRPr="007B0CD5">
        <w:rPr>
          <w:sz w:val="21"/>
          <w:szCs w:val="21"/>
          <w:vertAlign w:val="superscript"/>
        </w:rPr>
        <w:footnoteRef/>
      </w:r>
      <w:r w:rsidRPr="007B0CD5">
        <w:rPr>
          <w:sz w:val="21"/>
          <w:szCs w:val="21"/>
        </w:rPr>
        <w:t xml:space="preserve"> Previous literature has found that S&amp;P tends to be the most conservative amongst CRAs and its downgrades have stronger effects than those of other CRAs (</w:t>
      </w:r>
      <w:proofErr w:type="spellStart"/>
      <w:r w:rsidRPr="007B0CD5">
        <w:rPr>
          <w:sz w:val="21"/>
          <w:szCs w:val="21"/>
        </w:rPr>
        <w:t>e.g</w:t>
      </w:r>
      <w:proofErr w:type="spellEnd"/>
      <w:r w:rsidRPr="007B0CD5">
        <w:rPr>
          <w:sz w:val="21"/>
          <w:szCs w:val="21"/>
        </w:rPr>
        <w:t xml:space="preserve"> Flynn and Ghent, 2018). Earlier research has also shown that S&amp;P places more weight on rating accuracy whereas Moody’s has a greater emphasis on rating stability (e.g. Cheng and </w:t>
      </w:r>
      <w:proofErr w:type="spellStart"/>
      <w:r w:rsidRPr="007B0CD5">
        <w:rPr>
          <w:sz w:val="21"/>
          <w:szCs w:val="21"/>
        </w:rPr>
        <w:t>Neamtiu</w:t>
      </w:r>
      <w:proofErr w:type="spellEnd"/>
      <w:r w:rsidRPr="007B0CD5">
        <w:rPr>
          <w:sz w:val="21"/>
          <w:szCs w:val="21"/>
        </w:rPr>
        <w:t xml:space="preserve">, 2009; </w:t>
      </w:r>
      <w:proofErr w:type="spellStart"/>
      <w:r w:rsidRPr="007B0CD5">
        <w:rPr>
          <w:sz w:val="21"/>
          <w:szCs w:val="21"/>
        </w:rPr>
        <w:t>Kiff</w:t>
      </w:r>
      <w:proofErr w:type="spellEnd"/>
      <w:r w:rsidRPr="007B0CD5">
        <w:rPr>
          <w:sz w:val="21"/>
          <w:szCs w:val="21"/>
        </w:rPr>
        <w:t xml:space="preserve"> et al., 2012).</w:t>
      </w:r>
      <w:r w:rsidRPr="007B0CD5">
        <w:rPr>
          <w:color w:val="FF0000"/>
          <w:sz w:val="21"/>
          <w:szCs w:val="21"/>
        </w:rPr>
        <w:t xml:space="preserve"> </w:t>
      </w:r>
    </w:p>
  </w:footnote>
  <w:footnote w:id="17">
    <w:p w14:paraId="7F6BBE99" w14:textId="491C54D6" w:rsidR="00375F64" w:rsidRPr="007B0CD5" w:rsidRDefault="00375F64" w:rsidP="007B0CD5">
      <w:pPr>
        <w:pStyle w:val="FootnoteText"/>
        <w:spacing w:line="276" w:lineRule="auto"/>
        <w:rPr>
          <w:rFonts w:ascii="Times New Roman" w:hAnsi="Times New Roman" w:cs="Times New Roman"/>
          <w:color w:val="FF0000"/>
          <w:sz w:val="21"/>
          <w:szCs w:val="21"/>
        </w:rPr>
      </w:pPr>
      <w:r w:rsidRPr="007B0CD5">
        <w:rPr>
          <w:rStyle w:val="FootnoteReference"/>
          <w:rFonts w:ascii="Times New Roman" w:hAnsi="Times New Roman" w:cs="Times New Roman"/>
          <w:sz w:val="21"/>
          <w:szCs w:val="21"/>
        </w:rPr>
        <w:footnoteRef/>
      </w:r>
      <w:r w:rsidRPr="007B0CD5">
        <w:rPr>
          <w:rFonts w:ascii="Times New Roman" w:hAnsi="Times New Roman" w:cs="Times New Roman"/>
          <w:sz w:val="21"/>
          <w:szCs w:val="21"/>
        </w:rPr>
        <w:t xml:space="preserve"> There are only 7 negative events by Moody’s in the EU sub-sample in the post-identifier period. The results in this case are not reliable and we have not reported the F-test.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9920" w14:textId="3EF6405C" w:rsidR="00375F64" w:rsidRDefault="00375F64" w:rsidP="3E744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509C" w14:textId="58CFB4BF" w:rsidR="00375F64" w:rsidRDefault="00375F64" w:rsidP="3E744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AE20" w14:textId="7C135462" w:rsidR="00375F64" w:rsidRDefault="00375F64" w:rsidP="3E744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375F64" w14:paraId="06697859" w14:textId="77777777" w:rsidTr="3E744EE9">
      <w:tc>
        <w:tcPr>
          <w:tcW w:w="3009" w:type="dxa"/>
        </w:tcPr>
        <w:p w14:paraId="5ECF0C95" w14:textId="5CC1C8FA" w:rsidR="00375F64" w:rsidRDefault="00375F64" w:rsidP="3E744EE9">
          <w:pPr>
            <w:pStyle w:val="Header"/>
            <w:ind w:left="-115"/>
          </w:pPr>
        </w:p>
      </w:tc>
      <w:tc>
        <w:tcPr>
          <w:tcW w:w="3009" w:type="dxa"/>
        </w:tcPr>
        <w:p w14:paraId="37CCDD85" w14:textId="18D94682" w:rsidR="00375F64" w:rsidRDefault="00375F64" w:rsidP="3E744EE9">
          <w:pPr>
            <w:pStyle w:val="Header"/>
            <w:jc w:val="center"/>
          </w:pPr>
        </w:p>
      </w:tc>
      <w:tc>
        <w:tcPr>
          <w:tcW w:w="3009" w:type="dxa"/>
        </w:tcPr>
        <w:p w14:paraId="675E04A0" w14:textId="0298EBCC" w:rsidR="00375F64" w:rsidRDefault="00375F64" w:rsidP="3E744EE9">
          <w:pPr>
            <w:pStyle w:val="Header"/>
            <w:ind w:right="-115"/>
            <w:jc w:val="right"/>
          </w:pPr>
        </w:p>
      </w:tc>
    </w:tr>
  </w:tbl>
  <w:p w14:paraId="2A4D30BA" w14:textId="397E122F" w:rsidR="00375F64" w:rsidRDefault="00375F64" w:rsidP="3E74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FA7"/>
    <w:multiLevelType w:val="multilevel"/>
    <w:tmpl w:val="6F0A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051E5"/>
    <w:multiLevelType w:val="hybridMultilevel"/>
    <w:tmpl w:val="5AAAA762"/>
    <w:lvl w:ilvl="0" w:tplc="0809000F">
      <w:start w:val="1"/>
      <w:numFmt w:val="decimal"/>
      <w:lvlText w:val="%1."/>
      <w:lvlJc w:val="left"/>
      <w:pPr>
        <w:ind w:left="37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33CA1"/>
    <w:multiLevelType w:val="multilevel"/>
    <w:tmpl w:val="A83EBCA4"/>
    <w:styleLink w:val="Style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4996CB6"/>
    <w:multiLevelType w:val="multilevel"/>
    <w:tmpl w:val="86E6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BA"/>
    <w:rsid w:val="0000008A"/>
    <w:rsid w:val="00000375"/>
    <w:rsid w:val="00000B5A"/>
    <w:rsid w:val="00000E1D"/>
    <w:rsid w:val="00001AA2"/>
    <w:rsid w:val="0000237C"/>
    <w:rsid w:val="00002831"/>
    <w:rsid w:val="000038DD"/>
    <w:rsid w:val="000042BC"/>
    <w:rsid w:val="000058CF"/>
    <w:rsid w:val="00005ABA"/>
    <w:rsid w:val="00006943"/>
    <w:rsid w:val="000069BE"/>
    <w:rsid w:val="0001090F"/>
    <w:rsid w:val="00010F90"/>
    <w:rsid w:val="00011FA8"/>
    <w:rsid w:val="00012396"/>
    <w:rsid w:val="00013131"/>
    <w:rsid w:val="000141E8"/>
    <w:rsid w:val="00014387"/>
    <w:rsid w:val="000143DE"/>
    <w:rsid w:val="0001491A"/>
    <w:rsid w:val="0001567C"/>
    <w:rsid w:val="00015FCE"/>
    <w:rsid w:val="00016FC5"/>
    <w:rsid w:val="0001793F"/>
    <w:rsid w:val="00017B46"/>
    <w:rsid w:val="0002018B"/>
    <w:rsid w:val="00020670"/>
    <w:rsid w:val="00020B78"/>
    <w:rsid w:val="00021089"/>
    <w:rsid w:val="00021D33"/>
    <w:rsid w:val="00022513"/>
    <w:rsid w:val="000232B5"/>
    <w:rsid w:val="0002479A"/>
    <w:rsid w:val="00024C1B"/>
    <w:rsid w:val="00024F8B"/>
    <w:rsid w:val="00025867"/>
    <w:rsid w:val="00025EBA"/>
    <w:rsid w:val="00026145"/>
    <w:rsid w:val="00026331"/>
    <w:rsid w:val="0002665B"/>
    <w:rsid w:val="000268EB"/>
    <w:rsid w:val="00027EE0"/>
    <w:rsid w:val="00030638"/>
    <w:rsid w:val="00030B7C"/>
    <w:rsid w:val="0003211F"/>
    <w:rsid w:val="00032767"/>
    <w:rsid w:val="0003316B"/>
    <w:rsid w:val="000332A8"/>
    <w:rsid w:val="00033A2B"/>
    <w:rsid w:val="000352E5"/>
    <w:rsid w:val="0003598E"/>
    <w:rsid w:val="0003689E"/>
    <w:rsid w:val="00036AF1"/>
    <w:rsid w:val="00036B29"/>
    <w:rsid w:val="00036E98"/>
    <w:rsid w:val="000401E4"/>
    <w:rsid w:val="000403CB"/>
    <w:rsid w:val="0004152D"/>
    <w:rsid w:val="000418B0"/>
    <w:rsid w:val="00042E5C"/>
    <w:rsid w:val="000430A3"/>
    <w:rsid w:val="000436D5"/>
    <w:rsid w:val="000438E0"/>
    <w:rsid w:val="00043B18"/>
    <w:rsid w:val="000448E2"/>
    <w:rsid w:val="00045269"/>
    <w:rsid w:val="00046C49"/>
    <w:rsid w:val="00046D6E"/>
    <w:rsid w:val="00046D7E"/>
    <w:rsid w:val="00046E5F"/>
    <w:rsid w:val="00047862"/>
    <w:rsid w:val="000502EF"/>
    <w:rsid w:val="000505E2"/>
    <w:rsid w:val="00050640"/>
    <w:rsid w:val="00050679"/>
    <w:rsid w:val="000507E1"/>
    <w:rsid w:val="00052073"/>
    <w:rsid w:val="000521DA"/>
    <w:rsid w:val="0005294D"/>
    <w:rsid w:val="00052AF5"/>
    <w:rsid w:val="0005671D"/>
    <w:rsid w:val="000572BB"/>
    <w:rsid w:val="00057BD9"/>
    <w:rsid w:val="00062646"/>
    <w:rsid w:val="000626C9"/>
    <w:rsid w:val="00062DB2"/>
    <w:rsid w:val="00064371"/>
    <w:rsid w:val="000644B5"/>
    <w:rsid w:val="000644EB"/>
    <w:rsid w:val="000656BF"/>
    <w:rsid w:val="00066530"/>
    <w:rsid w:val="00066CC0"/>
    <w:rsid w:val="00066E7D"/>
    <w:rsid w:val="00067944"/>
    <w:rsid w:val="0007036A"/>
    <w:rsid w:val="00070BDC"/>
    <w:rsid w:val="00072301"/>
    <w:rsid w:val="0007277C"/>
    <w:rsid w:val="000727B6"/>
    <w:rsid w:val="000752DF"/>
    <w:rsid w:val="00075B2B"/>
    <w:rsid w:val="00076440"/>
    <w:rsid w:val="0007655F"/>
    <w:rsid w:val="00076A20"/>
    <w:rsid w:val="00076EE0"/>
    <w:rsid w:val="00080BF5"/>
    <w:rsid w:val="00081363"/>
    <w:rsid w:val="000814EF"/>
    <w:rsid w:val="0008229F"/>
    <w:rsid w:val="0008253C"/>
    <w:rsid w:val="00082684"/>
    <w:rsid w:val="000827BA"/>
    <w:rsid w:val="00082D23"/>
    <w:rsid w:val="0008339B"/>
    <w:rsid w:val="00083698"/>
    <w:rsid w:val="00084FAF"/>
    <w:rsid w:val="0008545A"/>
    <w:rsid w:val="00085B77"/>
    <w:rsid w:val="00086B1A"/>
    <w:rsid w:val="00086DFF"/>
    <w:rsid w:val="000872B2"/>
    <w:rsid w:val="00091445"/>
    <w:rsid w:val="00091593"/>
    <w:rsid w:val="0009214E"/>
    <w:rsid w:val="00092B4C"/>
    <w:rsid w:val="0009378F"/>
    <w:rsid w:val="000939AA"/>
    <w:rsid w:val="00095E69"/>
    <w:rsid w:val="000A00D0"/>
    <w:rsid w:val="000A1F60"/>
    <w:rsid w:val="000A2018"/>
    <w:rsid w:val="000A3543"/>
    <w:rsid w:val="000A3F4F"/>
    <w:rsid w:val="000A46DD"/>
    <w:rsid w:val="000A4790"/>
    <w:rsid w:val="000A4D09"/>
    <w:rsid w:val="000A4E6B"/>
    <w:rsid w:val="000A53AE"/>
    <w:rsid w:val="000A712E"/>
    <w:rsid w:val="000A7AE9"/>
    <w:rsid w:val="000A7F88"/>
    <w:rsid w:val="000B0321"/>
    <w:rsid w:val="000B0A9F"/>
    <w:rsid w:val="000B1BBC"/>
    <w:rsid w:val="000B1ED6"/>
    <w:rsid w:val="000B2227"/>
    <w:rsid w:val="000B23AD"/>
    <w:rsid w:val="000B24EE"/>
    <w:rsid w:val="000B47E7"/>
    <w:rsid w:val="000B6629"/>
    <w:rsid w:val="000B6D21"/>
    <w:rsid w:val="000B76F9"/>
    <w:rsid w:val="000C08E8"/>
    <w:rsid w:val="000C1019"/>
    <w:rsid w:val="000C3BB9"/>
    <w:rsid w:val="000C3BD3"/>
    <w:rsid w:val="000C3E90"/>
    <w:rsid w:val="000C6BBA"/>
    <w:rsid w:val="000C7A6B"/>
    <w:rsid w:val="000D0033"/>
    <w:rsid w:val="000D1278"/>
    <w:rsid w:val="000D196D"/>
    <w:rsid w:val="000D1EC1"/>
    <w:rsid w:val="000D4CD8"/>
    <w:rsid w:val="000D4D2B"/>
    <w:rsid w:val="000D5EE1"/>
    <w:rsid w:val="000D702C"/>
    <w:rsid w:val="000E17A9"/>
    <w:rsid w:val="000E3285"/>
    <w:rsid w:val="000E3D55"/>
    <w:rsid w:val="000E4799"/>
    <w:rsid w:val="000E5AEF"/>
    <w:rsid w:val="000E6446"/>
    <w:rsid w:val="000E65F4"/>
    <w:rsid w:val="000E7855"/>
    <w:rsid w:val="000E7AB1"/>
    <w:rsid w:val="000E7EE9"/>
    <w:rsid w:val="000F0185"/>
    <w:rsid w:val="000F0D55"/>
    <w:rsid w:val="000F107D"/>
    <w:rsid w:val="000F1572"/>
    <w:rsid w:val="000F1B77"/>
    <w:rsid w:val="000F2CAE"/>
    <w:rsid w:val="000F3C96"/>
    <w:rsid w:val="000F50A1"/>
    <w:rsid w:val="000F5781"/>
    <w:rsid w:val="000F64BA"/>
    <w:rsid w:val="000F64F1"/>
    <w:rsid w:val="000F6651"/>
    <w:rsid w:val="000F6AC0"/>
    <w:rsid w:val="00100AA5"/>
    <w:rsid w:val="00101DD8"/>
    <w:rsid w:val="001031B3"/>
    <w:rsid w:val="001040EE"/>
    <w:rsid w:val="00104131"/>
    <w:rsid w:val="00104431"/>
    <w:rsid w:val="00106580"/>
    <w:rsid w:val="00106A26"/>
    <w:rsid w:val="00107D20"/>
    <w:rsid w:val="00110007"/>
    <w:rsid w:val="00110358"/>
    <w:rsid w:val="00110441"/>
    <w:rsid w:val="001112B8"/>
    <w:rsid w:val="00111A25"/>
    <w:rsid w:val="00112D17"/>
    <w:rsid w:val="00112FE1"/>
    <w:rsid w:val="00113CB0"/>
    <w:rsid w:val="00115431"/>
    <w:rsid w:val="00115697"/>
    <w:rsid w:val="0011587F"/>
    <w:rsid w:val="00115DCD"/>
    <w:rsid w:val="00116DB0"/>
    <w:rsid w:val="00117620"/>
    <w:rsid w:val="00120805"/>
    <w:rsid w:val="00121D59"/>
    <w:rsid w:val="0012254E"/>
    <w:rsid w:val="00122794"/>
    <w:rsid w:val="00122E35"/>
    <w:rsid w:val="001231D0"/>
    <w:rsid w:val="0012327A"/>
    <w:rsid w:val="00123BCE"/>
    <w:rsid w:val="00124E43"/>
    <w:rsid w:val="00125858"/>
    <w:rsid w:val="0012589D"/>
    <w:rsid w:val="00125956"/>
    <w:rsid w:val="00125E78"/>
    <w:rsid w:val="001261B2"/>
    <w:rsid w:val="001269FD"/>
    <w:rsid w:val="00126C00"/>
    <w:rsid w:val="00126CE0"/>
    <w:rsid w:val="00127066"/>
    <w:rsid w:val="00127586"/>
    <w:rsid w:val="001307D8"/>
    <w:rsid w:val="001309F1"/>
    <w:rsid w:val="00134063"/>
    <w:rsid w:val="001345BE"/>
    <w:rsid w:val="001348C4"/>
    <w:rsid w:val="001361E3"/>
    <w:rsid w:val="00136D7D"/>
    <w:rsid w:val="00136EA1"/>
    <w:rsid w:val="001377FF"/>
    <w:rsid w:val="0013794D"/>
    <w:rsid w:val="001409C7"/>
    <w:rsid w:val="00140C38"/>
    <w:rsid w:val="0014103F"/>
    <w:rsid w:val="0014214E"/>
    <w:rsid w:val="0014297A"/>
    <w:rsid w:val="00142B2E"/>
    <w:rsid w:val="00143BBA"/>
    <w:rsid w:val="00143D66"/>
    <w:rsid w:val="00144C6A"/>
    <w:rsid w:val="0014524D"/>
    <w:rsid w:val="00145691"/>
    <w:rsid w:val="00146BA4"/>
    <w:rsid w:val="001471CD"/>
    <w:rsid w:val="00147656"/>
    <w:rsid w:val="00147BF3"/>
    <w:rsid w:val="00151F47"/>
    <w:rsid w:val="0015207D"/>
    <w:rsid w:val="0015218E"/>
    <w:rsid w:val="001529A7"/>
    <w:rsid w:val="0015327D"/>
    <w:rsid w:val="0015342C"/>
    <w:rsid w:val="00153F2C"/>
    <w:rsid w:val="00154091"/>
    <w:rsid w:val="001544CA"/>
    <w:rsid w:val="00154E49"/>
    <w:rsid w:val="00156456"/>
    <w:rsid w:val="001574F0"/>
    <w:rsid w:val="00157669"/>
    <w:rsid w:val="00157AE9"/>
    <w:rsid w:val="00157B06"/>
    <w:rsid w:val="00157C4F"/>
    <w:rsid w:val="00157DDC"/>
    <w:rsid w:val="0016071C"/>
    <w:rsid w:val="00161070"/>
    <w:rsid w:val="001621C4"/>
    <w:rsid w:val="00162EAA"/>
    <w:rsid w:val="0016452F"/>
    <w:rsid w:val="00165113"/>
    <w:rsid w:val="00165F56"/>
    <w:rsid w:val="00166EA4"/>
    <w:rsid w:val="001674C4"/>
    <w:rsid w:val="001677AB"/>
    <w:rsid w:val="001706EE"/>
    <w:rsid w:val="00170B36"/>
    <w:rsid w:val="001718F2"/>
    <w:rsid w:val="00171FBB"/>
    <w:rsid w:val="001726EA"/>
    <w:rsid w:val="0017298C"/>
    <w:rsid w:val="00172E0D"/>
    <w:rsid w:val="00173CE6"/>
    <w:rsid w:val="00174900"/>
    <w:rsid w:val="00174D5C"/>
    <w:rsid w:val="00175773"/>
    <w:rsid w:val="00175AC3"/>
    <w:rsid w:val="00176BB1"/>
    <w:rsid w:val="00177996"/>
    <w:rsid w:val="00177E15"/>
    <w:rsid w:val="00180D9D"/>
    <w:rsid w:val="001814D8"/>
    <w:rsid w:val="00181A32"/>
    <w:rsid w:val="00184169"/>
    <w:rsid w:val="00184192"/>
    <w:rsid w:val="00185311"/>
    <w:rsid w:val="00185D25"/>
    <w:rsid w:val="001865AF"/>
    <w:rsid w:val="00187F71"/>
    <w:rsid w:val="00190403"/>
    <w:rsid w:val="00190DFB"/>
    <w:rsid w:val="0019133A"/>
    <w:rsid w:val="00192716"/>
    <w:rsid w:val="001927F2"/>
    <w:rsid w:val="00192E5F"/>
    <w:rsid w:val="001930B9"/>
    <w:rsid w:val="001940BF"/>
    <w:rsid w:val="001945DD"/>
    <w:rsid w:val="0019481A"/>
    <w:rsid w:val="0019518F"/>
    <w:rsid w:val="001959FB"/>
    <w:rsid w:val="00196CEB"/>
    <w:rsid w:val="001A00D9"/>
    <w:rsid w:val="001A09CD"/>
    <w:rsid w:val="001A0EC2"/>
    <w:rsid w:val="001A1348"/>
    <w:rsid w:val="001A1559"/>
    <w:rsid w:val="001A15BB"/>
    <w:rsid w:val="001A1B40"/>
    <w:rsid w:val="001A22AF"/>
    <w:rsid w:val="001A24D8"/>
    <w:rsid w:val="001A3896"/>
    <w:rsid w:val="001A43EE"/>
    <w:rsid w:val="001A47C3"/>
    <w:rsid w:val="001A6FC7"/>
    <w:rsid w:val="001B1488"/>
    <w:rsid w:val="001B3B86"/>
    <w:rsid w:val="001B3D2F"/>
    <w:rsid w:val="001B4499"/>
    <w:rsid w:val="001B4565"/>
    <w:rsid w:val="001B4B10"/>
    <w:rsid w:val="001B524A"/>
    <w:rsid w:val="001B55AD"/>
    <w:rsid w:val="001B57ED"/>
    <w:rsid w:val="001B5EC5"/>
    <w:rsid w:val="001B7A43"/>
    <w:rsid w:val="001B7FAB"/>
    <w:rsid w:val="001C0028"/>
    <w:rsid w:val="001C0718"/>
    <w:rsid w:val="001C0BAF"/>
    <w:rsid w:val="001C10D7"/>
    <w:rsid w:val="001C1616"/>
    <w:rsid w:val="001C3587"/>
    <w:rsid w:val="001C6C4C"/>
    <w:rsid w:val="001C6F31"/>
    <w:rsid w:val="001C792B"/>
    <w:rsid w:val="001C79C2"/>
    <w:rsid w:val="001C7C32"/>
    <w:rsid w:val="001D020F"/>
    <w:rsid w:val="001D07F5"/>
    <w:rsid w:val="001D1169"/>
    <w:rsid w:val="001D148F"/>
    <w:rsid w:val="001D217C"/>
    <w:rsid w:val="001D29A8"/>
    <w:rsid w:val="001D2BB1"/>
    <w:rsid w:val="001D3219"/>
    <w:rsid w:val="001D3870"/>
    <w:rsid w:val="001D39D9"/>
    <w:rsid w:val="001D3BFF"/>
    <w:rsid w:val="001D45E9"/>
    <w:rsid w:val="001D4BCD"/>
    <w:rsid w:val="001D6632"/>
    <w:rsid w:val="001D7973"/>
    <w:rsid w:val="001E174C"/>
    <w:rsid w:val="001E2151"/>
    <w:rsid w:val="001E27E8"/>
    <w:rsid w:val="001E2869"/>
    <w:rsid w:val="001E33B6"/>
    <w:rsid w:val="001E4A32"/>
    <w:rsid w:val="001E5EDC"/>
    <w:rsid w:val="001E61A3"/>
    <w:rsid w:val="001E6BCD"/>
    <w:rsid w:val="001E7669"/>
    <w:rsid w:val="001F01E3"/>
    <w:rsid w:val="001F099B"/>
    <w:rsid w:val="001F0E52"/>
    <w:rsid w:val="001F2211"/>
    <w:rsid w:val="001F2219"/>
    <w:rsid w:val="001F2542"/>
    <w:rsid w:val="001F2769"/>
    <w:rsid w:val="001F2839"/>
    <w:rsid w:val="001F4879"/>
    <w:rsid w:val="001F4D62"/>
    <w:rsid w:val="001F523C"/>
    <w:rsid w:val="001F74A2"/>
    <w:rsid w:val="001F7825"/>
    <w:rsid w:val="001F7BF3"/>
    <w:rsid w:val="00200326"/>
    <w:rsid w:val="00200ED7"/>
    <w:rsid w:val="002016D9"/>
    <w:rsid w:val="00201AD6"/>
    <w:rsid w:val="00201E1C"/>
    <w:rsid w:val="00202B82"/>
    <w:rsid w:val="00202EE1"/>
    <w:rsid w:val="00203017"/>
    <w:rsid w:val="00203C40"/>
    <w:rsid w:val="00203CE9"/>
    <w:rsid w:val="002040EB"/>
    <w:rsid w:val="00204911"/>
    <w:rsid w:val="00204916"/>
    <w:rsid w:val="00204E39"/>
    <w:rsid w:val="002055A0"/>
    <w:rsid w:val="00206B35"/>
    <w:rsid w:val="0020717F"/>
    <w:rsid w:val="00207F5C"/>
    <w:rsid w:val="00210ECB"/>
    <w:rsid w:val="00211080"/>
    <w:rsid w:val="002121CA"/>
    <w:rsid w:val="0021278D"/>
    <w:rsid w:val="00212B2F"/>
    <w:rsid w:val="00212BBF"/>
    <w:rsid w:val="0021512D"/>
    <w:rsid w:val="00215345"/>
    <w:rsid w:val="0021541D"/>
    <w:rsid w:val="00216330"/>
    <w:rsid w:val="00216520"/>
    <w:rsid w:val="00216566"/>
    <w:rsid w:val="002167EA"/>
    <w:rsid w:val="00216805"/>
    <w:rsid w:val="00216CA5"/>
    <w:rsid w:val="00217333"/>
    <w:rsid w:val="002205D4"/>
    <w:rsid w:val="002208EA"/>
    <w:rsid w:val="00221225"/>
    <w:rsid w:val="002214C3"/>
    <w:rsid w:val="0022164A"/>
    <w:rsid w:val="00222427"/>
    <w:rsid w:val="00222633"/>
    <w:rsid w:val="00223A9B"/>
    <w:rsid w:val="00223F22"/>
    <w:rsid w:val="00224527"/>
    <w:rsid w:val="00224C2D"/>
    <w:rsid w:val="00225393"/>
    <w:rsid w:val="002259AD"/>
    <w:rsid w:val="00226B3A"/>
    <w:rsid w:val="00226B55"/>
    <w:rsid w:val="00226F24"/>
    <w:rsid w:val="00227842"/>
    <w:rsid w:val="00227C00"/>
    <w:rsid w:val="002303AA"/>
    <w:rsid w:val="00230406"/>
    <w:rsid w:val="00231776"/>
    <w:rsid w:val="00232583"/>
    <w:rsid w:val="00233124"/>
    <w:rsid w:val="00234BB4"/>
    <w:rsid w:val="002362DA"/>
    <w:rsid w:val="00236346"/>
    <w:rsid w:val="002366EC"/>
    <w:rsid w:val="00237B71"/>
    <w:rsid w:val="00237D5C"/>
    <w:rsid w:val="002403EA"/>
    <w:rsid w:val="002435E2"/>
    <w:rsid w:val="002438C2"/>
    <w:rsid w:val="00243B33"/>
    <w:rsid w:val="002448B7"/>
    <w:rsid w:val="00244B5B"/>
    <w:rsid w:val="0024599E"/>
    <w:rsid w:val="00246247"/>
    <w:rsid w:val="00246637"/>
    <w:rsid w:val="002468CA"/>
    <w:rsid w:val="00246F19"/>
    <w:rsid w:val="00247B5A"/>
    <w:rsid w:val="00250000"/>
    <w:rsid w:val="002501AB"/>
    <w:rsid w:val="00251016"/>
    <w:rsid w:val="002519DA"/>
    <w:rsid w:val="00251B33"/>
    <w:rsid w:val="00251CA0"/>
    <w:rsid w:val="00251F12"/>
    <w:rsid w:val="00252A96"/>
    <w:rsid w:val="002549C2"/>
    <w:rsid w:val="00254B9E"/>
    <w:rsid w:val="0025523D"/>
    <w:rsid w:val="0025777C"/>
    <w:rsid w:val="00257D63"/>
    <w:rsid w:val="00261E7F"/>
    <w:rsid w:val="00262AFB"/>
    <w:rsid w:val="00262BCC"/>
    <w:rsid w:val="002637C2"/>
    <w:rsid w:val="00263F29"/>
    <w:rsid w:val="00263F68"/>
    <w:rsid w:val="00264921"/>
    <w:rsid w:val="00266287"/>
    <w:rsid w:val="002663F8"/>
    <w:rsid w:val="00266C31"/>
    <w:rsid w:val="002678A0"/>
    <w:rsid w:val="00270CB8"/>
    <w:rsid w:val="0027289E"/>
    <w:rsid w:val="00272F06"/>
    <w:rsid w:val="00273116"/>
    <w:rsid w:val="00273CC8"/>
    <w:rsid w:val="002742CB"/>
    <w:rsid w:val="0027514F"/>
    <w:rsid w:val="00275F3D"/>
    <w:rsid w:val="00282B68"/>
    <w:rsid w:val="00282CBF"/>
    <w:rsid w:val="00283919"/>
    <w:rsid w:val="002839E2"/>
    <w:rsid w:val="00284982"/>
    <w:rsid w:val="002859C0"/>
    <w:rsid w:val="002860E0"/>
    <w:rsid w:val="002862A2"/>
    <w:rsid w:val="00286C17"/>
    <w:rsid w:val="002871E9"/>
    <w:rsid w:val="002904A2"/>
    <w:rsid w:val="00291B48"/>
    <w:rsid w:val="00291CC7"/>
    <w:rsid w:val="00293970"/>
    <w:rsid w:val="00293ABE"/>
    <w:rsid w:val="00295CF3"/>
    <w:rsid w:val="00295E7E"/>
    <w:rsid w:val="002A0A16"/>
    <w:rsid w:val="002A0DC0"/>
    <w:rsid w:val="002A1CCB"/>
    <w:rsid w:val="002A26BF"/>
    <w:rsid w:val="002A3D58"/>
    <w:rsid w:val="002A4A2D"/>
    <w:rsid w:val="002A561B"/>
    <w:rsid w:val="002A576F"/>
    <w:rsid w:val="002A5C43"/>
    <w:rsid w:val="002A6B9A"/>
    <w:rsid w:val="002A703E"/>
    <w:rsid w:val="002A713E"/>
    <w:rsid w:val="002A7BA3"/>
    <w:rsid w:val="002B076F"/>
    <w:rsid w:val="002B07C3"/>
    <w:rsid w:val="002B27D9"/>
    <w:rsid w:val="002B296C"/>
    <w:rsid w:val="002B3BB2"/>
    <w:rsid w:val="002B547C"/>
    <w:rsid w:val="002B7158"/>
    <w:rsid w:val="002C0158"/>
    <w:rsid w:val="002C0176"/>
    <w:rsid w:val="002C0861"/>
    <w:rsid w:val="002C1276"/>
    <w:rsid w:val="002C2B3F"/>
    <w:rsid w:val="002C3682"/>
    <w:rsid w:val="002C3922"/>
    <w:rsid w:val="002C46D3"/>
    <w:rsid w:val="002C5853"/>
    <w:rsid w:val="002C67ED"/>
    <w:rsid w:val="002C70CF"/>
    <w:rsid w:val="002D08AF"/>
    <w:rsid w:val="002D1445"/>
    <w:rsid w:val="002D278B"/>
    <w:rsid w:val="002D30C8"/>
    <w:rsid w:val="002D3804"/>
    <w:rsid w:val="002D45A8"/>
    <w:rsid w:val="002D5ED6"/>
    <w:rsid w:val="002D621D"/>
    <w:rsid w:val="002D6DDB"/>
    <w:rsid w:val="002D7278"/>
    <w:rsid w:val="002D7415"/>
    <w:rsid w:val="002D7DA0"/>
    <w:rsid w:val="002D7DA5"/>
    <w:rsid w:val="002E0DFB"/>
    <w:rsid w:val="002E0F5D"/>
    <w:rsid w:val="002E1344"/>
    <w:rsid w:val="002E1590"/>
    <w:rsid w:val="002E1B9B"/>
    <w:rsid w:val="002E1C2D"/>
    <w:rsid w:val="002E246C"/>
    <w:rsid w:val="002E4279"/>
    <w:rsid w:val="002E491D"/>
    <w:rsid w:val="002E4FD5"/>
    <w:rsid w:val="002E51E7"/>
    <w:rsid w:val="002E52A3"/>
    <w:rsid w:val="002E5872"/>
    <w:rsid w:val="002E5EC0"/>
    <w:rsid w:val="002E65A8"/>
    <w:rsid w:val="002E7790"/>
    <w:rsid w:val="002E7ABD"/>
    <w:rsid w:val="002E7B38"/>
    <w:rsid w:val="002F0B67"/>
    <w:rsid w:val="002F1251"/>
    <w:rsid w:val="002F1364"/>
    <w:rsid w:val="002F1E58"/>
    <w:rsid w:val="002F3072"/>
    <w:rsid w:val="002F37A4"/>
    <w:rsid w:val="002F3BE4"/>
    <w:rsid w:val="002F557C"/>
    <w:rsid w:val="00300E4E"/>
    <w:rsid w:val="00302EDB"/>
    <w:rsid w:val="003032BC"/>
    <w:rsid w:val="00303350"/>
    <w:rsid w:val="003062B8"/>
    <w:rsid w:val="003062C5"/>
    <w:rsid w:val="00306CEC"/>
    <w:rsid w:val="00307362"/>
    <w:rsid w:val="00307C08"/>
    <w:rsid w:val="003107C4"/>
    <w:rsid w:val="00310A01"/>
    <w:rsid w:val="003110B9"/>
    <w:rsid w:val="00311FF4"/>
    <w:rsid w:val="003120F8"/>
    <w:rsid w:val="00312F5A"/>
    <w:rsid w:val="0031300C"/>
    <w:rsid w:val="0031466D"/>
    <w:rsid w:val="00314C8B"/>
    <w:rsid w:val="00316231"/>
    <w:rsid w:val="003162F5"/>
    <w:rsid w:val="00316C40"/>
    <w:rsid w:val="003176B9"/>
    <w:rsid w:val="00320BEE"/>
    <w:rsid w:val="00321B1F"/>
    <w:rsid w:val="00321FBD"/>
    <w:rsid w:val="0032363D"/>
    <w:rsid w:val="00323A57"/>
    <w:rsid w:val="00323A81"/>
    <w:rsid w:val="00323C9B"/>
    <w:rsid w:val="0032435A"/>
    <w:rsid w:val="00324B7D"/>
    <w:rsid w:val="00325051"/>
    <w:rsid w:val="003262CB"/>
    <w:rsid w:val="003268B7"/>
    <w:rsid w:val="00326F0C"/>
    <w:rsid w:val="0032726F"/>
    <w:rsid w:val="003273E5"/>
    <w:rsid w:val="00327F52"/>
    <w:rsid w:val="00330049"/>
    <w:rsid w:val="003309BF"/>
    <w:rsid w:val="00330B58"/>
    <w:rsid w:val="0033139B"/>
    <w:rsid w:val="00331888"/>
    <w:rsid w:val="00331AC7"/>
    <w:rsid w:val="0033252E"/>
    <w:rsid w:val="003328CB"/>
    <w:rsid w:val="0033432B"/>
    <w:rsid w:val="00334B8A"/>
    <w:rsid w:val="00336268"/>
    <w:rsid w:val="00336767"/>
    <w:rsid w:val="00336E0C"/>
    <w:rsid w:val="00336E34"/>
    <w:rsid w:val="003374D7"/>
    <w:rsid w:val="00340319"/>
    <w:rsid w:val="00340841"/>
    <w:rsid w:val="00340A6E"/>
    <w:rsid w:val="003412FB"/>
    <w:rsid w:val="003416D2"/>
    <w:rsid w:val="00341B4A"/>
    <w:rsid w:val="003428AE"/>
    <w:rsid w:val="00343189"/>
    <w:rsid w:val="003448C5"/>
    <w:rsid w:val="00345ED8"/>
    <w:rsid w:val="00345F63"/>
    <w:rsid w:val="003460A7"/>
    <w:rsid w:val="0034762B"/>
    <w:rsid w:val="003477E3"/>
    <w:rsid w:val="00347CA0"/>
    <w:rsid w:val="00347DA4"/>
    <w:rsid w:val="003501D7"/>
    <w:rsid w:val="00350283"/>
    <w:rsid w:val="0035034D"/>
    <w:rsid w:val="00350CDD"/>
    <w:rsid w:val="003510A4"/>
    <w:rsid w:val="00351A92"/>
    <w:rsid w:val="0035361D"/>
    <w:rsid w:val="00353627"/>
    <w:rsid w:val="0035669D"/>
    <w:rsid w:val="00356E68"/>
    <w:rsid w:val="0035757C"/>
    <w:rsid w:val="003579B4"/>
    <w:rsid w:val="003604FC"/>
    <w:rsid w:val="00360655"/>
    <w:rsid w:val="003606AC"/>
    <w:rsid w:val="00360D9F"/>
    <w:rsid w:val="003613B9"/>
    <w:rsid w:val="00361424"/>
    <w:rsid w:val="00361744"/>
    <w:rsid w:val="00361F0D"/>
    <w:rsid w:val="00362362"/>
    <w:rsid w:val="003624CA"/>
    <w:rsid w:val="003627BF"/>
    <w:rsid w:val="003627D7"/>
    <w:rsid w:val="00362A03"/>
    <w:rsid w:val="00362A62"/>
    <w:rsid w:val="00362DE3"/>
    <w:rsid w:val="00363154"/>
    <w:rsid w:val="003637CD"/>
    <w:rsid w:val="00363C9A"/>
    <w:rsid w:val="00364CD3"/>
    <w:rsid w:val="003666F1"/>
    <w:rsid w:val="003668DD"/>
    <w:rsid w:val="003675D2"/>
    <w:rsid w:val="00367E75"/>
    <w:rsid w:val="00371346"/>
    <w:rsid w:val="00371873"/>
    <w:rsid w:val="003722EB"/>
    <w:rsid w:val="003728D5"/>
    <w:rsid w:val="00372CDB"/>
    <w:rsid w:val="00374C58"/>
    <w:rsid w:val="00375F3B"/>
    <w:rsid w:val="00375F64"/>
    <w:rsid w:val="003816BD"/>
    <w:rsid w:val="003828A2"/>
    <w:rsid w:val="00382A95"/>
    <w:rsid w:val="00382EA3"/>
    <w:rsid w:val="00383D9D"/>
    <w:rsid w:val="00384A13"/>
    <w:rsid w:val="003851C1"/>
    <w:rsid w:val="0038570C"/>
    <w:rsid w:val="0038668D"/>
    <w:rsid w:val="00386796"/>
    <w:rsid w:val="00386E97"/>
    <w:rsid w:val="00390C1C"/>
    <w:rsid w:val="00391C4D"/>
    <w:rsid w:val="00391CDC"/>
    <w:rsid w:val="00391D46"/>
    <w:rsid w:val="00393458"/>
    <w:rsid w:val="0039378E"/>
    <w:rsid w:val="00394671"/>
    <w:rsid w:val="00394875"/>
    <w:rsid w:val="00395629"/>
    <w:rsid w:val="00396DED"/>
    <w:rsid w:val="003975D5"/>
    <w:rsid w:val="003A023F"/>
    <w:rsid w:val="003A0E72"/>
    <w:rsid w:val="003A1CA0"/>
    <w:rsid w:val="003A253D"/>
    <w:rsid w:val="003A2985"/>
    <w:rsid w:val="003A3B35"/>
    <w:rsid w:val="003A3B48"/>
    <w:rsid w:val="003A41B3"/>
    <w:rsid w:val="003A5BDD"/>
    <w:rsid w:val="003A5CE7"/>
    <w:rsid w:val="003A623B"/>
    <w:rsid w:val="003A6296"/>
    <w:rsid w:val="003A652D"/>
    <w:rsid w:val="003A6892"/>
    <w:rsid w:val="003A6BBC"/>
    <w:rsid w:val="003A6D1D"/>
    <w:rsid w:val="003A6DE1"/>
    <w:rsid w:val="003A71E4"/>
    <w:rsid w:val="003B0C03"/>
    <w:rsid w:val="003B0F0E"/>
    <w:rsid w:val="003B0FA9"/>
    <w:rsid w:val="003B1DEA"/>
    <w:rsid w:val="003B24CE"/>
    <w:rsid w:val="003B2820"/>
    <w:rsid w:val="003B34F3"/>
    <w:rsid w:val="003B3FAF"/>
    <w:rsid w:val="003B4B74"/>
    <w:rsid w:val="003B4C2A"/>
    <w:rsid w:val="003B4ED5"/>
    <w:rsid w:val="003B6FC2"/>
    <w:rsid w:val="003B74F3"/>
    <w:rsid w:val="003C08AC"/>
    <w:rsid w:val="003C099A"/>
    <w:rsid w:val="003C1026"/>
    <w:rsid w:val="003C22F8"/>
    <w:rsid w:val="003C4C2D"/>
    <w:rsid w:val="003C5A71"/>
    <w:rsid w:val="003C600C"/>
    <w:rsid w:val="003C6031"/>
    <w:rsid w:val="003C6247"/>
    <w:rsid w:val="003C6FAA"/>
    <w:rsid w:val="003D0330"/>
    <w:rsid w:val="003D08EF"/>
    <w:rsid w:val="003D0C26"/>
    <w:rsid w:val="003D233A"/>
    <w:rsid w:val="003D352D"/>
    <w:rsid w:val="003D3D57"/>
    <w:rsid w:val="003D4F3B"/>
    <w:rsid w:val="003D6914"/>
    <w:rsid w:val="003D6A45"/>
    <w:rsid w:val="003D6B72"/>
    <w:rsid w:val="003D6FC6"/>
    <w:rsid w:val="003E0017"/>
    <w:rsid w:val="003E23D2"/>
    <w:rsid w:val="003E2872"/>
    <w:rsid w:val="003E29A7"/>
    <w:rsid w:val="003E3972"/>
    <w:rsid w:val="003E4EAD"/>
    <w:rsid w:val="003E5939"/>
    <w:rsid w:val="003E594E"/>
    <w:rsid w:val="003E6257"/>
    <w:rsid w:val="003E641C"/>
    <w:rsid w:val="003E6449"/>
    <w:rsid w:val="003E6521"/>
    <w:rsid w:val="003E6F3F"/>
    <w:rsid w:val="003E75BF"/>
    <w:rsid w:val="003E7D3F"/>
    <w:rsid w:val="003F00E1"/>
    <w:rsid w:val="003F07B0"/>
    <w:rsid w:val="003F1339"/>
    <w:rsid w:val="003F1364"/>
    <w:rsid w:val="003F18F2"/>
    <w:rsid w:val="003F30F9"/>
    <w:rsid w:val="003F3CE6"/>
    <w:rsid w:val="003F4154"/>
    <w:rsid w:val="003F557F"/>
    <w:rsid w:val="003F5A42"/>
    <w:rsid w:val="003F5F03"/>
    <w:rsid w:val="003F794C"/>
    <w:rsid w:val="003F7AD7"/>
    <w:rsid w:val="003F7D08"/>
    <w:rsid w:val="003F7F6E"/>
    <w:rsid w:val="00400D21"/>
    <w:rsid w:val="00400E54"/>
    <w:rsid w:val="004017EA"/>
    <w:rsid w:val="0040190C"/>
    <w:rsid w:val="00402D5B"/>
    <w:rsid w:val="00403C85"/>
    <w:rsid w:val="00404CFA"/>
    <w:rsid w:val="004051A7"/>
    <w:rsid w:val="00405BB9"/>
    <w:rsid w:val="004078B0"/>
    <w:rsid w:val="00410441"/>
    <w:rsid w:val="00410B84"/>
    <w:rsid w:val="00411590"/>
    <w:rsid w:val="00412228"/>
    <w:rsid w:val="00412912"/>
    <w:rsid w:val="00413571"/>
    <w:rsid w:val="004137C5"/>
    <w:rsid w:val="00414925"/>
    <w:rsid w:val="00414E66"/>
    <w:rsid w:val="00415ED4"/>
    <w:rsid w:val="0041699A"/>
    <w:rsid w:val="00417024"/>
    <w:rsid w:val="00417CCC"/>
    <w:rsid w:val="00420ABD"/>
    <w:rsid w:val="00420F3F"/>
    <w:rsid w:val="004216EB"/>
    <w:rsid w:val="00421B31"/>
    <w:rsid w:val="0042357D"/>
    <w:rsid w:val="004236E2"/>
    <w:rsid w:val="00424717"/>
    <w:rsid w:val="004258D5"/>
    <w:rsid w:val="00425E91"/>
    <w:rsid w:val="00426341"/>
    <w:rsid w:val="00427485"/>
    <w:rsid w:val="00427DB4"/>
    <w:rsid w:val="00430417"/>
    <w:rsid w:val="004305F8"/>
    <w:rsid w:val="0043309A"/>
    <w:rsid w:val="004333DC"/>
    <w:rsid w:val="0043345D"/>
    <w:rsid w:val="004341C9"/>
    <w:rsid w:val="00435863"/>
    <w:rsid w:val="00435E8A"/>
    <w:rsid w:val="00435F22"/>
    <w:rsid w:val="00436BB8"/>
    <w:rsid w:val="004400B6"/>
    <w:rsid w:val="00440393"/>
    <w:rsid w:val="00440616"/>
    <w:rsid w:val="00441082"/>
    <w:rsid w:val="00442AED"/>
    <w:rsid w:val="00444A5C"/>
    <w:rsid w:val="00445016"/>
    <w:rsid w:val="00445458"/>
    <w:rsid w:val="004458FD"/>
    <w:rsid w:val="00445F4A"/>
    <w:rsid w:val="0044606B"/>
    <w:rsid w:val="004461BE"/>
    <w:rsid w:val="004463EB"/>
    <w:rsid w:val="004473FD"/>
    <w:rsid w:val="00447635"/>
    <w:rsid w:val="00447CEC"/>
    <w:rsid w:val="00451370"/>
    <w:rsid w:val="004526EF"/>
    <w:rsid w:val="00454CC9"/>
    <w:rsid w:val="00455418"/>
    <w:rsid w:val="004559C1"/>
    <w:rsid w:val="0045636D"/>
    <w:rsid w:val="00456566"/>
    <w:rsid w:val="00460A4B"/>
    <w:rsid w:val="0046156B"/>
    <w:rsid w:val="004615DD"/>
    <w:rsid w:val="00461C85"/>
    <w:rsid w:val="004625E1"/>
    <w:rsid w:val="00463116"/>
    <w:rsid w:val="00463DB2"/>
    <w:rsid w:val="004644DE"/>
    <w:rsid w:val="00464D4C"/>
    <w:rsid w:val="004654E7"/>
    <w:rsid w:val="00465CDC"/>
    <w:rsid w:val="00465CF4"/>
    <w:rsid w:val="00466BD1"/>
    <w:rsid w:val="00466BF6"/>
    <w:rsid w:val="00466F92"/>
    <w:rsid w:val="00466FC3"/>
    <w:rsid w:val="0046732F"/>
    <w:rsid w:val="00467416"/>
    <w:rsid w:val="004677CF"/>
    <w:rsid w:val="004709C6"/>
    <w:rsid w:val="00471038"/>
    <w:rsid w:val="00471711"/>
    <w:rsid w:val="00472324"/>
    <w:rsid w:val="004742AC"/>
    <w:rsid w:val="004751DA"/>
    <w:rsid w:val="004751FC"/>
    <w:rsid w:val="00475653"/>
    <w:rsid w:val="00475E3F"/>
    <w:rsid w:val="004765B1"/>
    <w:rsid w:val="00476628"/>
    <w:rsid w:val="00477697"/>
    <w:rsid w:val="004778BD"/>
    <w:rsid w:val="00477EB8"/>
    <w:rsid w:val="00480AB4"/>
    <w:rsid w:val="00481532"/>
    <w:rsid w:val="004822FE"/>
    <w:rsid w:val="0048268D"/>
    <w:rsid w:val="0048306F"/>
    <w:rsid w:val="0048567D"/>
    <w:rsid w:val="0048588C"/>
    <w:rsid w:val="004865BF"/>
    <w:rsid w:val="00486DB6"/>
    <w:rsid w:val="004872C6"/>
    <w:rsid w:val="0049052E"/>
    <w:rsid w:val="00490C10"/>
    <w:rsid w:val="00490D99"/>
    <w:rsid w:val="00490E86"/>
    <w:rsid w:val="0049186D"/>
    <w:rsid w:val="00493C0D"/>
    <w:rsid w:val="00494AEE"/>
    <w:rsid w:val="004966CA"/>
    <w:rsid w:val="00496CCA"/>
    <w:rsid w:val="00497E68"/>
    <w:rsid w:val="004A0AAB"/>
    <w:rsid w:val="004A1BA5"/>
    <w:rsid w:val="004A2197"/>
    <w:rsid w:val="004A28D4"/>
    <w:rsid w:val="004A71BC"/>
    <w:rsid w:val="004A74B8"/>
    <w:rsid w:val="004A7B8D"/>
    <w:rsid w:val="004A7E05"/>
    <w:rsid w:val="004B07D1"/>
    <w:rsid w:val="004B1128"/>
    <w:rsid w:val="004B3B2E"/>
    <w:rsid w:val="004B43D1"/>
    <w:rsid w:val="004B4519"/>
    <w:rsid w:val="004B4957"/>
    <w:rsid w:val="004B5811"/>
    <w:rsid w:val="004B6788"/>
    <w:rsid w:val="004B6B73"/>
    <w:rsid w:val="004B7B71"/>
    <w:rsid w:val="004C0DC5"/>
    <w:rsid w:val="004C0ED7"/>
    <w:rsid w:val="004C0FA8"/>
    <w:rsid w:val="004C2472"/>
    <w:rsid w:val="004C2B83"/>
    <w:rsid w:val="004C32A4"/>
    <w:rsid w:val="004C34E1"/>
    <w:rsid w:val="004C3546"/>
    <w:rsid w:val="004C397A"/>
    <w:rsid w:val="004C3F48"/>
    <w:rsid w:val="004C4209"/>
    <w:rsid w:val="004C48D7"/>
    <w:rsid w:val="004C7265"/>
    <w:rsid w:val="004C73F5"/>
    <w:rsid w:val="004C752E"/>
    <w:rsid w:val="004C77FA"/>
    <w:rsid w:val="004D02E7"/>
    <w:rsid w:val="004D037C"/>
    <w:rsid w:val="004D04AD"/>
    <w:rsid w:val="004D1444"/>
    <w:rsid w:val="004D1F10"/>
    <w:rsid w:val="004D2990"/>
    <w:rsid w:val="004D2DDB"/>
    <w:rsid w:val="004D2EB1"/>
    <w:rsid w:val="004D348F"/>
    <w:rsid w:val="004D4A86"/>
    <w:rsid w:val="004D4CD3"/>
    <w:rsid w:val="004D567D"/>
    <w:rsid w:val="004D6CFE"/>
    <w:rsid w:val="004E001C"/>
    <w:rsid w:val="004E00E1"/>
    <w:rsid w:val="004E08C3"/>
    <w:rsid w:val="004E13D2"/>
    <w:rsid w:val="004E1961"/>
    <w:rsid w:val="004E1B5F"/>
    <w:rsid w:val="004E5017"/>
    <w:rsid w:val="004E56C2"/>
    <w:rsid w:val="004E60E6"/>
    <w:rsid w:val="004E6582"/>
    <w:rsid w:val="004E69BC"/>
    <w:rsid w:val="004F06DB"/>
    <w:rsid w:val="004F15C8"/>
    <w:rsid w:val="004F1E23"/>
    <w:rsid w:val="004F2195"/>
    <w:rsid w:val="004F3EA5"/>
    <w:rsid w:val="004F6D98"/>
    <w:rsid w:val="004F73C2"/>
    <w:rsid w:val="00500603"/>
    <w:rsid w:val="005006E3"/>
    <w:rsid w:val="005009DD"/>
    <w:rsid w:val="00500D41"/>
    <w:rsid w:val="00501BA0"/>
    <w:rsid w:val="00501D28"/>
    <w:rsid w:val="00505982"/>
    <w:rsid w:val="0050638A"/>
    <w:rsid w:val="00506A1F"/>
    <w:rsid w:val="0051047E"/>
    <w:rsid w:val="00510869"/>
    <w:rsid w:val="00510A48"/>
    <w:rsid w:val="00512AC2"/>
    <w:rsid w:val="00513650"/>
    <w:rsid w:val="005137DD"/>
    <w:rsid w:val="00513B1A"/>
    <w:rsid w:val="00514338"/>
    <w:rsid w:val="00515D7A"/>
    <w:rsid w:val="0051731F"/>
    <w:rsid w:val="00517A3E"/>
    <w:rsid w:val="00520E88"/>
    <w:rsid w:val="0052276A"/>
    <w:rsid w:val="005238C6"/>
    <w:rsid w:val="0052416D"/>
    <w:rsid w:val="00525F5A"/>
    <w:rsid w:val="005264DD"/>
    <w:rsid w:val="00526DE2"/>
    <w:rsid w:val="005303C5"/>
    <w:rsid w:val="00531F41"/>
    <w:rsid w:val="00532630"/>
    <w:rsid w:val="00533C7E"/>
    <w:rsid w:val="0053422E"/>
    <w:rsid w:val="005355F4"/>
    <w:rsid w:val="005357C9"/>
    <w:rsid w:val="0053597E"/>
    <w:rsid w:val="005360B8"/>
    <w:rsid w:val="005361DD"/>
    <w:rsid w:val="00536A16"/>
    <w:rsid w:val="00536A9B"/>
    <w:rsid w:val="005400F2"/>
    <w:rsid w:val="00541B56"/>
    <w:rsid w:val="0054369B"/>
    <w:rsid w:val="005446AA"/>
    <w:rsid w:val="00545B55"/>
    <w:rsid w:val="00546741"/>
    <w:rsid w:val="00546CFB"/>
    <w:rsid w:val="005478C8"/>
    <w:rsid w:val="00547D8B"/>
    <w:rsid w:val="0055183A"/>
    <w:rsid w:val="00551A79"/>
    <w:rsid w:val="00551E34"/>
    <w:rsid w:val="00551E79"/>
    <w:rsid w:val="00552370"/>
    <w:rsid w:val="00553454"/>
    <w:rsid w:val="0055443D"/>
    <w:rsid w:val="0055586C"/>
    <w:rsid w:val="005562DD"/>
    <w:rsid w:val="00556614"/>
    <w:rsid w:val="00556B65"/>
    <w:rsid w:val="00560AE6"/>
    <w:rsid w:val="00561FEC"/>
    <w:rsid w:val="00563382"/>
    <w:rsid w:val="00563548"/>
    <w:rsid w:val="0056362E"/>
    <w:rsid w:val="00563656"/>
    <w:rsid w:val="0056373F"/>
    <w:rsid w:val="00564032"/>
    <w:rsid w:val="005645EF"/>
    <w:rsid w:val="00567316"/>
    <w:rsid w:val="005675CC"/>
    <w:rsid w:val="005678CC"/>
    <w:rsid w:val="00567C50"/>
    <w:rsid w:val="005705DC"/>
    <w:rsid w:val="00570913"/>
    <w:rsid w:val="005709E0"/>
    <w:rsid w:val="00571EE2"/>
    <w:rsid w:val="00572334"/>
    <w:rsid w:val="005725A2"/>
    <w:rsid w:val="00572980"/>
    <w:rsid w:val="00574216"/>
    <w:rsid w:val="005743ED"/>
    <w:rsid w:val="00574412"/>
    <w:rsid w:val="005744D5"/>
    <w:rsid w:val="00574C78"/>
    <w:rsid w:val="005753D4"/>
    <w:rsid w:val="00576500"/>
    <w:rsid w:val="00577F07"/>
    <w:rsid w:val="00580290"/>
    <w:rsid w:val="005816E5"/>
    <w:rsid w:val="00581B02"/>
    <w:rsid w:val="00584155"/>
    <w:rsid w:val="00585317"/>
    <w:rsid w:val="0058623B"/>
    <w:rsid w:val="005864D0"/>
    <w:rsid w:val="0059006E"/>
    <w:rsid w:val="005900A8"/>
    <w:rsid w:val="005911C2"/>
    <w:rsid w:val="00591440"/>
    <w:rsid w:val="00594017"/>
    <w:rsid w:val="00594F44"/>
    <w:rsid w:val="0059500C"/>
    <w:rsid w:val="00595C53"/>
    <w:rsid w:val="00595DDD"/>
    <w:rsid w:val="00595E84"/>
    <w:rsid w:val="005969BA"/>
    <w:rsid w:val="00596BAE"/>
    <w:rsid w:val="00596E31"/>
    <w:rsid w:val="005A04B5"/>
    <w:rsid w:val="005A0B4A"/>
    <w:rsid w:val="005A1891"/>
    <w:rsid w:val="005A1CA2"/>
    <w:rsid w:val="005A1CD9"/>
    <w:rsid w:val="005A341C"/>
    <w:rsid w:val="005A35A3"/>
    <w:rsid w:val="005A4597"/>
    <w:rsid w:val="005B08FF"/>
    <w:rsid w:val="005B2119"/>
    <w:rsid w:val="005B286F"/>
    <w:rsid w:val="005B2961"/>
    <w:rsid w:val="005B2ABB"/>
    <w:rsid w:val="005B2CF5"/>
    <w:rsid w:val="005B2FB2"/>
    <w:rsid w:val="005B4DC6"/>
    <w:rsid w:val="005B4F0F"/>
    <w:rsid w:val="005B55F0"/>
    <w:rsid w:val="005B59E6"/>
    <w:rsid w:val="005B5D60"/>
    <w:rsid w:val="005B6D56"/>
    <w:rsid w:val="005B743F"/>
    <w:rsid w:val="005B79AC"/>
    <w:rsid w:val="005C0566"/>
    <w:rsid w:val="005C06B6"/>
    <w:rsid w:val="005C086D"/>
    <w:rsid w:val="005C08DC"/>
    <w:rsid w:val="005C2361"/>
    <w:rsid w:val="005C2631"/>
    <w:rsid w:val="005C4810"/>
    <w:rsid w:val="005C4BBF"/>
    <w:rsid w:val="005C5281"/>
    <w:rsid w:val="005C5529"/>
    <w:rsid w:val="005C5F5C"/>
    <w:rsid w:val="005C6097"/>
    <w:rsid w:val="005C6530"/>
    <w:rsid w:val="005D0F07"/>
    <w:rsid w:val="005D11A1"/>
    <w:rsid w:val="005D146A"/>
    <w:rsid w:val="005D1494"/>
    <w:rsid w:val="005D15A3"/>
    <w:rsid w:val="005D16BC"/>
    <w:rsid w:val="005D1EF5"/>
    <w:rsid w:val="005D228C"/>
    <w:rsid w:val="005D3AB9"/>
    <w:rsid w:val="005D445B"/>
    <w:rsid w:val="005D4ACD"/>
    <w:rsid w:val="005D50A4"/>
    <w:rsid w:val="005D57F2"/>
    <w:rsid w:val="005D6DBE"/>
    <w:rsid w:val="005E0896"/>
    <w:rsid w:val="005E20EE"/>
    <w:rsid w:val="005E2987"/>
    <w:rsid w:val="005E2AED"/>
    <w:rsid w:val="005E2ED0"/>
    <w:rsid w:val="005E2F27"/>
    <w:rsid w:val="005E3132"/>
    <w:rsid w:val="005E3529"/>
    <w:rsid w:val="005E45CB"/>
    <w:rsid w:val="005E4BA7"/>
    <w:rsid w:val="005E5894"/>
    <w:rsid w:val="005E5DD3"/>
    <w:rsid w:val="005E7389"/>
    <w:rsid w:val="005E74A6"/>
    <w:rsid w:val="005E7A28"/>
    <w:rsid w:val="005E7DE6"/>
    <w:rsid w:val="005F0C07"/>
    <w:rsid w:val="005F110F"/>
    <w:rsid w:val="005F209A"/>
    <w:rsid w:val="005F276C"/>
    <w:rsid w:val="005F3CCC"/>
    <w:rsid w:val="005F4112"/>
    <w:rsid w:val="005F44BB"/>
    <w:rsid w:val="005F44E5"/>
    <w:rsid w:val="005F49BF"/>
    <w:rsid w:val="005F5795"/>
    <w:rsid w:val="005F5F9C"/>
    <w:rsid w:val="005F65AB"/>
    <w:rsid w:val="005F6B06"/>
    <w:rsid w:val="005F73B3"/>
    <w:rsid w:val="00600BF5"/>
    <w:rsid w:val="006016F5"/>
    <w:rsid w:val="00601F74"/>
    <w:rsid w:val="00602126"/>
    <w:rsid w:val="00602992"/>
    <w:rsid w:val="00603FDC"/>
    <w:rsid w:val="00604A6F"/>
    <w:rsid w:val="006052FE"/>
    <w:rsid w:val="0060636E"/>
    <w:rsid w:val="0060651E"/>
    <w:rsid w:val="006076B9"/>
    <w:rsid w:val="0060794C"/>
    <w:rsid w:val="006105B7"/>
    <w:rsid w:val="00611DDB"/>
    <w:rsid w:val="00612102"/>
    <w:rsid w:val="0061295F"/>
    <w:rsid w:val="00613097"/>
    <w:rsid w:val="00613414"/>
    <w:rsid w:val="006134B0"/>
    <w:rsid w:val="00614FCB"/>
    <w:rsid w:val="006155F5"/>
    <w:rsid w:val="00615A40"/>
    <w:rsid w:val="00616607"/>
    <w:rsid w:val="00616F09"/>
    <w:rsid w:val="00616F2A"/>
    <w:rsid w:val="006174CB"/>
    <w:rsid w:val="006176BA"/>
    <w:rsid w:val="00620273"/>
    <w:rsid w:val="00621C6C"/>
    <w:rsid w:val="006222DC"/>
    <w:rsid w:val="00623213"/>
    <w:rsid w:val="00623A2E"/>
    <w:rsid w:val="0062544F"/>
    <w:rsid w:val="00625629"/>
    <w:rsid w:val="00625B8D"/>
    <w:rsid w:val="0062613F"/>
    <w:rsid w:val="00626232"/>
    <w:rsid w:val="006303F3"/>
    <w:rsid w:val="006309D2"/>
    <w:rsid w:val="006313E9"/>
    <w:rsid w:val="00631410"/>
    <w:rsid w:val="0063299E"/>
    <w:rsid w:val="00633050"/>
    <w:rsid w:val="006358E7"/>
    <w:rsid w:val="006379C8"/>
    <w:rsid w:val="00637E08"/>
    <w:rsid w:val="00640CB1"/>
    <w:rsid w:val="00641236"/>
    <w:rsid w:val="0064139D"/>
    <w:rsid w:val="0064147D"/>
    <w:rsid w:val="006414D9"/>
    <w:rsid w:val="00641B51"/>
    <w:rsid w:val="00641CEB"/>
    <w:rsid w:val="00641D28"/>
    <w:rsid w:val="006428F2"/>
    <w:rsid w:val="00642ED4"/>
    <w:rsid w:val="00643992"/>
    <w:rsid w:val="00643C54"/>
    <w:rsid w:val="00643E38"/>
    <w:rsid w:val="00644474"/>
    <w:rsid w:val="00644D27"/>
    <w:rsid w:val="0064536F"/>
    <w:rsid w:val="00645F18"/>
    <w:rsid w:val="00646557"/>
    <w:rsid w:val="00646D86"/>
    <w:rsid w:val="0064793A"/>
    <w:rsid w:val="00647A3A"/>
    <w:rsid w:val="00647A4E"/>
    <w:rsid w:val="006508FB"/>
    <w:rsid w:val="00651763"/>
    <w:rsid w:val="00652AE2"/>
    <w:rsid w:val="0065453A"/>
    <w:rsid w:val="006548E7"/>
    <w:rsid w:val="0065495F"/>
    <w:rsid w:val="0065501C"/>
    <w:rsid w:val="00655242"/>
    <w:rsid w:val="006553DE"/>
    <w:rsid w:val="0065574C"/>
    <w:rsid w:val="006562A3"/>
    <w:rsid w:val="0065645C"/>
    <w:rsid w:val="00656E7C"/>
    <w:rsid w:val="006576EE"/>
    <w:rsid w:val="006579EA"/>
    <w:rsid w:val="00661342"/>
    <w:rsid w:val="00661DF9"/>
    <w:rsid w:val="006628B2"/>
    <w:rsid w:val="00663FD8"/>
    <w:rsid w:val="00664990"/>
    <w:rsid w:val="00665066"/>
    <w:rsid w:val="00665077"/>
    <w:rsid w:val="00665291"/>
    <w:rsid w:val="00665707"/>
    <w:rsid w:val="00665BD8"/>
    <w:rsid w:val="00666F83"/>
    <w:rsid w:val="0066707C"/>
    <w:rsid w:val="0067004B"/>
    <w:rsid w:val="00670750"/>
    <w:rsid w:val="00670C8E"/>
    <w:rsid w:val="00673787"/>
    <w:rsid w:val="00673AEA"/>
    <w:rsid w:val="00674198"/>
    <w:rsid w:val="0067445B"/>
    <w:rsid w:val="00674DA4"/>
    <w:rsid w:val="006752F2"/>
    <w:rsid w:val="006763F3"/>
    <w:rsid w:val="00677D0D"/>
    <w:rsid w:val="006806EA"/>
    <w:rsid w:val="00680ED7"/>
    <w:rsid w:val="0068163B"/>
    <w:rsid w:val="006816CB"/>
    <w:rsid w:val="006828E0"/>
    <w:rsid w:val="0068295A"/>
    <w:rsid w:val="00683640"/>
    <w:rsid w:val="006852B5"/>
    <w:rsid w:val="00685781"/>
    <w:rsid w:val="00686151"/>
    <w:rsid w:val="00686A06"/>
    <w:rsid w:val="00687C2D"/>
    <w:rsid w:val="00687E32"/>
    <w:rsid w:val="0069216B"/>
    <w:rsid w:val="00692A41"/>
    <w:rsid w:val="00692B0F"/>
    <w:rsid w:val="006933E9"/>
    <w:rsid w:val="00693E35"/>
    <w:rsid w:val="0069444B"/>
    <w:rsid w:val="006949F5"/>
    <w:rsid w:val="006950A5"/>
    <w:rsid w:val="00696615"/>
    <w:rsid w:val="006A0078"/>
    <w:rsid w:val="006A0BAE"/>
    <w:rsid w:val="006A12E5"/>
    <w:rsid w:val="006A1764"/>
    <w:rsid w:val="006A36C3"/>
    <w:rsid w:val="006A3A5B"/>
    <w:rsid w:val="006A4203"/>
    <w:rsid w:val="006A4DF3"/>
    <w:rsid w:val="006A4F08"/>
    <w:rsid w:val="006A562D"/>
    <w:rsid w:val="006A588E"/>
    <w:rsid w:val="006A6CE6"/>
    <w:rsid w:val="006A6FCB"/>
    <w:rsid w:val="006B1952"/>
    <w:rsid w:val="006B20FE"/>
    <w:rsid w:val="006B2108"/>
    <w:rsid w:val="006B2498"/>
    <w:rsid w:val="006B47C0"/>
    <w:rsid w:val="006B47FA"/>
    <w:rsid w:val="006B4B75"/>
    <w:rsid w:val="006B4E96"/>
    <w:rsid w:val="006B54EB"/>
    <w:rsid w:val="006B5BB8"/>
    <w:rsid w:val="006B5EFB"/>
    <w:rsid w:val="006B61CB"/>
    <w:rsid w:val="006B6E6F"/>
    <w:rsid w:val="006B720C"/>
    <w:rsid w:val="006B7A82"/>
    <w:rsid w:val="006C0498"/>
    <w:rsid w:val="006C0841"/>
    <w:rsid w:val="006C2A3B"/>
    <w:rsid w:val="006C3199"/>
    <w:rsid w:val="006C319E"/>
    <w:rsid w:val="006C4538"/>
    <w:rsid w:val="006C4FE3"/>
    <w:rsid w:val="006C54D8"/>
    <w:rsid w:val="006C56E3"/>
    <w:rsid w:val="006C728A"/>
    <w:rsid w:val="006C72EE"/>
    <w:rsid w:val="006D0659"/>
    <w:rsid w:val="006D0AF5"/>
    <w:rsid w:val="006D0B48"/>
    <w:rsid w:val="006D0DA4"/>
    <w:rsid w:val="006D0F6B"/>
    <w:rsid w:val="006D104D"/>
    <w:rsid w:val="006D126B"/>
    <w:rsid w:val="006D1F6D"/>
    <w:rsid w:val="006D330B"/>
    <w:rsid w:val="006D65FE"/>
    <w:rsid w:val="006E09A5"/>
    <w:rsid w:val="006E2B3C"/>
    <w:rsid w:val="006E62B4"/>
    <w:rsid w:val="006E6A17"/>
    <w:rsid w:val="006E73F0"/>
    <w:rsid w:val="006E7797"/>
    <w:rsid w:val="006E7CDF"/>
    <w:rsid w:val="006F145F"/>
    <w:rsid w:val="006F15CF"/>
    <w:rsid w:val="006F1847"/>
    <w:rsid w:val="006F1C25"/>
    <w:rsid w:val="006F3079"/>
    <w:rsid w:val="006F41F0"/>
    <w:rsid w:val="006F457C"/>
    <w:rsid w:val="006F48A7"/>
    <w:rsid w:val="006F6B67"/>
    <w:rsid w:val="006F7650"/>
    <w:rsid w:val="006F78B7"/>
    <w:rsid w:val="00700603"/>
    <w:rsid w:val="00700E3B"/>
    <w:rsid w:val="00701091"/>
    <w:rsid w:val="00701800"/>
    <w:rsid w:val="00701979"/>
    <w:rsid w:val="007028D3"/>
    <w:rsid w:val="00704022"/>
    <w:rsid w:val="00704969"/>
    <w:rsid w:val="00704FF1"/>
    <w:rsid w:val="00705A5F"/>
    <w:rsid w:val="00705D32"/>
    <w:rsid w:val="007062D4"/>
    <w:rsid w:val="00707446"/>
    <w:rsid w:val="00707FA0"/>
    <w:rsid w:val="00711E38"/>
    <w:rsid w:val="00712880"/>
    <w:rsid w:val="0071357D"/>
    <w:rsid w:val="00714910"/>
    <w:rsid w:val="00715241"/>
    <w:rsid w:val="0071529E"/>
    <w:rsid w:val="00715342"/>
    <w:rsid w:val="00715F10"/>
    <w:rsid w:val="007200A7"/>
    <w:rsid w:val="007226ED"/>
    <w:rsid w:val="007234EC"/>
    <w:rsid w:val="007235AB"/>
    <w:rsid w:val="00723792"/>
    <w:rsid w:val="0072669F"/>
    <w:rsid w:val="007277B3"/>
    <w:rsid w:val="00727C93"/>
    <w:rsid w:val="007302E0"/>
    <w:rsid w:val="00731B97"/>
    <w:rsid w:val="00733317"/>
    <w:rsid w:val="00733575"/>
    <w:rsid w:val="0073367E"/>
    <w:rsid w:val="007341E0"/>
    <w:rsid w:val="0073423D"/>
    <w:rsid w:val="007349D9"/>
    <w:rsid w:val="00735572"/>
    <w:rsid w:val="00735A41"/>
    <w:rsid w:val="00735E94"/>
    <w:rsid w:val="007367AF"/>
    <w:rsid w:val="007368B9"/>
    <w:rsid w:val="007377CE"/>
    <w:rsid w:val="00737B77"/>
    <w:rsid w:val="007403E4"/>
    <w:rsid w:val="00742899"/>
    <w:rsid w:val="007429A3"/>
    <w:rsid w:val="00742B12"/>
    <w:rsid w:val="007430B2"/>
    <w:rsid w:val="00744416"/>
    <w:rsid w:val="00744CAB"/>
    <w:rsid w:val="00744DF5"/>
    <w:rsid w:val="00744F6D"/>
    <w:rsid w:val="00745CDC"/>
    <w:rsid w:val="007466E1"/>
    <w:rsid w:val="007478C3"/>
    <w:rsid w:val="007514F4"/>
    <w:rsid w:val="007525AA"/>
    <w:rsid w:val="007525D9"/>
    <w:rsid w:val="00752919"/>
    <w:rsid w:val="0075342A"/>
    <w:rsid w:val="00754616"/>
    <w:rsid w:val="00755290"/>
    <w:rsid w:val="007553B6"/>
    <w:rsid w:val="00756D08"/>
    <w:rsid w:val="0075703E"/>
    <w:rsid w:val="00761520"/>
    <w:rsid w:val="00763127"/>
    <w:rsid w:val="007632AF"/>
    <w:rsid w:val="00763835"/>
    <w:rsid w:val="00764996"/>
    <w:rsid w:val="00765383"/>
    <w:rsid w:val="0076576E"/>
    <w:rsid w:val="00765847"/>
    <w:rsid w:val="00766772"/>
    <w:rsid w:val="00771305"/>
    <w:rsid w:val="00771ACA"/>
    <w:rsid w:val="00771CE3"/>
    <w:rsid w:val="00771FAA"/>
    <w:rsid w:val="0077217B"/>
    <w:rsid w:val="00772B9A"/>
    <w:rsid w:val="00772CF6"/>
    <w:rsid w:val="0077326D"/>
    <w:rsid w:val="00773279"/>
    <w:rsid w:val="007732BB"/>
    <w:rsid w:val="00773A92"/>
    <w:rsid w:val="00773AA1"/>
    <w:rsid w:val="00773D0A"/>
    <w:rsid w:val="0077428B"/>
    <w:rsid w:val="007744FA"/>
    <w:rsid w:val="0077502C"/>
    <w:rsid w:val="00775853"/>
    <w:rsid w:val="00776204"/>
    <w:rsid w:val="00777997"/>
    <w:rsid w:val="00780229"/>
    <w:rsid w:val="00781EE5"/>
    <w:rsid w:val="00782A67"/>
    <w:rsid w:val="0078380E"/>
    <w:rsid w:val="00783EC9"/>
    <w:rsid w:val="007849A1"/>
    <w:rsid w:val="00784D0C"/>
    <w:rsid w:val="00785932"/>
    <w:rsid w:val="007878C8"/>
    <w:rsid w:val="00787F25"/>
    <w:rsid w:val="007900FC"/>
    <w:rsid w:val="007909EF"/>
    <w:rsid w:val="00791129"/>
    <w:rsid w:val="00793772"/>
    <w:rsid w:val="00794441"/>
    <w:rsid w:val="0079482A"/>
    <w:rsid w:val="00794FDE"/>
    <w:rsid w:val="00795835"/>
    <w:rsid w:val="00797BF5"/>
    <w:rsid w:val="007A009E"/>
    <w:rsid w:val="007A077C"/>
    <w:rsid w:val="007A0A05"/>
    <w:rsid w:val="007A0ACA"/>
    <w:rsid w:val="007A0F35"/>
    <w:rsid w:val="007A10A2"/>
    <w:rsid w:val="007A3260"/>
    <w:rsid w:val="007A56CA"/>
    <w:rsid w:val="007A5B6D"/>
    <w:rsid w:val="007A6D5E"/>
    <w:rsid w:val="007A736A"/>
    <w:rsid w:val="007B0CD5"/>
    <w:rsid w:val="007B1FD2"/>
    <w:rsid w:val="007B2876"/>
    <w:rsid w:val="007B29F3"/>
    <w:rsid w:val="007B307B"/>
    <w:rsid w:val="007B3554"/>
    <w:rsid w:val="007B391E"/>
    <w:rsid w:val="007B4586"/>
    <w:rsid w:val="007B4AFC"/>
    <w:rsid w:val="007B68C3"/>
    <w:rsid w:val="007B7506"/>
    <w:rsid w:val="007B7692"/>
    <w:rsid w:val="007C038E"/>
    <w:rsid w:val="007C0BC7"/>
    <w:rsid w:val="007C1C15"/>
    <w:rsid w:val="007C2956"/>
    <w:rsid w:val="007C2D7C"/>
    <w:rsid w:val="007C2E62"/>
    <w:rsid w:val="007C2F0D"/>
    <w:rsid w:val="007C3E29"/>
    <w:rsid w:val="007C462A"/>
    <w:rsid w:val="007C46A7"/>
    <w:rsid w:val="007C47E7"/>
    <w:rsid w:val="007C5C52"/>
    <w:rsid w:val="007C7103"/>
    <w:rsid w:val="007C73FA"/>
    <w:rsid w:val="007C7539"/>
    <w:rsid w:val="007C7E30"/>
    <w:rsid w:val="007D15D1"/>
    <w:rsid w:val="007D1E2C"/>
    <w:rsid w:val="007D23C3"/>
    <w:rsid w:val="007D272D"/>
    <w:rsid w:val="007D2977"/>
    <w:rsid w:val="007D4499"/>
    <w:rsid w:val="007D6660"/>
    <w:rsid w:val="007D67DA"/>
    <w:rsid w:val="007D756B"/>
    <w:rsid w:val="007D7AE1"/>
    <w:rsid w:val="007E1A5C"/>
    <w:rsid w:val="007E20F9"/>
    <w:rsid w:val="007E2232"/>
    <w:rsid w:val="007E4B96"/>
    <w:rsid w:val="007E5722"/>
    <w:rsid w:val="007E67F2"/>
    <w:rsid w:val="007E6C7B"/>
    <w:rsid w:val="007E70C1"/>
    <w:rsid w:val="007E7B9C"/>
    <w:rsid w:val="007E7F27"/>
    <w:rsid w:val="007F07A5"/>
    <w:rsid w:val="007F080E"/>
    <w:rsid w:val="007F0984"/>
    <w:rsid w:val="007F2BD8"/>
    <w:rsid w:val="007F30D9"/>
    <w:rsid w:val="007F4EEE"/>
    <w:rsid w:val="007F60AF"/>
    <w:rsid w:val="007F62F7"/>
    <w:rsid w:val="007F6F8C"/>
    <w:rsid w:val="007F7DB4"/>
    <w:rsid w:val="0080071A"/>
    <w:rsid w:val="00800EA8"/>
    <w:rsid w:val="008022A4"/>
    <w:rsid w:val="00802E09"/>
    <w:rsid w:val="008035D0"/>
    <w:rsid w:val="00803DD4"/>
    <w:rsid w:val="00803F4C"/>
    <w:rsid w:val="0080447D"/>
    <w:rsid w:val="00804C30"/>
    <w:rsid w:val="008061E8"/>
    <w:rsid w:val="0080677D"/>
    <w:rsid w:val="00807AD8"/>
    <w:rsid w:val="0081060D"/>
    <w:rsid w:val="00810745"/>
    <w:rsid w:val="008112E0"/>
    <w:rsid w:val="008113BD"/>
    <w:rsid w:val="00811E13"/>
    <w:rsid w:val="008133EC"/>
    <w:rsid w:val="00813489"/>
    <w:rsid w:val="00813845"/>
    <w:rsid w:val="00813CDF"/>
    <w:rsid w:val="008143FA"/>
    <w:rsid w:val="00814D8C"/>
    <w:rsid w:val="00814DDA"/>
    <w:rsid w:val="008153C0"/>
    <w:rsid w:val="00816461"/>
    <w:rsid w:val="00816DD5"/>
    <w:rsid w:val="008171BF"/>
    <w:rsid w:val="008179C8"/>
    <w:rsid w:val="008201BA"/>
    <w:rsid w:val="00821390"/>
    <w:rsid w:val="00822022"/>
    <w:rsid w:val="008223DC"/>
    <w:rsid w:val="0082385B"/>
    <w:rsid w:val="0082403A"/>
    <w:rsid w:val="00825090"/>
    <w:rsid w:val="008251F8"/>
    <w:rsid w:val="00825862"/>
    <w:rsid w:val="00826D7C"/>
    <w:rsid w:val="00827107"/>
    <w:rsid w:val="00827479"/>
    <w:rsid w:val="00830D05"/>
    <w:rsid w:val="00830EC0"/>
    <w:rsid w:val="00832597"/>
    <w:rsid w:val="00832613"/>
    <w:rsid w:val="00833B4C"/>
    <w:rsid w:val="00833CE9"/>
    <w:rsid w:val="00833D61"/>
    <w:rsid w:val="00833ED0"/>
    <w:rsid w:val="00833F4E"/>
    <w:rsid w:val="00834097"/>
    <w:rsid w:val="00835B03"/>
    <w:rsid w:val="0083614D"/>
    <w:rsid w:val="008367FF"/>
    <w:rsid w:val="00836DBD"/>
    <w:rsid w:val="00836E3E"/>
    <w:rsid w:val="00837166"/>
    <w:rsid w:val="00837AA6"/>
    <w:rsid w:val="00840D45"/>
    <w:rsid w:val="00843909"/>
    <w:rsid w:val="008452E0"/>
    <w:rsid w:val="0084658E"/>
    <w:rsid w:val="00847588"/>
    <w:rsid w:val="008479D8"/>
    <w:rsid w:val="00850294"/>
    <w:rsid w:val="0085063B"/>
    <w:rsid w:val="00850EEF"/>
    <w:rsid w:val="00851DCA"/>
    <w:rsid w:val="0085234E"/>
    <w:rsid w:val="00852392"/>
    <w:rsid w:val="008525C1"/>
    <w:rsid w:val="00853111"/>
    <w:rsid w:val="00853960"/>
    <w:rsid w:val="0085465A"/>
    <w:rsid w:val="008556BD"/>
    <w:rsid w:val="00855F35"/>
    <w:rsid w:val="00856DB3"/>
    <w:rsid w:val="00857227"/>
    <w:rsid w:val="00857864"/>
    <w:rsid w:val="00857CBB"/>
    <w:rsid w:val="008600AE"/>
    <w:rsid w:val="0086035E"/>
    <w:rsid w:val="00860912"/>
    <w:rsid w:val="00860AF1"/>
    <w:rsid w:val="008610FF"/>
    <w:rsid w:val="00861C40"/>
    <w:rsid w:val="00862359"/>
    <w:rsid w:val="008623F3"/>
    <w:rsid w:val="0086262C"/>
    <w:rsid w:val="00862A26"/>
    <w:rsid w:val="0086354E"/>
    <w:rsid w:val="00863B88"/>
    <w:rsid w:val="00863D46"/>
    <w:rsid w:val="008648C3"/>
    <w:rsid w:val="0086496C"/>
    <w:rsid w:val="00865961"/>
    <w:rsid w:val="00866117"/>
    <w:rsid w:val="00866DBF"/>
    <w:rsid w:val="0086736C"/>
    <w:rsid w:val="00870A80"/>
    <w:rsid w:val="00872574"/>
    <w:rsid w:val="008731EA"/>
    <w:rsid w:val="008735B4"/>
    <w:rsid w:val="008744F9"/>
    <w:rsid w:val="00874FBD"/>
    <w:rsid w:val="0087507C"/>
    <w:rsid w:val="0087546C"/>
    <w:rsid w:val="00876568"/>
    <w:rsid w:val="00876F92"/>
    <w:rsid w:val="00876F95"/>
    <w:rsid w:val="0087791E"/>
    <w:rsid w:val="00877D1D"/>
    <w:rsid w:val="00880BD7"/>
    <w:rsid w:val="00881137"/>
    <w:rsid w:val="008815F4"/>
    <w:rsid w:val="00882592"/>
    <w:rsid w:val="00884593"/>
    <w:rsid w:val="00884FA3"/>
    <w:rsid w:val="00885270"/>
    <w:rsid w:val="00885526"/>
    <w:rsid w:val="00885C92"/>
    <w:rsid w:val="00885DDB"/>
    <w:rsid w:val="00885DE3"/>
    <w:rsid w:val="008861A8"/>
    <w:rsid w:val="0088760E"/>
    <w:rsid w:val="00887823"/>
    <w:rsid w:val="008903FF"/>
    <w:rsid w:val="008904EF"/>
    <w:rsid w:val="00890637"/>
    <w:rsid w:val="00891716"/>
    <w:rsid w:val="00893340"/>
    <w:rsid w:val="0089376E"/>
    <w:rsid w:val="00893975"/>
    <w:rsid w:val="008954DD"/>
    <w:rsid w:val="00896736"/>
    <w:rsid w:val="00896848"/>
    <w:rsid w:val="00897450"/>
    <w:rsid w:val="0089746C"/>
    <w:rsid w:val="008979A3"/>
    <w:rsid w:val="008A0182"/>
    <w:rsid w:val="008A13E9"/>
    <w:rsid w:val="008A2233"/>
    <w:rsid w:val="008A3C1A"/>
    <w:rsid w:val="008A4144"/>
    <w:rsid w:val="008A453C"/>
    <w:rsid w:val="008A6197"/>
    <w:rsid w:val="008A7B14"/>
    <w:rsid w:val="008A7E14"/>
    <w:rsid w:val="008B04A9"/>
    <w:rsid w:val="008B0B16"/>
    <w:rsid w:val="008B1262"/>
    <w:rsid w:val="008B1C73"/>
    <w:rsid w:val="008B44A4"/>
    <w:rsid w:val="008B44BE"/>
    <w:rsid w:val="008B4766"/>
    <w:rsid w:val="008B58A1"/>
    <w:rsid w:val="008B5EFC"/>
    <w:rsid w:val="008B6679"/>
    <w:rsid w:val="008B7504"/>
    <w:rsid w:val="008C0CEA"/>
    <w:rsid w:val="008C0D31"/>
    <w:rsid w:val="008C12E9"/>
    <w:rsid w:val="008C1B61"/>
    <w:rsid w:val="008C2687"/>
    <w:rsid w:val="008C3552"/>
    <w:rsid w:val="008C40F0"/>
    <w:rsid w:val="008C57A2"/>
    <w:rsid w:val="008C7287"/>
    <w:rsid w:val="008D1BC3"/>
    <w:rsid w:val="008D294E"/>
    <w:rsid w:val="008D29D1"/>
    <w:rsid w:val="008D2DFA"/>
    <w:rsid w:val="008D34D0"/>
    <w:rsid w:val="008D36DB"/>
    <w:rsid w:val="008D43CC"/>
    <w:rsid w:val="008D4927"/>
    <w:rsid w:val="008D5D43"/>
    <w:rsid w:val="008D61C9"/>
    <w:rsid w:val="008D651D"/>
    <w:rsid w:val="008D73EC"/>
    <w:rsid w:val="008E04C6"/>
    <w:rsid w:val="008E1694"/>
    <w:rsid w:val="008E1A59"/>
    <w:rsid w:val="008E2433"/>
    <w:rsid w:val="008E3002"/>
    <w:rsid w:val="008E3137"/>
    <w:rsid w:val="008E337C"/>
    <w:rsid w:val="008E49A7"/>
    <w:rsid w:val="008E4B2A"/>
    <w:rsid w:val="008E5233"/>
    <w:rsid w:val="008E6291"/>
    <w:rsid w:val="008E636D"/>
    <w:rsid w:val="008E6697"/>
    <w:rsid w:val="008F00E5"/>
    <w:rsid w:val="008F1F94"/>
    <w:rsid w:val="008F21EF"/>
    <w:rsid w:val="008F4360"/>
    <w:rsid w:val="008F44AC"/>
    <w:rsid w:val="008F4CBB"/>
    <w:rsid w:val="008F5F4F"/>
    <w:rsid w:val="008F7391"/>
    <w:rsid w:val="008F79B4"/>
    <w:rsid w:val="008F7C8D"/>
    <w:rsid w:val="0090077B"/>
    <w:rsid w:val="00900D16"/>
    <w:rsid w:val="0090154A"/>
    <w:rsid w:val="00901698"/>
    <w:rsid w:val="00903317"/>
    <w:rsid w:val="009035A6"/>
    <w:rsid w:val="00904225"/>
    <w:rsid w:val="0090521F"/>
    <w:rsid w:val="00906B3D"/>
    <w:rsid w:val="00906CE2"/>
    <w:rsid w:val="00906CE9"/>
    <w:rsid w:val="00907A14"/>
    <w:rsid w:val="00911144"/>
    <w:rsid w:val="0091175A"/>
    <w:rsid w:val="00911B10"/>
    <w:rsid w:val="00911C33"/>
    <w:rsid w:val="0091236B"/>
    <w:rsid w:val="00912C4A"/>
    <w:rsid w:val="009132EB"/>
    <w:rsid w:val="00913336"/>
    <w:rsid w:val="0091339C"/>
    <w:rsid w:val="0091347C"/>
    <w:rsid w:val="009135F2"/>
    <w:rsid w:val="00913D13"/>
    <w:rsid w:val="0091496C"/>
    <w:rsid w:val="009155D6"/>
    <w:rsid w:val="009162B8"/>
    <w:rsid w:val="0091670E"/>
    <w:rsid w:val="00916C84"/>
    <w:rsid w:val="00920C67"/>
    <w:rsid w:val="00920E2B"/>
    <w:rsid w:val="00922FF2"/>
    <w:rsid w:val="0092340D"/>
    <w:rsid w:val="00924A4E"/>
    <w:rsid w:val="00924E56"/>
    <w:rsid w:val="00925B9E"/>
    <w:rsid w:val="009262FC"/>
    <w:rsid w:val="009279CA"/>
    <w:rsid w:val="00927EA1"/>
    <w:rsid w:val="00930833"/>
    <w:rsid w:val="00930B45"/>
    <w:rsid w:val="00931206"/>
    <w:rsid w:val="0093133D"/>
    <w:rsid w:val="009318FB"/>
    <w:rsid w:val="00931DC8"/>
    <w:rsid w:val="00933605"/>
    <w:rsid w:val="0093364C"/>
    <w:rsid w:val="009339C2"/>
    <w:rsid w:val="00933EF7"/>
    <w:rsid w:val="0093412E"/>
    <w:rsid w:val="0093415D"/>
    <w:rsid w:val="00935086"/>
    <w:rsid w:val="00937488"/>
    <w:rsid w:val="00937F13"/>
    <w:rsid w:val="00940B46"/>
    <w:rsid w:val="009413CD"/>
    <w:rsid w:val="00943306"/>
    <w:rsid w:val="009435F7"/>
    <w:rsid w:val="009445DB"/>
    <w:rsid w:val="00944FC7"/>
    <w:rsid w:val="009452EE"/>
    <w:rsid w:val="0094553B"/>
    <w:rsid w:val="009457C1"/>
    <w:rsid w:val="009458DB"/>
    <w:rsid w:val="009463B0"/>
    <w:rsid w:val="00946658"/>
    <w:rsid w:val="009467D3"/>
    <w:rsid w:val="00946CCB"/>
    <w:rsid w:val="0094739A"/>
    <w:rsid w:val="00950423"/>
    <w:rsid w:val="0095136B"/>
    <w:rsid w:val="00952050"/>
    <w:rsid w:val="009526E1"/>
    <w:rsid w:val="00952EFF"/>
    <w:rsid w:val="00955755"/>
    <w:rsid w:val="00956759"/>
    <w:rsid w:val="00956BE2"/>
    <w:rsid w:val="00956C2E"/>
    <w:rsid w:val="00957098"/>
    <w:rsid w:val="00957FF4"/>
    <w:rsid w:val="009600A8"/>
    <w:rsid w:val="009614BC"/>
    <w:rsid w:val="00961594"/>
    <w:rsid w:val="00961856"/>
    <w:rsid w:val="00961B8E"/>
    <w:rsid w:val="0096293A"/>
    <w:rsid w:val="00967199"/>
    <w:rsid w:val="00970F7F"/>
    <w:rsid w:val="00972362"/>
    <w:rsid w:val="009734B3"/>
    <w:rsid w:val="00974743"/>
    <w:rsid w:val="00974B62"/>
    <w:rsid w:val="0097527A"/>
    <w:rsid w:val="009753DF"/>
    <w:rsid w:val="00975BC8"/>
    <w:rsid w:val="009762D3"/>
    <w:rsid w:val="00976935"/>
    <w:rsid w:val="00977671"/>
    <w:rsid w:val="009778BF"/>
    <w:rsid w:val="00980101"/>
    <w:rsid w:val="00980619"/>
    <w:rsid w:val="009824D7"/>
    <w:rsid w:val="009832E5"/>
    <w:rsid w:val="0098448A"/>
    <w:rsid w:val="0098483F"/>
    <w:rsid w:val="00984D35"/>
    <w:rsid w:val="00984E8C"/>
    <w:rsid w:val="00985865"/>
    <w:rsid w:val="009859F3"/>
    <w:rsid w:val="009867EF"/>
    <w:rsid w:val="00987030"/>
    <w:rsid w:val="009873A3"/>
    <w:rsid w:val="0098796C"/>
    <w:rsid w:val="00990A27"/>
    <w:rsid w:val="009914C3"/>
    <w:rsid w:val="00991FF7"/>
    <w:rsid w:val="00992B70"/>
    <w:rsid w:val="00992C40"/>
    <w:rsid w:val="00993697"/>
    <w:rsid w:val="00993AF3"/>
    <w:rsid w:val="009963AD"/>
    <w:rsid w:val="00996F3F"/>
    <w:rsid w:val="0099798E"/>
    <w:rsid w:val="009A0665"/>
    <w:rsid w:val="009A1A15"/>
    <w:rsid w:val="009A1E31"/>
    <w:rsid w:val="009A2808"/>
    <w:rsid w:val="009A34EC"/>
    <w:rsid w:val="009A367B"/>
    <w:rsid w:val="009A638F"/>
    <w:rsid w:val="009A6C68"/>
    <w:rsid w:val="009B0979"/>
    <w:rsid w:val="009B18F3"/>
    <w:rsid w:val="009B2A77"/>
    <w:rsid w:val="009B31BF"/>
    <w:rsid w:val="009B3D5E"/>
    <w:rsid w:val="009B3DE9"/>
    <w:rsid w:val="009B5E64"/>
    <w:rsid w:val="009B66C3"/>
    <w:rsid w:val="009B66FD"/>
    <w:rsid w:val="009B69E9"/>
    <w:rsid w:val="009B6AF8"/>
    <w:rsid w:val="009B6EEB"/>
    <w:rsid w:val="009B7224"/>
    <w:rsid w:val="009B7233"/>
    <w:rsid w:val="009B7C13"/>
    <w:rsid w:val="009C0062"/>
    <w:rsid w:val="009C0E73"/>
    <w:rsid w:val="009C126A"/>
    <w:rsid w:val="009C162D"/>
    <w:rsid w:val="009C1858"/>
    <w:rsid w:val="009C4004"/>
    <w:rsid w:val="009C41D8"/>
    <w:rsid w:val="009C485F"/>
    <w:rsid w:val="009C5654"/>
    <w:rsid w:val="009C59D7"/>
    <w:rsid w:val="009C65C6"/>
    <w:rsid w:val="009C736F"/>
    <w:rsid w:val="009C7516"/>
    <w:rsid w:val="009D00C5"/>
    <w:rsid w:val="009D0F8C"/>
    <w:rsid w:val="009D20A3"/>
    <w:rsid w:val="009D298A"/>
    <w:rsid w:val="009D2B13"/>
    <w:rsid w:val="009D2CF0"/>
    <w:rsid w:val="009D4A79"/>
    <w:rsid w:val="009D50C2"/>
    <w:rsid w:val="009D5C52"/>
    <w:rsid w:val="009E0ABA"/>
    <w:rsid w:val="009E0F89"/>
    <w:rsid w:val="009E1452"/>
    <w:rsid w:val="009E4BF3"/>
    <w:rsid w:val="009E6492"/>
    <w:rsid w:val="009E66CF"/>
    <w:rsid w:val="009E673E"/>
    <w:rsid w:val="009E6F05"/>
    <w:rsid w:val="009F0894"/>
    <w:rsid w:val="009F14B0"/>
    <w:rsid w:val="009F2BE8"/>
    <w:rsid w:val="009F3556"/>
    <w:rsid w:val="009F35F4"/>
    <w:rsid w:val="009F389E"/>
    <w:rsid w:val="009F4BCA"/>
    <w:rsid w:val="009F4C71"/>
    <w:rsid w:val="009F4CD6"/>
    <w:rsid w:val="009F5E31"/>
    <w:rsid w:val="009F6AAC"/>
    <w:rsid w:val="009F7FFB"/>
    <w:rsid w:val="00A000A7"/>
    <w:rsid w:val="00A00796"/>
    <w:rsid w:val="00A00CB9"/>
    <w:rsid w:val="00A016BE"/>
    <w:rsid w:val="00A01D63"/>
    <w:rsid w:val="00A01E20"/>
    <w:rsid w:val="00A02CA3"/>
    <w:rsid w:val="00A040AD"/>
    <w:rsid w:val="00A041BE"/>
    <w:rsid w:val="00A04571"/>
    <w:rsid w:val="00A04D52"/>
    <w:rsid w:val="00A05920"/>
    <w:rsid w:val="00A06239"/>
    <w:rsid w:val="00A07225"/>
    <w:rsid w:val="00A07957"/>
    <w:rsid w:val="00A10B78"/>
    <w:rsid w:val="00A10BE5"/>
    <w:rsid w:val="00A11382"/>
    <w:rsid w:val="00A11EA7"/>
    <w:rsid w:val="00A131EC"/>
    <w:rsid w:val="00A13B2E"/>
    <w:rsid w:val="00A1440F"/>
    <w:rsid w:val="00A14AE6"/>
    <w:rsid w:val="00A15A41"/>
    <w:rsid w:val="00A15DE5"/>
    <w:rsid w:val="00A175A8"/>
    <w:rsid w:val="00A175DA"/>
    <w:rsid w:val="00A1763B"/>
    <w:rsid w:val="00A17966"/>
    <w:rsid w:val="00A17EEC"/>
    <w:rsid w:val="00A208DD"/>
    <w:rsid w:val="00A21006"/>
    <w:rsid w:val="00A21878"/>
    <w:rsid w:val="00A21D5F"/>
    <w:rsid w:val="00A21D9F"/>
    <w:rsid w:val="00A23494"/>
    <w:rsid w:val="00A236C6"/>
    <w:rsid w:val="00A23BA3"/>
    <w:rsid w:val="00A240D3"/>
    <w:rsid w:val="00A252BB"/>
    <w:rsid w:val="00A252C7"/>
    <w:rsid w:val="00A253F1"/>
    <w:rsid w:val="00A25E51"/>
    <w:rsid w:val="00A3103B"/>
    <w:rsid w:val="00A31360"/>
    <w:rsid w:val="00A31626"/>
    <w:rsid w:val="00A316A6"/>
    <w:rsid w:val="00A318E2"/>
    <w:rsid w:val="00A31DFA"/>
    <w:rsid w:val="00A32AFF"/>
    <w:rsid w:val="00A32F46"/>
    <w:rsid w:val="00A33202"/>
    <w:rsid w:val="00A335E2"/>
    <w:rsid w:val="00A33666"/>
    <w:rsid w:val="00A33D37"/>
    <w:rsid w:val="00A3454D"/>
    <w:rsid w:val="00A35277"/>
    <w:rsid w:val="00A35760"/>
    <w:rsid w:val="00A366F2"/>
    <w:rsid w:val="00A37DDC"/>
    <w:rsid w:val="00A4100F"/>
    <w:rsid w:val="00A415E2"/>
    <w:rsid w:val="00A41C22"/>
    <w:rsid w:val="00A44704"/>
    <w:rsid w:val="00A451BF"/>
    <w:rsid w:val="00A45416"/>
    <w:rsid w:val="00A4608A"/>
    <w:rsid w:val="00A468F3"/>
    <w:rsid w:val="00A46DC5"/>
    <w:rsid w:val="00A46E6B"/>
    <w:rsid w:val="00A51E31"/>
    <w:rsid w:val="00A52280"/>
    <w:rsid w:val="00A5247F"/>
    <w:rsid w:val="00A525CA"/>
    <w:rsid w:val="00A53369"/>
    <w:rsid w:val="00A535C6"/>
    <w:rsid w:val="00A551E5"/>
    <w:rsid w:val="00A552CB"/>
    <w:rsid w:val="00A55980"/>
    <w:rsid w:val="00A56D4D"/>
    <w:rsid w:val="00A57F24"/>
    <w:rsid w:val="00A610EE"/>
    <w:rsid w:val="00A61424"/>
    <w:rsid w:val="00A61AA4"/>
    <w:rsid w:val="00A61BD4"/>
    <w:rsid w:val="00A61D24"/>
    <w:rsid w:val="00A61EB6"/>
    <w:rsid w:val="00A63841"/>
    <w:rsid w:val="00A6507C"/>
    <w:rsid w:val="00A65302"/>
    <w:rsid w:val="00A67470"/>
    <w:rsid w:val="00A6797E"/>
    <w:rsid w:val="00A67A9D"/>
    <w:rsid w:val="00A709F2"/>
    <w:rsid w:val="00A70B88"/>
    <w:rsid w:val="00A70F3C"/>
    <w:rsid w:val="00A7115F"/>
    <w:rsid w:val="00A712DD"/>
    <w:rsid w:val="00A71447"/>
    <w:rsid w:val="00A72914"/>
    <w:rsid w:val="00A7317C"/>
    <w:rsid w:val="00A732CB"/>
    <w:rsid w:val="00A73CF0"/>
    <w:rsid w:val="00A748F1"/>
    <w:rsid w:val="00A74B3E"/>
    <w:rsid w:val="00A74CED"/>
    <w:rsid w:val="00A7755B"/>
    <w:rsid w:val="00A7780C"/>
    <w:rsid w:val="00A80AE3"/>
    <w:rsid w:val="00A81413"/>
    <w:rsid w:val="00A8250D"/>
    <w:rsid w:val="00A833CC"/>
    <w:rsid w:val="00A862CA"/>
    <w:rsid w:val="00A86658"/>
    <w:rsid w:val="00A87BA7"/>
    <w:rsid w:val="00A87DDF"/>
    <w:rsid w:val="00A90DDE"/>
    <w:rsid w:val="00A9262D"/>
    <w:rsid w:val="00A92A69"/>
    <w:rsid w:val="00A94164"/>
    <w:rsid w:val="00A94A17"/>
    <w:rsid w:val="00A9653A"/>
    <w:rsid w:val="00A96820"/>
    <w:rsid w:val="00A96F00"/>
    <w:rsid w:val="00A979A5"/>
    <w:rsid w:val="00AA1346"/>
    <w:rsid w:val="00AA163B"/>
    <w:rsid w:val="00AA19A3"/>
    <w:rsid w:val="00AA1E91"/>
    <w:rsid w:val="00AA1EE0"/>
    <w:rsid w:val="00AA2B98"/>
    <w:rsid w:val="00AA33D2"/>
    <w:rsid w:val="00AA3D04"/>
    <w:rsid w:val="00AA4444"/>
    <w:rsid w:val="00AA6542"/>
    <w:rsid w:val="00AA6633"/>
    <w:rsid w:val="00AB002D"/>
    <w:rsid w:val="00AB17AC"/>
    <w:rsid w:val="00AB27D4"/>
    <w:rsid w:val="00AB3711"/>
    <w:rsid w:val="00AB4556"/>
    <w:rsid w:val="00AB485A"/>
    <w:rsid w:val="00AB5E64"/>
    <w:rsid w:val="00AB6616"/>
    <w:rsid w:val="00AB6AB3"/>
    <w:rsid w:val="00AB6C20"/>
    <w:rsid w:val="00AB764C"/>
    <w:rsid w:val="00AC06F5"/>
    <w:rsid w:val="00AC1254"/>
    <w:rsid w:val="00AC16FF"/>
    <w:rsid w:val="00AC494B"/>
    <w:rsid w:val="00AC495D"/>
    <w:rsid w:val="00AC6173"/>
    <w:rsid w:val="00AC66B6"/>
    <w:rsid w:val="00AD014B"/>
    <w:rsid w:val="00AD10B1"/>
    <w:rsid w:val="00AD1842"/>
    <w:rsid w:val="00AD23A2"/>
    <w:rsid w:val="00AD31EB"/>
    <w:rsid w:val="00AD3AEC"/>
    <w:rsid w:val="00AD3DDF"/>
    <w:rsid w:val="00AD3E7E"/>
    <w:rsid w:val="00AD4474"/>
    <w:rsid w:val="00AD5F66"/>
    <w:rsid w:val="00AD6347"/>
    <w:rsid w:val="00AD77AC"/>
    <w:rsid w:val="00AD7A82"/>
    <w:rsid w:val="00AE1151"/>
    <w:rsid w:val="00AE12D5"/>
    <w:rsid w:val="00AE1B8A"/>
    <w:rsid w:val="00AE3410"/>
    <w:rsid w:val="00AE3504"/>
    <w:rsid w:val="00AE383E"/>
    <w:rsid w:val="00AE41D6"/>
    <w:rsid w:val="00AE507A"/>
    <w:rsid w:val="00AE587E"/>
    <w:rsid w:val="00AE7877"/>
    <w:rsid w:val="00AE79B2"/>
    <w:rsid w:val="00AF0562"/>
    <w:rsid w:val="00AF0D94"/>
    <w:rsid w:val="00AF1116"/>
    <w:rsid w:val="00AF1295"/>
    <w:rsid w:val="00AF185F"/>
    <w:rsid w:val="00AF2A3F"/>
    <w:rsid w:val="00AF3C4E"/>
    <w:rsid w:val="00AF4885"/>
    <w:rsid w:val="00AF571B"/>
    <w:rsid w:val="00AF602F"/>
    <w:rsid w:val="00AF6C0D"/>
    <w:rsid w:val="00B0011D"/>
    <w:rsid w:val="00B0015D"/>
    <w:rsid w:val="00B0096D"/>
    <w:rsid w:val="00B00A47"/>
    <w:rsid w:val="00B017B4"/>
    <w:rsid w:val="00B01E8A"/>
    <w:rsid w:val="00B0209B"/>
    <w:rsid w:val="00B03D2E"/>
    <w:rsid w:val="00B046EA"/>
    <w:rsid w:val="00B05F46"/>
    <w:rsid w:val="00B06D64"/>
    <w:rsid w:val="00B0743E"/>
    <w:rsid w:val="00B123EF"/>
    <w:rsid w:val="00B12D70"/>
    <w:rsid w:val="00B13EFF"/>
    <w:rsid w:val="00B14231"/>
    <w:rsid w:val="00B14C9A"/>
    <w:rsid w:val="00B151A8"/>
    <w:rsid w:val="00B159CA"/>
    <w:rsid w:val="00B16461"/>
    <w:rsid w:val="00B17089"/>
    <w:rsid w:val="00B20D80"/>
    <w:rsid w:val="00B21D3C"/>
    <w:rsid w:val="00B224B2"/>
    <w:rsid w:val="00B22B7C"/>
    <w:rsid w:val="00B23450"/>
    <w:rsid w:val="00B23718"/>
    <w:rsid w:val="00B24301"/>
    <w:rsid w:val="00B25E03"/>
    <w:rsid w:val="00B27929"/>
    <w:rsid w:val="00B314CB"/>
    <w:rsid w:val="00B3204A"/>
    <w:rsid w:val="00B3256E"/>
    <w:rsid w:val="00B3264D"/>
    <w:rsid w:val="00B3270B"/>
    <w:rsid w:val="00B32B9F"/>
    <w:rsid w:val="00B32EC7"/>
    <w:rsid w:val="00B35169"/>
    <w:rsid w:val="00B3525F"/>
    <w:rsid w:val="00B3677C"/>
    <w:rsid w:val="00B400A2"/>
    <w:rsid w:val="00B400C3"/>
    <w:rsid w:val="00B40F9A"/>
    <w:rsid w:val="00B41704"/>
    <w:rsid w:val="00B41DED"/>
    <w:rsid w:val="00B42361"/>
    <w:rsid w:val="00B426E1"/>
    <w:rsid w:val="00B4375A"/>
    <w:rsid w:val="00B43B39"/>
    <w:rsid w:val="00B44A84"/>
    <w:rsid w:val="00B46375"/>
    <w:rsid w:val="00B46E8D"/>
    <w:rsid w:val="00B478BE"/>
    <w:rsid w:val="00B501E8"/>
    <w:rsid w:val="00B51609"/>
    <w:rsid w:val="00B52119"/>
    <w:rsid w:val="00B52C71"/>
    <w:rsid w:val="00B546D6"/>
    <w:rsid w:val="00B567A4"/>
    <w:rsid w:val="00B5751B"/>
    <w:rsid w:val="00B60B23"/>
    <w:rsid w:val="00B60CE9"/>
    <w:rsid w:val="00B61B63"/>
    <w:rsid w:val="00B61F6C"/>
    <w:rsid w:val="00B62178"/>
    <w:rsid w:val="00B6328F"/>
    <w:rsid w:val="00B639AC"/>
    <w:rsid w:val="00B63E1D"/>
    <w:rsid w:val="00B63F1E"/>
    <w:rsid w:val="00B6648E"/>
    <w:rsid w:val="00B66E31"/>
    <w:rsid w:val="00B674B8"/>
    <w:rsid w:val="00B70A90"/>
    <w:rsid w:val="00B7102F"/>
    <w:rsid w:val="00B713F7"/>
    <w:rsid w:val="00B7180B"/>
    <w:rsid w:val="00B71DDA"/>
    <w:rsid w:val="00B756EC"/>
    <w:rsid w:val="00B75BC0"/>
    <w:rsid w:val="00B76D28"/>
    <w:rsid w:val="00B77358"/>
    <w:rsid w:val="00B77620"/>
    <w:rsid w:val="00B776AA"/>
    <w:rsid w:val="00B77D53"/>
    <w:rsid w:val="00B80BCB"/>
    <w:rsid w:val="00B81F17"/>
    <w:rsid w:val="00B8217B"/>
    <w:rsid w:val="00B843E4"/>
    <w:rsid w:val="00B856C0"/>
    <w:rsid w:val="00B85FE2"/>
    <w:rsid w:val="00B85FF1"/>
    <w:rsid w:val="00B869D4"/>
    <w:rsid w:val="00B87CC8"/>
    <w:rsid w:val="00B908F7"/>
    <w:rsid w:val="00B93345"/>
    <w:rsid w:val="00B93BE6"/>
    <w:rsid w:val="00B93D2B"/>
    <w:rsid w:val="00B941FA"/>
    <w:rsid w:val="00B96F20"/>
    <w:rsid w:val="00BA13CE"/>
    <w:rsid w:val="00BA17AA"/>
    <w:rsid w:val="00BA5097"/>
    <w:rsid w:val="00BA517E"/>
    <w:rsid w:val="00BA5F58"/>
    <w:rsid w:val="00BA6D4A"/>
    <w:rsid w:val="00BA6EC7"/>
    <w:rsid w:val="00BA704A"/>
    <w:rsid w:val="00BA7162"/>
    <w:rsid w:val="00BA7AB9"/>
    <w:rsid w:val="00BA7E5A"/>
    <w:rsid w:val="00BB078F"/>
    <w:rsid w:val="00BB0BF6"/>
    <w:rsid w:val="00BB1AA8"/>
    <w:rsid w:val="00BB1BAD"/>
    <w:rsid w:val="00BB2224"/>
    <w:rsid w:val="00BB2855"/>
    <w:rsid w:val="00BB300A"/>
    <w:rsid w:val="00BB40AD"/>
    <w:rsid w:val="00BB4E72"/>
    <w:rsid w:val="00BB544E"/>
    <w:rsid w:val="00BB55B9"/>
    <w:rsid w:val="00BB5A8F"/>
    <w:rsid w:val="00BB6124"/>
    <w:rsid w:val="00BB6480"/>
    <w:rsid w:val="00BB6870"/>
    <w:rsid w:val="00BB6898"/>
    <w:rsid w:val="00BC14B7"/>
    <w:rsid w:val="00BC321A"/>
    <w:rsid w:val="00BC4473"/>
    <w:rsid w:val="00BC60E0"/>
    <w:rsid w:val="00BC6180"/>
    <w:rsid w:val="00BC63FC"/>
    <w:rsid w:val="00BC68E6"/>
    <w:rsid w:val="00BD079C"/>
    <w:rsid w:val="00BD1462"/>
    <w:rsid w:val="00BD22DD"/>
    <w:rsid w:val="00BD3194"/>
    <w:rsid w:val="00BD3498"/>
    <w:rsid w:val="00BD37EB"/>
    <w:rsid w:val="00BD3B1B"/>
    <w:rsid w:val="00BD3BCA"/>
    <w:rsid w:val="00BD4E0F"/>
    <w:rsid w:val="00BD5988"/>
    <w:rsid w:val="00BD5BF4"/>
    <w:rsid w:val="00BD5E51"/>
    <w:rsid w:val="00BD6369"/>
    <w:rsid w:val="00BD697C"/>
    <w:rsid w:val="00BD6C67"/>
    <w:rsid w:val="00BD6F9C"/>
    <w:rsid w:val="00BD721B"/>
    <w:rsid w:val="00BD7246"/>
    <w:rsid w:val="00BD7490"/>
    <w:rsid w:val="00BD7E27"/>
    <w:rsid w:val="00BE2653"/>
    <w:rsid w:val="00BE3BD6"/>
    <w:rsid w:val="00BE4BA1"/>
    <w:rsid w:val="00BE53E1"/>
    <w:rsid w:val="00BE5CB4"/>
    <w:rsid w:val="00BE63B7"/>
    <w:rsid w:val="00BF0675"/>
    <w:rsid w:val="00BF1DBB"/>
    <w:rsid w:val="00BF2106"/>
    <w:rsid w:val="00BF246B"/>
    <w:rsid w:val="00BF3052"/>
    <w:rsid w:val="00BF4360"/>
    <w:rsid w:val="00BF6860"/>
    <w:rsid w:val="00BF6DF4"/>
    <w:rsid w:val="00C00A3B"/>
    <w:rsid w:val="00C00CED"/>
    <w:rsid w:val="00C019B4"/>
    <w:rsid w:val="00C01F5B"/>
    <w:rsid w:val="00C02056"/>
    <w:rsid w:val="00C02AAD"/>
    <w:rsid w:val="00C02D86"/>
    <w:rsid w:val="00C03342"/>
    <w:rsid w:val="00C03D3D"/>
    <w:rsid w:val="00C03DFA"/>
    <w:rsid w:val="00C04086"/>
    <w:rsid w:val="00C045C9"/>
    <w:rsid w:val="00C04823"/>
    <w:rsid w:val="00C04AFD"/>
    <w:rsid w:val="00C04D48"/>
    <w:rsid w:val="00C04F20"/>
    <w:rsid w:val="00C050FA"/>
    <w:rsid w:val="00C0589D"/>
    <w:rsid w:val="00C058C6"/>
    <w:rsid w:val="00C06594"/>
    <w:rsid w:val="00C067B3"/>
    <w:rsid w:val="00C06C0B"/>
    <w:rsid w:val="00C11D75"/>
    <w:rsid w:val="00C12CDE"/>
    <w:rsid w:val="00C15009"/>
    <w:rsid w:val="00C15053"/>
    <w:rsid w:val="00C17458"/>
    <w:rsid w:val="00C2021B"/>
    <w:rsid w:val="00C20395"/>
    <w:rsid w:val="00C2093D"/>
    <w:rsid w:val="00C21939"/>
    <w:rsid w:val="00C21B5E"/>
    <w:rsid w:val="00C23C10"/>
    <w:rsid w:val="00C2418D"/>
    <w:rsid w:val="00C2471A"/>
    <w:rsid w:val="00C2498D"/>
    <w:rsid w:val="00C25B7C"/>
    <w:rsid w:val="00C25F0C"/>
    <w:rsid w:val="00C26AFF"/>
    <w:rsid w:val="00C27656"/>
    <w:rsid w:val="00C308C8"/>
    <w:rsid w:val="00C30945"/>
    <w:rsid w:val="00C30D5A"/>
    <w:rsid w:val="00C30D92"/>
    <w:rsid w:val="00C319EF"/>
    <w:rsid w:val="00C32156"/>
    <w:rsid w:val="00C330B0"/>
    <w:rsid w:val="00C33E45"/>
    <w:rsid w:val="00C3576D"/>
    <w:rsid w:val="00C35B40"/>
    <w:rsid w:val="00C35DB9"/>
    <w:rsid w:val="00C370B6"/>
    <w:rsid w:val="00C3776D"/>
    <w:rsid w:val="00C37D81"/>
    <w:rsid w:val="00C427DB"/>
    <w:rsid w:val="00C42E84"/>
    <w:rsid w:val="00C439EC"/>
    <w:rsid w:val="00C443A0"/>
    <w:rsid w:val="00C45286"/>
    <w:rsid w:val="00C460F4"/>
    <w:rsid w:val="00C464FF"/>
    <w:rsid w:val="00C47FE0"/>
    <w:rsid w:val="00C505F4"/>
    <w:rsid w:val="00C50999"/>
    <w:rsid w:val="00C50D98"/>
    <w:rsid w:val="00C52370"/>
    <w:rsid w:val="00C528F9"/>
    <w:rsid w:val="00C52B6C"/>
    <w:rsid w:val="00C52BC4"/>
    <w:rsid w:val="00C52DB8"/>
    <w:rsid w:val="00C531D0"/>
    <w:rsid w:val="00C53420"/>
    <w:rsid w:val="00C53EF8"/>
    <w:rsid w:val="00C5488E"/>
    <w:rsid w:val="00C550B1"/>
    <w:rsid w:val="00C56000"/>
    <w:rsid w:val="00C5610F"/>
    <w:rsid w:val="00C604FB"/>
    <w:rsid w:val="00C61EED"/>
    <w:rsid w:val="00C61FBD"/>
    <w:rsid w:val="00C62344"/>
    <w:rsid w:val="00C63252"/>
    <w:rsid w:val="00C6350B"/>
    <w:rsid w:val="00C63726"/>
    <w:rsid w:val="00C6415D"/>
    <w:rsid w:val="00C65AFF"/>
    <w:rsid w:val="00C67288"/>
    <w:rsid w:val="00C67BDD"/>
    <w:rsid w:val="00C71136"/>
    <w:rsid w:val="00C7139F"/>
    <w:rsid w:val="00C7146C"/>
    <w:rsid w:val="00C715E2"/>
    <w:rsid w:val="00C71A0A"/>
    <w:rsid w:val="00C721A9"/>
    <w:rsid w:val="00C72D43"/>
    <w:rsid w:val="00C72D51"/>
    <w:rsid w:val="00C734FC"/>
    <w:rsid w:val="00C73821"/>
    <w:rsid w:val="00C74941"/>
    <w:rsid w:val="00C74E7C"/>
    <w:rsid w:val="00C75724"/>
    <w:rsid w:val="00C75DC9"/>
    <w:rsid w:val="00C77E5E"/>
    <w:rsid w:val="00C77FFA"/>
    <w:rsid w:val="00C80C6C"/>
    <w:rsid w:val="00C81BE1"/>
    <w:rsid w:val="00C82838"/>
    <w:rsid w:val="00C82971"/>
    <w:rsid w:val="00C829A6"/>
    <w:rsid w:val="00C83132"/>
    <w:rsid w:val="00C83140"/>
    <w:rsid w:val="00C84435"/>
    <w:rsid w:val="00C84AFD"/>
    <w:rsid w:val="00C852F7"/>
    <w:rsid w:val="00C8564C"/>
    <w:rsid w:val="00C85C8C"/>
    <w:rsid w:val="00C86688"/>
    <w:rsid w:val="00C871CF"/>
    <w:rsid w:val="00C87DDB"/>
    <w:rsid w:val="00C90E42"/>
    <w:rsid w:val="00C91767"/>
    <w:rsid w:val="00C921A2"/>
    <w:rsid w:val="00C926B5"/>
    <w:rsid w:val="00C92E91"/>
    <w:rsid w:val="00C9322C"/>
    <w:rsid w:val="00C93E34"/>
    <w:rsid w:val="00C94661"/>
    <w:rsid w:val="00C94A91"/>
    <w:rsid w:val="00C95250"/>
    <w:rsid w:val="00C95359"/>
    <w:rsid w:val="00C962F8"/>
    <w:rsid w:val="00C968A8"/>
    <w:rsid w:val="00C970D4"/>
    <w:rsid w:val="00C9740E"/>
    <w:rsid w:val="00C97461"/>
    <w:rsid w:val="00C974ED"/>
    <w:rsid w:val="00C97696"/>
    <w:rsid w:val="00C9779F"/>
    <w:rsid w:val="00C979F4"/>
    <w:rsid w:val="00CA06DB"/>
    <w:rsid w:val="00CA0A8C"/>
    <w:rsid w:val="00CA0DC7"/>
    <w:rsid w:val="00CA1CC6"/>
    <w:rsid w:val="00CA1F8B"/>
    <w:rsid w:val="00CA33DC"/>
    <w:rsid w:val="00CA3425"/>
    <w:rsid w:val="00CA4E9F"/>
    <w:rsid w:val="00CA6640"/>
    <w:rsid w:val="00CA752D"/>
    <w:rsid w:val="00CB0E3D"/>
    <w:rsid w:val="00CB1A0D"/>
    <w:rsid w:val="00CB25F0"/>
    <w:rsid w:val="00CB2A38"/>
    <w:rsid w:val="00CB44E4"/>
    <w:rsid w:val="00CB4C2B"/>
    <w:rsid w:val="00CB4DBD"/>
    <w:rsid w:val="00CB506C"/>
    <w:rsid w:val="00CB5333"/>
    <w:rsid w:val="00CB5F15"/>
    <w:rsid w:val="00CB6071"/>
    <w:rsid w:val="00CB6B13"/>
    <w:rsid w:val="00CB7036"/>
    <w:rsid w:val="00CB7196"/>
    <w:rsid w:val="00CC0BBC"/>
    <w:rsid w:val="00CC2080"/>
    <w:rsid w:val="00CC3ED3"/>
    <w:rsid w:val="00CC4874"/>
    <w:rsid w:val="00CC49BB"/>
    <w:rsid w:val="00CC526B"/>
    <w:rsid w:val="00CC5FB7"/>
    <w:rsid w:val="00CC7F34"/>
    <w:rsid w:val="00CD0A15"/>
    <w:rsid w:val="00CD0BDC"/>
    <w:rsid w:val="00CD0D36"/>
    <w:rsid w:val="00CD1163"/>
    <w:rsid w:val="00CD1C7F"/>
    <w:rsid w:val="00CD20BD"/>
    <w:rsid w:val="00CD281B"/>
    <w:rsid w:val="00CD2CE7"/>
    <w:rsid w:val="00CD2D41"/>
    <w:rsid w:val="00CD38A7"/>
    <w:rsid w:val="00CD3CD2"/>
    <w:rsid w:val="00CD46A4"/>
    <w:rsid w:val="00CD4D60"/>
    <w:rsid w:val="00CD5341"/>
    <w:rsid w:val="00CD5502"/>
    <w:rsid w:val="00CD5E5C"/>
    <w:rsid w:val="00CD6070"/>
    <w:rsid w:val="00CD6121"/>
    <w:rsid w:val="00CD7869"/>
    <w:rsid w:val="00CE12BC"/>
    <w:rsid w:val="00CE18A2"/>
    <w:rsid w:val="00CE2731"/>
    <w:rsid w:val="00CE2CA9"/>
    <w:rsid w:val="00CE360E"/>
    <w:rsid w:val="00CF0250"/>
    <w:rsid w:val="00CF0293"/>
    <w:rsid w:val="00CF0F84"/>
    <w:rsid w:val="00CF11CB"/>
    <w:rsid w:val="00CF16AD"/>
    <w:rsid w:val="00CF2DCF"/>
    <w:rsid w:val="00CF311C"/>
    <w:rsid w:val="00CF31D8"/>
    <w:rsid w:val="00CF4619"/>
    <w:rsid w:val="00CF46E5"/>
    <w:rsid w:val="00CF5A1E"/>
    <w:rsid w:val="00CF70A3"/>
    <w:rsid w:val="00D001AB"/>
    <w:rsid w:val="00D00AAA"/>
    <w:rsid w:val="00D00CFC"/>
    <w:rsid w:val="00D013FE"/>
    <w:rsid w:val="00D016DB"/>
    <w:rsid w:val="00D01C5D"/>
    <w:rsid w:val="00D01EA5"/>
    <w:rsid w:val="00D0264C"/>
    <w:rsid w:val="00D03277"/>
    <w:rsid w:val="00D036B4"/>
    <w:rsid w:val="00D039BF"/>
    <w:rsid w:val="00D03BF9"/>
    <w:rsid w:val="00D03DF4"/>
    <w:rsid w:val="00D0528E"/>
    <w:rsid w:val="00D0582F"/>
    <w:rsid w:val="00D05C79"/>
    <w:rsid w:val="00D0636D"/>
    <w:rsid w:val="00D07366"/>
    <w:rsid w:val="00D07831"/>
    <w:rsid w:val="00D11677"/>
    <w:rsid w:val="00D1250F"/>
    <w:rsid w:val="00D140A2"/>
    <w:rsid w:val="00D15232"/>
    <w:rsid w:val="00D169D4"/>
    <w:rsid w:val="00D240FE"/>
    <w:rsid w:val="00D25F2B"/>
    <w:rsid w:val="00D26093"/>
    <w:rsid w:val="00D273CF"/>
    <w:rsid w:val="00D301C5"/>
    <w:rsid w:val="00D3240E"/>
    <w:rsid w:val="00D326A1"/>
    <w:rsid w:val="00D32775"/>
    <w:rsid w:val="00D328FB"/>
    <w:rsid w:val="00D337A3"/>
    <w:rsid w:val="00D33852"/>
    <w:rsid w:val="00D33E99"/>
    <w:rsid w:val="00D34263"/>
    <w:rsid w:val="00D34742"/>
    <w:rsid w:val="00D34A68"/>
    <w:rsid w:val="00D35169"/>
    <w:rsid w:val="00D35266"/>
    <w:rsid w:val="00D35636"/>
    <w:rsid w:val="00D35B16"/>
    <w:rsid w:val="00D35F22"/>
    <w:rsid w:val="00D36123"/>
    <w:rsid w:val="00D36971"/>
    <w:rsid w:val="00D4087E"/>
    <w:rsid w:val="00D414F2"/>
    <w:rsid w:val="00D41905"/>
    <w:rsid w:val="00D4293A"/>
    <w:rsid w:val="00D42C63"/>
    <w:rsid w:val="00D453E7"/>
    <w:rsid w:val="00D45D8F"/>
    <w:rsid w:val="00D46153"/>
    <w:rsid w:val="00D4720A"/>
    <w:rsid w:val="00D47764"/>
    <w:rsid w:val="00D47869"/>
    <w:rsid w:val="00D47F55"/>
    <w:rsid w:val="00D506AE"/>
    <w:rsid w:val="00D50B9D"/>
    <w:rsid w:val="00D50EA1"/>
    <w:rsid w:val="00D5230B"/>
    <w:rsid w:val="00D533B8"/>
    <w:rsid w:val="00D53A2D"/>
    <w:rsid w:val="00D545DC"/>
    <w:rsid w:val="00D5491D"/>
    <w:rsid w:val="00D57A8D"/>
    <w:rsid w:val="00D57C45"/>
    <w:rsid w:val="00D60149"/>
    <w:rsid w:val="00D603B7"/>
    <w:rsid w:val="00D611E2"/>
    <w:rsid w:val="00D61823"/>
    <w:rsid w:val="00D62791"/>
    <w:rsid w:val="00D62D2E"/>
    <w:rsid w:val="00D641A3"/>
    <w:rsid w:val="00D64244"/>
    <w:rsid w:val="00D6474E"/>
    <w:rsid w:val="00D64B45"/>
    <w:rsid w:val="00D64C66"/>
    <w:rsid w:val="00D64FB0"/>
    <w:rsid w:val="00D6674D"/>
    <w:rsid w:val="00D6786C"/>
    <w:rsid w:val="00D67B01"/>
    <w:rsid w:val="00D71089"/>
    <w:rsid w:val="00D715BB"/>
    <w:rsid w:val="00D724F5"/>
    <w:rsid w:val="00D72E0C"/>
    <w:rsid w:val="00D73114"/>
    <w:rsid w:val="00D7400A"/>
    <w:rsid w:val="00D75095"/>
    <w:rsid w:val="00D76968"/>
    <w:rsid w:val="00D77199"/>
    <w:rsid w:val="00D772AB"/>
    <w:rsid w:val="00D775C3"/>
    <w:rsid w:val="00D778BE"/>
    <w:rsid w:val="00D81054"/>
    <w:rsid w:val="00D81847"/>
    <w:rsid w:val="00D81C8C"/>
    <w:rsid w:val="00D82217"/>
    <w:rsid w:val="00D82841"/>
    <w:rsid w:val="00D82F33"/>
    <w:rsid w:val="00D835CD"/>
    <w:rsid w:val="00D85420"/>
    <w:rsid w:val="00D86075"/>
    <w:rsid w:val="00D8655C"/>
    <w:rsid w:val="00D86658"/>
    <w:rsid w:val="00D86888"/>
    <w:rsid w:val="00D8790F"/>
    <w:rsid w:val="00D9073B"/>
    <w:rsid w:val="00D91F27"/>
    <w:rsid w:val="00D92290"/>
    <w:rsid w:val="00D9250D"/>
    <w:rsid w:val="00D92891"/>
    <w:rsid w:val="00D92F8D"/>
    <w:rsid w:val="00D93BAB"/>
    <w:rsid w:val="00D94618"/>
    <w:rsid w:val="00D94B46"/>
    <w:rsid w:val="00D95750"/>
    <w:rsid w:val="00D95B65"/>
    <w:rsid w:val="00D96B95"/>
    <w:rsid w:val="00D9746D"/>
    <w:rsid w:val="00D97DA4"/>
    <w:rsid w:val="00DA06FF"/>
    <w:rsid w:val="00DA0EBB"/>
    <w:rsid w:val="00DA13D8"/>
    <w:rsid w:val="00DA172C"/>
    <w:rsid w:val="00DA1A87"/>
    <w:rsid w:val="00DA2638"/>
    <w:rsid w:val="00DA2946"/>
    <w:rsid w:val="00DA38C9"/>
    <w:rsid w:val="00DA3957"/>
    <w:rsid w:val="00DA466E"/>
    <w:rsid w:val="00DA5548"/>
    <w:rsid w:val="00DA5E5E"/>
    <w:rsid w:val="00DA60BE"/>
    <w:rsid w:val="00DA637C"/>
    <w:rsid w:val="00DA64AB"/>
    <w:rsid w:val="00DA6967"/>
    <w:rsid w:val="00DB047C"/>
    <w:rsid w:val="00DB04BB"/>
    <w:rsid w:val="00DB13BB"/>
    <w:rsid w:val="00DB1EE4"/>
    <w:rsid w:val="00DB1F25"/>
    <w:rsid w:val="00DB238A"/>
    <w:rsid w:val="00DB2796"/>
    <w:rsid w:val="00DB36EC"/>
    <w:rsid w:val="00DB4931"/>
    <w:rsid w:val="00DB4F59"/>
    <w:rsid w:val="00DB4FF2"/>
    <w:rsid w:val="00DB56D2"/>
    <w:rsid w:val="00DB6C67"/>
    <w:rsid w:val="00DB718B"/>
    <w:rsid w:val="00DB7AFF"/>
    <w:rsid w:val="00DC0325"/>
    <w:rsid w:val="00DC09E2"/>
    <w:rsid w:val="00DC0E3B"/>
    <w:rsid w:val="00DC0FB4"/>
    <w:rsid w:val="00DC1C15"/>
    <w:rsid w:val="00DC1DE3"/>
    <w:rsid w:val="00DC217C"/>
    <w:rsid w:val="00DC2309"/>
    <w:rsid w:val="00DC256B"/>
    <w:rsid w:val="00DC2FBE"/>
    <w:rsid w:val="00DC349F"/>
    <w:rsid w:val="00DC5452"/>
    <w:rsid w:val="00DC58C8"/>
    <w:rsid w:val="00DC7A5A"/>
    <w:rsid w:val="00DD0AB0"/>
    <w:rsid w:val="00DD1821"/>
    <w:rsid w:val="00DD1E76"/>
    <w:rsid w:val="00DD2AC4"/>
    <w:rsid w:val="00DD2CB0"/>
    <w:rsid w:val="00DD2E62"/>
    <w:rsid w:val="00DD38EE"/>
    <w:rsid w:val="00DD4379"/>
    <w:rsid w:val="00DD5ACE"/>
    <w:rsid w:val="00DD6246"/>
    <w:rsid w:val="00DD6283"/>
    <w:rsid w:val="00DD6928"/>
    <w:rsid w:val="00DD6954"/>
    <w:rsid w:val="00DD6D17"/>
    <w:rsid w:val="00DD6E65"/>
    <w:rsid w:val="00DD7971"/>
    <w:rsid w:val="00DE11FD"/>
    <w:rsid w:val="00DE18AF"/>
    <w:rsid w:val="00DE1B33"/>
    <w:rsid w:val="00DE1F93"/>
    <w:rsid w:val="00DE2696"/>
    <w:rsid w:val="00DE2855"/>
    <w:rsid w:val="00DE3961"/>
    <w:rsid w:val="00DE3B6B"/>
    <w:rsid w:val="00DE3BF3"/>
    <w:rsid w:val="00DE6F0B"/>
    <w:rsid w:val="00DE747F"/>
    <w:rsid w:val="00DF0399"/>
    <w:rsid w:val="00DF1458"/>
    <w:rsid w:val="00DF1BF2"/>
    <w:rsid w:val="00DF2EA2"/>
    <w:rsid w:val="00DF3F8B"/>
    <w:rsid w:val="00DF3FBB"/>
    <w:rsid w:val="00DF4533"/>
    <w:rsid w:val="00DF4746"/>
    <w:rsid w:val="00DF524C"/>
    <w:rsid w:val="00DF58F7"/>
    <w:rsid w:val="00DF5B35"/>
    <w:rsid w:val="00DF69DA"/>
    <w:rsid w:val="00DF6DB2"/>
    <w:rsid w:val="00DF7B3F"/>
    <w:rsid w:val="00E0096F"/>
    <w:rsid w:val="00E020FA"/>
    <w:rsid w:val="00E02446"/>
    <w:rsid w:val="00E02FFA"/>
    <w:rsid w:val="00E042C0"/>
    <w:rsid w:val="00E04525"/>
    <w:rsid w:val="00E0476C"/>
    <w:rsid w:val="00E04781"/>
    <w:rsid w:val="00E04A2B"/>
    <w:rsid w:val="00E051ED"/>
    <w:rsid w:val="00E052D1"/>
    <w:rsid w:val="00E05359"/>
    <w:rsid w:val="00E05AA8"/>
    <w:rsid w:val="00E0641C"/>
    <w:rsid w:val="00E07FC0"/>
    <w:rsid w:val="00E11253"/>
    <w:rsid w:val="00E1197C"/>
    <w:rsid w:val="00E12B7B"/>
    <w:rsid w:val="00E136B1"/>
    <w:rsid w:val="00E14698"/>
    <w:rsid w:val="00E14CE2"/>
    <w:rsid w:val="00E14D39"/>
    <w:rsid w:val="00E154F8"/>
    <w:rsid w:val="00E15642"/>
    <w:rsid w:val="00E16249"/>
    <w:rsid w:val="00E163A4"/>
    <w:rsid w:val="00E16EC5"/>
    <w:rsid w:val="00E176CC"/>
    <w:rsid w:val="00E17CD1"/>
    <w:rsid w:val="00E20232"/>
    <w:rsid w:val="00E21497"/>
    <w:rsid w:val="00E21A25"/>
    <w:rsid w:val="00E2246B"/>
    <w:rsid w:val="00E22A4C"/>
    <w:rsid w:val="00E22B88"/>
    <w:rsid w:val="00E2332B"/>
    <w:rsid w:val="00E236A4"/>
    <w:rsid w:val="00E24B8F"/>
    <w:rsid w:val="00E25127"/>
    <w:rsid w:val="00E25387"/>
    <w:rsid w:val="00E2567C"/>
    <w:rsid w:val="00E25A9D"/>
    <w:rsid w:val="00E25AD6"/>
    <w:rsid w:val="00E264B5"/>
    <w:rsid w:val="00E273F0"/>
    <w:rsid w:val="00E2749A"/>
    <w:rsid w:val="00E27BD5"/>
    <w:rsid w:val="00E27E15"/>
    <w:rsid w:val="00E30F2C"/>
    <w:rsid w:val="00E321AD"/>
    <w:rsid w:val="00E322E1"/>
    <w:rsid w:val="00E3349D"/>
    <w:rsid w:val="00E33624"/>
    <w:rsid w:val="00E337A6"/>
    <w:rsid w:val="00E354C1"/>
    <w:rsid w:val="00E35E21"/>
    <w:rsid w:val="00E36808"/>
    <w:rsid w:val="00E36A03"/>
    <w:rsid w:val="00E37830"/>
    <w:rsid w:val="00E40550"/>
    <w:rsid w:val="00E40978"/>
    <w:rsid w:val="00E40FA5"/>
    <w:rsid w:val="00E4139F"/>
    <w:rsid w:val="00E42360"/>
    <w:rsid w:val="00E42CDE"/>
    <w:rsid w:val="00E43D04"/>
    <w:rsid w:val="00E44580"/>
    <w:rsid w:val="00E44982"/>
    <w:rsid w:val="00E44AFF"/>
    <w:rsid w:val="00E472CB"/>
    <w:rsid w:val="00E47973"/>
    <w:rsid w:val="00E47B6F"/>
    <w:rsid w:val="00E501EC"/>
    <w:rsid w:val="00E50831"/>
    <w:rsid w:val="00E51166"/>
    <w:rsid w:val="00E51A16"/>
    <w:rsid w:val="00E51A71"/>
    <w:rsid w:val="00E51BDD"/>
    <w:rsid w:val="00E52A71"/>
    <w:rsid w:val="00E5444F"/>
    <w:rsid w:val="00E5456F"/>
    <w:rsid w:val="00E5508A"/>
    <w:rsid w:val="00E5679C"/>
    <w:rsid w:val="00E56C67"/>
    <w:rsid w:val="00E57A11"/>
    <w:rsid w:val="00E60C8D"/>
    <w:rsid w:val="00E63D2E"/>
    <w:rsid w:val="00E64815"/>
    <w:rsid w:val="00E64F91"/>
    <w:rsid w:val="00E66253"/>
    <w:rsid w:val="00E66B81"/>
    <w:rsid w:val="00E67301"/>
    <w:rsid w:val="00E6762A"/>
    <w:rsid w:val="00E67A60"/>
    <w:rsid w:val="00E67ED2"/>
    <w:rsid w:val="00E708BE"/>
    <w:rsid w:val="00E70BCD"/>
    <w:rsid w:val="00E74426"/>
    <w:rsid w:val="00E75261"/>
    <w:rsid w:val="00E75BD3"/>
    <w:rsid w:val="00E75C4F"/>
    <w:rsid w:val="00E75D72"/>
    <w:rsid w:val="00E76603"/>
    <w:rsid w:val="00E76B2F"/>
    <w:rsid w:val="00E76DED"/>
    <w:rsid w:val="00E778FA"/>
    <w:rsid w:val="00E779C0"/>
    <w:rsid w:val="00E82839"/>
    <w:rsid w:val="00E829F2"/>
    <w:rsid w:val="00E82A20"/>
    <w:rsid w:val="00E831E4"/>
    <w:rsid w:val="00E83BD2"/>
    <w:rsid w:val="00E847C2"/>
    <w:rsid w:val="00E84F6F"/>
    <w:rsid w:val="00E8510E"/>
    <w:rsid w:val="00E860B9"/>
    <w:rsid w:val="00E866A9"/>
    <w:rsid w:val="00E8717B"/>
    <w:rsid w:val="00E91202"/>
    <w:rsid w:val="00E91294"/>
    <w:rsid w:val="00E920C0"/>
    <w:rsid w:val="00E924FC"/>
    <w:rsid w:val="00E92536"/>
    <w:rsid w:val="00E928F1"/>
    <w:rsid w:val="00E96457"/>
    <w:rsid w:val="00E97303"/>
    <w:rsid w:val="00EA05A0"/>
    <w:rsid w:val="00EA0DBE"/>
    <w:rsid w:val="00EA0EFF"/>
    <w:rsid w:val="00EA1A2C"/>
    <w:rsid w:val="00EA1F4D"/>
    <w:rsid w:val="00EA2305"/>
    <w:rsid w:val="00EA2B22"/>
    <w:rsid w:val="00EA338E"/>
    <w:rsid w:val="00EA3BA7"/>
    <w:rsid w:val="00EA6A1F"/>
    <w:rsid w:val="00EA7BF7"/>
    <w:rsid w:val="00EB06E9"/>
    <w:rsid w:val="00EB1C0C"/>
    <w:rsid w:val="00EB1CFC"/>
    <w:rsid w:val="00EB27F8"/>
    <w:rsid w:val="00EB2AAE"/>
    <w:rsid w:val="00EB3732"/>
    <w:rsid w:val="00EB49B0"/>
    <w:rsid w:val="00EB5231"/>
    <w:rsid w:val="00EB54E2"/>
    <w:rsid w:val="00EB5760"/>
    <w:rsid w:val="00EB57B8"/>
    <w:rsid w:val="00EB599E"/>
    <w:rsid w:val="00EB5ED0"/>
    <w:rsid w:val="00EB7170"/>
    <w:rsid w:val="00EC09BB"/>
    <w:rsid w:val="00EC0F45"/>
    <w:rsid w:val="00EC12D8"/>
    <w:rsid w:val="00EC1B62"/>
    <w:rsid w:val="00EC1C52"/>
    <w:rsid w:val="00EC1D2D"/>
    <w:rsid w:val="00EC2258"/>
    <w:rsid w:val="00EC379D"/>
    <w:rsid w:val="00EC38B6"/>
    <w:rsid w:val="00EC402E"/>
    <w:rsid w:val="00EC4909"/>
    <w:rsid w:val="00EC4D0D"/>
    <w:rsid w:val="00EC55F5"/>
    <w:rsid w:val="00EC5A2B"/>
    <w:rsid w:val="00EC7EA9"/>
    <w:rsid w:val="00ED05DB"/>
    <w:rsid w:val="00ED0F6C"/>
    <w:rsid w:val="00ED1305"/>
    <w:rsid w:val="00ED1B68"/>
    <w:rsid w:val="00ED1BB6"/>
    <w:rsid w:val="00ED1D0F"/>
    <w:rsid w:val="00ED1DA3"/>
    <w:rsid w:val="00ED30CD"/>
    <w:rsid w:val="00ED3C4A"/>
    <w:rsid w:val="00ED442F"/>
    <w:rsid w:val="00ED457B"/>
    <w:rsid w:val="00ED558B"/>
    <w:rsid w:val="00ED5B9C"/>
    <w:rsid w:val="00EE07E7"/>
    <w:rsid w:val="00EE0FF8"/>
    <w:rsid w:val="00EE1324"/>
    <w:rsid w:val="00EE1948"/>
    <w:rsid w:val="00EE29D1"/>
    <w:rsid w:val="00EE32E8"/>
    <w:rsid w:val="00EE3677"/>
    <w:rsid w:val="00EE4184"/>
    <w:rsid w:val="00EE4ABE"/>
    <w:rsid w:val="00EE4B1C"/>
    <w:rsid w:val="00EE593D"/>
    <w:rsid w:val="00EE6080"/>
    <w:rsid w:val="00EE6A5A"/>
    <w:rsid w:val="00EE71D3"/>
    <w:rsid w:val="00EF0C4B"/>
    <w:rsid w:val="00EF0E8F"/>
    <w:rsid w:val="00EF0F38"/>
    <w:rsid w:val="00EF10A1"/>
    <w:rsid w:val="00EF111F"/>
    <w:rsid w:val="00EF1BA9"/>
    <w:rsid w:val="00EF1D52"/>
    <w:rsid w:val="00EF1EA9"/>
    <w:rsid w:val="00EF33BF"/>
    <w:rsid w:val="00EF39B1"/>
    <w:rsid w:val="00EF44DA"/>
    <w:rsid w:val="00EF4C2E"/>
    <w:rsid w:val="00EF4CEA"/>
    <w:rsid w:val="00EF4E07"/>
    <w:rsid w:val="00EF59F6"/>
    <w:rsid w:val="00EF5A7F"/>
    <w:rsid w:val="00EF61A5"/>
    <w:rsid w:val="00EF7B51"/>
    <w:rsid w:val="00F01153"/>
    <w:rsid w:val="00F0150B"/>
    <w:rsid w:val="00F0173B"/>
    <w:rsid w:val="00F028FF"/>
    <w:rsid w:val="00F02A24"/>
    <w:rsid w:val="00F02BA1"/>
    <w:rsid w:val="00F02F85"/>
    <w:rsid w:val="00F03BB2"/>
    <w:rsid w:val="00F03E3A"/>
    <w:rsid w:val="00F040E7"/>
    <w:rsid w:val="00F04F9D"/>
    <w:rsid w:val="00F05876"/>
    <w:rsid w:val="00F05DEF"/>
    <w:rsid w:val="00F05EAB"/>
    <w:rsid w:val="00F06BD9"/>
    <w:rsid w:val="00F06C70"/>
    <w:rsid w:val="00F073E3"/>
    <w:rsid w:val="00F07C62"/>
    <w:rsid w:val="00F10B2B"/>
    <w:rsid w:val="00F10E7A"/>
    <w:rsid w:val="00F1247B"/>
    <w:rsid w:val="00F12FBA"/>
    <w:rsid w:val="00F13666"/>
    <w:rsid w:val="00F142D4"/>
    <w:rsid w:val="00F14852"/>
    <w:rsid w:val="00F15EED"/>
    <w:rsid w:val="00F1676B"/>
    <w:rsid w:val="00F16A83"/>
    <w:rsid w:val="00F1795B"/>
    <w:rsid w:val="00F17A4F"/>
    <w:rsid w:val="00F200FF"/>
    <w:rsid w:val="00F223BB"/>
    <w:rsid w:val="00F22D1C"/>
    <w:rsid w:val="00F23B17"/>
    <w:rsid w:val="00F246F2"/>
    <w:rsid w:val="00F24831"/>
    <w:rsid w:val="00F24BF7"/>
    <w:rsid w:val="00F2541D"/>
    <w:rsid w:val="00F264B5"/>
    <w:rsid w:val="00F26655"/>
    <w:rsid w:val="00F271CD"/>
    <w:rsid w:val="00F27236"/>
    <w:rsid w:val="00F27ABD"/>
    <w:rsid w:val="00F308C1"/>
    <w:rsid w:val="00F3168B"/>
    <w:rsid w:val="00F317A3"/>
    <w:rsid w:val="00F32BF4"/>
    <w:rsid w:val="00F3334B"/>
    <w:rsid w:val="00F334BC"/>
    <w:rsid w:val="00F33529"/>
    <w:rsid w:val="00F35EEE"/>
    <w:rsid w:val="00F366EA"/>
    <w:rsid w:val="00F36BAB"/>
    <w:rsid w:val="00F37630"/>
    <w:rsid w:val="00F37980"/>
    <w:rsid w:val="00F37A57"/>
    <w:rsid w:val="00F40D35"/>
    <w:rsid w:val="00F412B7"/>
    <w:rsid w:val="00F413A4"/>
    <w:rsid w:val="00F4201F"/>
    <w:rsid w:val="00F43C90"/>
    <w:rsid w:val="00F47273"/>
    <w:rsid w:val="00F47679"/>
    <w:rsid w:val="00F5004D"/>
    <w:rsid w:val="00F50A66"/>
    <w:rsid w:val="00F50C72"/>
    <w:rsid w:val="00F51218"/>
    <w:rsid w:val="00F51ED5"/>
    <w:rsid w:val="00F51FB2"/>
    <w:rsid w:val="00F528FD"/>
    <w:rsid w:val="00F5291A"/>
    <w:rsid w:val="00F53619"/>
    <w:rsid w:val="00F53775"/>
    <w:rsid w:val="00F54855"/>
    <w:rsid w:val="00F554D7"/>
    <w:rsid w:val="00F5649D"/>
    <w:rsid w:val="00F56C4C"/>
    <w:rsid w:val="00F57EC2"/>
    <w:rsid w:val="00F60060"/>
    <w:rsid w:val="00F6050E"/>
    <w:rsid w:val="00F60537"/>
    <w:rsid w:val="00F608BC"/>
    <w:rsid w:val="00F612CA"/>
    <w:rsid w:val="00F613DF"/>
    <w:rsid w:val="00F6321F"/>
    <w:rsid w:val="00F63715"/>
    <w:rsid w:val="00F63D6A"/>
    <w:rsid w:val="00F63E2D"/>
    <w:rsid w:val="00F65A85"/>
    <w:rsid w:val="00F65F5B"/>
    <w:rsid w:val="00F66651"/>
    <w:rsid w:val="00F66D09"/>
    <w:rsid w:val="00F66F5F"/>
    <w:rsid w:val="00F67839"/>
    <w:rsid w:val="00F7223A"/>
    <w:rsid w:val="00F72665"/>
    <w:rsid w:val="00F72807"/>
    <w:rsid w:val="00F72ADC"/>
    <w:rsid w:val="00F7419E"/>
    <w:rsid w:val="00F74619"/>
    <w:rsid w:val="00F74DE6"/>
    <w:rsid w:val="00F751FB"/>
    <w:rsid w:val="00F76072"/>
    <w:rsid w:val="00F77322"/>
    <w:rsid w:val="00F77519"/>
    <w:rsid w:val="00F77AED"/>
    <w:rsid w:val="00F801C7"/>
    <w:rsid w:val="00F8139C"/>
    <w:rsid w:val="00F817BA"/>
    <w:rsid w:val="00F81A39"/>
    <w:rsid w:val="00F81F9F"/>
    <w:rsid w:val="00F829CE"/>
    <w:rsid w:val="00F82B73"/>
    <w:rsid w:val="00F82D9B"/>
    <w:rsid w:val="00F82DAC"/>
    <w:rsid w:val="00F8324F"/>
    <w:rsid w:val="00F83343"/>
    <w:rsid w:val="00F833D5"/>
    <w:rsid w:val="00F840ED"/>
    <w:rsid w:val="00F84712"/>
    <w:rsid w:val="00F84910"/>
    <w:rsid w:val="00F84D67"/>
    <w:rsid w:val="00F8622E"/>
    <w:rsid w:val="00F86AEB"/>
    <w:rsid w:val="00F86B6D"/>
    <w:rsid w:val="00F9071E"/>
    <w:rsid w:val="00F909F1"/>
    <w:rsid w:val="00F90F04"/>
    <w:rsid w:val="00F919DE"/>
    <w:rsid w:val="00F91BC9"/>
    <w:rsid w:val="00F92408"/>
    <w:rsid w:val="00F92789"/>
    <w:rsid w:val="00F927AC"/>
    <w:rsid w:val="00F92B68"/>
    <w:rsid w:val="00F9354A"/>
    <w:rsid w:val="00F93CED"/>
    <w:rsid w:val="00F9487F"/>
    <w:rsid w:val="00F94F15"/>
    <w:rsid w:val="00F95504"/>
    <w:rsid w:val="00F95609"/>
    <w:rsid w:val="00F95A36"/>
    <w:rsid w:val="00F96B63"/>
    <w:rsid w:val="00F97202"/>
    <w:rsid w:val="00F97DB8"/>
    <w:rsid w:val="00FA065A"/>
    <w:rsid w:val="00FA10F4"/>
    <w:rsid w:val="00FA12AC"/>
    <w:rsid w:val="00FA12B8"/>
    <w:rsid w:val="00FA1BCA"/>
    <w:rsid w:val="00FA2186"/>
    <w:rsid w:val="00FA39CA"/>
    <w:rsid w:val="00FA3E3A"/>
    <w:rsid w:val="00FA4102"/>
    <w:rsid w:val="00FA4679"/>
    <w:rsid w:val="00FA4FE7"/>
    <w:rsid w:val="00FA7B9E"/>
    <w:rsid w:val="00FB0A53"/>
    <w:rsid w:val="00FB0AEA"/>
    <w:rsid w:val="00FB1408"/>
    <w:rsid w:val="00FB1B68"/>
    <w:rsid w:val="00FB2F16"/>
    <w:rsid w:val="00FB508A"/>
    <w:rsid w:val="00FB526F"/>
    <w:rsid w:val="00FB5B5A"/>
    <w:rsid w:val="00FB6175"/>
    <w:rsid w:val="00FC001E"/>
    <w:rsid w:val="00FC020C"/>
    <w:rsid w:val="00FC152E"/>
    <w:rsid w:val="00FC254E"/>
    <w:rsid w:val="00FC25BA"/>
    <w:rsid w:val="00FC326F"/>
    <w:rsid w:val="00FC42B8"/>
    <w:rsid w:val="00FC42BC"/>
    <w:rsid w:val="00FC4318"/>
    <w:rsid w:val="00FC62FE"/>
    <w:rsid w:val="00FC6611"/>
    <w:rsid w:val="00FC692E"/>
    <w:rsid w:val="00FC7846"/>
    <w:rsid w:val="00FC7BE9"/>
    <w:rsid w:val="00FD038A"/>
    <w:rsid w:val="00FD14F3"/>
    <w:rsid w:val="00FD1831"/>
    <w:rsid w:val="00FD1907"/>
    <w:rsid w:val="00FD7136"/>
    <w:rsid w:val="00FD723E"/>
    <w:rsid w:val="00FD7E88"/>
    <w:rsid w:val="00FE00CE"/>
    <w:rsid w:val="00FE00EE"/>
    <w:rsid w:val="00FE089B"/>
    <w:rsid w:val="00FE0AD4"/>
    <w:rsid w:val="00FE0C21"/>
    <w:rsid w:val="00FE1088"/>
    <w:rsid w:val="00FE19D5"/>
    <w:rsid w:val="00FE2932"/>
    <w:rsid w:val="00FE2B37"/>
    <w:rsid w:val="00FE2F3F"/>
    <w:rsid w:val="00FE3826"/>
    <w:rsid w:val="00FE4262"/>
    <w:rsid w:val="00FE42BF"/>
    <w:rsid w:val="00FE607C"/>
    <w:rsid w:val="00FE67EB"/>
    <w:rsid w:val="00FE7A8F"/>
    <w:rsid w:val="00FE7EB0"/>
    <w:rsid w:val="00FF0E7E"/>
    <w:rsid w:val="00FF1156"/>
    <w:rsid w:val="00FF12E8"/>
    <w:rsid w:val="00FF1949"/>
    <w:rsid w:val="00FF2568"/>
    <w:rsid w:val="00FF6549"/>
    <w:rsid w:val="00FF715D"/>
    <w:rsid w:val="00FF75C1"/>
    <w:rsid w:val="00FF7A77"/>
    <w:rsid w:val="00FF7D81"/>
    <w:rsid w:val="3E744E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5351"/>
  <w15:docId w15:val="{69B95DD2-4639-4DD0-83D8-5EB92670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E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0071A"/>
    <w:pPr>
      <w:keepNext/>
      <w:keepLines/>
      <w:spacing w:before="480" w:line="276" w:lineRule="auto"/>
      <w:jc w:val="both"/>
      <w:outlineLvl w:val="0"/>
    </w:pPr>
    <w:rPr>
      <w:rFonts w:eastAsiaTheme="majorEastAsia" w:cstheme="majorBidi"/>
      <w:b/>
      <w:bCs/>
      <w:color w:val="000000" w:themeColor="text1"/>
      <w:szCs w:val="28"/>
      <w:lang w:val="en-GB"/>
    </w:rPr>
  </w:style>
  <w:style w:type="paragraph" w:styleId="Heading2">
    <w:name w:val="heading 2"/>
    <w:next w:val="FootnoteText"/>
    <w:link w:val="Heading2Char"/>
    <w:uiPriority w:val="9"/>
    <w:unhideWhenUsed/>
    <w:qFormat/>
    <w:rsid w:val="006D330B"/>
    <w:pPr>
      <w:keepNext/>
      <w:keepLines/>
      <w:spacing w:before="200" w:after="0" w:line="276" w:lineRule="auto"/>
      <w:jc w:val="both"/>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nhideWhenUsed/>
    <w:qFormat/>
    <w:rsid w:val="006D330B"/>
    <w:pPr>
      <w:keepNext/>
      <w:keepLines/>
      <w:spacing w:before="200" w:line="276" w:lineRule="auto"/>
      <w:jc w:val="both"/>
      <w:outlineLvl w:val="2"/>
    </w:pPr>
    <w:rPr>
      <w:rFonts w:eastAsiaTheme="majorEastAsia" w:cstheme="majorBidi"/>
      <w:bCs/>
      <w:i/>
      <w:szCs w:val="22"/>
      <w:lang w:val="en-GB"/>
    </w:rPr>
  </w:style>
  <w:style w:type="paragraph" w:styleId="Heading4">
    <w:name w:val="heading 4"/>
    <w:basedOn w:val="Normal"/>
    <w:next w:val="Normal"/>
    <w:link w:val="Heading4Char"/>
    <w:uiPriority w:val="9"/>
    <w:unhideWhenUsed/>
    <w:qFormat/>
    <w:rsid w:val="006D330B"/>
    <w:pPr>
      <w:keepNext/>
      <w:keepLines/>
      <w:spacing w:before="200" w:line="276" w:lineRule="auto"/>
      <w:jc w:val="both"/>
      <w:outlineLvl w:val="3"/>
    </w:pPr>
    <w:rPr>
      <w:rFonts w:asciiTheme="majorHAnsi" w:eastAsiaTheme="majorEastAsia" w:hAnsiTheme="majorHAnsi" w:cstheme="majorBidi"/>
      <w:b/>
      <w:bCs/>
      <w:i/>
      <w:iCs/>
      <w:color w:val="5B9BD5" w:themeColor="accent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CB4C2B"/>
    <w:pPr>
      <w:jc w:val="both"/>
    </w:pPr>
    <w:rPr>
      <w:rFonts w:asciiTheme="majorHAnsi" w:hAnsiTheme="majorHAnsi" w:cstheme="minorBidi"/>
      <w:sz w:val="20"/>
      <w:szCs w:val="20"/>
      <w:lang w:val="en-GB"/>
    </w:rPr>
  </w:style>
  <w:style w:type="character" w:customStyle="1" w:styleId="FootnoteTextChar">
    <w:name w:val="Footnote Text Char"/>
    <w:basedOn w:val="DefaultParagraphFont"/>
    <w:link w:val="FootnoteText"/>
    <w:uiPriority w:val="99"/>
    <w:rsid w:val="00CB4C2B"/>
    <w:rPr>
      <w:rFonts w:asciiTheme="majorHAnsi" w:hAnsiTheme="majorHAnsi"/>
      <w:sz w:val="20"/>
      <w:szCs w:val="20"/>
    </w:rPr>
  </w:style>
  <w:style w:type="character" w:styleId="FootnoteReference">
    <w:name w:val="footnote reference"/>
    <w:basedOn w:val="DefaultParagraphFont"/>
    <w:uiPriority w:val="99"/>
    <w:unhideWhenUsed/>
    <w:qFormat/>
    <w:rsid w:val="00CB4C2B"/>
    <w:rPr>
      <w:vertAlign w:val="superscript"/>
    </w:rPr>
  </w:style>
  <w:style w:type="paragraph" w:styleId="NoSpacing">
    <w:name w:val="No Spacing"/>
    <w:aliases w:val="pod tabelami"/>
    <w:link w:val="NoSpacingChar"/>
    <w:uiPriority w:val="1"/>
    <w:qFormat/>
    <w:rsid w:val="002B296C"/>
    <w:pPr>
      <w:spacing w:after="0" w:line="240" w:lineRule="auto"/>
    </w:pPr>
    <w:rPr>
      <w:rFonts w:asciiTheme="majorHAnsi" w:hAnsiTheme="majorHAnsi"/>
      <w:sz w:val="18"/>
    </w:rPr>
  </w:style>
  <w:style w:type="character" w:customStyle="1" w:styleId="NoSpacingChar">
    <w:name w:val="No Spacing Char"/>
    <w:aliases w:val="pod tabelami Char"/>
    <w:basedOn w:val="DefaultParagraphFont"/>
    <w:link w:val="NoSpacing"/>
    <w:uiPriority w:val="1"/>
    <w:rsid w:val="002B296C"/>
    <w:rPr>
      <w:rFonts w:asciiTheme="majorHAnsi" w:hAnsiTheme="majorHAnsi"/>
      <w:sz w:val="18"/>
    </w:rPr>
  </w:style>
  <w:style w:type="table" w:customStyle="1" w:styleId="PlainTable21">
    <w:name w:val="Plain Table 21"/>
    <w:basedOn w:val="TableNormal"/>
    <w:uiPriority w:val="42"/>
    <w:rsid w:val="00BC61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BC6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D330B"/>
    <w:pPr>
      <w:tabs>
        <w:tab w:val="center" w:pos="4513"/>
        <w:tab w:val="right" w:pos="9026"/>
      </w:tabs>
    </w:pPr>
    <w:rPr>
      <w:rFonts w:cstheme="minorBidi"/>
      <w:szCs w:val="22"/>
      <w:lang w:val="en-GB"/>
    </w:rPr>
  </w:style>
  <w:style w:type="character" w:customStyle="1" w:styleId="HeaderChar">
    <w:name w:val="Header Char"/>
    <w:basedOn w:val="DefaultParagraphFont"/>
    <w:link w:val="Header"/>
    <w:uiPriority w:val="99"/>
    <w:rsid w:val="006D330B"/>
  </w:style>
  <w:style w:type="paragraph" w:styleId="Footer">
    <w:name w:val="footer"/>
    <w:basedOn w:val="Normal"/>
    <w:link w:val="FooterChar"/>
    <w:uiPriority w:val="99"/>
    <w:unhideWhenUsed/>
    <w:rsid w:val="006D330B"/>
    <w:pPr>
      <w:tabs>
        <w:tab w:val="center" w:pos="4513"/>
        <w:tab w:val="right" w:pos="9026"/>
      </w:tabs>
    </w:pPr>
    <w:rPr>
      <w:rFonts w:cstheme="minorBidi"/>
      <w:szCs w:val="22"/>
      <w:lang w:val="en-GB"/>
    </w:rPr>
  </w:style>
  <w:style w:type="character" w:customStyle="1" w:styleId="FooterChar">
    <w:name w:val="Footer Char"/>
    <w:basedOn w:val="DefaultParagraphFont"/>
    <w:link w:val="Footer"/>
    <w:uiPriority w:val="99"/>
    <w:rsid w:val="006D330B"/>
  </w:style>
  <w:style w:type="character" w:customStyle="1" w:styleId="Heading1Char">
    <w:name w:val="Heading 1 Char"/>
    <w:basedOn w:val="DefaultParagraphFont"/>
    <w:link w:val="Heading1"/>
    <w:uiPriority w:val="9"/>
    <w:rsid w:val="0080071A"/>
    <w:rPr>
      <w:rFonts w:ascii="Times New Roman" w:eastAsiaTheme="majorEastAsia" w:hAnsi="Times New Roman" w:cstheme="majorBidi"/>
      <w:b/>
      <w:bCs/>
      <w:color w:val="000000" w:themeColor="text1"/>
      <w:szCs w:val="28"/>
    </w:rPr>
  </w:style>
  <w:style w:type="character" w:customStyle="1" w:styleId="Heading2Char">
    <w:name w:val="Heading 2 Char"/>
    <w:basedOn w:val="DefaultParagraphFont"/>
    <w:link w:val="Heading2"/>
    <w:uiPriority w:val="9"/>
    <w:rsid w:val="006D330B"/>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rsid w:val="006D330B"/>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6D330B"/>
    <w:rPr>
      <w:rFonts w:asciiTheme="majorHAnsi" w:eastAsiaTheme="majorEastAsia" w:hAnsiTheme="majorHAnsi" w:cstheme="majorBidi"/>
      <w:b/>
      <w:bCs/>
      <w:i/>
      <w:iCs/>
      <w:color w:val="5B9BD5" w:themeColor="accent1"/>
      <w:sz w:val="24"/>
    </w:rPr>
  </w:style>
  <w:style w:type="paragraph" w:styleId="ListParagraph">
    <w:name w:val="List Paragraph"/>
    <w:basedOn w:val="Normal"/>
    <w:uiPriority w:val="34"/>
    <w:qFormat/>
    <w:rsid w:val="006D330B"/>
    <w:pPr>
      <w:spacing w:after="200" w:line="276" w:lineRule="auto"/>
      <w:ind w:left="720"/>
      <w:contextualSpacing/>
      <w:jc w:val="both"/>
    </w:pPr>
    <w:rPr>
      <w:rFonts w:asciiTheme="majorHAnsi" w:hAnsiTheme="majorHAnsi" w:cstheme="minorBidi"/>
      <w:szCs w:val="22"/>
      <w:lang w:val="en-GB"/>
    </w:rPr>
  </w:style>
  <w:style w:type="character" w:styleId="Hyperlink">
    <w:name w:val="Hyperlink"/>
    <w:basedOn w:val="DefaultParagraphFont"/>
    <w:uiPriority w:val="99"/>
    <w:unhideWhenUsed/>
    <w:rsid w:val="006D330B"/>
    <w:rPr>
      <w:color w:val="0563C1" w:themeColor="hyperlink"/>
      <w:u w:val="single"/>
    </w:rPr>
  </w:style>
  <w:style w:type="paragraph" w:styleId="Caption">
    <w:name w:val="caption"/>
    <w:basedOn w:val="Normal"/>
    <w:next w:val="Normal"/>
    <w:uiPriority w:val="35"/>
    <w:unhideWhenUsed/>
    <w:qFormat/>
    <w:rsid w:val="00EB599E"/>
    <w:pPr>
      <w:spacing w:after="200"/>
    </w:pPr>
    <w:rPr>
      <w:rFonts w:cstheme="minorBidi"/>
      <w:i/>
      <w:iCs/>
      <w:color w:val="44546A" w:themeColor="text2"/>
      <w:sz w:val="18"/>
      <w:szCs w:val="18"/>
      <w:lang w:val="en-GB"/>
    </w:rPr>
  </w:style>
  <w:style w:type="paragraph" w:styleId="NormalWeb">
    <w:name w:val="Normal (Web)"/>
    <w:basedOn w:val="Normal"/>
    <w:uiPriority w:val="99"/>
    <w:unhideWhenUsed/>
    <w:rsid w:val="006C56E3"/>
    <w:pPr>
      <w:spacing w:before="100" w:beforeAutospacing="1" w:after="100" w:afterAutospacing="1"/>
    </w:pPr>
    <w:rPr>
      <w:rFonts w:eastAsiaTheme="minorEastAsia"/>
      <w:lang w:val="en-GB" w:eastAsia="en-GB"/>
    </w:rPr>
  </w:style>
  <w:style w:type="table" w:customStyle="1" w:styleId="PlainTable211">
    <w:name w:val="Plain Table 211"/>
    <w:basedOn w:val="TableNormal"/>
    <w:uiPriority w:val="42"/>
    <w:rsid w:val="00877D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04E39"/>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04E39"/>
    <w:rPr>
      <w:rFonts w:ascii="Segoe UI" w:hAnsi="Segoe UI" w:cs="Segoe UI"/>
      <w:sz w:val="18"/>
      <w:szCs w:val="18"/>
    </w:rPr>
  </w:style>
  <w:style w:type="character" w:styleId="PlaceholderText">
    <w:name w:val="Placeholder Text"/>
    <w:basedOn w:val="DefaultParagraphFont"/>
    <w:uiPriority w:val="99"/>
    <w:semiHidden/>
    <w:rsid w:val="006F1847"/>
    <w:rPr>
      <w:color w:val="808080"/>
    </w:rPr>
  </w:style>
  <w:style w:type="character" w:styleId="CommentReference">
    <w:name w:val="annotation reference"/>
    <w:basedOn w:val="DefaultParagraphFont"/>
    <w:uiPriority w:val="99"/>
    <w:semiHidden/>
    <w:unhideWhenUsed/>
    <w:rsid w:val="00DB6C67"/>
    <w:rPr>
      <w:sz w:val="16"/>
      <w:szCs w:val="16"/>
    </w:rPr>
  </w:style>
  <w:style w:type="paragraph" w:styleId="CommentText">
    <w:name w:val="annotation text"/>
    <w:basedOn w:val="Normal"/>
    <w:link w:val="CommentTextChar"/>
    <w:uiPriority w:val="99"/>
    <w:unhideWhenUsed/>
    <w:rsid w:val="00DB6C67"/>
    <w:pPr>
      <w:spacing w:after="160"/>
    </w:pPr>
    <w:rPr>
      <w:rFonts w:cstheme="minorBidi"/>
      <w:sz w:val="20"/>
      <w:szCs w:val="20"/>
      <w:lang w:val="en-GB"/>
    </w:rPr>
  </w:style>
  <w:style w:type="character" w:customStyle="1" w:styleId="CommentTextChar">
    <w:name w:val="Comment Text Char"/>
    <w:basedOn w:val="DefaultParagraphFont"/>
    <w:link w:val="CommentText"/>
    <w:uiPriority w:val="99"/>
    <w:rsid w:val="00DB6C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6C67"/>
    <w:rPr>
      <w:b/>
      <w:bCs/>
    </w:rPr>
  </w:style>
  <w:style w:type="character" w:customStyle="1" w:styleId="CommentSubjectChar">
    <w:name w:val="Comment Subject Char"/>
    <w:basedOn w:val="CommentTextChar"/>
    <w:link w:val="CommentSubject"/>
    <w:uiPriority w:val="99"/>
    <w:semiHidden/>
    <w:rsid w:val="00DB6C67"/>
    <w:rPr>
      <w:rFonts w:ascii="Times New Roman" w:hAnsi="Times New Roman"/>
      <w:b/>
      <w:bCs/>
      <w:sz w:val="20"/>
      <w:szCs w:val="20"/>
    </w:rPr>
  </w:style>
  <w:style w:type="paragraph" w:customStyle="1" w:styleId="volissue">
    <w:name w:val="volissue"/>
    <w:basedOn w:val="Normal"/>
    <w:rsid w:val="005E2987"/>
    <w:pPr>
      <w:spacing w:before="100" w:beforeAutospacing="1" w:after="100" w:afterAutospacing="1"/>
    </w:pPr>
  </w:style>
  <w:style w:type="character" w:styleId="LineNumber">
    <w:name w:val="line number"/>
    <w:basedOn w:val="DefaultParagraphFont"/>
    <w:uiPriority w:val="99"/>
    <w:semiHidden/>
    <w:unhideWhenUsed/>
    <w:rsid w:val="00DD6954"/>
  </w:style>
  <w:style w:type="paragraph" w:customStyle="1" w:styleId="01aDBTitle">
    <w:name w:val="01a_DB_Title"/>
    <w:basedOn w:val="Normal"/>
    <w:rsid w:val="009E673E"/>
    <w:pPr>
      <w:spacing w:line="400" w:lineRule="exact"/>
      <w:jc w:val="right"/>
    </w:pPr>
    <w:rPr>
      <w:rFonts w:ascii="Arial" w:eastAsia="Times New Roman" w:hAnsi="Arial"/>
      <w:b/>
      <w:color w:val="2D4190"/>
      <w:sz w:val="40"/>
      <w:lang w:val="en-GB" w:eastAsia="de-DE"/>
    </w:rPr>
  </w:style>
  <w:style w:type="table" w:customStyle="1" w:styleId="ListTable7Colorful1">
    <w:name w:val="List Table 7 Colorful1"/>
    <w:basedOn w:val="TableNormal"/>
    <w:uiPriority w:val="52"/>
    <w:rsid w:val="001225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1225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1C6C4C"/>
    <w:rPr>
      <w:color w:val="808080"/>
      <w:shd w:val="clear" w:color="auto" w:fill="E6E6E6"/>
    </w:rPr>
  </w:style>
  <w:style w:type="paragraph" w:styleId="Revision">
    <w:name w:val="Revision"/>
    <w:hidden/>
    <w:uiPriority w:val="99"/>
    <w:semiHidden/>
    <w:rsid w:val="0014103F"/>
    <w:pPr>
      <w:spacing w:after="0" w:line="240" w:lineRule="auto"/>
    </w:pPr>
    <w:rPr>
      <w:rFonts w:ascii="Times New Roman" w:hAnsi="Times New Roman" w:cs="Times New Roman"/>
      <w:sz w:val="24"/>
      <w:szCs w:val="24"/>
      <w:lang w:val="en-US"/>
    </w:rPr>
  </w:style>
  <w:style w:type="paragraph" w:styleId="HTMLAddress">
    <w:name w:val="HTML Address"/>
    <w:basedOn w:val="Normal"/>
    <w:link w:val="HTMLAddressChar"/>
    <w:uiPriority w:val="99"/>
    <w:semiHidden/>
    <w:unhideWhenUsed/>
    <w:rsid w:val="00E0476C"/>
    <w:rPr>
      <w:rFonts w:eastAsia="Times New Roman"/>
      <w:i/>
      <w:iCs/>
      <w:lang w:val="en-GB" w:eastAsia="en-GB"/>
    </w:rPr>
  </w:style>
  <w:style w:type="character" w:customStyle="1" w:styleId="HTMLAddressChar">
    <w:name w:val="HTML Address Char"/>
    <w:basedOn w:val="DefaultParagraphFont"/>
    <w:link w:val="HTMLAddress"/>
    <w:uiPriority w:val="99"/>
    <w:semiHidden/>
    <w:rsid w:val="00E0476C"/>
    <w:rPr>
      <w:rFonts w:ascii="Times New Roman" w:eastAsia="Times New Roman" w:hAnsi="Times New Roman" w:cs="Times New Roman"/>
      <w:i/>
      <w:iCs/>
      <w:sz w:val="24"/>
      <w:szCs w:val="24"/>
      <w:lang w:eastAsia="en-GB"/>
    </w:rPr>
  </w:style>
  <w:style w:type="character" w:styleId="Strong">
    <w:name w:val="Strong"/>
    <w:basedOn w:val="DefaultParagraphFont"/>
    <w:uiPriority w:val="22"/>
    <w:qFormat/>
    <w:rsid w:val="00E0476C"/>
    <w:rPr>
      <w:b/>
      <w:bCs/>
    </w:rPr>
  </w:style>
  <w:style w:type="character" w:customStyle="1" w:styleId="style15">
    <w:name w:val="style15"/>
    <w:basedOn w:val="DefaultParagraphFont"/>
    <w:rsid w:val="00E0476C"/>
  </w:style>
  <w:style w:type="numbering" w:customStyle="1" w:styleId="NoList1">
    <w:name w:val="No List1"/>
    <w:next w:val="NoList"/>
    <w:uiPriority w:val="99"/>
    <w:semiHidden/>
    <w:unhideWhenUsed/>
    <w:rsid w:val="00445458"/>
  </w:style>
  <w:style w:type="numbering" w:customStyle="1" w:styleId="Style1">
    <w:name w:val="Style1"/>
    <w:uiPriority w:val="99"/>
    <w:rsid w:val="00445458"/>
    <w:pPr>
      <w:numPr>
        <w:numId w:val="2"/>
      </w:numPr>
    </w:pPr>
  </w:style>
  <w:style w:type="character" w:styleId="Emphasis">
    <w:name w:val="Emphasis"/>
    <w:uiPriority w:val="20"/>
    <w:qFormat/>
    <w:rsid w:val="00445458"/>
    <w:rPr>
      <w:i/>
      <w:iCs/>
    </w:rPr>
  </w:style>
  <w:style w:type="paragraph" w:styleId="z-TopofForm">
    <w:name w:val="HTML Top of Form"/>
    <w:basedOn w:val="Normal"/>
    <w:next w:val="Normal"/>
    <w:link w:val="z-TopofFormChar"/>
    <w:hidden/>
    <w:uiPriority w:val="99"/>
    <w:unhideWhenUsed/>
    <w:rsid w:val="00445458"/>
    <w:pPr>
      <w:pBdr>
        <w:bottom w:val="single" w:sz="6" w:space="1" w:color="auto"/>
      </w:pBdr>
      <w:autoSpaceDE w:val="0"/>
      <w:autoSpaceDN w:val="0"/>
      <w:adjustRightInd w:val="0"/>
      <w:contextualSpacing/>
      <w:jc w:val="center"/>
    </w:pPr>
    <w:rPr>
      <w:rFonts w:ascii="Arial" w:eastAsia="Times New Roman" w:hAnsi="Arial"/>
      <w:vanish/>
      <w:sz w:val="16"/>
      <w:szCs w:val="16"/>
      <w:lang w:val="en-GB" w:eastAsia="en-GB"/>
    </w:rPr>
  </w:style>
  <w:style w:type="character" w:customStyle="1" w:styleId="z-TopofFormChar">
    <w:name w:val="z-Top of Form Char"/>
    <w:basedOn w:val="DefaultParagraphFont"/>
    <w:link w:val="z-TopofForm"/>
    <w:uiPriority w:val="99"/>
    <w:rsid w:val="00445458"/>
    <w:rPr>
      <w:rFonts w:ascii="Arial" w:eastAsia="Times New Roman" w:hAnsi="Arial" w:cs="Times New Roman"/>
      <w:vanish/>
      <w:sz w:val="16"/>
      <w:szCs w:val="16"/>
      <w:lang w:eastAsia="en-GB"/>
    </w:rPr>
  </w:style>
  <w:style w:type="paragraph" w:styleId="z-BottomofForm">
    <w:name w:val="HTML Bottom of Form"/>
    <w:basedOn w:val="Normal"/>
    <w:next w:val="Normal"/>
    <w:link w:val="z-BottomofFormChar"/>
    <w:hidden/>
    <w:uiPriority w:val="99"/>
    <w:unhideWhenUsed/>
    <w:rsid w:val="00445458"/>
    <w:pPr>
      <w:pBdr>
        <w:top w:val="single" w:sz="6" w:space="1" w:color="auto"/>
      </w:pBdr>
      <w:autoSpaceDE w:val="0"/>
      <w:autoSpaceDN w:val="0"/>
      <w:adjustRightInd w:val="0"/>
      <w:contextualSpacing/>
      <w:jc w:val="center"/>
    </w:pPr>
    <w:rPr>
      <w:rFonts w:ascii="Arial" w:eastAsia="Times New Roman" w:hAnsi="Arial"/>
      <w:vanish/>
      <w:sz w:val="16"/>
      <w:szCs w:val="16"/>
      <w:lang w:val="en-GB" w:eastAsia="en-GB"/>
    </w:rPr>
  </w:style>
  <w:style w:type="character" w:customStyle="1" w:styleId="z-BottomofFormChar">
    <w:name w:val="z-Bottom of Form Char"/>
    <w:basedOn w:val="DefaultParagraphFont"/>
    <w:link w:val="z-BottomofForm"/>
    <w:uiPriority w:val="99"/>
    <w:rsid w:val="00445458"/>
    <w:rPr>
      <w:rFonts w:ascii="Arial" w:eastAsia="Times New Roman" w:hAnsi="Arial" w:cs="Times New Roman"/>
      <w:vanish/>
      <w:sz w:val="16"/>
      <w:szCs w:val="16"/>
      <w:lang w:eastAsia="en-GB"/>
    </w:rPr>
  </w:style>
  <w:style w:type="paragraph" w:styleId="HTMLPreformatted">
    <w:name w:val="HTML Preformatted"/>
    <w:basedOn w:val="Normal"/>
    <w:link w:val="HTMLPreformattedChar"/>
    <w:uiPriority w:val="99"/>
    <w:semiHidden/>
    <w:unhideWhenUsed/>
    <w:rsid w:val="0044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Pr>
      <w:rFonts w:ascii="Courier New" w:eastAsia="Times New Roman" w:hAnsi="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45458"/>
    <w:rPr>
      <w:rFonts w:ascii="Courier New" w:eastAsia="Times New Roman" w:hAnsi="Courier New" w:cs="Times New Roman"/>
      <w:sz w:val="20"/>
      <w:szCs w:val="20"/>
      <w:lang w:eastAsia="en-GB"/>
    </w:rPr>
  </w:style>
  <w:style w:type="paragraph" w:styleId="TableofFigures">
    <w:name w:val="table of figures"/>
    <w:basedOn w:val="Normal"/>
    <w:next w:val="Normal"/>
    <w:uiPriority w:val="99"/>
    <w:semiHidden/>
    <w:unhideWhenUsed/>
    <w:rsid w:val="00445458"/>
    <w:pPr>
      <w:autoSpaceDE w:val="0"/>
      <w:autoSpaceDN w:val="0"/>
      <w:adjustRightInd w:val="0"/>
      <w:spacing w:line="480" w:lineRule="auto"/>
      <w:contextualSpacing/>
      <w:jc w:val="both"/>
    </w:pPr>
    <w:rPr>
      <w:rFonts w:ascii="Calibri" w:eastAsia="Times New Roman" w:hAnsi="Calibri"/>
      <w:lang w:val="en-GB" w:eastAsia="en-GB"/>
    </w:rPr>
  </w:style>
  <w:style w:type="paragraph" w:styleId="EndnoteText">
    <w:name w:val="endnote text"/>
    <w:basedOn w:val="Normal"/>
    <w:link w:val="EndnoteTextChar"/>
    <w:uiPriority w:val="99"/>
    <w:semiHidden/>
    <w:unhideWhenUsed/>
    <w:rsid w:val="00445458"/>
    <w:pPr>
      <w:autoSpaceDE w:val="0"/>
      <w:autoSpaceDN w:val="0"/>
      <w:adjustRightInd w:val="0"/>
      <w:contextualSpacing/>
      <w:jc w:val="both"/>
    </w:pPr>
    <w:rPr>
      <w:rFonts w:ascii="Calibri" w:eastAsia="Times New Roman" w:hAnsi="Calibri"/>
      <w:sz w:val="20"/>
      <w:szCs w:val="20"/>
      <w:lang w:val="en-GB" w:eastAsia="en-GB"/>
    </w:rPr>
  </w:style>
  <w:style w:type="character" w:customStyle="1" w:styleId="EndnoteTextChar">
    <w:name w:val="Endnote Text Char"/>
    <w:basedOn w:val="DefaultParagraphFont"/>
    <w:link w:val="EndnoteText"/>
    <w:uiPriority w:val="99"/>
    <w:semiHidden/>
    <w:rsid w:val="00445458"/>
    <w:rPr>
      <w:rFonts w:ascii="Calibri" w:eastAsia="Times New Roman" w:hAnsi="Calibri" w:cs="Times New Roman"/>
      <w:sz w:val="20"/>
      <w:szCs w:val="20"/>
      <w:lang w:eastAsia="en-GB"/>
    </w:rPr>
  </w:style>
  <w:style w:type="character" w:styleId="EndnoteReference">
    <w:name w:val="endnote reference"/>
    <w:uiPriority w:val="99"/>
    <w:semiHidden/>
    <w:unhideWhenUsed/>
    <w:rsid w:val="00445458"/>
    <w:rPr>
      <w:vertAlign w:val="superscript"/>
    </w:rPr>
  </w:style>
  <w:style w:type="paragraph" w:customStyle="1" w:styleId="a">
    <w:name w:val=".."/>
    <w:basedOn w:val="Normal"/>
    <w:next w:val="Normal"/>
    <w:rsid w:val="00445458"/>
    <w:pPr>
      <w:autoSpaceDE w:val="0"/>
      <w:autoSpaceDN w:val="0"/>
      <w:adjustRightInd w:val="0"/>
      <w:contextualSpacing/>
      <w:jc w:val="both"/>
    </w:pPr>
    <w:rPr>
      <w:rFonts w:eastAsia="Calibri"/>
      <w:lang w:val="en-GB" w:eastAsia="en-GB"/>
    </w:rPr>
  </w:style>
  <w:style w:type="paragraph" w:styleId="ListBullet">
    <w:name w:val="List Bullet"/>
    <w:basedOn w:val="Normal"/>
    <w:uiPriority w:val="99"/>
    <w:unhideWhenUsed/>
    <w:rsid w:val="00445458"/>
    <w:pPr>
      <w:tabs>
        <w:tab w:val="num" w:pos="360"/>
      </w:tabs>
      <w:autoSpaceDE w:val="0"/>
      <w:autoSpaceDN w:val="0"/>
      <w:adjustRightInd w:val="0"/>
      <w:spacing w:line="480" w:lineRule="auto"/>
      <w:ind w:left="360" w:hanging="360"/>
      <w:contextualSpacing/>
      <w:jc w:val="both"/>
    </w:pPr>
    <w:rPr>
      <w:rFonts w:eastAsia="Times New Roman"/>
      <w:lang w:val="en-GB" w:eastAsia="en-GB"/>
    </w:rPr>
  </w:style>
  <w:style w:type="paragraph" w:customStyle="1" w:styleId="Table1">
    <w:name w:val="Table 1"/>
    <w:basedOn w:val="Caption"/>
    <w:autoRedefine/>
    <w:qFormat/>
    <w:rsid w:val="00445458"/>
    <w:pPr>
      <w:keepNext/>
      <w:autoSpaceDE w:val="0"/>
      <w:autoSpaceDN w:val="0"/>
      <w:adjustRightInd w:val="0"/>
      <w:spacing w:after="0" w:line="276" w:lineRule="auto"/>
      <w:contextualSpacing/>
      <w:jc w:val="both"/>
    </w:pPr>
    <w:rPr>
      <w:rFonts w:eastAsia="Times New Roman" w:cs="Times New Roman"/>
      <w:b/>
      <w:bCs/>
      <w:i w:val="0"/>
      <w:iCs w:val="0"/>
      <w:color w:val="auto"/>
      <w:szCs w:val="20"/>
      <w:lang w:eastAsia="en-GB"/>
    </w:rPr>
  </w:style>
  <w:style w:type="paragraph" w:customStyle="1" w:styleId="Default">
    <w:name w:val="Default"/>
    <w:rsid w:val="00445458"/>
    <w:pPr>
      <w:autoSpaceDE w:val="0"/>
      <w:autoSpaceDN w:val="0"/>
      <w:adjustRightInd w:val="0"/>
      <w:spacing w:after="0" w:line="276" w:lineRule="auto"/>
      <w:jc w:val="both"/>
    </w:pPr>
    <w:rPr>
      <w:rFonts w:ascii="Arial Black" w:eastAsia="Times New Roman" w:hAnsi="Arial Black" w:cs="Arial Black"/>
      <w:color w:val="000000"/>
      <w:sz w:val="24"/>
      <w:szCs w:val="24"/>
      <w:lang w:eastAsia="en-GB"/>
    </w:rPr>
  </w:style>
  <w:style w:type="paragraph" w:styleId="TOCHeading">
    <w:name w:val="TOC Heading"/>
    <w:basedOn w:val="Heading1"/>
    <w:next w:val="Normal"/>
    <w:uiPriority w:val="39"/>
    <w:unhideWhenUsed/>
    <w:qFormat/>
    <w:rsid w:val="00445458"/>
    <w:pPr>
      <w:autoSpaceDE w:val="0"/>
      <w:autoSpaceDN w:val="0"/>
      <w:adjustRightInd w:val="0"/>
      <w:jc w:val="left"/>
      <w:outlineLvl w:val="9"/>
    </w:pPr>
    <w:rPr>
      <w:rFonts w:ascii="Cambria" w:eastAsia="Times New Roman" w:hAnsi="Cambria" w:cs="Times New Roman"/>
      <w:color w:val="365F91"/>
      <w:sz w:val="28"/>
      <w:lang w:val="en-US" w:eastAsia="en-GB"/>
    </w:rPr>
  </w:style>
  <w:style w:type="paragraph" w:styleId="TOC1">
    <w:name w:val="toc 1"/>
    <w:basedOn w:val="Normal"/>
    <w:next w:val="Normal"/>
    <w:autoRedefine/>
    <w:uiPriority w:val="39"/>
    <w:unhideWhenUsed/>
    <w:rsid w:val="00445458"/>
    <w:pPr>
      <w:autoSpaceDE w:val="0"/>
      <w:autoSpaceDN w:val="0"/>
      <w:adjustRightInd w:val="0"/>
      <w:spacing w:after="100" w:line="480" w:lineRule="auto"/>
      <w:contextualSpacing/>
      <w:jc w:val="both"/>
    </w:pPr>
    <w:rPr>
      <w:rFonts w:eastAsia="Times New Roman"/>
      <w:lang w:val="en-GB" w:eastAsia="en-GB"/>
    </w:rPr>
  </w:style>
  <w:style w:type="paragraph" w:styleId="TOC2">
    <w:name w:val="toc 2"/>
    <w:basedOn w:val="Normal"/>
    <w:next w:val="Normal"/>
    <w:autoRedefine/>
    <w:uiPriority w:val="39"/>
    <w:unhideWhenUsed/>
    <w:rsid w:val="00445458"/>
    <w:pPr>
      <w:autoSpaceDE w:val="0"/>
      <w:autoSpaceDN w:val="0"/>
      <w:adjustRightInd w:val="0"/>
      <w:spacing w:after="100" w:line="480" w:lineRule="auto"/>
      <w:ind w:left="220"/>
      <w:contextualSpacing/>
      <w:jc w:val="both"/>
    </w:pPr>
    <w:rPr>
      <w:rFonts w:eastAsia="Times New Roman"/>
      <w:lang w:val="en-GB" w:eastAsia="en-GB"/>
    </w:rPr>
  </w:style>
  <w:style w:type="paragraph" w:styleId="TOC3">
    <w:name w:val="toc 3"/>
    <w:basedOn w:val="Normal"/>
    <w:next w:val="Normal"/>
    <w:autoRedefine/>
    <w:uiPriority w:val="39"/>
    <w:unhideWhenUsed/>
    <w:rsid w:val="00445458"/>
    <w:pPr>
      <w:autoSpaceDE w:val="0"/>
      <w:autoSpaceDN w:val="0"/>
      <w:adjustRightInd w:val="0"/>
      <w:spacing w:after="100" w:line="480" w:lineRule="auto"/>
      <w:ind w:left="440"/>
      <w:contextualSpacing/>
      <w:jc w:val="both"/>
    </w:pPr>
    <w:rPr>
      <w:rFonts w:eastAsia="Times New Roman"/>
      <w:lang w:val="en-GB" w:eastAsia="en-GB"/>
    </w:rPr>
  </w:style>
  <w:style w:type="paragraph" w:customStyle="1" w:styleId="Style2">
    <w:name w:val="Style2"/>
    <w:basedOn w:val="Heading2"/>
    <w:link w:val="Style2Char"/>
    <w:autoRedefine/>
    <w:qFormat/>
    <w:rsid w:val="00445458"/>
    <w:pPr>
      <w:keepNext w:val="0"/>
      <w:keepLines w:val="0"/>
      <w:autoSpaceDE w:val="0"/>
      <w:autoSpaceDN w:val="0"/>
      <w:adjustRightInd w:val="0"/>
      <w:spacing w:before="0"/>
      <w:contextualSpacing/>
      <w:outlineLvl w:val="9"/>
    </w:pPr>
    <w:rPr>
      <w:rFonts w:eastAsia="Times New Roman" w:cs="Times New Roman"/>
      <w:b/>
      <w:bCs w:val="0"/>
      <w:i w:val="0"/>
      <w:sz w:val="18"/>
      <w:szCs w:val="24"/>
      <w:lang w:eastAsia="en-GB"/>
    </w:rPr>
  </w:style>
  <w:style w:type="paragraph" w:styleId="TOC4">
    <w:name w:val="toc 4"/>
    <w:basedOn w:val="Normal"/>
    <w:next w:val="Normal"/>
    <w:autoRedefine/>
    <w:uiPriority w:val="39"/>
    <w:unhideWhenUsed/>
    <w:rsid w:val="00445458"/>
    <w:pPr>
      <w:tabs>
        <w:tab w:val="right" w:leader="dot" w:pos="9016"/>
      </w:tabs>
      <w:autoSpaceDE w:val="0"/>
      <w:autoSpaceDN w:val="0"/>
      <w:adjustRightInd w:val="0"/>
      <w:spacing w:after="100" w:line="480" w:lineRule="auto"/>
      <w:contextualSpacing/>
      <w:jc w:val="both"/>
    </w:pPr>
    <w:rPr>
      <w:rFonts w:eastAsia="Times New Roman"/>
      <w:lang w:val="en-GB" w:eastAsia="en-GB"/>
    </w:rPr>
  </w:style>
  <w:style w:type="character" w:customStyle="1" w:styleId="Style2Char">
    <w:name w:val="Style2 Char"/>
    <w:link w:val="Style2"/>
    <w:rsid w:val="00445458"/>
    <w:rPr>
      <w:rFonts w:ascii="Times New Roman" w:eastAsia="Times New Roman" w:hAnsi="Times New Roman" w:cs="Times New Roman"/>
      <w:b/>
      <w:sz w:val="18"/>
      <w:szCs w:val="24"/>
      <w:lang w:eastAsia="en-GB"/>
    </w:rPr>
  </w:style>
  <w:style w:type="table" w:customStyle="1" w:styleId="Style3">
    <w:name w:val="Style3"/>
    <w:basedOn w:val="TableNormal"/>
    <w:uiPriority w:val="99"/>
    <w:qFormat/>
    <w:rsid w:val="00445458"/>
    <w:pPr>
      <w:spacing w:after="0" w:line="276" w:lineRule="auto"/>
      <w:jc w:val="both"/>
    </w:pPr>
    <w:rPr>
      <w:rFonts w:ascii="Calibri" w:eastAsia="Calibri" w:hAnsi="Calibri" w:cs="Times New Roman"/>
      <w:sz w:val="20"/>
      <w:szCs w:val="20"/>
      <w:lang w:eastAsia="en-GB"/>
    </w:rPr>
    <w:tblPr/>
    <w:trPr>
      <w:tblHeader/>
    </w:trPr>
    <w:tcPr>
      <w:vAlign w:val="center"/>
    </w:tcPr>
  </w:style>
  <w:style w:type="numbering" w:customStyle="1" w:styleId="NoList2">
    <w:name w:val="No List2"/>
    <w:next w:val="NoList"/>
    <w:uiPriority w:val="99"/>
    <w:semiHidden/>
    <w:unhideWhenUsed/>
    <w:rsid w:val="00445458"/>
  </w:style>
  <w:style w:type="numbering" w:customStyle="1" w:styleId="NoList3">
    <w:name w:val="No List3"/>
    <w:next w:val="NoList"/>
    <w:uiPriority w:val="99"/>
    <w:semiHidden/>
    <w:unhideWhenUsed/>
    <w:rsid w:val="00445458"/>
  </w:style>
  <w:style w:type="numbering" w:customStyle="1" w:styleId="NoList4">
    <w:name w:val="No List4"/>
    <w:next w:val="NoList"/>
    <w:uiPriority w:val="99"/>
    <w:semiHidden/>
    <w:unhideWhenUsed/>
    <w:rsid w:val="00445458"/>
  </w:style>
  <w:style w:type="character" w:customStyle="1" w:styleId="ft">
    <w:name w:val="ft"/>
    <w:basedOn w:val="DefaultParagraphFont"/>
    <w:rsid w:val="00445458"/>
  </w:style>
  <w:style w:type="character" w:customStyle="1" w:styleId="apple-converted-space">
    <w:name w:val="apple-converted-space"/>
    <w:basedOn w:val="DefaultParagraphFont"/>
    <w:rsid w:val="00445458"/>
  </w:style>
  <w:style w:type="paragraph" w:styleId="Bibliography">
    <w:name w:val="Bibliography"/>
    <w:basedOn w:val="Normal"/>
    <w:next w:val="Normal"/>
    <w:uiPriority w:val="37"/>
    <w:unhideWhenUsed/>
    <w:rsid w:val="00445458"/>
    <w:pPr>
      <w:spacing w:after="200" w:line="276" w:lineRule="auto"/>
    </w:pPr>
    <w:rPr>
      <w:rFonts w:asciiTheme="minorHAnsi" w:eastAsiaTheme="minorEastAsia" w:hAnsiTheme="minorHAnsi" w:cstheme="minorBidi"/>
      <w:sz w:val="22"/>
      <w:szCs w:val="22"/>
      <w:lang w:val="en-GB" w:eastAsia="en-GB"/>
    </w:rPr>
  </w:style>
  <w:style w:type="character" w:customStyle="1" w:styleId="author">
    <w:name w:val="author"/>
    <w:basedOn w:val="DefaultParagraphFont"/>
    <w:rsid w:val="00D5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204">
      <w:bodyDiv w:val="1"/>
      <w:marLeft w:val="0"/>
      <w:marRight w:val="0"/>
      <w:marTop w:val="0"/>
      <w:marBottom w:val="0"/>
      <w:divBdr>
        <w:top w:val="none" w:sz="0" w:space="0" w:color="auto"/>
        <w:left w:val="none" w:sz="0" w:space="0" w:color="auto"/>
        <w:bottom w:val="none" w:sz="0" w:space="0" w:color="auto"/>
        <w:right w:val="none" w:sz="0" w:space="0" w:color="auto"/>
      </w:divBdr>
    </w:div>
    <w:div w:id="130832558">
      <w:bodyDiv w:val="1"/>
      <w:marLeft w:val="0"/>
      <w:marRight w:val="0"/>
      <w:marTop w:val="0"/>
      <w:marBottom w:val="0"/>
      <w:divBdr>
        <w:top w:val="none" w:sz="0" w:space="0" w:color="auto"/>
        <w:left w:val="none" w:sz="0" w:space="0" w:color="auto"/>
        <w:bottom w:val="none" w:sz="0" w:space="0" w:color="auto"/>
        <w:right w:val="none" w:sz="0" w:space="0" w:color="auto"/>
      </w:divBdr>
    </w:div>
    <w:div w:id="227308678">
      <w:bodyDiv w:val="1"/>
      <w:marLeft w:val="0"/>
      <w:marRight w:val="0"/>
      <w:marTop w:val="0"/>
      <w:marBottom w:val="0"/>
      <w:divBdr>
        <w:top w:val="none" w:sz="0" w:space="0" w:color="auto"/>
        <w:left w:val="none" w:sz="0" w:space="0" w:color="auto"/>
        <w:bottom w:val="none" w:sz="0" w:space="0" w:color="auto"/>
        <w:right w:val="none" w:sz="0" w:space="0" w:color="auto"/>
      </w:divBdr>
    </w:div>
    <w:div w:id="229002128">
      <w:bodyDiv w:val="1"/>
      <w:marLeft w:val="0"/>
      <w:marRight w:val="0"/>
      <w:marTop w:val="0"/>
      <w:marBottom w:val="0"/>
      <w:divBdr>
        <w:top w:val="none" w:sz="0" w:space="0" w:color="auto"/>
        <w:left w:val="none" w:sz="0" w:space="0" w:color="auto"/>
        <w:bottom w:val="none" w:sz="0" w:space="0" w:color="auto"/>
        <w:right w:val="none" w:sz="0" w:space="0" w:color="auto"/>
      </w:divBdr>
    </w:div>
    <w:div w:id="246504031">
      <w:bodyDiv w:val="1"/>
      <w:marLeft w:val="0"/>
      <w:marRight w:val="0"/>
      <w:marTop w:val="0"/>
      <w:marBottom w:val="0"/>
      <w:divBdr>
        <w:top w:val="none" w:sz="0" w:space="0" w:color="auto"/>
        <w:left w:val="none" w:sz="0" w:space="0" w:color="auto"/>
        <w:bottom w:val="none" w:sz="0" w:space="0" w:color="auto"/>
        <w:right w:val="none" w:sz="0" w:space="0" w:color="auto"/>
      </w:divBdr>
    </w:div>
    <w:div w:id="249969730">
      <w:bodyDiv w:val="1"/>
      <w:marLeft w:val="0"/>
      <w:marRight w:val="0"/>
      <w:marTop w:val="0"/>
      <w:marBottom w:val="0"/>
      <w:divBdr>
        <w:top w:val="none" w:sz="0" w:space="0" w:color="auto"/>
        <w:left w:val="none" w:sz="0" w:space="0" w:color="auto"/>
        <w:bottom w:val="none" w:sz="0" w:space="0" w:color="auto"/>
        <w:right w:val="none" w:sz="0" w:space="0" w:color="auto"/>
      </w:divBdr>
    </w:div>
    <w:div w:id="280502260">
      <w:bodyDiv w:val="1"/>
      <w:marLeft w:val="0"/>
      <w:marRight w:val="0"/>
      <w:marTop w:val="0"/>
      <w:marBottom w:val="0"/>
      <w:divBdr>
        <w:top w:val="none" w:sz="0" w:space="0" w:color="auto"/>
        <w:left w:val="none" w:sz="0" w:space="0" w:color="auto"/>
        <w:bottom w:val="none" w:sz="0" w:space="0" w:color="auto"/>
        <w:right w:val="none" w:sz="0" w:space="0" w:color="auto"/>
      </w:divBdr>
    </w:div>
    <w:div w:id="301694540">
      <w:bodyDiv w:val="1"/>
      <w:marLeft w:val="0"/>
      <w:marRight w:val="0"/>
      <w:marTop w:val="0"/>
      <w:marBottom w:val="0"/>
      <w:divBdr>
        <w:top w:val="none" w:sz="0" w:space="0" w:color="auto"/>
        <w:left w:val="none" w:sz="0" w:space="0" w:color="auto"/>
        <w:bottom w:val="none" w:sz="0" w:space="0" w:color="auto"/>
        <w:right w:val="none" w:sz="0" w:space="0" w:color="auto"/>
      </w:divBdr>
    </w:div>
    <w:div w:id="324626383">
      <w:bodyDiv w:val="1"/>
      <w:marLeft w:val="0"/>
      <w:marRight w:val="0"/>
      <w:marTop w:val="0"/>
      <w:marBottom w:val="0"/>
      <w:divBdr>
        <w:top w:val="none" w:sz="0" w:space="0" w:color="auto"/>
        <w:left w:val="none" w:sz="0" w:space="0" w:color="auto"/>
        <w:bottom w:val="none" w:sz="0" w:space="0" w:color="auto"/>
        <w:right w:val="none" w:sz="0" w:space="0" w:color="auto"/>
      </w:divBdr>
    </w:div>
    <w:div w:id="329522831">
      <w:bodyDiv w:val="1"/>
      <w:marLeft w:val="0"/>
      <w:marRight w:val="0"/>
      <w:marTop w:val="0"/>
      <w:marBottom w:val="0"/>
      <w:divBdr>
        <w:top w:val="none" w:sz="0" w:space="0" w:color="auto"/>
        <w:left w:val="none" w:sz="0" w:space="0" w:color="auto"/>
        <w:bottom w:val="none" w:sz="0" w:space="0" w:color="auto"/>
        <w:right w:val="none" w:sz="0" w:space="0" w:color="auto"/>
      </w:divBdr>
    </w:div>
    <w:div w:id="335235891">
      <w:bodyDiv w:val="1"/>
      <w:marLeft w:val="0"/>
      <w:marRight w:val="0"/>
      <w:marTop w:val="0"/>
      <w:marBottom w:val="0"/>
      <w:divBdr>
        <w:top w:val="none" w:sz="0" w:space="0" w:color="auto"/>
        <w:left w:val="none" w:sz="0" w:space="0" w:color="auto"/>
        <w:bottom w:val="none" w:sz="0" w:space="0" w:color="auto"/>
        <w:right w:val="none" w:sz="0" w:space="0" w:color="auto"/>
      </w:divBdr>
    </w:div>
    <w:div w:id="354236530">
      <w:bodyDiv w:val="1"/>
      <w:marLeft w:val="0"/>
      <w:marRight w:val="0"/>
      <w:marTop w:val="0"/>
      <w:marBottom w:val="0"/>
      <w:divBdr>
        <w:top w:val="none" w:sz="0" w:space="0" w:color="auto"/>
        <w:left w:val="none" w:sz="0" w:space="0" w:color="auto"/>
        <w:bottom w:val="none" w:sz="0" w:space="0" w:color="auto"/>
        <w:right w:val="none" w:sz="0" w:space="0" w:color="auto"/>
      </w:divBdr>
    </w:div>
    <w:div w:id="426001560">
      <w:bodyDiv w:val="1"/>
      <w:marLeft w:val="0"/>
      <w:marRight w:val="0"/>
      <w:marTop w:val="0"/>
      <w:marBottom w:val="0"/>
      <w:divBdr>
        <w:top w:val="none" w:sz="0" w:space="0" w:color="auto"/>
        <w:left w:val="none" w:sz="0" w:space="0" w:color="auto"/>
        <w:bottom w:val="none" w:sz="0" w:space="0" w:color="auto"/>
        <w:right w:val="none" w:sz="0" w:space="0" w:color="auto"/>
      </w:divBdr>
    </w:div>
    <w:div w:id="452990452">
      <w:bodyDiv w:val="1"/>
      <w:marLeft w:val="0"/>
      <w:marRight w:val="0"/>
      <w:marTop w:val="0"/>
      <w:marBottom w:val="0"/>
      <w:divBdr>
        <w:top w:val="none" w:sz="0" w:space="0" w:color="auto"/>
        <w:left w:val="none" w:sz="0" w:space="0" w:color="auto"/>
        <w:bottom w:val="none" w:sz="0" w:space="0" w:color="auto"/>
        <w:right w:val="none" w:sz="0" w:space="0" w:color="auto"/>
      </w:divBdr>
    </w:div>
    <w:div w:id="479855434">
      <w:bodyDiv w:val="1"/>
      <w:marLeft w:val="0"/>
      <w:marRight w:val="0"/>
      <w:marTop w:val="0"/>
      <w:marBottom w:val="0"/>
      <w:divBdr>
        <w:top w:val="none" w:sz="0" w:space="0" w:color="auto"/>
        <w:left w:val="none" w:sz="0" w:space="0" w:color="auto"/>
        <w:bottom w:val="none" w:sz="0" w:space="0" w:color="auto"/>
        <w:right w:val="none" w:sz="0" w:space="0" w:color="auto"/>
      </w:divBdr>
    </w:div>
    <w:div w:id="515120609">
      <w:bodyDiv w:val="1"/>
      <w:marLeft w:val="0"/>
      <w:marRight w:val="0"/>
      <w:marTop w:val="0"/>
      <w:marBottom w:val="0"/>
      <w:divBdr>
        <w:top w:val="none" w:sz="0" w:space="0" w:color="auto"/>
        <w:left w:val="none" w:sz="0" w:space="0" w:color="auto"/>
        <w:bottom w:val="none" w:sz="0" w:space="0" w:color="auto"/>
        <w:right w:val="none" w:sz="0" w:space="0" w:color="auto"/>
      </w:divBdr>
    </w:div>
    <w:div w:id="520827459">
      <w:bodyDiv w:val="1"/>
      <w:marLeft w:val="0"/>
      <w:marRight w:val="0"/>
      <w:marTop w:val="0"/>
      <w:marBottom w:val="0"/>
      <w:divBdr>
        <w:top w:val="none" w:sz="0" w:space="0" w:color="auto"/>
        <w:left w:val="none" w:sz="0" w:space="0" w:color="auto"/>
        <w:bottom w:val="none" w:sz="0" w:space="0" w:color="auto"/>
        <w:right w:val="none" w:sz="0" w:space="0" w:color="auto"/>
      </w:divBdr>
    </w:div>
    <w:div w:id="540554489">
      <w:bodyDiv w:val="1"/>
      <w:marLeft w:val="0"/>
      <w:marRight w:val="0"/>
      <w:marTop w:val="0"/>
      <w:marBottom w:val="0"/>
      <w:divBdr>
        <w:top w:val="none" w:sz="0" w:space="0" w:color="auto"/>
        <w:left w:val="none" w:sz="0" w:space="0" w:color="auto"/>
        <w:bottom w:val="none" w:sz="0" w:space="0" w:color="auto"/>
        <w:right w:val="none" w:sz="0" w:space="0" w:color="auto"/>
      </w:divBdr>
    </w:div>
    <w:div w:id="545483549">
      <w:bodyDiv w:val="1"/>
      <w:marLeft w:val="0"/>
      <w:marRight w:val="0"/>
      <w:marTop w:val="0"/>
      <w:marBottom w:val="0"/>
      <w:divBdr>
        <w:top w:val="none" w:sz="0" w:space="0" w:color="auto"/>
        <w:left w:val="none" w:sz="0" w:space="0" w:color="auto"/>
        <w:bottom w:val="none" w:sz="0" w:space="0" w:color="auto"/>
        <w:right w:val="none" w:sz="0" w:space="0" w:color="auto"/>
      </w:divBdr>
    </w:div>
    <w:div w:id="555169854">
      <w:bodyDiv w:val="1"/>
      <w:marLeft w:val="0"/>
      <w:marRight w:val="0"/>
      <w:marTop w:val="0"/>
      <w:marBottom w:val="0"/>
      <w:divBdr>
        <w:top w:val="none" w:sz="0" w:space="0" w:color="auto"/>
        <w:left w:val="none" w:sz="0" w:space="0" w:color="auto"/>
        <w:bottom w:val="none" w:sz="0" w:space="0" w:color="auto"/>
        <w:right w:val="none" w:sz="0" w:space="0" w:color="auto"/>
      </w:divBdr>
    </w:div>
    <w:div w:id="605388711">
      <w:bodyDiv w:val="1"/>
      <w:marLeft w:val="0"/>
      <w:marRight w:val="0"/>
      <w:marTop w:val="0"/>
      <w:marBottom w:val="0"/>
      <w:divBdr>
        <w:top w:val="none" w:sz="0" w:space="0" w:color="auto"/>
        <w:left w:val="none" w:sz="0" w:space="0" w:color="auto"/>
        <w:bottom w:val="none" w:sz="0" w:space="0" w:color="auto"/>
        <w:right w:val="none" w:sz="0" w:space="0" w:color="auto"/>
      </w:divBdr>
    </w:div>
    <w:div w:id="612638565">
      <w:bodyDiv w:val="1"/>
      <w:marLeft w:val="0"/>
      <w:marRight w:val="0"/>
      <w:marTop w:val="0"/>
      <w:marBottom w:val="0"/>
      <w:divBdr>
        <w:top w:val="none" w:sz="0" w:space="0" w:color="auto"/>
        <w:left w:val="none" w:sz="0" w:space="0" w:color="auto"/>
        <w:bottom w:val="none" w:sz="0" w:space="0" w:color="auto"/>
        <w:right w:val="none" w:sz="0" w:space="0" w:color="auto"/>
      </w:divBdr>
    </w:div>
    <w:div w:id="617758022">
      <w:bodyDiv w:val="1"/>
      <w:marLeft w:val="0"/>
      <w:marRight w:val="0"/>
      <w:marTop w:val="0"/>
      <w:marBottom w:val="0"/>
      <w:divBdr>
        <w:top w:val="none" w:sz="0" w:space="0" w:color="auto"/>
        <w:left w:val="none" w:sz="0" w:space="0" w:color="auto"/>
        <w:bottom w:val="none" w:sz="0" w:space="0" w:color="auto"/>
        <w:right w:val="none" w:sz="0" w:space="0" w:color="auto"/>
      </w:divBdr>
    </w:div>
    <w:div w:id="620235294">
      <w:bodyDiv w:val="1"/>
      <w:marLeft w:val="0"/>
      <w:marRight w:val="0"/>
      <w:marTop w:val="0"/>
      <w:marBottom w:val="0"/>
      <w:divBdr>
        <w:top w:val="none" w:sz="0" w:space="0" w:color="auto"/>
        <w:left w:val="none" w:sz="0" w:space="0" w:color="auto"/>
        <w:bottom w:val="none" w:sz="0" w:space="0" w:color="auto"/>
        <w:right w:val="none" w:sz="0" w:space="0" w:color="auto"/>
      </w:divBdr>
    </w:div>
    <w:div w:id="639531226">
      <w:bodyDiv w:val="1"/>
      <w:marLeft w:val="0"/>
      <w:marRight w:val="0"/>
      <w:marTop w:val="0"/>
      <w:marBottom w:val="0"/>
      <w:divBdr>
        <w:top w:val="none" w:sz="0" w:space="0" w:color="auto"/>
        <w:left w:val="none" w:sz="0" w:space="0" w:color="auto"/>
        <w:bottom w:val="none" w:sz="0" w:space="0" w:color="auto"/>
        <w:right w:val="none" w:sz="0" w:space="0" w:color="auto"/>
      </w:divBdr>
    </w:div>
    <w:div w:id="720246572">
      <w:bodyDiv w:val="1"/>
      <w:marLeft w:val="0"/>
      <w:marRight w:val="0"/>
      <w:marTop w:val="0"/>
      <w:marBottom w:val="0"/>
      <w:divBdr>
        <w:top w:val="none" w:sz="0" w:space="0" w:color="auto"/>
        <w:left w:val="none" w:sz="0" w:space="0" w:color="auto"/>
        <w:bottom w:val="none" w:sz="0" w:space="0" w:color="auto"/>
        <w:right w:val="none" w:sz="0" w:space="0" w:color="auto"/>
      </w:divBdr>
    </w:div>
    <w:div w:id="736904227">
      <w:bodyDiv w:val="1"/>
      <w:marLeft w:val="0"/>
      <w:marRight w:val="0"/>
      <w:marTop w:val="0"/>
      <w:marBottom w:val="0"/>
      <w:divBdr>
        <w:top w:val="none" w:sz="0" w:space="0" w:color="auto"/>
        <w:left w:val="none" w:sz="0" w:space="0" w:color="auto"/>
        <w:bottom w:val="none" w:sz="0" w:space="0" w:color="auto"/>
        <w:right w:val="none" w:sz="0" w:space="0" w:color="auto"/>
      </w:divBdr>
    </w:div>
    <w:div w:id="738552129">
      <w:bodyDiv w:val="1"/>
      <w:marLeft w:val="0"/>
      <w:marRight w:val="0"/>
      <w:marTop w:val="0"/>
      <w:marBottom w:val="0"/>
      <w:divBdr>
        <w:top w:val="none" w:sz="0" w:space="0" w:color="auto"/>
        <w:left w:val="none" w:sz="0" w:space="0" w:color="auto"/>
        <w:bottom w:val="none" w:sz="0" w:space="0" w:color="auto"/>
        <w:right w:val="none" w:sz="0" w:space="0" w:color="auto"/>
      </w:divBdr>
    </w:div>
    <w:div w:id="740716179">
      <w:bodyDiv w:val="1"/>
      <w:marLeft w:val="0"/>
      <w:marRight w:val="0"/>
      <w:marTop w:val="0"/>
      <w:marBottom w:val="0"/>
      <w:divBdr>
        <w:top w:val="none" w:sz="0" w:space="0" w:color="auto"/>
        <w:left w:val="none" w:sz="0" w:space="0" w:color="auto"/>
        <w:bottom w:val="none" w:sz="0" w:space="0" w:color="auto"/>
        <w:right w:val="none" w:sz="0" w:space="0" w:color="auto"/>
      </w:divBdr>
    </w:div>
    <w:div w:id="793207916">
      <w:bodyDiv w:val="1"/>
      <w:marLeft w:val="0"/>
      <w:marRight w:val="0"/>
      <w:marTop w:val="0"/>
      <w:marBottom w:val="0"/>
      <w:divBdr>
        <w:top w:val="none" w:sz="0" w:space="0" w:color="auto"/>
        <w:left w:val="none" w:sz="0" w:space="0" w:color="auto"/>
        <w:bottom w:val="none" w:sz="0" w:space="0" w:color="auto"/>
        <w:right w:val="none" w:sz="0" w:space="0" w:color="auto"/>
      </w:divBdr>
    </w:div>
    <w:div w:id="795566490">
      <w:bodyDiv w:val="1"/>
      <w:marLeft w:val="0"/>
      <w:marRight w:val="0"/>
      <w:marTop w:val="0"/>
      <w:marBottom w:val="0"/>
      <w:divBdr>
        <w:top w:val="none" w:sz="0" w:space="0" w:color="auto"/>
        <w:left w:val="none" w:sz="0" w:space="0" w:color="auto"/>
        <w:bottom w:val="none" w:sz="0" w:space="0" w:color="auto"/>
        <w:right w:val="none" w:sz="0" w:space="0" w:color="auto"/>
      </w:divBdr>
    </w:div>
    <w:div w:id="805927360">
      <w:bodyDiv w:val="1"/>
      <w:marLeft w:val="0"/>
      <w:marRight w:val="0"/>
      <w:marTop w:val="0"/>
      <w:marBottom w:val="0"/>
      <w:divBdr>
        <w:top w:val="none" w:sz="0" w:space="0" w:color="auto"/>
        <w:left w:val="none" w:sz="0" w:space="0" w:color="auto"/>
        <w:bottom w:val="none" w:sz="0" w:space="0" w:color="auto"/>
        <w:right w:val="none" w:sz="0" w:space="0" w:color="auto"/>
      </w:divBdr>
    </w:div>
    <w:div w:id="853879824">
      <w:bodyDiv w:val="1"/>
      <w:marLeft w:val="0"/>
      <w:marRight w:val="0"/>
      <w:marTop w:val="0"/>
      <w:marBottom w:val="0"/>
      <w:divBdr>
        <w:top w:val="none" w:sz="0" w:space="0" w:color="auto"/>
        <w:left w:val="none" w:sz="0" w:space="0" w:color="auto"/>
        <w:bottom w:val="none" w:sz="0" w:space="0" w:color="auto"/>
        <w:right w:val="none" w:sz="0" w:space="0" w:color="auto"/>
      </w:divBdr>
      <w:divsChild>
        <w:div w:id="507721026">
          <w:marLeft w:val="0"/>
          <w:marRight w:val="0"/>
          <w:marTop w:val="225"/>
          <w:marBottom w:val="180"/>
          <w:divBdr>
            <w:top w:val="single" w:sz="6" w:space="0" w:color="D7D7D7"/>
            <w:left w:val="none" w:sz="0" w:space="0" w:color="auto"/>
            <w:bottom w:val="single" w:sz="6" w:space="0" w:color="D7D7D7"/>
            <w:right w:val="none" w:sz="0" w:space="0" w:color="auto"/>
          </w:divBdr>
          <w:divsChild>
            <w:div w:id="689331816">
              <w:marLeft w:val="0"/>
              <w:marRight w:val="0"/>
              <w:marTop w:val="0"/>
              <w:marBottom w:val="0"/>
              <w:divBdr>
                <w:top w:val="none" w:sz="0" w:space="0" w:color="auto"/>
                <w:left w:val="none" w:sz="0" w:space="0" w:color="auto"/>
                <w:bottom w:val="none" w:sz="0" w:space="0" w:color="auto"/>
                <w:right w:val="none" w:sz="0" w:space="0" w:color="auto"/>
              </w:divBdr>
            </w:div>
            <w:div w:id="1708136747">
              <w:marLeft w:val="0"/>
              <w:marRight w:val="0"/>
              <w:marTop w:val="0"/>
              <w:marBottom w:val="0"/>
              <w:divBdr>
                <w:top w:val="none" w:sz="0" w:space="0" w:color="auto"/>
                <w:left w:val="none" w:sz="0" w:space="0" w:color="auto"/>
                <w:bottom w:val="none" w:sz="0" w:space="0" w:color="auto"/>
                <w:right w:val="none" w:sz="0" w:space="0" w:color="auto"/>
              </w:divBdr>
            </w:div>
          </w:divsChild>
        </w:div>
        <w:div w:id="1249926495">
          <w:marLeft w:val="0"/>
          <w:marRight w:val="0"/>
          <w:marTop w:val="0"/>
          <w:marBottom w:val="0"/>
          <w:divBdr>
            <w:top w:val="none" w:sz="0" w:space="0" w:color="auto"/>
            <w:left w:val="none" w:sz="0" w:space="0" w:color="auto"/>
            <w:bottom w:val="none" w:sz="0" w:space="0" w:color="auto"/>
            <w:right w:val="none" w:sz="0" w:space="0" w:color="auto"/>
          </w:divBdr>
        </w:div>
      </w:divsChild>
    </w:div>
    <w:div w:id="872578734">
      <w:bodyDiv w:val="1"/>
      <w:marLeft w:val="0"/>
      <w:marRight w:val="0"/>
      <w:marTop w:val="0"/>
      <w:marBottom w:val="0"/>
      <w:divBdr>
        <w:top w:val="none" w:sz="0" w:space="0" w:color="auto"/>
        <w:left w:val="none" w:sz="0" w:space="0" w:color="auto"/>
        <w:bottom w:val="none" w:sz="0" w:space="0" w:color="auto"/>
        <w:right w:val="none" w:sz="0" w:space="0" w:color="auto"/>
      </w:divBdr>
    </w:div>
    <w:div w:id="893272865">
      <w:bodyDiv w:val="1"/>
      <w:marLeft w:val="0"/>
      <w:marRight w:val="0"/>
      <w:marTop w:val="0"/>
      <w:marBottom w:val="0"/>
      <w:divBdr>
        <w:top w:val="none" w:sz="0" w:space="0" w:color="auto"/>
        <w:left w:val="none" w:sz="0" w:space="0" w:color="auto"/>
        <w:bottom w:val="none" w:sz="0" w:space="0" w:color="auto"/>
        <w:right w:val="none" w:sz="0" w:space="0" w:color="auto"/>
      </w:divBdr>
    </w:div>
    <w:div w:id="920912103">
      <w:bodyDiv w:val="1"/>
      <w:marLeft w:val="0"/>
      <w:marRight w:val="0"/>
      <w:marTop w:val="0"/>
      <w:marBottom w:val="0"/>
      <w:divBdr>
        <w:top w:val="none" w:sz="0" w:space="0" w:color="auto"/>
        <w:left w:val="none" w:sz="0" w:space="0" w:color="auto"/>
        <w:bottom w:val="none" w:sz="0" w:space="0" w:color="auto"/>
        <w:right w:val="none" w:sz="0" w:space="0" w:color="auto"/>
      </w:divBdr>
    </w:div>
    <w:div w:id="928663900">
      <w:bodyDiv w:val="1"/>
      <w:marLeft w:val="0"/>
      <w:marRight w:val="0"/>
      <w:marTop w:val="0"/>
      <w:marBottom w:val="0"/>
      <w:divBdr>
        <w:top w:val="none" w:sz="0" w:space="0" w:color="auto"/>
        <w:left w:val="none" w:sz="0" w:space="0" w:color="auto"/>
        <w:bottom w:val="none" w:sz="0" w:space="0" w:color="auto"/>
        <w:right w:val="none" w:sz="0" w:space="0" w:color="auto"/>
      </w:divBdr>
    </w:div>
    <w:div w:id="941112963">
      <w:bodyDiv w:val="1"/>
      <w:marLeft w:val="0"/>
      <w:marRight w:val="0"/>
      <w:marTop w:val="0"/>
      <w:marBottom w:val="0"/>
      <w:divBdr>
        <w:top w:val="none" w:sz="0" w:space="0" w:color="auto"/>
        <w:left w:val="none" w:sz="0" w:space="0" w:color="auto"/>
        <w:bottom w:val="none" w:sz="0" w:space="0" w:color="auto"/>
        <w:right w:val="none" w:sz="0" w:space="0" w:color="auto"/>
      </w:divBdr>
    </w:div>
    <w:div w:id="950821010">
      <w:bodyDiv w:val="1"/>
      <w:marLeft w:val="0"/>
      <w:marRight w:val="0"/>
      <w:marTop w:val="0"/>
      <w:marBottom w:val="0"/>
      <w:divBdr>
        <w:top w:val="none" w:sz="0" w:space="0" w:color="auto"/>
        <w:left w:val="none" w:sz="0" w:space="0" w:color="auto"/>
        <w:bottom w:val="none" w:sz="0" w:space="0" w:color="auto"/>
        <w:right w:val="none" w:sz="0" w:space="0" w:color="auto"/>
      </w:divBdr>
    </w:div>
    <w:div w:id="961886214">
      <w:bodyDiv w:val="1"/>
      <w:marLeft w:val="0"/>
      <w:marRight w:val="0"/>
      <w:marTop w:val="0"/>
      <w:marBottom w:val="0"/>
      <w:divBdr>
        <w:top w:val="none" w:sz="0" w:space="0" w:color="auto"/>
        <w:left w:val="none" w:sz="0" w:space="0" w:color="auto"/>
        <w:bottom w:val="none" w:sz="0" w:space="0" w:color="auto"/>
        <w:right w:val="none" w:sz="0" w:space="0" w:color="auto"/>
      </w:divBdr>
    </w:div>
    <w:div w:id="972248710">
      <w:bodyDiv w:val="1"/>
      <w:marLeft w:val="0"/>
      <w:marRight w:val="0"/>
      <w:marTop w:val="0"/>
      <w:marBottom w:val="0"/>
      <w:divBdr>
        <w:top w:val="none" w:sz="0" w:space="0" w:color="auto"/>
        <w:left w:val="none" w:sz="0" w:space="0" w:color="auto"/>
        <w:bottom w:val="none" w:sz="0" w:space="0" w:color="auto"/>
        <w:right w:val="none" w:sz="0" w:space="0" w:color="auto"/>
      </w:divBdr>
    </w:div>
    <w:div w:id="1006057767">
      <w:bodyDiv w:val="1"/>
      <w:marLeft w:val="0"/>
      <w:marRight w:val="0"/>
      <w:marTop w:val="0"/>
      <w:marBottom w:val="0"/>
      <w:divBdr>
        <w:top w:val="none" w:sz="0" w:space="0" w:color="auto"/>
        <w:left w:val="none" w:sz="0" w:space="0" w:color="auto"/>
        <w:bottom w:val="none" w:sz="0" w:space="0" w:color="auto"/>
        <w:right w:val="none" w:sz="0" w:space="0" w:color="auto"/>
      </w:divBdr>
    </w:div>
    <w:div w:id="1014843294">
      <w:bodyDiv w:val="1"/>
      <w:marLeft w:val="0"/>
      <w:marRight w:val="0"/>
      <w:marTop w:val="0"/>
      <w:marBottom w:val="0"/>
      <w:divBdr>
        <w:top w:val="none" w:sz="0" w:space="0" w:color="auto"/>
        <w:left w:val="none" w:sz="0" w:space="0" w:color="auto"/>
        <w:bottom w:val="none" w:sz="0" w:space="0" w:color="auto"/>
        <w:right w:val="none" w:sz="0" w:space="0" w:color="auto"/>
      </w:divBdr>
    </w:div>
    <w:div w:id="1018888278">
      <w:bodyDiv w:val="1"/>
      <w:marLeft w:val="0"/>
      <w:marRight w:val="0"/>
      <w:marTop w:val="0"/>
      <w:marBottom w:val="0"/>
      <w:divBdr>
        <w:top w:val="none" w:sz="0" w:space="0" w:color="auto"/>
        <w:left w:val="none" w:sz="0" w:space="0" w:color="auto"/>
        <w:bottom w:val="none" w:sz="0" w:space="0" w:color="auto"/>
        <w:right w:val="none" w:sz="0" w:space="0" w:color="auto"/>
      </w:divBdr>
    </w:div>
    <w:div w:id="1034189763">
      <w:bodyDiv w:val="1"/>
      <w:marLeft w:val="0"/>
      <w:marRight w:val="0"/>
      <w:marTop w:val="0"/>
      <w:marBottom w:val="0"/>
      <w:divBdr>
        <w:top w:val="none" w:sz="0" w:space="0" w:color="auto"/>
        <w:left w:val="none" w:sz="0" w:space="0" w:color="auto"/>
        <w:bottom w:val="none" w:sz="0" w:space="0" w:color="auto"/>
        <w:right w:val="none" w:sz="0" w:space="0" w:color="auto"/>
      </w:divBdr>
    </w:div>
    <w:div w:id="1041051108">
      <w:bodyDiv w:val="1"/>
      <w:marLeft w:val="0"/>
      <w:marRight w:val="0"/>
      <w:marTop w:val="0"/>
      <w:marBottom w:val="0"/>
      <w:divBdr>
        <w:top w:val="none" w:sz="0" w:space="0" w:color="auto"/>
        <w:left w:val="none" w:sz="0" w:space="0" w:color="auto"/>
        <w:bottom w:val="none" w:sz="0" w:space="0" w:color="auto"/>
        <w:right w:val="none" w:sz="0" w:space="0" w:color="auto"/>
      </w:divBdr>
    </w:div>
    <w:div w:id="1043291210">
      <w:bodyDiv w:val="1"/>
      <w:marLeft w:val="0"/>
      <w:marRight w:val="0"/>
      <w:marTop w:val="0"/>
      <w:marBottom w:val="0"/>
      <w:divBdr>
        <w:top w:val="none" w:sz="0" w:space="0" w:color="auto"/>
        <w:left w:val="none" w:sz="0" w:space="0" w:color="auto"/>
        <w:bottom w:val="none" w:sz="0" w:space="0" w:color="auto"/>
        <w:right w:val="none" w:sz="0" w:space="0" w:color="auto"/>
      </w:divBdr>
    </w:div>
    <w:div w:id="1080130533">
      <w:bodyDiv w:val="1"/>
      <w:marLeft w:val="0"/>
      <w:marRight w:val="0"/>
      <w:marTop w:val="0"/>
      <w:marBottom w:val="0"/>
      <w:divBdr>
        <w:top w:val="none" w:sz="0" w:space="0" w:color="auto"/>
        <w:left w:val="none" w:sz="0" w:space="0" w:color="auto"/>
        <w:bottom w:val="none" w:sz="0" w:space="0" w:color="auto"/>
        <w:right w:val="none" w:sz="0" w:space="0" w:color="auto"/>
      </w:divBdr>
    </w:div>
    <w:div w:id="1084184075">
      <w:bodyDiv w:val="1"/>
      <w:marLeft w:val="0"/>
      <w:marRight w:val="0"/>
      <w:marTop w:val="0"/>
      <w:marBottom w:val="0"/>
      <w:divBdr>
        <w:top w:val="none" w:sz="0" w:space="0" w:color="auto"/>
        <w:left w:val="none" w:sz="0" w:space="0" w:color="auto"/>
        <w:bottom w:val="none" w:sz="0" w:space="0" w:color="auto"/>
        <w:right w:val="none" w:sz="0" w:space="0" w:color="auto"/>
      </w:divBdr>
    </w:div>
    <w:div w:id="1117220659">
      <w:bodyDiv w:val="1"/>
      <w:marLeft w:val="0"/>
      <w:marRight w:val="0"/>
      <w:marTop w:val="0"/>
      <w:marBottom w:val="0"/>
      <w:divBdr>
        <w:top w:val="none" w:sz="0" w:space="0" w:color="auto"/>
        <w:left w:val="none" w:sz="0" w:space="0" w:color="auto"/>
        <w:bottom w:val="none" w:sz="0" w:space="0" w:color="auto"/>
        <w:right w:val="none" w:sz="0" w:space="0" w:color="auto"/>
      </w:divBdr>
    </w:div>
    <w:div w:id="1200633141">
      <w:bodyDiv w:val="1"/>
      <w:marLeft w:val="0"/>
      <w:marRight w:val="0"/>
      <w:marTop w:val="0"/>
      <w:marBottom w:val="0"/>
      <w:divBdr>
        <w:top w:val="none" w:sz="0" w:space="0" w:color="auto"/>
        <w:left w:val="none" w:sz="0" w:space="0" w:color="auto"/>
        <w:bottom w:val="none" w:sz="0" w:space="0" w:color="auto"/>
        <w:right w:val="none" w:sz="0" w:space="0" w:color="auto"/>
      </w:divBdr>
    </w:div>
    <w:div w:id="1209300534">
      <w:bodyDiv w:val="1"/>
      <w:marLeft w:val="0"/>
      <w:marRight w:val="0"/>
      <w:marTop w:val="0"/>
      <w:marBottom w:val="0"/>
      <w:divBdr>
        <w:top w:val="none" w:sz="0" w:space="0" w:color="auto"/>
        <w:left w:val="none" w:sz="0" w:space="0" w:color="auto"/>
        <w:bottom w:val="none" w:sz="0" w:space="0" w:color="auto"/>
        <w:right w:val="none" w:sz="0" w:space="0" w:color="auto"/>
      </w:divBdr>
    </w:div>
    <w:div w:id="1209874701">
      <w:bodyDiv w:val="1"/>
      <w:marLeft w:val="0"/>
      <w:marRight w:val="0"/>
      <w:marTop w:val="0"/>
      <w:marBottom w:val="0"/>
      <w:divBdr>
        <w:top w:val="none" w:sz="0" w:space="0" w:color="auto"/>
        <w:left w:val="none" w:sz="0" w:space="0" w:color="auto"/>
        <w:bottom w:val="none" w:sz="0" w:space="0" w:color="auto"/>
        <w:right w:val="none" w:sz="0" w:space="0" w:color="auto"/>
      </w:divBdr>
    </w:div>
    <w:div w:id="1217008530">
      <w:bodyDiv w:val="1"/>
      <w:marLeft w:val="0"/>
      <w:marRight w:val="0"/>
      <w:marTop w:val="0"/>
      <w:marBottom w:val="0"/>
      <w:divBdr>
        <w:top w:val="none" w:sz="0" w:space="0" w:color="auto"/>
        <w:left w:val="none" w:sz="0" w:space="0" w:color="auto"/>
        <w:bottom w:val="none" w:sz="0" w:space="0" w:color="auto"/>
        <w:right w:val="none" w:sz="0" w:space="0" w:color="auto"/>
      </w:divBdr>
    </w:div>
    <w:div w:id="1269436264">
      <w:bodyDiv w:val="1"/>
      <w:marLeft w:val="0"/>
      <w:marRight w:val="0"/>
      <w:marTop w:val="0"/>
      <w:marBottom w:val="0"/>
      <w:divBdr>
        <w:top w:val="none" w:sz="0" w:space="0" w:color="auto"/>
        <w:left w:val="none" w:sz="0" w:space="0" w:color="auto"/>
        <w:bottom w:val="none" w:sz="0" w:space="0" w:color="auto"/>
        <w:right w:val="none" w:sz="0" w:space="0" w:color="auto"/>
      </w:divBdr>
    </w:div>
    <w:div w:id="1292252310">
      <w:bodyDiv w:val="1"/>
      <w:marLeft w:val="0"/>
      <w:marRight w:val="0"/>
      <w:marTop w:val="0"/>
      <w:marBottom w:val="0"/>
      <w:divBdr>
        <w:top w:val="none" w:sz="0" w:space="0" w:color="auto"/>
        <w:left w:val="none" w:sz="0" w:space="0" w:color="auto"/>
        <w:bottom w:val="none" w:sz="0" w:space="0" w:color="auto"/>
        <w:right w:val="none" w:sz="0" w:space="0" w:color="auto"/>
      </w:divBdr>
    </w:div>
    <w:div w:id="1309438467">
      <w:bodyDiv w:val="1"/>
      <w:marLeft w:val="0"/>
      <w:marRight w:val="0"/>
      <w:marTop w:val="0"/>
      <w:marBottom w:val="0"/>
      <w:divBdr>
        <w:top w:val="none" w:sz="0" w:space="0" w:color="auto"/>
        <w:left w:val="none" w:sz="0" w:space="0" w:color="auto"/>
        <w:bottom w:val="none" w:sz="0" w:space="0" w:color="auto"/>
        <w:right w:val="none" w:sz="0" w:space="0" w:color="auto"/>
      </w:divBdr>
    </w:div>
    <w:div w:id="1332560324">
      <w:bodyDiv w:val="1"/>
      <w:marLeft w:val="0"/>
      <w:marRight w:val="0"/>
      <w:marTop w:val="0"/>
      <w:marBottom w:val="0"/>
      <w:divBdr>
        <w:top w:val="none" w:sz="0" w:space="0" w:color="auto"/>
        <w:left w:val="none" w:sz="0" w:space="0" w:color="auto"/>
        <w:bottom w:val="none" w:sz="0" w:space="0" w:color="auto"/>
        <w:right w:val="none" w:sz="0" w:space="0" w:color="auto"/>
      </w:divBdr>
    </w:div>
    <w:div w:id="1353804794">
      <w:bodyDiv w:val="1"/>
      <w:marLeft w:val="0"/>
      <w:marRight w:val="0"/>
      <w:marTop w:val="0"/>
      <w:marBottom w:val="0"/>
      <w:divBdr>
        <w:top w:val="none" w:sz="0" w:space="0" w:color="auto"/>
        <w:left w:val="none" w:sz="0" w:space="0" w:color="auto"/>
        <w:bottom w:val="none" w:sz="0" w:space="0" w:color="auto"/>
        <w:right w:val="none" w:sz="0" w:space="0" w:color="auto"/>
      </w:divBdr>
    </w:div>
    <w:div w:id="1360543960">
      <w:bodyDiv w:val="1"/>
      <w:marLeft w:val="0"/>
      <w:marRight w:val="0"/>
      <w:marTop w:val="0"/>
      <w:marBottom w:val="0"/>
      <w:divBdr>
        <w:top w:val="none" w:sz="0" w:space="0" w:color="auto"/>
        <w:left w:val="none" w:sz="0" w:space="0" w:color="auto"/>
        <w:bottom w:val="none" w:sz="0" w:space="0" w:color="auto"/>
        <w:right w:val="none" w:sz="0" w:space="0" w:color="auto"/>
      </w:divBdr>
    </w:div>
    <w:div w:id="1366708138">
      <w:bodyDiv w:val="1"/>
      <w:marLeft w:val="0"/>
      <w:marRight w:val="0"/>
      <w:marTop w:val="0"/>
      <w:marBottom w:val="0"/>
      <w:divBdr>
        <w:top w:val="none" w:sz="0" w:space="0" w:color="auto"/>
        <w:left w:val="none" w:sz="0" w:space="0" w:color="auto"/>
        <w:bottom w:val="none" w:sz="0" w:space="0" w:color="auto"/>
        <w:right w:val="none" w:sz="0" w:space="0" w:color="auto"/>
      </w:divBdr>
    </w:div>
    <w:div w:id="1432700945">
      <w:bodyDiv w:val="1"/>
      <w:marLeft w:val="0"/>
      <w:marRight w:val="0"/>
      <w:marTop w:val="0"/>
      <w:marBottom w:val="0"/>
      <w:divBdr>
        <w:top w:val="none" w:sz="0" w:space="0" w:color="auto"/>
        <w:left w:val="none" w:sz="0" w:space="0" w:color="auto"/>
        <w:bottom w:val="none" w:sz="0" w:space="0" w:color="auto"/>
        <w:right w:val="none" w:sz="0" w:space="0" w:color="auto"/>
      </w:divBdr>
    </w:div>
    <w:div w:id="1448620689">
      <w:bodyDiv w:val="1"/>
      <w:marLeft w:val="0"/>
      <w:marRight w:val="0"/>
      <w:marTop w:val="0"/>
      <w:marBottom w:val="0"/>
      <w:divBdr>
        <w:top w:val="none" w:sz="0" w:space="0" w:color="auto"/>
        <w:left w:val="none" w:sz="0" w:space="0" w:color="auto"/>
        <w:bottom w:val="none" w:sz="0" w:space="0" w:color="auto"/>
        <w:right w:val="none" w:sz="0" w:space="0" w:color="auto"/>
      </w:divBdr>
    </w:div>
    <w:div w:id="1487042516">
      <w:bodyDiv w:val="1"/>
      <w:marLeft w:val="0"/>
      <w:marRight w:val="0"/>
      <w:marTop w:val="0"/>
      <w:marBottom w:val="0"/>
      <w:divBdr>
        <w:top w:val="none" w:sz="0" w:space="0" w:color="auto"/>
        <w:left w:val="none" w:sz="0" w:space="0" w:color="auto"/>
        <w:bottom w:val="none" w:sz="0" w:space="0" w:color="auto"/>
        <w:right w:val="none" w:sz="0" w:space="0" w:color="auto"/>
      </w:divBdr>
    </w:div>
    <w:div w:id="1491671898">
      <w:bodyDiv w:val="1"/>
      <w:marLeft w:val="0"/>
      <w:marRight w:val="0"/>
      <w:marTop w:val="0"/>
      <w:marBottom w:val="0"/>
      <w:divBdr>
        <w:top w:val="none" w:sz="0" w:space="0" w:color="auto"/>
        <w:left w:val="none" w:sz="0" w:space="0" w:color="auto"/>
        <w:bottom w:val="none" w:sz="0" w:space="0" w:color="auto"/>
        <w:right w:val="none" w:sz="0" w:space="0" w:color="auto"/>
      </w:divBdr>
    </w:div>
    <w:div w:id="1500004323">
      <w:bodyDiv w:val="1"/>
      <w:marLeft w:val="0"/>
      <w:marRight w:val="0"/>
      <w:marTop w:val="0"/>
      <w:marBottom w:val="0"/>
      <w:divBdr>
        <w:top w:val="none" w:sz="0" w:space="0" w:color="auto"/>
        <w:left w:val="none" w:sz="0" w:space="0" w:color="auto"/>
        <w:bottom w:val="none" w:sz="0" w:space="0" w:color="auto"/>
        <w:right w:val="none" w:sz="0" w:space="0" w:color="auto"/>
      </w:divBdr>
    </w:div>
    <w:div w:id="1570574236">
      <w:bodyDiv w:val="1"/>
      <w:marLeft w:val="0"/>
      <w:marRight w:val="0"/>
      <w:marTop w:val="0"/>
      <w:marBottom w:val="0"/>
      <w:divBdr>
        <w:top w:val="none" w:sz="0" w:space="0" w:color="auto"/>
        <w:left w:val="none" w:sz="0" w:space="0" w:color="auto"/>
        <w:bottom w:val="none" w:sz="0" w:space="0" w:color="auto"/>
        <w:right w:val="none" w:sz="0" w:space="0" w:color="auto"/>
      </w:divBdr>
    </w:div>
    <w:div w:id="1573277879">
      <w:bodyDiv w:val="1"/>
      <w:marLeft w:val="0"/>
      <w:marRight w:val="0"/>
      <w:marTop w:val="0"/>
      <w:marBottom w:val="0"/>
      <w:divBdr>
        <w:top w:val="none" w:sz="0" w:space="0" w:color="auto"/>
        <w:left w:val="none" w:sz="0" w:space="0" w:color="auto"/>
        <w:bottom w:val="none" w:sz="0" w:space="0" w:color="auto"/>
        <w:right w:val="none" w:sz="0" w:space="0" w:color="auto"/>
      </w:divBdr>
    </w:div>
    <w:div w:id="1586843606">
      <w:bodyDiv w:val="1"/>
      <w:marLeft w:val="0"/>
      <w:marRight w:val="0"/>
      <w:marTop w:val="0"/>
      <w:marBottom w:val="0"/>
      <w:divBdr>
        <w:top w:val="none" w:sz="0" w:space="0" w:color="auto"/>
        <w:left w:val="none" w:sz="0" w:space="0" w:color="auto"/>
        <w:bottom w:val="none" w:sz="0" w:space="0" w:color="auto"/>
        <w:right w:val="none" w:sz="0" w:space="0" w:color="auto"/>
      </w:divBdr>
    </w:div>
    <w:div w:id="1605190540">
      <w:bodyDiv w:val="1"/>
      <w:marLeft w:val="0"/>
      <w:marRight w:val="0"/>
      <w:marTop w:val="0"/>
      <w:marBottom w:val="0"/>
      <w:divBdr>
        <w:top w:val="none" w:sz="0" w:space="0" w:color="auto"/>
        <w:left w:val="none" w:sz="0" w:space="0" w:color="auto"/>
        <w:bottom w:val="none" w:sz="0" w:space="0" w:color="auto"/>
        <w:right w:val="none" w:sz="0" w:space="0" w:color="auto"/>
      </w:divBdr>
    </w:div>
    <w:div w:id="1613318816">
      <w:bodyDiv w:val="1"/>
      <w:marLeft w:val="0"/>
      <w:marRight w:val="0"/>
      <w:marTop w:val="0"/>
      <w:marBottom w:val="0"/>
      <w:divBdr>
        <w:top w:val="none" w:sz="0" w:space="0" w:color="auto"/>
        <w:left w:val="none" w:sz="0" w:space="0" w:color="auto"/>
        <w:bottom w:val="none" w:sz="0" w:space="0" w:color="auto"/>
        <w:right w:val="none" w:sz="0" w:space="0" w:color="auto"/>
      </w:divBdr>
    </w:div>
    <w:div w:id="1632595810">
      <w:bodyDiv w:val="1"/>
      <w:marLeft w:val="0"/>
      <w:marRight w:val="0"/>
      <w:marTop w:val="0"/>
      <w:marBottom w:val="0"/>
      <w:divBdr>
        <w:top w:val="none" w:sz="0" w:space="0" w:color="auto"/>
        <w:left w:val="none" w:sz="0" w:space="0" w:color="auto"/>
        <w:bottom w:val="none" w:sz="0" w:space="0" w:color="auto"/>
        <w:right w:val="none" w:sz="0" w:space="0" w:color="auto"/>
      </w:divBdr>
    </w:div>
    <w:div w:id="1635988748">
      <w:bodyDiv w:val="1"/>
      <w:marLeft w:val="0"/>
      <w:marRight w:val="0"/>
      <w:marTop w:val="0"/>
      <w:marBottom w:val="0"/>
      <w:divBdr>
        <w:top w:val="none" w:sz="0" w:space="0" w:color="auto"/>
        <w:left w:val="none" w:sz="0" w:space="0" w:color="auto"/>
        <w:bottom w:val="none" w:sz="0" w:space="0" w:color="auto"/>
        <w:right w:val="none" w:sz="0" w:space="0" w:color="auto"/>
      </w:divBdr>
    </w:div>
    <w:div w:id="1647516598">
      <w:bodyDiv w:val="1"/>
      <w:marLeft w:val="0"/>
      <w:marRight w:val="0"/>
      <w:marTop w:val="0"/>
      <w:marBottom w:val="0"/>
      <w:divBdr>
        <w:top w:val="none" w:sz="0" w:space="0" w:color="auto"/>
        <w:left w:val="none" w:sz="0" w:space="0" w:color="auto"/>
        <w:bottom w:val="none" w:sz="0" w:space="0" w:color="auto"/>
        <w:right w:val="none" w:sz="0" w:space="0" w:color="auto"/>
      </w:divBdr>
    </w:div>
    <w:div w:id="1647736479">
      <w:bodyDiv w:val="1"/>
      <w:marLeft w:val="0"/>
      <w:marRight w:val="0"/>
      <w:marTop w:val="0"/>
      <w:marBottom w:val="0"/>
      <w:divBdr>
        <w:top w:val="none" w:sz="0" w:space="0" w:color="auto"/>
        <w:left w:val="none" w:sz="0" w:space="0" w:color="auto"/>
        <w:bottom w:val="none" w:sz="0" w:space="0" w:color="auto"/>
        <w:right w:val="none" w:sz="0" w:space="0" w:color="auto"/>
      </w:divBdr>
    </w:div>
    <w:div w:id="1667435129">
      <w:bodyDiv w:val="1"/>
      <w:marLeft w:val="0"/>
      <w:marRight w:val="0"/>
      <w:marTop w:val="0"/>
      <w:marBottom w:val="0"/>
      <w:divBdr>
        <w:top w:val="none" w:sz="0" w:space="0" w:color="auto"/>
        <w:left w:val="none" w:sz="0" w:space="0" w:color="auto"/>
        <w:bottom w:val="none" w:sz="0" w:space="0" w:color="auto"/>
        <w:right w:val="none" w:sz="0" w:space="0" w:color="auto"/>
      </w:divBdr>
    </w:div>
    <w:div w:id="1680504508">
      <w:bodyDiv w:val="1"/>
      <w:marLeft w:val="0"/>
      <w:marRight w:val="0"/>
      <w:marTop w:val="0"/>
      <w:marBottom w:val="0"/>
      <w:divBdr>
        <w:top w:val="none" w:sz="0" w:space="0" w:color="auto"/>
        <w:left w:val="none" w:sz="0" w:space="0" w:color="auto"/>
        <w:bottom w:val="none" w:sz="0" w:space="0" w:color="auto"/>
        <w:right w:val="none" w:sz="0" w:space="0" w:color="auto"/>
      </w:divBdr>
    </w:div>
    <w:div w:id="1805847043">
      <w:bodyDiv w:val="1"/>
      <w:marLeft w:val="0"/>
      <w:marRight w:val="0"/>
      <w:marTop w:val="0"/>
      <w:marBottom w:val="0"/>
      <w:divBdr>
        <w:top w:val="none" w:sz="0" w:space="0" w:color="auto"/>
        <w:left w:val="none" w:sz="0" w:space="0" w:color="auto"/>
        <w:bottom w:val="none" w:sz="0" w:space="0" w:color="auto"/>
        <w:right w:val="none" w:sz="0" w:space="0" w:color="auto"/>
      </w:divBdr>
    </w:div>
    <w:div w:id="1807701587">
      <w:bodyDiv w:val="1"/>
      <w:marLeft w:val="0"/>
      <w:marRight w:val="0"/>
      <w:marTop w:val="0"/>
      <w:marBottom w:val="0"/>
      <w:divBdr>
        <w:top w:val="none" w:sz="0" w:space="0" w:color="auto"/>
        <w:left w:val="none" w:sz="0" w:space="0" w:color="auto"/>
        <w:bottom w:val="none" w:sz="0" w:space="0" w:color="auto"/>
        <w:right w:val="none" w:sz="0" w:space="0" w:color="auto"/>
      </w:divBdr>
    </w:div>
    <w:div w:id="1833256221">
      <w:bodyDiv w:val="1"/>
      <w:marLeft w:val="0"/>
      <w:marRight w:val="0"/>
      <w:marTop w:val="0"/>
      <w:marBottom w:val="0"/>
      <w:divBdr>
        <w:top w:val="none" w:sz="0" w:space="0" w:color="auto"/>
        <w:left w:val="none" w:sz="0" w:space="0" w:color="auto"/>
        <w:bottom w:val="none" w:sz="0" w:space="0" w:color="auto"/>
        <w:right w:val="none" w:sz="0" w:space="0" w:color="auto"/>
      </w:divBdr>
    </w:div>
    <w:div w:id="1855604414">
      <w:bodyDiv w:val="1"/>
      <w:marLeft w:val="0"/>
      <w:marRight w:val="0"/>
      <w:marTop w:val="0"/>
      <w:marBottom w:val="0"/>
      <w:divBdr>
        <w:top w:val="none" w:sz="0" w:space="0" w:color="auto"/>
        <w:left w:val="none" w:sz="0" w:space="0" w:color="auto"/>
        <w:bottom w:val="none" w:sz="0" w:space="0" w:color="auto"/>
        <w:right w:val="none" w:sz="0" w:space="0" w:color="auto"/>
      </w:divBdr>
    </w:div>
    <w:div w:id="1873418430">
      <w:bodyDiv w:val="1"/>
      <w:marLeft w:val="0"/>
      <w:marRight w:val="0"/>
      <w:marTop w:val="0"/>
      <w:marBottom w:val="0"/>
      <w:divBdr>
        <w:top w:val="none" w:sz="0" w:space="0" w:color="auto"/>
        <w:left w:val="none" w:sz="0" w:space="0" w:color="auto"/>
        <w:bottom w:val="none" w:sz="0" w:space="0" w:color="auto"/>
        <w:right w:val="none" w:sz="0" w:space="0" w:color="auto"/>
      </w:divBdr>
    </w:div>
    <w:div w:id="1910996764">
      <w:bodyDiv w:val="1"/>
      <w:marLeft w:val="0"/>
      <w:marRight w:val="0"/>
      <w:marTop w:val="0"/>
      <w:marBottom w:val="0"/>
      <w:divBdr>
        <w:top w:val="none" w:sz="0" w:space="0" w:color="auto"/>
        <w:left w:val="none" w:sz="0" w:space="0" w:color="auto"/>
        <w:bottom w:val="none" w:sz="0" w:space="0" w:color="auto"/>
        <w:right w:val="none" w:sz="0" w:space="0" w:color="auto"/>
      </w:divBdr>
    </w:div>
    <w:div w:id="1915705020">
      <w:bodyDiv w:val="1"/>
      <w:marLeft w:val="0"/>
      <w:marRight w:val="0"/>
      <w:marTop w:val="0"/>
      <w:marBottom w:val="0"/>
      <w:divBdr>
        <w:top w:val="none" w:sz="0" w:space="0" w:color="auto"/>
        <w:left w:val="none" w:sz="0" w:space="0" w:color="auto"/>
        <w:bottom w:val="none" w:sz="0" w:space="0" w:color="auto"/>
        <w:right w:val="none" w:sz="0" w:space="0" w:color="auto"/>
      </w:divBdr>
    </w:div>
    <w:div w:id="1931430954">
      <w:bodyDiv w:val="1"/>
      <w:marLeft w:val="0"/>
      <w:marRight w:val="0"/>
      <w:marTop w:val="0"/>
      <w:marBottom w:val="0"/>
      <w:divBdr>
        <w:top w:val="none" w:sz="0" w:space="0" w:color="auto"/>
        <w:left w:val="none" w:sz="0" w:space="0" w:color="auto"/>
        <w:bottom w:val="none" w:sz="0" w:space="0" w:color="auto"/>
        <w:right w:val="none" w:sz="0" w:space="0" w:color="auto"/>
      </w:divBdr>
    </w:div>
    <w:div w:id="2075271346">
      <w:bodyDiv w:val="1"/>
      <w:marLeft w:val="0"/>
      <w:marRight w:val="0"/>
      <w:marTop w:val="0"/>
      <w:marBottom w:val="0"/>
      <w:divBdr>
        <w:top w:val="none" w:sz="0" w:space="0" w:color="auto"/>
        <w:left w:val="none" w:sz="0" w:space="0" w:color="auto"/>
        <w:bottom w:val="none" w:sz="0" w:space="0" w:color="auto"/>
        <w:right w:val="none" w:sz="0" w:space="0" w:color="auto"/>
      </w:divBdr>
    </w:div>
    <w:div w:id="2085949714">
      <w:bodyDiv w:val="1"/>
      <w:marLeft w:val="0"/>
      <w:marRight w:val="0"/>
      <w:marTop w:val="0"/>
      <w:marBottom w:val="0"/>
      <w:divBdr>
        <w:top w:val="none" w:sz="0" w:space="0" w:color="auto"/>
        <w:left w:val="none" w:sz="0" w:space="0" w:color="auto"/>
        <w:bottom w:val="none" w:sz="0" w:space="0" w:color="auto"/>
        <w:right w:val="none" w:sz="0" w:space="0" w:color="auto"/>
      </w:divBdr>
    </w:div>
    <w:div w:id="2097357321">
      <w:bodyDiv w:val="1"/>
      <w:marLeft w:val="0"/>
      <w:marRight w:val="0"/>
      <w:marTop w:val="0"/>
      <w:marBottom w:val="0"/>
      <w:divBdr>
        <w:top w:val="none" w:sz="0" w:space="0" w:color="auto"/>
        <w:left w:val="none" w:sz="0" w:space="0" w:color="auto"/>
        <w:bottom w:val="none" w:sz="0" w:space="0" w:color="auto"/>
        <w:right w:val="none" w:sz="0" w:space="0" w:color="auto"/>
      </w:divBdr>
    </w:div>
    <w:div w:id="21263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article/pii/S1057521918306008"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0E1A-09B8-4D91-8151-52B64B1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45</Pages>
  <Words>13584</Words>
  <Characters>77432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rharc</dc:creator>
  <cp:lastModifiedBy> </cp:lastModifiedBy>
  <cp:revision>31</cp:revision>
  <cp:lastPrinted>2019-04-09T09:46:00Z</cp:lastPrinted>
  <dcterms:created xsi:type="dcterms:W3CDTF">2019-04-10T08:47:00Z</dcterms:created>
  <dcterms:modified xsi:type="dcterms:W3CDTF">2019-06-07T21:12:00Z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