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A04B" w14:textId="77777777" w:rsidR="00C65E94" w:rsidRDefault="005D1C0C">
      <w:pPr>
        <w:spacing w:line="360" w:lineRule="auto"/>
        <w:rPr>
          <w:rFonts w:cstheme="minorHAnsi"/>
          <w:b/>
        </w:rPr>
      </w:pPr>
      <w:r>
        <w:rPr>
          <w:rFonts w:cstheme="minorHAnsi"/>
          <w:b/>
        </w:rPr>
        <w:t>Conservation policy</w:t>
      </w:r>
    </w:p>
    <w:p w14:paraId="50644850" w14:textId="77777777" w:rsidR="00C65E94" w:rsidRDefault="00C65E94">
      <w:pPr>
        <w:spacing w:line="360" w:lineRule="auto"/>
        <w:rPr>
          <w:rFonts w:cstheme="minorHAnsi"/>
          <w:b/>
        </w:rPr>
      </w:pPr>
    </w:p>
    <w:p w14:paraId="1E10D74A" w14:textId="5BA1753A" w:rsidR="00C323E9" w:rsidRDefault="005D1C0C">
      <w:pPr>
        <w:rPr>
          <w:rFonts w:cstheme="minorHAnsi"/>
          <w:bCs/>
        </w:rPr>
      </w:pPr>
      <w:r>
        <w:rPr>
          <w:rFonts w:cstheme="minorHAnsi"/>
          <w:b/>
        </w:rPr>
        <w:t xml:space="preserve">Diverse contributions </w:t>
      </w:r>
      <w:r w:rsidR="00B3544E">
        <w:rPr>
          <w:rFonts w:cstheme="minorHAnsi"/>
          <w:b/>
        </w:rPr>
        <w:t>benefit</w:t>
      </w:r>
      <w:r>
        <w:rPr>
          <w:rFonts w:cstheme="minorHAnsi"/>
          <w:b/>
        </w:rPr>
        <w:t xml:space="preserve"> people and nature</w:t>
      </w:r>
      <w:r w:rsidR="009F1DB3">
        <w:rPr>
          <w:rFonts w:cstheme="minorHAnsi"/>
          <w:b/>
        </w:rPr>
        <w:t xml:space="preserve"> </w:t>
      </w:r>
    </w:p>
    <w:p w14:paraId="5D946CD7" w14:textId="77777777" w:rsidR="00B84D3D" w:rsidRDefault="00B84D3D">
      <w:pPr>
        <w:spacing w:line="360" w:lineRule="auto"/>
        <w:rPr>
          <w:rFonts w:cstheme="minorHAnsi"/>
          <w:bCs/>
        </w:rPr>
      </w:pPr>
    </w:p>
    <w:p w14:paraId="071FEFA1" w14:textId="26FBDE8E" w:rsidR="00C323E9" w:rsidRDefault="005D1C0C">
      <w:pPr>
        <w:spacing w:line="360" w:lineRule="auto"/>
        <w:rPr>
          <w:rFonts w:cstheme="minorHAnsi"/>
          <w:bCs/>
        </w:rPr>
      </w:pPr>
      <w:r>
        <w:rPr>
          <w:rFonts w:cstheme="minorHAnsi"/>
          <w:bCs/>
        </w:rPr>
        <w:t>James E.M. Watson</w:t>
      </w:r>
      <w:r w:rsidR="00AD07AA">
        <w:rPr>
          <w:rFonts w:cstheme="minorHAnsi"/>
          <w:bCs/>
          <w:vertAlign w:val="superscript"/>
        </w:rPr>
        <w:t>1</w:t>
      </w:r>
      <w:proofErr w:type="gramStart"/>
      <w:r w:rsidR="00AD07AA">
        <w:rPr>
          <w:rFonts w:cstheme="minorHAnsi"/>
          <w:bCs/>
          <w:vertAlign w:val="superscript"/>
        </w:rPr>
        <w:t>,2</w:t>
      </w:r>
      <w:proofErr w:type="gramEnd"/>
      <w:r>
        <w:rPr>
          <w:rFonts w:cstheme="minorHAnsi"/>
          <w:bCs/>
        </w:rPr>
        <w:t xml:space="preserve"> and Julia P.G. Jones</w:t>
      </w:r>
      <w:r>
        <w:rPr>
          <w:rFonts w:cstheme="minorHAnsi"/>
          <w:bCs/>
          <w:vertAlign w:val="superscript"/>
        </w:rPr>
        <w:t>3</w:t>
      </w:r>
    </w:p>
    <w:p w14:paraId="6F389A60" w14:textId="77777777" w:rsidR="00C323E9" w:rsidRDefault="00C323E9">
      <w:pPr>
        <w:spacing w:line="360" w:lineRule="auto"/>
        <w:rPr>
          <w:rFonts w:cstheme="minorHAnsi"/>
          <w:b/>
        </w:rPr>
      </w:pPr>
    </w:p>
    <w:p w14:paraId="69873920" w14:textId="77777777" w:rsidR="00C323E9" w:rsidRDefault="005D1C0C">
      <w:pPr>
        <w:suppressLineNumbers/>
        <w:spacing w:line="480" w:lineRule="auto"/>
      </w:pPr>
      <w:r>
        <w:rPr>
          <w:vertAlign w:val="superscript"/>
        </w:rPr>
        <w:t>1</w:t>
      </w:r>
      <w:r>
        <w:t xml:space="preserve"> The University of Queensland, School of Earth and Environmental Sciences, St Lucia, QLD 4072, Australia</w:t>
      </w:r>
    </w:p>
    <w:p w14:paraId="03A78254" w14:textId="77777777" w:rsidR="00C323E9" w:rsidRDefault="005D1C0C">
      <w:pPr>
        <w:suppressLineNumbers/>
        <w:spacing w:line="480" w:lineRule="auto"/>
      </w:pPr>
      <w:proofErr w:type="gramStart"/>
      <w:r>
        <w:rPr>
          <w:vertAlign w:val="superscript"/>
        </w:rPr>
        <w:t>2</w:t>
      </w:r>
      <w:proofErr w:type="gramEnd"/>
      <w:r>
        <w:rPr>
          <w:vertAlign w:val="superscript"/>
        </w:rPr>
        <w:t xml:space="preserve"> </w:t>
      </w:r>
      <w:r>
        <w:t>Global Conservation Program, Wildlife Conservation Society, Bronx, NY 10460, USA</w:t>
      </w:r>
    </w:p>
    <w:p w14:paraId="4C3F941A" w14:textId="77777777" w:rsidR="00C323E9" w:rsidRDefault="005D1C0C">
      <w:pPr>
        <w:spacing w:line="360" w:lineRule="auto"/>
        <w:rPr>
          <w:rFonts w:cstheme="minorHAnsi"/>
        </w:rPr>
      </w:pPr>
      <w:r>
        <w:rPr>
          <w:vertAlign w:val="superscript"/>
        </w:rPr>
        <w:t xml:space="preserve">3 </w:t>
      </w:r>
      <w:r>
        <w:t>College of Environmental Sciences and Engineering, Bangor University, Bangor LL57</w:t>
      </w:r>
    </w:p>
    <w:p w14:paraId="3E217D24" w14:textId="1F7CA969" w:rsidR="00C323E9" w:rsidRDefault="005D1C0C">
      <w:pPr>
        <w:spacing w:line="360" w:lineRule="auto"/>
        <w:rPr>
          <w:rFonts w:cstheme="minorHAnsi"/>
        </w:rPr>
      </w:pPr>
      <w:r>
        <w:rPr>
          <w:rFonts w:cstheme="minorHAnsi"/>
        </w:rPr>
        <w:t xml:space="preserve">*corresponding author, email: </w:t>
      </w:r>
      <w:r w:rsidR="00AD07AA">
        <w:rPr>
          <w:rFonts w:cstheme="minorHAnsi"/>
        </w:rPr>
        <w:t>julia.jones@bangor.ac.uk</w:t>
      </w:r>
    </w:p>
    <w:p w14:paraId="25CAA3CC" w14:textId="77777777" w:rsidR="00C323E9" w:rsidRDefault="00C323E9">
      <w:pPr>
        <w:spacing w:line="360" w:lineRule="auto"/>
        <w:rPr>
          <w:rFonts w:cstheme="minorHAnsi"/>
          <w:b/>
        </w:rPr>
      </w:pPr>
    </w:p>
    <w:p w14:paraId="69FA9B27" w14:textId="70E05D28" w:rsidR="00C323E9" w:rsidRPr="00974A9B" w:rsidRDefault="005D1C0C">
      <w:pPr>
        <w:spacing w:line="360" w:lineRule="auto"/>
        <w:rPr>
          <w:rFonts w:cstheme="minorHAnsi"/>
          <w:color w:val="FF0000"/>
        </w:rPr>
      </w:pPr>
      <w:r>
        <w:rPr>
          <w:rFonts w:cstheme="minorHAnsi"/>
          <w:b/>
          <w:i/>
        </w:rPr>
        <w:t xml:space="preserve">A </w:t>
      </w:r>
      <w:r w:rsidR="00BC20EA">
        <w:rPr>
          <w:rFonts w:cstheme="minorHAnsi"/>
          <w:b/>
          <w:i/>
        </w:rPr>
        <w:t>survey</w:t>
      </w:r>
      <w:r w:rsidR="007024DE">
        <w:rPr>
          <w:rFonts w:cstheme="minorHAnsi"/>
          <w:b/>
          <w:i/>
        </w:rPr>
        <w:t xml:space="preserve"> of more than 9000 conservationists in 149 countries</w:t>
      </w:r>
      <w:r>
        <w:rPr>
          <w:rFonts w:cstheme="minorHAnsi"/>
          <w:b/>
          <w:i/>
        </w:rPr>
        <w:t xml:space="preserve"> reveals that</w:t>
      </w:r>
      <w:r w:rsidR="00AD2270">
        <w:rPr>
          <w:rFonts w:cstheme="minorHAnsi"/>
          <w:b/>
          <w:i/>
        </w:rPr>
        <w:t>, despite broad diversity in people and ideas,</w:t>
      </w:r>
      <w:r>
        <w:rPr>
          <w:rFonts w:cstheme="minorHAnsi"/>
          <w:b/>
          <w:i/>
        </w:rPr>
        <w:t xml:space="preserve"> the global conversation community </w:t>
      </w:r>
      <w:proofErr w:type="gramStart"/>
      <w:r>
        <w:rPr>
          <w:rFonts w:cstheme="minorHAnsi"/>
          <w:b/>
          <w:i/>
        </w:rPr>
        <w:t>is not divided</w:t>
      </w:r>
      <w:proofErr w:type="gramEnd"/>
      <w:r w:rsidR="007024DE">
        <w:rPr>
          <w:rFonts w:cstheme="minorHAnsi"/>
          <w:b/>
          <w:i/>
        </w:rPr>
        <w:t>. C</w:t>
      </w:r>
      <w:r>
        <w:rPr>
          <w:rFonts w:cstheme="minorHAnsi"/>
          <w:b/>
          <w:i/>
        </w:rPr>
        <w:t>onservation policy will benefit from drawing on this diversity</w:t>
      </w:r>
      <w:r w:rsidR="007024DE">
        <w:rPr>
          <w:rFonts w:cstheme="minorHAnsi"/>
          <w:b/>
          <w:i/>
        </w:rPr>
        <w:t xml:space="preserve"> as international negotiations around the post-2020 agenda for conservation proceed</w:t>
      </w:r>
      <w:r w:rsidR="00541140">
        <w:rPr>
          <w:rFonts w:cstheme="minorHAnsi"/>
          <w:b/>
          <w:i/>
        </w:rPr>
        <w:t>.</w:t>
      </w:r>
    </w:p>
    <w:p w14:paraId="4E1F2366" w14:textId="77777777" w:rsidR="00C323E9" w:rsidRDefault="00C323E9">
      <w:pPr>
        <w:spacing w:line="360" w:lineRule="auto"/>
        <w:rPr>
          <w:rFonts w:cstheme="minorHAnsi"/>
          <w:b/>
        </w:rPr>
      </w:pPr>
    </w:p>
    <w:p w14:paraId="1B9DE00A" w14:textId="77777777" w:rsidR="00C323E9" w:rsidRDefault="00C323E9">
      <w:pPr>
        <w:spacing w:line="360" w:lineRule="auto"/>
        <w:rPr>
          <w:rFonts w:cstheme="minorHAnsi"/>
        </w:rPr>
      </w:pPr>
    </w:p>
    <w:p w14:paraId="12A8AD43" w14:textId="7ED9495C" w:rsidR="00C323E9" w:rsidRDefault="00BC20EA">
      <w:pPr>
        <w:spacing w:line="360" w:lineRule="auto"/>
      </w:pPr>
      <w:r>
        <w:rPr>
          <w:rFonts w:cstheme="minorHAnsi"/>
        </w:rPr>
        <w:t>The May 2019 p</w:t>
      </w:r>
      <w:r w:rsidR="005D1C0C">
        <w:rPr>
          <w:rFonts w:cstheme="minorHAnsi"/>
        </w:rPr>
        <w:t>ublication of the United Nation</w:t>
      </w:r>
      <w:r>
        <w:rPr>
          <w:rFonts w:cstheme="minorHAnsi"/>
        </w:rPr>
        <w:t>s</w:t>
      </w:r>
      <w:r w:rsidR="005D1C0C">
        <w:rPr>
          <w:rFonts w:cstheme="minorHAnsi"/>
        </w:rPr>
        <w:t xml:space="preserve">’ first global assessment of the state of biodiversity </w:t>
      </w:r>
      <w:r>
        <w:rPr>
          <w:rFonts w:cstheme="minorHAnsi"/>
        </w:rPr>
        <w:t>was a stark reminder</w:t>
      </w:r>
      <w:r w:rsidR="005D1C0C">
        <w:rPr>
          <w:rFonts w:cstheme="minorHAnsi"/>
        </w:rPr>
        <w:t xml:space="preserve"> that urgent action is needed if </w:t>
      </w:r>
      <w:r>
        <w:rPr>
          <w:rFonts w:cstheme="minorHAnsi"/>
        </w:rPr>
        <w:t xml:space="preserve">we are </w:t>
      </w:r>
      <w:r w:rsidR="005D1C0C">
        <w:rPr>
          <w:rFonts w:cstheme="minorHAnsi"/>
        </w:rPr>
        <w:t>to stem the drastic deterioration of biodiversity and ecosystem services</w:t>
      </w:r>
      <w:r w:rsidR="005D1C0C">
        <w:fldChar w:fldCharType="begin" w:fldLock="1"/>
      </w:r>
      <w:r w:rsidR="005D1C0C">
        <w:instrText>ADDIN CSL_CITATION {"citationItems":[{"id":"ITEM-1","itemData":{"URL":"https://www.ipbes.net/deliverables/2c-global-assessment","accessed":{"date-parts":[["2019","5","17"]]},"id":"ITEM-1","issued":{"date-parts":[["0"]]},"title":"Global assessment | IPBES","type":"webpage"},"uris":["http://www.mendeley.com/documents/?uuid=51ed229f-56fe-357e-bbee-8fa10c947c6d"]}],"mendeley":{"formattedCitation":"&lt;sup&gt;1&lt;/sup&gt;","plainTextFormattedCitation":"1","previouslyFormattedCitation":"&lt;sup&gt;1&lt;/sup&gt;"},"properties":{"noteIndex":0},"schema":"https://github.com/citation-style-language/schema/raw/master/csl-citation.json"}</w:instrText>
      </w:r>
      <w:r w:rsidR="005D1C0C">
        <w:fldChar w:fldCharType="separate"/>
      </w:r>
      <w:bookmarkStart w:id="0" w:name="Bookmark"/>
      <w:r w:rsidR="005D1C0C">
        <w:rPr>
          <w:rFonts w:cstheme="minorHAnsi"/>
          <w:noProof/>
          <w:vertAlign w:val="superscript"/>
        </w:rPr>
        <w:t>1</w:t>
      </w:r>
      <w:r w:rsidR="005D1C0C">
        <w:fldChar w:fldCharType="end"/>
      </w:r>
      <w:bookmarkEnd w:id="0"/>
      <w:r w:rsidR="005D1C0C">
        <w:rPr>
          <w:rFonts w:cstheme="minorHAnsi"/>
        </w:rPr>
        <w:t>.</w:t>
      </w:r>
      <w:r>
        <w:rPr>
          <w:rFonts w:cstheme="minorHAnsi"/>
        </w:rPr>
        <w:t xml:space="preserve"> Although</w:t>
      </w:r>
      <w:r w:rsidR="005D1C0C">
        <w:rPr>
          <w:rFonts w:cstheme="minorHAnsi"/>
        </w:rPr>
        <w:t xml:space="preserve"> there are clear calls for an ambitious and bold conservation agenda to underpin the post 2020 framework for the Convention of Biological Diversity</w:t>
      </w:r>
      <w:r w:rsidR="005D1C0C">
        <w:fldChar w:fldCharType="begin" w:fldLock="1"/>
      </w:r>
      <w:r w:rsidR="005D1C0C">
        <w:instrText>ADDIN CSL_CITATION {"citationItems":[{"id":"ITEM-1","itemData":{"DOI":"10.1038/nature24144","ISSN":"0028-0836","abstract":"An international movement is calling for at least half of the Earth to be allocated for conservation. A global study now reveals that, in many ecoregions, enough habitat exists to reach this goal, and ideas are proposed for the next steps needed.","author":[{"dropping-particle":"","family":"Watson","given":"James E. M.","non-dropping-particle":"","parse-names":false,"suffix":""},{"dropping-particle":"","family":"Venter","given":"Oscar","non-dropping-particle":"","parse-names":false,"suffix":""}],"container-title":"Nature","id":"ITEM-1","issue":"7674","issued":{"date-parts":[["2017","10","27"]]},"page":"48-49","publisher":"Nature Publishing Group","title":"A global plan for nature conservation","type":"article-journal","volume":"550"},"uris":["http://www.mendeley.com/documents/?uuid=62cc788c-dd3e-34bf-8d74-94c7f4385589"]}],"mendeley":{"formattedCitation":"&lt;sup&gt;2&lt;/sup&gt;","plainTextFormattedCitation":"2","previouslyFormattedCitation":"&lt;sup&gt;2&lt;/sup&gt;"},"properties":{"noteIndex":0},"schema":"https://github.com/citation-style-language/schema/raw/master/csl-citation.json"}</w:instrText>
      </w:r>
      <w:r w:rsidR="005D1C0C">
        <w:fldChar w:fldCharType="separate"/>
      </w:r>
      <w:bookmarkStart w:id="1" w:name="Bookmark1"/>
      <w:r w:rsidR="005D1C0C">
        <w:rPr>
          <w:rFonts w:cstheme="minorHAnsi"/>
          <w:noProof/>
          <w:vertAlign w:val="superscript"/>
        </w:rPr>
        <w:t>2</w:t>
      </w:r>
      <w:r w:rsidR="005D1C0C">
        <w:fldChar w:fldCharType="end"/>
      </w:r>
      <w:bookmarkEnd w:id="1"/>
      <w:r w:rsidR="005D1C0C">
        <w:rPr>
          <w:rFonts w:cstheme="minorHAnsi"/>
        </w:rPr>
        <w:t xml:space="preserve">, there has been </w:t>
      </w:r>
      <w:r>
        <w:rPr>
          <w:rFonts w:cstheme="minorHAnsi"/>
        </w:rPr>
        <w:t xml:space="preserve">vigorous, and </w:t>
      </w:r>
      <w:r w:rsidR="005D1C0C">
        <w:rPr>
          <w:rFonts w:cstheme="minorHAnsi"/>
        </w:rPr>
        <w:t>at time</w:t>
      </w:r>
      <w:r>
        <w:rPr>
          <w:rFonts w:cstheme="minorHAnsi"/>
        </w:rPr>
        <w:t>s</w:t>
      </w:r>
      <w:r w:rsidR="005D1C0C">
        <w:rPr>
          <w:rFonts w:cstheme="minorHAnsi"/>
        </w:rPr>
        <w:t xml:space="preserve"> acrimonious</w:t>
      </w:r>
      <w:r>
        <w:rPr>
          <w:rFonts w:cstheme="minorHAnsi"/>
        </w:rPr>
        <w:t>,</w:t>
      </w:r>
      <w:r w:rsidR="005D1C0C">
        <w:rPr>
          <w:rFonts w:cstheme="minorHAnsi"/>
        </w:rPr>
        <w:t xml:space="preserve"> debate about the why, what and how of conservation</w:t>
      </w:r>
      <w:r w:rsidR="005D1C0C">
        <w:fldChar w:fldCharType="begin" w:fldLock="1"/>
      </w:r>
      <w:r w:rsidR="005D1C0C">
        <w:instrText>ADDIN CSL_CITATION {"citationItems":[{"id":"ITEM-1","itemData":{"DOI":"10.1111/acv.12127","ISSN":"13679430","author":[{"dropping-particle":"","family":"Miller","given":"B.","non-dropping-particle":"","parse-names":false,"suffix":""},{"dropping-particle":"","family":"Soulé","given":"M. E.","non-dropping-particle":"","parse-names":false,"suffix":""},{"dropping-particle":"","family":"Terborgh","given":"J.","non-dropping-particle":"","parse-names":false,"suffix":""}],"container-title":"Animal Conservation","id":"ITEM-1","issue":"6","issued":{"date-parts":[["2014","12"]]},"page":"509-515","title":"‘New conservation’ or surrender to development?","type":"article-journal","volume":"17"},"uris":["http://www.mendeley.com/documents/?uuid=6544d8b8-ba5c-3dc2-9762-f79b83d34302"]},{"id":"ITEM-2","itemData":{"DOI":"10.1111/cobi.12295","ISSN":"08888892","author":[{"dropping-particle":"","family":"KAREIVA","given":"PETER","non-dropping-particle":"","parse-names":false,"suffix":""}],"container-title":"Conservation Biology","id":"ITEM-2","issue":"3","issued":{"date-parts":[["2014","6"]]},"page":"634-636","title":"New Conservation: Setting the Record Straight and Finding Common Ground","type":"article-journal","volume":"28"},"uris":["http://www.mendeley.com/documents/?uuid=1cf7e2e9-b33c-3008-bc5d-8c00d0cb1ac7"]}],"mendeley":{"formattedCitation":"&lt;sup&gt;3,4&lt;/sup&gt;","plainTextFormattedCitation":"3,4","previouslyFormattedCitation":"&lt;sup&gt;3,4&lt;/sup&gt;"},"properties":{"noteIndex":0},"schema":"https://github.com/citation-style-language/schema/raw/master/csl-citation.json"}</w:instrText>
      </w:r>
      <w:r w:rsidR="005D1C0C">
        <w:fldChar w:fldCharType="separate"/>
      </w:r>
      <w:bookmarkStart w:id="2" w:name="Bookmark2"/>
      <w:r w:rsidR="005D1C0C">
        <w:rPr>
          <w:rFonts w:cstheme="minorHAnsi"/>
          <w:noProof/>
          <w:vertAlign w:val="superscript"/>
        </w:rPr>
        <w:t>3,4</w:t>
      </w:r>
      <w:r w:rsidR="005D1C0C">
        <w:fldChar w:fldCharType="end"/>
      </w:r>
      <w:bookmarkEnd w:id="2"/>
      <w:r w:rsidR="005D1C0C">
        <w:rPr>
          <w:rFonts w:cstheme="minorHAnsi"/>
        </w:rPr>
        <w:t>. Published positions have tended to emphasise difference</w:t>
      </w:r>
      <w:r w:rsidR="007024DE">
        <w:rPr>
          <w:rFonts w:cstheme="minorHAnsi"/>
        </w:rPr>
        <w:t>s</w:t>
      </w:r>
      <w:r w:rsidR="005D1C0C">
        <w:rPr>
          <w:rFonts w:cstheme="minorHAnsi"/>
        </w:rPr>
        <w:t xml:space="preserve"> in views and suggest marked polarization within the conservation community</w:t>
      </w:r>
      <w:r w:rsidR="005D1C0C">
        <w:fldChar w:fldCharType="begin" w:fldLock="1"/>
      </w:r>
      <w:r w:rsidR="005D1C0C">
        <w:instrText>ADDIN CSL_CITATION {"citationItems":[{"id":"ITEM-1","itemData":{"DOI":"10.1093/biosci/bix014","ISSN":"0006-3568","author":[{"dropping-particle":"","family":"Dinerstein","given":"Eric","non-dropping-particle":"","parse-names":false,"suffix":""},{"dropping-particle":"","family":"Olson","given":"David","non-dropping-particle":"","parse-names":false,"suffix":""},{"dropping-particle":"","family":"Joshi","given":"Anup","non-dropping-particle":"","parse-names":false,"suffix":""},{"dropping-particle":"","family":"Vynne","given":"Carly","non-dropping-particle":"","parse-names":false,"suffix":""},{"dropping-particle":"","family":"Burgess","given":"Neil D.","non-dropping-particle":"","parse-names":false,"suffix":""},{"dropping-particle":"","family":"Wikramanayake","given":"Eric","non-dropping-particle":"","parse-names":false,"suffix":""},{"dropping-particle":"","family":"Hahn","given":"Nathan","non-dropping-particle":"","parse-names":false,"suffix":""},{"dropping-particle":"","family":"Palminteri","given":"Suzanne","non-dropping-particle":"","parse-names":false,"suffix":""},{"dropping-particle":"","family":"Hedao","given":"Prashant","non-dropping-particle":"","parse-names":false,"suffix":""},{"dropping-particle":"","family":"Noss","given":"Reed","non-dropping-particle":"","parse-names":false,"suffix":""},{"dropping-particle":"","family":"Hansen","given":"Matt","non-dropping-particle":"","parse-names":false,"suffix":""},{"dropping-particle":"","family":"Locke","given":"Harvey","non-dropping-particle":"","parse-names":false,"suffix":""},{"dropping-particle":"","family":"Ellis","given":"Erle C","non-dropping-particle":"","parse-names":false,"suffix":""},{"dropping-particle":"","family":"Jones","given":"Benjamin","non-dropping-particle":"","parse-names":false,"suffix":""},{"dropping-particle":"","family":"Barber","given":"Charles Victor","non-dropping-particle":"","parse-names":false,"suffix":""},{"dropping-particle":"","family":"Hayes","given":"Randy","non-dropping-particle":"","parse-names":false,"suffix":""},{"dropping-particle":"","family":"Kormos","given":"Cyril","non-dropping-particle":"","parse-names":false,"suffix":""},{"dropping-particle":"","family":"Martin","given":"Vance","non-dropping-particle":"","parse-names":false,"suffix":""},{"dropping-particle":"","family":"Crist","given":"Eileen","non-dropping-particle":"","parse-names":false,"suffix":""},{"dropping-particle":"","family":"Sechrest","given":"Wes","non-dropping-particle":"","parse-names":false,"suffix":""},{"dropping-particle":"","family":"Price","given":"Lori","non-dropping-particle":"","parse-names":false,"suffix":""},{"dropping-particle":"","family":"Baillie","given":"Jonathan E. M.","non-dropping-particle":"","parse-names":false,"suffix":""},{"dropping-particle":"","family":"Weeden","given":"Don","non-dropping-particle":"","parse-names":false,"suffix":""},{"dropping-particle":"","family":"Suckling","given":"Kierán","non-dropping-particle":"","parse-names":false,"suffix":""},{"dropping-particle":"","family":"Davis","given":"Crystal","non-dropping-particle":"","parse-names":false,"suffix":""},{"dropping-particle":"","family":"Sizer","given":"Nigel","non-dropping-particle":"","parse-names":false,"suffix":""},{"dropping-particle":"","family":"Moore","given":"Rebecca","non-dropping-particle":"","parse-names":false,"suffix":""},{"dropping-particle":"","family":"Thau","given":"David","non-dropping-particle":"","parse-names":false,"suffix":""},{"dropping-particle":"","family":"Birch","given":"Tanya","non-dropping-particle":"","parse-names":false,"suffix":""},{"dropping-particle":"","family":"Potapov","given":"Peter","non-dropping-particle":"","parse-names":false,"suffix":""},{"dropping-particle":"","family":"Turubanova","given":"Svetlana","non-dropping-particle":"","parse-names":false,"suffix":""},{"dropping-particle":"","family":"Tyukavina","given":"Alexandra","non-dropping-particle":"","parse-names":false,"suffix":""},{"dropping-particle":"","family":"Souza","given":"Nadia","non-dropping-particle":"de","parse-names":false,"suffix":""},{"dropping-particle":"","family":"Pintea","given":"Lilian","non-dropping-particle":"","parse-names":false,"suffix":""},{"dropping-particle":"","family":"Brito","given":"José C.","non-dropping-particle":"","parse-names":false,"suffix":""},{"dropping-particle":"","family":"Llewellyn","given":"Othman A.","non-dropping-particle":"","parse-names":false,"suffix":""},{"dropping-particle":"","family":"Miller","given":"Anthony G.","non-dropping-particle":"","parse-names":false,"suffix":""},{"dropping-particle":"","family":"Patzelt","given":"Annette","non-dropping-particle":"","parse-names":false,"suffix":""},{"dropping-particle":"","family":"Ghazanfar","given":"Shahina A.","non-dropping-particle":"","parse-names":false,"suffix":""},{"dropping-particle":"","family":"Timberlake","given":"Jonathan","non-dropping-particle":"","parse-names":false,"suffix":""},{"dropping-particle":"","family":"Klöser","given":"Heinz","non-dropping-particle":"","parse-names":false,"suffix":""},{"dropping-particle":"","family":"Shennan-Farpón","given":"Yara","non-dropping-particle":"","parse-names":false,"suffix":""},{"dropping-particle":"","family":"Kindt","given":"Roeland","non-dropping-particle":"","parse-names":false,"suffix":""},{"dropping-particle":"","family":"Lillesø","given":"Jens-Peter Barnekow","non-dropping-particle":"","parse-names":false,"suffix":""},{"dropping-particle":"","family":"Breugel","given":"Paulo","non-dropping-particle":"van","parse-names":false,"suffix":""},{"dropping-particle":"","family":"Graudal","given":"Lars","non-dropping-particle":"","parse-names":false,"suffix":""},{"dropping-particle":"","family":"Voge","given":"Maianna","non-dropping-particle":"","parse-names":false,"suffix":""},{"dropping-particle":"","family":"Al-Shammari","given":"Khalaf F.","non-dropping-particle":"","parse-names":false,"suffix":""},{"dropping-particle":"","family":"Saleem","given":"Muhammad","non-dropping-particle":"","parse-names":false,"suffix":""}],"container-title":"BioScience","id":"ITEM-1","issue":"6","issued":{"date-parts":[["2017","6"]]},"page":"534-545","title":"An Ecoregion-Based Approach to Protecting Half the Terrestrial Realm","type":"article-journal","volume":"67"},"uris":["http://www.mendeley.com/documents/?uuid=4d1f15bf-8bc1-394a-8245-5eb3989799dc"]},{"id":"ITEM-2","itemData":{"DOI":"10.1017/S0030605316001228","ISSN":"0030-6053","abstract":"&lt;p&gt;We question whether the increasingly popular, radical idea of turning half the Earth into a network of protected areas is either feasible or just. We argue that this Half-Earth plan would have widespread negative consequences for human populations and would not meet its conservation objectives. It offers no agenda for managing biodiversity within a human half of Earth. We call instead for alternative radical action that is both more effective and more equitable, focused directly on the main drivers of biodiversity loss by shifting the global economy from its current foundation in growth while simultaneously redressing inequality.&lt;/p&gt;","author":[{"dropping-particle":"","family":"Büscher","given":"Bram","non-dropping-particle":"","parse-names":false,"suffix":""},{"dropping-particle":"","family":"Fletcher","given":"Robert","non-dropping-particle":"","parse-names":false,"suffix":""},{"dropping-particle":"","family":"Brockington","given":"Dan","non-dropping-particle":"","parse-names":false,"suffix":""},{"dropping-particle":"","family":"Sandbrook","given":"Chris","non-dropping-particle":"","parse-names":false,"suffix":""},{"dropping-particle":"","family":"Adams","given":"William M.","non-dropping-particle":"","parse-names":false,"suffix":""},{"dropping-particle":"","family":"Campbell","given":"Lisa","non-dropping-particle":"","parse-names":false,"suffix":""},{"dropping-particle":"","family":"Corson","given":"Catherine","non-dropping-particle":"","parse-names":false,"suffix":""},{"dropping-particle":"","family":"Dressler","given":"Wolfram","non-dropping-particle":"","parse-names":false,"suffix":""},{"dropping-particle":"","family":"Duffy","given":"Rosaleen","non-dropping-particle":"","parse-names":false,"suffix":""},{"dropping-particle":"","family":"Gray","given":"Noella","non-dropping-particle":"","parse-names":false,"suffix":""},{"dropping-particle":"","family":"Holmes","given":"George","non-dropping-particle":"","parse-names":false,"suffix":""},{"dropping-particle":"","family":"Kelly","given":"Alice","non-dropping-particle":"","parse-names":false,"suffix":""},{"dropping-particle":"","family":"Lunstrum","given":"Elizabeth","non-dropping-particle":"","parse-names":false,"suffix":""},{"dropping-particle":"","family":"Ramutsindela","given":"Maano","non-dropping-particle":"","parse-names":false,"suffix":""},{"dropping-particle":"","family":"Shanker","given":"Kartik","non-dropping-particle":"","parse-names":false,"suffix":""}],"container-title":"Oryx","id":"ITEM-2","issue":"3","issued":{"date-parts":[["2017","7","5"]]},"page":"407-410","title":"Half-Earth or Whole Earth? Radical ideas for conservation, and their implications","type":"article-journal","volume":"51"},"uris":["http://www.mendeley.com/documents/?uuid=1b2e5d0a-0b35-3048-b52d-a1d59c76b154"]}],"mendeley":{"formattedCitation":"&lt;sup&gt;5,6&lt;/sup&gt;","plainTextFormattedCitation":"5,6","previouslyFormattedCitation":"&lt;sup&gt;5,6&lt;/sup&gt;"},"properties":{"noteIndex":0},"schema":"https://github.com/citation-style-language/schema/raw/master/csl-citation.json"}</w:instrText>
      </w:r>
      <w:r w:rsidR="005D1C0C">
        <w:fldChar w:fldCharType="separate"/>
      </w:r>
      <w:bookmarkStart w:id="3" w:name="Bookmark3"/>
      <w:r w:rsidR="005D1C0C">
        <w:rPr>
          <w:rFonts w:cstheme="minorHAnsi"/>
          <w:noProof/>
          <w:vertAlign w:val="superscript"/>
        </w:rPr>
        <w:t>5,6</w:t>
      </w:r>
      <w:r w:rsidR="005D1C0C">
        <w:fldChar w:fldCharType="end"/>
      </w:r>
      <w:bookmarkEnd w:id="3"/>
      <w:r w:rsidR="005D1C0C">
        <w:rPr>
          <w:rFonts w:cstheme="minorHAnsi"/>
        </w:rPr>
        <w:t>. However,</w:t>
      </w:r>
      <w:r w:rsidR="00D345EE">
        <w:rPr>
          <w:rFonts w:cstheme="minorHAnsi"/>
        </w:rPr>
        <w:t xml:space="preserve"> </w:t>
      </w:r>
      <w:r w:rsidR="00D345EE">
        <w:rPr>
          <w:rFonts w:cstheme="minorHAnsi"/>
        </w:rPr>
        <w:lastRenderedPageBreak/>
        <w:t>the results of a survey of more than 9,000 conservationists from 149 countries, presented by</w:t>
      </w:r>
      <w:r w:rsidR="005D1C0C">
        <w:rPr>
          <w:rFonts w:cstheme="minorHAnsi"/>
        </w:rPr>
        <w:t xml:space="preserve"> </w:t>
      </w:r>
      <w:r w:rsidR="007024DE">
        <w:rPr>
          <w:rFonts w:cstheme="minorHAnsi"/>
        </w:rPr>
        <w:t xml:space="preserve">Sandbrook </w:t>
      </w:r>
      <w:proofErr w:type="gramStart"/>
      <w:r w:rsidR="007024DE">
        <w:rPr>
          <w:rFonts w:cstheme="minorHAnsi"/>
        </w:rPr>
        <w:t>et</w:t>
      </w:r>
      <w:proofErr w:type="gramEnd"/>
      <w:r w:rsidR="007024DE">
        <w:rPr>
          <w:rFonts w:cstheme="minorHAnsi"/>
        </w:rPr>
        <w:t xml:space="preserve"> al.</w:t>
      </w:r>
      <w:r w:rsidR="007024DE">
        <w:rPr>
          <w:rFonts w:cstheme="minorHAnsi"/>
          <w:vertAlign w:val="superscript"/>
        </w:rPr>
        <w:t>7</w:t>
      </w:r>
      <w:r w:rsidR="007024DE">
        <w:rPr>
          <w:rFonts w:cstheme="minorHAnsi"/>
        </w:rPr>
        <w:t xml:space="preserve"> in </w:t>
      </w:r>
      <w:r w:rsidR="007024DE" w:rsidRPr="00974A9B">
        <w:rPr>
          <w:rFonts w:cstheme="minorHAnsi"/>
          <w:i/>
        </w:rPr>
        <w:t>Nature Sustainability</w:t>
      </w:r>
      <w:r w:rsidR="00D345EE">
        <w:rPr>
          <w:rFonts w:cstheme="minorHAnsi"/>
        </w:rPr>
        <w:t>, r</w:t>
      </w:r>
      <w:r w:rsidR="007024DE">
        <w:rPr>
          <w:rFonts w:cstheme="minorHAnsi"/>
        </w:rPr>
        <w:t xml:space="preserve">eveal </w:t>
      </w:r>
      <w:r w:rsidR="005D1C0C">
        <w:rPr>
          <w:rFonts w:cstheme="minorHAnsi"/>
        </w:rPr>
        <w:t xml:space="preserve">that </w:t>
      </w:r>
      <w:r w:rsidR="00D345EE">
        <w:rPr>
          <w:rFonts w:cstheme="minorHAnsi"/>
        </w:rPr>
        <w:t xml:space="preserve">although </w:t>
      </w:r>
      <w:r w:rsidR="00DB1BBE">
        <w:rPr>
          <w:rFonts w:cstheme="minorHAnsi"/>
        </w:rPr>
        <w:t xml:space="preserve">conservationists </w:t>
      </w:r>
      <w:r w:rsidR="005D1C0C">
        <w:rPr>
          <w:rFonts w:cstheme="minorHAnsi"/>
        </w:rPr>
        <w:t>are</w:t>
      </w:r>
      <w:r w:rsidR="00D345EE">
        <w:rPr>
          <w:rFonts w:cstheme="minorHAnsi"/>
        </w:rPr>
        <w:t xml:space="preserve"> </w:t>
      </w:r>
      <w:r w:rsidR="005D1C0C">
        <w:rPr>
          <w:rFonts w:cstheme="minorHAnsi"/>
        </w:rPr>
        <w:t xml:space="preserve">a diverse group with varied values, there is a lot of agreement. </w:t>
      </w:r>
      <w:r w:rsidR="00D345EE">
        <w:rPr>
          <w:rFonts w:cstheme="minorHAnsi"/>
        </w:rPr>
        <w:t xml:space="preserve">Approaches that capitalise on this </w:t>
      </w:r>
      <w:r w:rsidR="005D1C0C">
        <w:rPr>
          <w:rFonts w:cstheme="minorHAnsi"/>
        </w:rPr>
        <w:t>shared understanding,</w:t>
      </w:r>
      <w:r w:rsidR="00D345EE">
        <w:rPr>
          <w:rFonts w:cstheme="minorHAnsi"/>
        </w:rPr>
        <w:t xml:space="preserve"> </w:t>
      </w:r>
      <w:r w:rsidR="00515F65">
        <w:rPr>
          <w:rFonts w:cstheme="minorHAnsi"/>
        </w:rPr>
        <w:t xml:space="preserve">while </w:t>
      </w:r>
      <w:r w:rsidR="005D1C0C">
        <w:rPr>
          <w:rFonts w:cstheme="minorHAnsi"/>
        </w:rPr>
        <w:t>acknowledg</w:t>
      </w:r>
      <w:r w:rsidR="00515F65">
        <w:rPr>
          <w:rFonts w:cstheme="minorHAnsi"/>
        </w:rPr>
        <w:t>ing</w:t>
      </w:r>
      <w:r w:rsidR="005D1C0C">
        <w:rPr>
          <w:rFonts w:cstheme="minorHAnsi"/>
        </w:rPr>
        <w:t xml:space="preserve"> contentious and difficult issues, will be helpful in the tough negotiations ahead.  </w:t>
      </w:r>
    </w:p>
    <w:p w14:paraId="6C0B9DB5" w14:textId="77777777" w:rsidR="00C323E9" w:rsidRDefault="00C323E9">
      <w:pPr>
        <w:spacing w:line="360" w:lineRule="auto"/>
        <w:rPr>
          <w:rFonts w:cstheme="minorHAnsi"/>
        </w:rPr>
      </w:pPr>
    </w:p>
    <w:p w14:paraId="14AE15B4" w14:textId="43E656D9" w:rsidR="00C323E9" w:rsidRDefault="005D1C0C">
      <w:pPr>
        <w:spacing w:line="360" w:lineRule="auto"/>
      </w:pPr>
      <w:r>
        <w:rPr>
          <w:rFonts w:cstheme="minorHAnsi"/>
        </w:rPr>
        <w:t xml:space="preserve">A lot of attention has been given to a supposed divide between </w:t>
      </w:r>
      <w:r>
        <w:rPr>
          <w:rFonts w:eastAsia="Times New Roman" w:cstheme="minorHAnsi"/>
          <w:color w:val="000000"/>
        </w:rPr>
        <w:t>‘new conservation’</w:t>
      </w:r>
      <w:r w:rsidR="00D345EE">
        <w:rPr>
          <w:rFonts w:eastAsia="Times New Roman" w:cstheme="minorHAnsi"/>
          <w:color w:val="000000"/>
        </w:rPr>
        <w:t xml:space="preserve">, </w:t>
      </w:r>
      <w:r>
        <w:rPr>
          <w:rFonts w:eastAsia="Times New Roman" w:cstheme="minorHAnsi"/>
          <w:color w:val="000000"/>
        </w:rPr>
        <w:t>focusing on biodiversity’s importance to people and emphasising partnerships with corporations and market-based tools for delivering conservation</w:t>
      </w:r>
      <w:r w:rsidR="00300AA2">
        <w:rPr>
          <w:rFonts w:eastAsia="Times New Roman" w:cstheme="minorHAnsi"/>
          <w:color w:val="000000"/>
        </w:rPr>
        <w:fldChar w:fldCharType="begin" w:fldLock="1"/>
      </w:r>
      <w:r w:rsidR="00300AA2">
        <w:rPr>
          <w:rFonts w:eastAsia="Times New Roman" w:cstheme="minorHAnsi"/>
          <w:color w:val="000000"/>
        </w:rPr>
        <w:instrText>ADDIN CSL_CITATION {"citationItems":[{"id":"ITEM-1","itemData":{"DOI":"10.1525/bio.2012.62.11.5","ISSN":"1525-3244","author":[{"dropping-particle":"","family":"Kareiva","given":"Peter","non-dropping-particle":"","parse-names":false,"suffix":""},{"dropping-particle":"","family":"Marvier","given":"Michelle","non-dropping-particle":"","parse-names":false,"suffix":""}],"container-title":"BioScience","id":"ITEM-1","issue":"11","issued":{"date-parts":[["2012","11","1"]]},"page":"962-969","publisher":"Narnia","title":"What Is Conservation Science?","type":"article-journal","volume":"62"},"uris":["http://www.mendeley.com/documents/?uuid=42696b6f-aa02-35db-b7ec-3321d3fa1b2e"]}],"mendeley":{"formattedCitation":"&lt;sup&gt;8&lt;/sup&gt;","plainTextFormattedCitation":"8"},"properties":{"noteIndex":0},"schema":"https://github.com/citation-style-language/schema/raw/master/csl-citation.json"}</w:instrText>
      </w:r>
      <w:r w:rsidR="00300AA2">
        <w:rPr>
          <w:rFonts w:eastAsia="Times New Roman" w:cstheme="minorHAnsi"/>
          <w:color w:val="000000"/>
        </w:rPr>
        <w:fldChar w:fldCharType="separate"/>
      </w:r>
      <w:r w:rsidR="00300AA2" w:rsidRPr="00300AA2">
        <w:rPr>
          <w:rFonts w:eastAsia="Times New Roman" w:cstheme="minorHAnsi"/>
          <w:noProof/>
          <w:color w:val="000000"/>
          <w:vertAlign w:val="superscript"/>
        </w:rPr>
        <w:t>8</w:t>
      </w:r>
      <w:r w:rsidR="00300AA2">
        <w:rPr>
          <w:rFonts w:eastAsia="Times New Roman" w:cstheme="minorHAnsi"/>
          <w:color w:val="000000"/>
        </w:rPr>
        <w:fldChar w:fldCharType="end"/>
      </w:r>
      <w:r w:rsidR="00D345EE">
        <w:rPr>
          <w:rFonts w:eastAsia="Times New Roman" w:cstheme="minorHAnsi"/>
          <w:color w:val="000000"/>
        </w:rPr>
        <w:t>,</w:t>
      </w:r>
      <w:r>
        <w:rPr>
          <w:rFonts w:eastAsia="Times New Roman" w:cstheme="minorHAnsi"/>
          <w:color w:val="000000"/>
        </w:rPr>
        <w:t xml:space="preserve"> and ‘traditional conservation’</w:t>
      </w:r>
      <w:r w:rsidR="00D345EE">
        <w:rPr>
          <w:rFonts w:eastAsia="Times New Roman" w:cstheme="minorHAnsi"/>
          <w:color w:val="000000"/>
        </w:rPr>
        <w:t xml:space="preserve">, </w:t>
      </w:r>
      <w:r>
        <w:rPr>
          <w:rFonts w:eastAsia="Times New Roman" w:cstheme="minorHAnsi"/>
          <w:color w:val="000000"/>
        </w:rPr>
        <w:t>which argues for the protection of nature for its own sake and emphasises the role of protected areas and regulation</w:t>
      </w:r>
      <w:r>
        <w:fldChar w:fldCharType="begin" w:fldLock="1"/>
      </w:r>
      <w:r w:rsidR="00300AA2">
        <w:instrText>ADDIN CSL_CITATION {"citationItems":[{"id":"ITEM-1","itemData":{"DOI":"10.1016/j.tree.2013.10.013","ISSN":"01695347","author":[{"dropping-particle":"","family":"Doak","given":"Daniel F.","non-dropping-particle":"","parse-names":false,"suffix":""},{"dropping-particle":"","family":"Bakker","given":"Victoria J.","non-dropping-particle":"","parse-names":false,"suffix":""},{"dropping-particle":"","family":"Goldstein","given":"Bruce Evan","non-dropping-particle":"","parse-names":false,"suffix":""},{"dropping-particle":"","family":"Hale","given":"Benjamin","non-dropping-particle":"","parse-names":false,"suffix":""}],"container-title":"Trends in Ecology &amp; Evolution","id":"ITEM-1","issue":"2","issued":{"date-parts":[["2014","2"]]},"page":"77-81","title":"What is the future of conservation?","type":"article-journal","volume":"29"},"uris":["http://www.mendeley.com/documents/?uuid=8ae60889-8552-3af9-896c-31e5db7977a1"]}],"mendeley":{"formattedCitation":"&lt;sup&gt;9&lt;/sup&gt;","plainTextFormattedCitation":"9","previouslyFormattedCitation":"&lt;sup&gt;8&lt;/sup&gt;"},"properties":{"noteIndex":0},"schema":"https://github.com/citation-style-language/schema/raw/master/csl-citation.json"}</w:instrText>
      </w:r>
      <w:r>
        <w:fldChar w:fldCharType="separate"/>
      </w:r>
      <w:bookmarkStart w:id="4" w:name="Bookmark5"/>
      <w:r w:rsidR="00300AA2" w:rsidRPr="00300AA2">
        <w:rPr>
          <w:rFonts w:eastAsia="Times New Roman" w:cstheme="minorHAnsi"/>
          <w:noProof/>
          <w:color w:val="000000"/>
          <w:vertAlign w:val="superscript"/>
        </w:rPr>
        <w:t>9</w:t>
      </w:r>
      <w:r>
        <w:fldChar w:fldCharType="end"/>
      </w:r>
      <w:bookmarkEnd w:id="4"/>
      <w:r>
        <w:rPr>
          <w:rFonts w:cstheme="minorHAnsi"/>
        </w:rPr>
        <w:t xml:space="preserve">. However, the extent to which these rather academic debates reflect the views of the range of people involved in formulating and implementing conservation policy and interventions around the world </w:t>
      </w:r>
      <w:proofErr w:type="gramStart"/>
      <w:r>
        <w:rPr>
          <w:rFonts w:cstheme="minorHAnsi"/>
        </w:rPr>
        <w:t>was not known</w:t>
      </w:r>
      <w:proofErr w:type="gramEnd"/>
      <w:r>
        <w:rPr>
          <w:rFonts w:cstheme="minorHAnsi"/>
        </w:rPr>
        <w:t xml:space="preserve">. </w:t>
      </w:r>
      <w:proofErr w:type="gramStart"/>
      <w:r>
        <w:rPr>
          <w:rFonts w:cstheme="minorHAnsi"/>
        </w:rPr>
        <w:t>Sandbrook and colleagues</w:t>
      </w:r>
      <w:r w:rsidR="00D345EE">
        <w:rPr>
          <w:rFonts w:cstheme="minorHAnsi"/>
        </w:rPr>
        <w:t>’ survey</w:t>
      </w:r>
      <w:r>
        <w:rPr>
          <w:rFonts w:cstheme="minorHAnsi"/>
        </w:rPr>
        <w:t xml:space="preserve"> t</w:t>
      </w:r>
      <w:r w:rsidR="00D345EE">
        <w:rPr>
          <w:rFonts w:cstheme="minorHAnsi"/>
        </w:rPr>
        <w:t>ook</w:t>
      </w:r>
      <w:r>
        <w:rPr>
          <w:rFonts w:cstheme="minorHAnsi"/>
        </w:rPr>
        <w:t xml:space="preserve"> the pulse of the conservation movement </w:t>
      </w:r>
      <w:r w:rsidR="00D345EE">
        <w:rPr>
          <w:rFonts w:cstheme="minorHAnsi"/>
        </w:rPr>
        <w:t>and provides</w:t>
      </w:r>
      <w:r>
        <w:rPr>
          <w:rFonts w:cstheme="minorHAnsi"/>
        </w:rPr>
        <w:t xml:space="preserve"> empirical </w:t>
      </w:r>
      <w:r>
        <w:rPr>
          <w:rFonts w:eastAsia="Times New Roman" w:cstheme="minorHAnsi"/>
          <w:color w:val="000000"/>
        </w:rPr>
        <w:t>evidence on the perspectives of a much wider group than</w:t>
      </w:r>
      <w:r w:rsidR="00D345EE">
        <w:rPr>
          <w:rFonts w:eastAsia="Times New Roman" w:cstheme="minorHAnsi"/>
          <w:color w:val="000000"/>
        </w:rPr>
        <w:t xml:space="preserve"> those </w:t>
      </w:r>
      <w:r w:rsidR="00483AC2">
        <w:rPr>
          <w:rFonts w:eastAsia="Times New Roman" w:cstheme="minorHAnsi"/>
          <w:color w:val="000000"/>
        </w:rPr>
        <w:t>who</w:t>
      </w:r>
      <w:r>
        <w:rPr>
          <w:rFonts w:eastAsia="Times New Roman" w:cstheme="minorHAnsi"/>
          <w:color w:val="000000"/>
        </w:rPr>
        <w:t xml:space="preserve"> contribute to academic discussions.</w:t>
      </w:r>
      <w:proofErr w:type="gramEnd"/>
    </w:p>
    <w:p w14:paraId="7583520F" w14:textId="77777777" w:rsidR="00C323E9" w:rsidRDefault="00C323E9">
      <w:pPr>
        <w:spacing w:line="360" w:lineRule="auto"/>
        <w:rPr>
          <w:rFonts w:eastAsia="Times New Roman" w:cstheme="minorHAnsi"/>
          <w:color w:val="000000"/>
        </w:rPr>
      </w:pPr>
    </w:p>
    <w:p w14:paraId="49F00814" w14:textId="6A62C8C8" w:rsidR="00C323E9" w:rsidRDefault="007B0C18">
      <w:pPr>
        <w:spacing w:line="360" w:lineRule="auto"/>
      </w:pPr>
      <w:r>
        <w:rPr>
          <w:rFonts w:eastAsia="Times New Roman" w:cstheme="minorHAnsi"/>
          <w:color w:val="000000"/>
        </w:rPr>
        <w:t>Understanding the views of</w:t>
      </w:r>
      <w:r w:rsidR="00300AA2">
        <w:rPr>
          <w:rFonts w:eastAsia="Times New Roman" w:cstheme="minorHAnsi"/>
          <w:color w:val="000000"/>
        </w:rPr>
        <w:t xml:space="preserve"> </w:t>
      </w:r>
      <w:r>
        <w:rPr>
          <w:rFonts w:eastAsia="Times New Roman" w:cstheme="minorHAnsi"/>
          <w:color w:val="000000"/>
        </w:rPr>
        <w:t>th</w:t>
      </w:r>
      <w:r w:rsidR="005D1C0C">
        <w:rPr>
          <w:rFonts w:eastAsia="Times New Roman" w:cstheme="minorHAnsi"/>
          <w:color w:val="000000"/>
        </w:rPr>
        <w:t xml:space="preserve">e conservation movement is no easy task given that conservationists come from all corners of Earth and there is no simple way to access a representative sample. To overcome this challenge, the authors developed a web-based survey that gives the respondent instant feedback by showing where their responses position them relative to previous respondents. This feature made </w:t>
      </w:r>
      <w:r w:rsidR="00D345EE">
        <w:rPr>
          <w:rFonts w:eastAsia="Times New Roman" w:cstheme="minorHAnsi"/>
          <w:color w:val="000000"/>
        </w:rPr>
        <w:t>the survey</w:t>
      </w:r>
      <w:r w:rsidR="005D1C0C">
        <w:rPr>
          <w:rFonts w:eastAsia="Times New Roman" w:cstheme="minorHAnsi"/>
          <w:color w:val="000000"/>
        </w:rPr>
        <w:t xml:space="preserve"> satisfying to fill in and greatly increased its spread (more than 16,000 have now filled it in and it is still available to complete, </w:t>
      </w:r>
      <w:r w:rsidR="005D1C0C">
        <w:t>http://www.futureconservation.org/</w:t>
      </w:r>
      <w:r w:rsidR="005D1C0C">
        <w:rPr>
          <w:rFonts w:eastAsia="Times New Roman" w:cstheme="minorHAnsi"/>
          <w:color w:val="000000"/>
        </w:rPr>
        <w:t>). T</w:t>
      </w:r>
      <w:r w:rsidR="00D345EE">
        <w:rPr>
          <w:rFonts w:eastAsia="Times New Roman" w:cstheme="minorHAnsi"/>
          <w:color w:val="000000"/>
        </w:rPr>
        <w:t>he survey comprises</w:t>
      </w:r>
      <w:r w:rsidR="005D1C0C">
        <w:rPr>
          <w:rFonts w:eastAsia="Times New Roman" w:cstheme="minorHAnsi"/>
          <w:color w:val="000000"/>
        </w:rPr>
        <w:t xml:space="preserve"> </w:t>
      </w:r>
      <w:r w:rsidR="005D1C0C">
        <w:rPr>
          <w:rFonts w:eastAsia="Times New Roman" w:cstheme="minorHAnsi"/>
        </w:rPr>
        <w:t>38 questions with Likert</w:t>
      </w:r>
      <w:r w:rsidR="00D345EE">
        <w:rPr>
          <w:rFonts w:eastAsia="Times New Roman" w:cstheme="minorHAnsi"/>
        </w:rPr>
        <w:t xml:space="preserve">-scale </w:t>
      </w:r>
      <w:r w:rsidR="005D1C0C">
        <w:rPr>
          <w:rFonts w:eastAsia="Times New Roman" w:cstheme="minorHAnsi"/>
        </w:rPr>
        <w:t xml:space="preserve">responses </w:t>
      </w:r>
      <w:r w:rsidR="00D345EE">
        <w:rPr>
          <w:rFonts w:eastAsia="Times New Roman" w:cstheme="minorHAnsi"/>
        </w:rPr>
        <w:t>that</w:t>
      </w:r>
      <w:r w:rsidR="005D1C0C">
        <w:rPr>
          <w:rFonts w:eastAsia="Times New Roman" w:cstheme="minorHAnsi"/>
        </w:rPr>
        <w:t xml:space="preserve"> </w:t>
      </w:r>
      <w:r w:rsidR="005D1C0C">
        <w:rPr>
          <w:rFonts w:eastAsia="Times New Roman" w:cstheme="minorHAnsi"/>
          <w:color w:val="000000"/>
        </w:rPr>
        <w:t>assess</w:t>
      </w:r>
      <w:r w:rsidR="00D345EE">
        <w:rPr>
          <w:rFonts w:eastAsia="Times New Roman" w:cstheme="minorHAnsi"/>
          <w:color w:val="000000"/>
        </w:rPr>
        <w:t xml:space="preserve"> respondents’</w:t>
      </w:r>
      <w:r w:rsidR="005D1C0C">
        <w:rPr>
          <w:rFonts w:eastAsia="Times New Roman" w:cstheme="minorHAnsi"/>
          <w:color w:val="000000"/>
        </w:rPr>
        <w:t xml:space="preserve"> views on the underlying rationale for conservation, how goals should be set, and the appropriateness of various tools to achieve those goals. The survey </w:t>
      </w:r>
      <w:proofErr w:type="gramStart"/>
      <w:r w:rsidR="005D1C0C">
        <w:rPr>
          <w:rFonts w:eastAsia="Times New Roman" w:cstheme="minorHAnsi"/>
          <w:color w:val="000000"/>
        </w:rPr>
        <w:t>was distributed</w:t>
      </w:r>
      <w:proofErr w:type="gramEnd"/>
      <w:r w:rsidR="005D1C0C">
        <w:rPr>
          <w:rFonts w:eastAsia="Times New Roman" w:cstheme="minorHAnsi"/>
          <w:color w:val="000000"/>
        </w:rPr>
        <w:t xml:space="preserve"> via relevant </w:t>
      </w:r>
      <w:proofErr w:type="spellStart"/>
      <w:r w:rsidR="005D1C0C">
        <w:rPr>
          <w:rFonts w:eastAsia="Times New Roman" w:cstheme="minorHAnsi"/>
          <w:color w:val="000000"/>
        </w:rPr>
        <w:t>listservs</w:t>
      </w:r>
      <w:proofErr w:type="spellEnd"/>
      <w:r w:rsidR="005D1C0C">
        <w:rPr>
          <w:rFonts w:eastAsia="Times New Roman" w:cstheme="minorHAnsi"/>
          <w:color w:val="000000"/>
        </w:rPr>
        <w:t xml:space="preserve"> and through social media, targeted to </w:t>
      </w:r>
      <w:r w:rsidR="005D1C0C">
        <w:rPr>
          <w:rFonts w:eastAsia="Times New Roman" w:cstheme="minorHAnsi"/>
          <w:color w:val="000000"/>
        </w:rPr>
        <w:lastRenderedPageBreak/>
        <w:t xml:space="preserve">reach the broadest range of geography and roles in conservation. </w:t>
      </w:r>
      <w:r w:rsidR="00D345EE">
        <w:rPr>
          <w:rFonts w:eastAsia="Times New Roman" w:cstheme="minorHAnsi"/>
          <w:color w:val="000000"/>
        </w:rPr>
        <w:t xml:space="preserve">Inevitably, there was an over-representation of </w:t>
      </w:r>
      <w:r w:rsidR="005D1C0C">
        <w:rPr>
          <w:rFonts w:eastAsia="Times New Roman" w:cstheme="minorHAnsi"/>
          <w:color w:val="000000"/>
        </w:rPr>
        <w:t>English</w:t>
      </w:r>
      <w:r w:rsidR="00D345EE">
        <w:rPr>
          <w:rFonts w:eastAsia="Times New Roman" w:cstheme="minorHAnsi"/>
          <w:color w:val="000000"/>
        </w:rPr>
        <w:t>-</w:t>
      </w:r>
      <w:r w:rsidR="005D1C0C">
        <w:rPr>
          <w:rFonts w:eastAsia="Times New Roman" w:cstheme="minorHAnsi"/>
          <w:color w:val="000000"/>
        </w:rPr>
        <w:t>speaking</w:t>
      </w:r>
      <w:r w:rsidR="00D345EE">
        <w:rPr>
          <w:rFonts w:eastAsia="Times New Roman" w:cstheme="minorHAnsi"/>
          <w:color w:val="000000"/>
        </w:rPr>
        <w:t xml:space="preserve"> respondents</w:t>
      </w:r>
      <w:r w:rsidR="005D1C0C">
        <w:rPr>
          <w:rFonts w:eastAsia="Times New Roman" w:cstheme="minorHAnsi"/>
          <w:color w:val="000000"/>
        </w:rPr>
        <w:t xml:space="preserve"> with easy access to the internet</w:t>
      </w:r>
      <w:r w:rsidR="00D345EE">
        <w:rPr>
          <w:rFonts w:eastAsia="Times New Roman" w:cstheme="minorHAnsi"/>
          <w:color w:val="000000"/>
        </w:rPr>
        <w:t>,</w:t>
      </w:r>
      <w:r w:rsidR="005D1C0C">
        <w:rPr>
          <w:rFonts w:eastAsia="Times New Roman" w:cstheme="minorHAnsi"/>
          <w:color w:val="000000"/>
        </w:rPr>
        <w:t xml:space="preserve"> but the reach achieved </w:t>
      </w:r>
      <w:r w:rsidR="00D345EE">
        <w:rPr>
          <w:rFonts w:eastAsia="Times New Roman" w:cstheme="minorHAnsi"/>
          <w:color w:val="000000"/>
        </w:rPr>
        <w:t>was</w:t>
      </w:r>
      <w:r w:rsidR="005D1C0C">
        <w:rPr>
          <w:rFonts w:eastAsia="Times New Roman" w:cstheme="minorHAnsi"/>
          <w:color w:val="000000"/>
        </w:rPr>
        <w:t xml:space="preserve"> impressive and the responses are revealing.</w:t>
      </w:r>
    </w:p>
    <w:p w14:paraId="1872C035" w14:textId="77777777" w:rsidR="00C323E9" w:rsidRDefault="00C323E9">
      <w:pPr>
        <w:spacing w:line="360" w:lineRule="auto"/>
        <w:rPr>
          <w:rFonts w:eastAsia="Times New Roman" w:cstheme="minorHAnsi"/>
          <w:color w:val="000000"/>
        </w:rPr>
      </w:pPr>
    </w:p>
    <w:p w14:paraId="05447C09" w14:textId="1F9DC8E8" w:rsidR="00C323E9" w:rsidRDefault="005D1C0C">
      <w:pPr>
        <w:spacing w:line="360" w:lineRule="auto"/>
      </w:pPr>
      <w:r>
        <w:rPr>
          <w:rFonts w:eastAsia="Times New Roman" w:cstheme="minorHAnsi"/>
          <w:color w:val="000000"/>
        </w:rPr>
        <w:t xml:space="preserve">The clearest finding was a unifying message. There is strong agreement that public support for conservation is necessary if it is to be sustainable, and that conservation goals need to </w:t>
      </w:r>
      <w:proofErr w:type="gramStart"/>
      <w:r>
        <w:rPr>
          <w:rFonts w:eastAsia="Times New Roman" w:cstheme="minorHAnsi"/>
          <w:color w:val="000000"/>
        </w:rPr>
        <w:t>be based</w:t>
      </w:r>
      <w:proofErr w:type="gramEnd"/>
      <w:r>
        <w:rPr>
          <w:rFonts w:eastAsia="Times New Roman" w:cstheme="minorHAnsi"/>
          <w:color w:val="000000"/>
        </w:rPr>
        <w:t xml:space="preserve"> on science (Fig</w:t>
      </w:r>
      <w:r w:rsidR="00300AA2">
        <w:rPr>
          <w:rFonts w:eastAsia="Times New Roman" w:cstheme="minorHAnsi"/>
          <w:color w:val="000000"/>
        </w:rPr>
        <w:t>.</w:t>
      </w:r>
      <w:r>
        <w:rPr>
          <w:rFonts w:eastAsia="Times New Roman" w:cstheme="minorHAnsi"/>
          <w:color w:val="000000"/>
        </w:rPr>
        <w:t xml:space="preserve"> 1). There is also acknowledgement that the environmental impacts of the world’s rich (including most of us reading this paper) </w:t>
      </w:r>
      <w:proofErr w:type="gramStart"/>
      <w:r>
        <w:rPr>
          <w:rFonts w:eastAsia="Times New Roman" w:cstheme="minorHAnsi"/>
          <w:color w:val="000000"/>
        </w:rPr>
        <w:t>must be reduced</w:t>
      </w:r>
      <w:proofErr w:type="gramEnd"/>
      <w:r>
        <w:rPr>
          <w:rFonts w:eastAsia="Times New Roman" w:cstheme="minorHAnsi"/>
          <w:color w:val="000000"/>
        </w:rPr>
        <w:t xml:space="preserve">. The most polarising questions included </w:t>
      </w:r>
      <w:r>
        <w:t xml:space="preserve">whether it is acceptable to displace people for the sake of conservation. Interestingly, there is a sense of positivity that such challenges can be overcome: </w:t>
      </w:r>
      <w:r>
        <w:rPr>
          <w:rFonts w:eastAsia="Times New Roman" w:cstheme="minorHAnsi"/>
          <w:color w:val="000000"/>
        </w:rPr>
        <w:t>most respondents reject the idea that ‘win-wins’ for people and nature are rarely possible (Fig</w:t>
      </w:r>
      <w:r w:rsidR="00300AA2">
        <w:rPr>
          <w:rFonts w:eastAsia="Times New Roman" w:cstheme="minorHAnsi"/>
          <w:color w:val="000000"/>
        </w:rPr>
        <w:t>.</w:t>
      </w:r>
      <w:r>
        <w:rPr>
          <w:rFonts w:eastAsia="Times New Roman" w:cstheme="minorHAnsi"/>
          <w:color w:val="000000"/>
        </w:rPr>
        <w:t xml:space="preserve"> 1).</w:t>
      </w:r>
    </w:p>
    <w:p w14:paraId="2F572363" w14:textId="77777777" w:rsidR="00C323E9" w:rsidRDefault="00C323E9">
      <w:pPr>
        <w:spacing w:line="360" w:lineRule="auto"/>
        <w:rPr>
          <w:rFonts w:eastAsia="Times New Roman" w:cstheme="minorHAnsi"/>
          <w:color w:val="000000"/>
        </w:rPr>
      </w:pPr>
    </w:p>
    <w:p w14:paraId="3CF556B2" w14:textId="3D577265" w:rsidR="00C323E9" w:rsidRDefault="005D1C0C">
      <w:pPr>
        <w:spacing w:line="360" w:lineRule="auto"/>
      </w:pPr>
      <w:r>
        <w:t xml:space="preserve">The authors identified three dimensions of conservation thinking. </w:t>
      </w:r>
      <w:r w:rsidR="00C65E94">
        <w:t xml:space="preserve">Strikingly, the </w:t>
      </w:r>
      <w:r>
        <w:t>vast majority of respondents were in favour of ‘people-centred conservation’</w:t>
      </w:r>
      <w:r w:rsidR="00DB1BBE">
        <w:t xml:space="preserve"> (strong recognition for the role of people as participants and stakeholders</w:t>
      </w:r>
      <w:r w:rsidR="00541140">
        <w:t>)</w:t>
      </w:r>
      <w:r w:rsidR="00DB1BBE">
        <w:t xml:space="preserve"> </w:t>
      </w:r>
      <w:r>
        <w:t xml:space="preserve">and ‘science-led </w:t>
      </w:r>
      <w:proofErr w:type="spellStart"/>
      <w:r>
        <w:t>ecocentrism</w:t>
      </w:r>
      <w:proofErr w:type="spellEnd"/>
      <w:r>
        <w:t>’</w:t>
      </w:r>
      <w:r w:rsidR="00DB1BBE">
        <w:t xml:space="preserve"> (valuing nature for its own sake </w:t>
      </w:r>
      <w:r w:rsidR="00FA4076">
        <w:t xml:space="preserve">as well as its benefits for people, </w:t>
      </w:r>
      <w:r w:rsidR="00DB1BBE">
        <w:t xml:space="preserve">and using science to ensure species and habitats are conserved). There was </w:t>
      </w:r>
      <w:r>
        <w:t>far less consensus around ‘conservation through capitalism’</w:t>
      </w:r>
      <w:r w:rsidR="00A500A4">
        <w:t xml:space="preserve"> (</w:t>
      </w:r>
      <w:r w:rsidR="00832A85">
        <w:t xml:space="preserve">engaging with </w:t>
      </w:r>
      <w:r w:rsidR="00A500A4">
        <w:t xml:space="preserve">corporations, </w:t>
      </w:r>
      <w:r w:rsidR="00832A85">
        <w:t xml:space="preserve">using </w:t>
      </w:r>
      <w:r w:rsidR="00A500A4">
        <w:t>market based approaches</w:t>
      </w:r>
      <w:r w:rsidR="00832A85">
        <w:t xml:space="preserve"> and justifying conservation on economic grounds</w:t>
      </w:r>
      <w:r w:rsidR="00A500A4">
        <w:t>)</w:t>
      </w:r>
      <w:r>
        <w:t xml:space="preserve">. </w:t>
      </w:r>
      <w:r w:rsidR="00C65E94">
        <w:t>C</w:t>
      </w:r>
      <w:r>
        <w:t xml:space="preserve">ontrary to what </w:t>
      </w:r>
      <w:proofErr w:type="gramStart"/>
      <w:r>
        <w:t>has been suggested</w:t>
      </w:r>
      <w:proofErr w:type="gramEnd"/>
      <w:r>
        <w:t xml:space="preserve"> by the new conservation versus traditional conservation debate, there is no evidence of conservationists dividing into different camps. The mix of views is perhaps evidence of pragmatic recognition that different approaches are suitable for different contexts.</w:t>
      </w:r>
    </w:p>
    <w:p w14:paraId="2B0BBA50" w14:textId="77777777" w:rsidR="00C323E9" w:rsidRDefault="00C323E9">
      <w:pPr>
        <w:spacing w:line="360" w:lineRule="auto"/>
        <w:rPr>
          <w:rFonts w:eastAsia="Times New Roman" w:cstheme="minorHAnsi"/>
          <w:color w:val="000000"/>
        </w:rPr>
      </w:pPr>
    </w:p>
    <w:p w14:paraId="7BF76C1F" w14:textId="7D838CAC" w:rsidR="00C323E9" w:rsidRDefault="005D1C0C">
      <w:pPr>
        <w:spacing w:line="360" w:lineRule="auto"/>
        <w:rPr>
          <w:rFonts w:eastAsia="Times New Roman" w:cstheme="minorHAnsi"/>
          <w:color w:val="000000"/>
        </w:rPr>
      </w:pPr>
      <w:r>
        <w:rPr>
          <w:rFonts w:eastAsia="Times New Roman" w:cstheme="minorHAnsi"/>
          <w:color w:val="000000"/>
        </w:rPr>
        <w:t xml:space="preserve">Unsurprisingly, conservationists’ views are associated with characteristics such as gender, educational specialism, age, career seniority and nationality. Women, </w:t>
      </w:r>
      <w:r>
        <w:rPr>
          <w:rFonts w:eastAsia="Times New Roman" w:cstheme="minorHAnsi"/>
          <w:color w:val="000000"/>
        </w:rPr>
        <w:lastRenderedPageBreak/>
        <w:t xml:space="preserve">those with social science training and people from Africa, Asia and South and Central America </w:t>
      </w:r>
      <w:r w:rsidR="00AD2270">
        <w:rPr>
          <w:rFonts w:eastAsia="Times New Roman" w:cstheme="minorHAnsi"/>
          <w:color w:val="000000"/>
        </w:rPr>
        <w:t xml:space="preserve">in </w:t>
      </w:r>
      <w:r>
        <w:rPr>
          <w:rFonts w:eastAsia="Times New Roman" w:cstheme="minorHAnsi"/>
          <w:color w:val="000000"/>
        </w:rPr>
        <w:t xml:space="preserve">particular strongly favour approaches that put people at the centre of the conservation agenda (although few people of any background disagree with this dimension). Men and those from </w:t>
      </w:r>
      <w:proofErr w:type="gramStart"/>
      <w:r>
        <w:rPr>
          <w:rFonts w:eastAsia="Times New Roman" w:cstheme="minorHAnsi"/>
          <w:color w:val="000000"/>
        </w:rPr>
        <w:t>north</w:t>
      </w:r>
      <w:proofErr w:type="gramEnd"/>
      <w:r>
        <w:rPr>
          <w:rFonts w:eastAsia="Times New Roman" w:cstheme="minorHAnsi"/>
          <w:color w:val="000000"/>
        </w:rPr>
        <w:t xml:space="preserve"> America are more likely to favour science-led </w:t>
      </w:r>
      <w:proofErr w:type="spellStart"/>
      <w:r>
        <w:rPr>
          <w:rFonts w:eastAsia="Times New Roman" w:cstheme="minorHAnsi"/>
          <w:color w:val="000000"/>
        </w:rPr>
        <w:t>ecocentrism</w:t>
      </w:r>
      <w:proofErr w:type="spellEnd"/>
      <w:r>
        <w:rPr>
          <w:rFonts w:eastAsia="Times New Roman" w:cstheme="minorHAnsi"/>
          <w:color w:val="000000"/>
        </w:rPr>
        <w:t xml:space="preserve">. Conservation through capitalism </w:t>
      </w:r>
      <w:proofErr w:type="gramStart"/>
      <w:r>
        <w:rPr>
          <w:rFonts w:eastAsia="Times New Roman" w:cstheme="minorHAnsi"/>
          <w:color w:val="000000"/>
        </w:rPr>
        <w:t>was most strongly favoured</w:t>
      </w:r>
      <w:proofErr w:type="gramEnd"/>
      <w:r>
        <w:rPr>
          <w:rFonts w:eastAsia="Times New Roman" w:cstheme="minorHAnsi"/>
          <w:color w:val="000000"/>
        </w:rPr>
        <w:t xml:space="preserve"> by </w:t>
      </w:r>
      <w:r w:rsidR="007B0C18">
        <w:rPr>
          <w:rFonts w:eastAsia="Times New Roman" w:cstheme="minorHAnsi"/>
          <w:color w:val="000000"/>
        </w:rPr>
        <w:t xml:space="preserve">respondents </w:t>
      </w:r>
      <w:r>
        <w:rPr>
          <w:rFonts w:eastAsia="Times New Roman" w:cstheme="minorHAnsi"/>
          <w:color w:val="000000"/>
        </w:rPr>
        <w:t xml:space="preserve">from Africa and those in a senior position.   </w:t>
      </w:r>
    </w:p>
    <w:p w14:paraId="5DFBD207" w14:textId="77777777" w:rsidR="00C323E9" w:rsidRDefault="00C323E9">
      <w:pPr>
        <w:spacing w:line="360" w:lineRule="auto"/>
        <w:rPr>
          <w:rFonts w:eastAsia="Times New Roman" w:cstheme="minorHAnsi"/>
          <w:color w:val="000000"/>
        </w:rPr>
      </w:pPr>
      <w:bookmarkStart w:id="5" w:name="_sisuh16jefj2"/>
      <w:bookmarkEnd w:id="5"/>
    </w:p>
    <w:p w14:paraId="20B53E9F" w14:textId="6CD8BE71" w:rsidR="00C323E9" w:rsidRDefault="005D1C0C">
      <w:pPr>
        <w:spacing w:line="360" w:lineRule="auto"/>
        <w:rPr>
          <w:rFonts w:cstheme="minorHAnsi"/>
        </w:rPr>
      </w:pPr>
      <w:r>
        <w:rPr>
          <w:rFonts w:cstheme="minorHAnsi"/>
        </w:rPr>
        <w:t>We argue that the survey shows that there is broad consensus that the post</w:t>
      </w:r>
      <w:r w:rsidR="00C65E94">
        <w:rPr>
          <w:rFonts w:cstheme="minorHAnsi"/>
        </w:rPr>
        <w:t>-</w:t>
      </w:r>
      <w:r>
        <w:rPr>
          <w:rFonts w:cstheme="minorHAnsi"/>
        </w:rPr>
        <w:t>2020 conservation agenda must become more evidence</w:t>
      </w:r>
      <w:r w:rsidR="00C65E94">
        <w:rPr>
          <w:rFonts w:cstheme="minorHAnsi"/>
        </w:rPr>
        <w:t xml:space="preserve"> </w:t>
      </w:r>
      <w:r>
        <w:rPr>
          <w:rFonts w:cstheme="minorHAnsi"/>
        </w:rPr>
        <w:t>based and outcome focussed (something the previous 2010 Aichi targets suffered from</w:t>
      </w:r>
      <w:r w:rsidR="00541140">
        <w:rPr>
          <w:rFonts w:cstheme="minorHAnsi"/>
        </w:rPr>
        <w:t xml:space="preserve"> a lack of</w:t>
      </w:r>
      <w:r>
        <w:fldChar w:fldCharType="begin" w:fldLock="1"/>
      </w:r>
      <w:r w:rsidR="00300AA2">
        <w:instrText>ADDIN CSL_CITATION {"citationItems":[{"id":"ITEM-1","itemData":{"author":[{"dropping-particle":"","family":"Visconti","given":"Piero","non-dropping-particle":"","parse-names":false,"suffix":""},{"dropping-particle":"","family":"Butchart","given":"Stuart H. M.","non-dropping-particle":"","parse-names":false,"suffix":""},{"dropping-particle":"","family":"Brooks","given":"Thomas M.","non-dropping-particle":"","parse-names":false,"suffix":""},{"dropping-particle":"","family":"Langhammer","given":"Penny F.","non-dropping-particle":"","parse-names":false,"suffix":""},{"dropping-particle":"","family":"Marnewick","given":"Daniel","non-dropping-particle":"","parse-names":false,"suffix":""},{"dropping-particle":"","family":"Vergara","given":"Sheila","non-dropping-particle":"","parse-names":false,"suffix":""},{"dropping-particle":"","family":"Yanosky","given":"Alberto","non-dropping-particle":"","parse-names":false,"suffix":""},{"dropping-particle":"","family":"Watson","given":"James E. M.","non-dropping-particle":"","parse-names":false,"suffix":""}],"container-title":"Science","id":"ITEM-1","issue":"6437","issued":{"date-parts":[["2019"]]},"title":"Protected area targets post-2020","type":"article-journal","volume":"364"},"uris":["http://www.mendeley.com/documents/?uuid=b1cb00d5-9e42-3d30-9567-69ee8358bd7a"]}],"mendeley":{"formattedCitation":"&lt;sup&gt;10&lt;/sup&gt;","plainTextFormattedCitation":"10","previouslyFormattedCitation":"&lt;sup&gt;9&lt;/sup&gt;"},"properties":{"noteIndex":0},"schema":"https://github.com/citation-style-language/schema/raw/master/csl-citation.json"}</w:instrText>
      </w:r>
      <w:r>
        <w:fldChar w:fldCharType="separate"/>
      </w:r>
      <w:bookmarkStart w:id="6" w:name="Bookmark7"/>
      <w:r w:rsidR="00300AA2" w:rsidRPr="00300AA2">
        <w:rPr>
          <w:rFonts w:cstheme="minorHAnsi"/>
          <w:noProof/>
          <w:vertAlign w:val="superscript"/>
        </w:rPr>
        <w:t>10</w:t>
      </w:r>
      <w:r>
        <w:fldChar w:fldCharType="end"/>
      </w:r>
      <w:bookmarkEnd w:id="6"/>
      <w:r>
        <w:rPr>
          <w:rFonts w:cstheme="minorHAnsi"/>
        </w:rPr>
        <w:t>). Operationalising these targets must be done in way to ensure the best possible outcomes for people as well as nature</w:t>
      </w:r>
      <w:r w:rsidR="00A21502">
        <w:rPr>
          <w:rFonts w:cstheme="minorHAnsi"/>
        </w:rPr>
        <w:fldChar w:fldCharType="begin" w:fldLock="1"/>
      </w:r>
      <w:r w:rsidR="00300AA2">
        <w:rPr>
          <w:rFonts w:cstheme="minorHAnsi"/>
        </w:rPr>
        <w:instrText>ADDIN CSL_CITATION {"citationItems":[{"id":"ITEM-1","itemData":{"DOI":"10.1016/j.gloenvcha.2018.06.004","ISSN":"09593780","author":[{"dropping-particle":"","family":"Oldekop","given":"Johan A.","non-dropping-particle":"","parse-names":false,"suffix":""},{"dropping-particle":"","family":"Sims","given":"Katharine R.E.","non-dropping-particle":"","parse-names":false,"suffix":""},{"dropping-particle":"","family":"Whittingham","given":"Mark J.","non-dropping-particle":"","parse-names":false,"suffix":""},{"dropping-particle":"","family":"Agrawal","given":"Arun","non-dropping-particle":"","parse-names":false,"suffix":""}],"container-title":"Global Environmental Change","id":"ITEM-1","issued":{"date-parts":[["2018","9"]]},"page":"66-74","title":"An upside to globalization: International outmigration drives reforestation in Nepal","type":"article-journal","volume":"52"},"uris":["http://www.mendeley.com/documents/?uuid=ab1b99f4-bd59-33cb-bacf-0fda2833a5a3"]},{"id":"ITEM-2","itemData":{"author":[{"dropping-particle":"","family":"Arkema","given":"Katie K.","non-dropping-particle":"","parse-names":false,"suffix":""},{"dropping-particle":"","family":"Verutes","given":"Gregory M.","non-dropping-particle":"","parse-names":false,"suffix":""},{"dropping-particle":"","family":"Wood","given":"Spencer A.","non-dropping-particle":"","parse-names":false,"suffix":""},{"dropping-particle":"","family":"Clarke-Samuels","given":"Chantalle","non-dropping-particle":"","parse-names":false,"suffix":""},{"dropping-particle":"","family":"Rosado","given":"Samir","non-dropping-particle":"","parse-names":false,"suffix":""},{"dropping-particle":"","family":"Canto","given":"Maritza","non-dropping-particle":"","parse-names":false,"suffix":""},{"dropping-particle":"","family":"Rosenthal","given":"Amy","non-dropping-particle":"","parse-names":false,"suffix":""},{"dropping-particle":"","family":"Ruckelshaus","given":"Mary","non-dropping-particle":"","parse-names":false,"suffix":""},{"dropping-particle":"","family":"Guannel","given":"Gregory","non-dropping-particle":"","parse-names":false,"suffix":""},{"dropping-particle":"","family":"Toft","given":"Jodie","non-dropping-particle":"","parse-names":false,"suffix":""},{"dropping-particle":"","family":"Faries","given":"Joe","non-dropping-particle":"","parse-names":false,"suffix":""},{"dropping-particle":"","family":"Silver","given":"Jessica M.","non-dropping-particle":"","parse-names":false,"suffix":""},{"dropping-particle":"","family":"Griffin","given":"Robert","non-dropping-particle":"","parse-names":false,"suffix":""},{"dropping-particle":"","family":"Guerry","given":"Anne D.","non-dropping-particle":"","parse-names":false,"suffix":""}],"container-title":"Proceedings of the National Academy of Sciences","id":"ITEM-2","issue":"24","issued":{"date-parts":[["2015"]]},"title":"Embedding ecosystem services in coastal planning leads to better outcomes for people and nature","type":"article-journal","volume":"112"},"uris":["http://www.mendeley.com/documents/?uuid=753f0c6c-6483-3539-9169-24590b3308c9"]}],"mendeley":{"formattedCitation":"&lt;sup&gt;11,12&lt;/sup&gt;","plainTextFormattedCitation":"11,12","previouslyFormattedCitation":"&lt;sup&gt;10,11&lt;/sup&gt;"},"properties":{"noteIndex":0},"schema":"https://github.com/citation-style-language/schema/raw/master/csl-citation.json"}</w:instrText>
      </w:r>
      <w:r w:rsidR="00A21502">
        <w:rPr>
          <w:rFonts w:cstheme="minorHAnsi"/>
        </w:rPr>
        <w:fldChar w:fldCharType="separate"/>
      </w:r>
      <w:r w:rsidR="00300AA2" w:rsidRPr="00300AA2">
        <w:rPr>
          <w:rFonts w:cstheme="minorHAnsi"/>
          <w:noProof/>
          <w:vertAlign w:val="superscript"/>
        </w:rPr>
        <w:t>11,12</w:t>
      </w:r>
      <w:r w:rsidR="00A21502">
        <w:rPr>
          <w:rFonts w:cstheme="minorHAnsi"/>
        </w:rPr>
        <w:fldChar w:fldCharType="end"/>
      </w:r>
      <w:r w:rsidR="00A21502">
        <w:rPr>
          <w:rFonts w:cstheme="minorHAnsi"/>
        </w:rPr>
        <w:t>.</w:t>
      </w:r>
      <w:r>
        <w:rPr>
          <w:rFonts w:cstheme="minorHAnsi"/>
        </w:rPr>
        <w:t xml:space="preserve"> This means that as well as making use of scientific understanding to set the targets, policy makers must use the rapid increase in research from a range of disciplinary perspectives, including</w:t>
      </w:r>
      <w:r w:rsidR="00C65E94" w:rsidRPr="00541140">
        <w:rPr>
          <w:rFonts w:cstheme="minorHAnsi"/>
        </w:rPr>
        <w:t xml:space="preserve"> </w:t>
      </w:r>
      <w:r w:rsidR="00A500A4" w:rsidRPr="00541140">
        <w:rPr>
          <w:rFonts w:cstheme="minorHAnsi"/>
        </w:rPr>
        <w:t xml:space="preserve">critical </w:t>
      </w:r>
      <w:r>
        <w:rPr>
          <w:rFonts w:cstheme="minorHAnsi"/>
        </w:rPr>
        <w:t>social science, to put equitable conservation implementation on a firmer footing</w:t>
      </w:r>
      <w:r w:rsidR="00A21502">
        <w:rPr>
          <w:rFonts w:cstheme="minorHAnsi"/>
        </w:rPr>
        <w:t xml:space="preserve"> </w:t>
      </w:r>
      <w:r w:rsidR="00A21502">
        <w:rPr>
          <w:rFonts w:cstheme="minorHAnsi"/>
        </w:rPr>
        <w:fldChar w:fldCharType="begin" w:fldLock="1"/>
      </w:r>
      <w:r w:rsidR="00300AA2">
        <w:rPr>
          <w:rFonts w:cstheme="minorHAnsi"/>
        </w:rPr>
        <w:instrText>ADDIN CSL_CITATION {"citationItems":[{"id":"ITEM-1","itemData":{"DOI":"10.1111/cobi.12141","ISSN":"08888892","author":[{"dropping-particle":"","family":"SANDBROOK","given":"CHRIS","non-dropping-particle":"","parse-names":false,"suffix":""},{"dropping-particle":"","family":"ADAMS","given":"WILLIAM M.","non-dropping-particle":"","parse-names":false,"suffix":""},{"dropping-particle":"","family":"BÜSCHER","given":"BRAM","non-dropping-particle":"","parse-names":false,"suffix":""},{"dropping-particle":"","family":"VIRA","given":"BHASKAR","non-dropping-particle":"","parse-names":false,"suffix":""}],"container-title":"Conservation Biology","id":"ITEM-1","issue":"6","issued":{"date-parts":[["2013","12"]]},"page":"1487-1490","title":"Social Research and Biodiversity Conservation","type":"article-journal","volume":"27"},"uris":["http://www.mendeley.com/documents/?uuid=90b0642f-6302-319a-9236-1d061178b6f8"]},{"id":"ITEM-2","itemData":{"DOI":"10.1016/J.BIOCON.2016.10.006","ISSN":"0006-3207","abstract":"It has long been claimed that a better understanding of human or social dimensions of environmental issues will improve conservation. The social sciences are one important means through which researchers and practitioners can attain that better understanding. Yet, a lack of awareness of the scope and uncertainty about the purpose of the conservation social sciences impedes the conservation community's effective engagement with the human dimensions. This paper examines the scope and purpose of eighteen subfields of classic, interdisciplinary and applied conservation social sciences and articulates ten distinct contributions that the social sciences can make to understanding and improving conservation. In brief, the conservation social sciences can be valuable to conservation for descriptive, diagnostic, disruptive, reflexive, generative, innovative, or instrumental reasons. This review and supporting materials provides a succinct yet comprehensive reference for conservation scientists and practitioners. We contend that the social sciences can help facilitate conservation policies, actions and outcomes that are more legitimate, salient, robust and effective.","author":[{"dropping-particle":"","family":"Bennett","given":"Nathan J.","non-dropping-particle":"","parse-names":false,"suffix":""},{"dropping-particle":"","family":"Roth","given":"Robin","non-dropping-particle":"","parse-names":false,"suffix":""},{"dropping-particle":"","family":"Klain","given":"Sarah C.","non-dropping-particle":"","parse-names":false,"suffix":""},{"dropping-particle":"","family":"Chan","given":"Kai","non-dropping-particle":"","parse-names":false,"suffix":""},{"dropping-particle":"","family":"Christie","given":"Patrick","non-dropping-particle":"","parse-names":false,"suffix":""},{"dropping-particle":"","family":"Clark","given":"Douglas A.","non-dropping-particle":"","parse-names":false,"suffix":""},{"dropping-particle":"","family":"Cullman","given":"Georgina","non-dropping-particle":"","parse-names":false,"suffix":""},{"dropping-particle":"","family":"Curran","given":"Deborah","non-dropping-particle":"","parse-names":false,"suffix":""},{"dropping-particle":"","family":"Durbin","given":"Trevor J.","non-dropping-particle":"","parse-names":false,"suffix":""},{"dropping-particle":"","family":"Epstein","given":"Graham","non-dropping-particle":"","parse-names":false,"suffix":""},{"dropping-particle":"","family":"Greenberg","given":"Alison","non-dropping-particle":"","parse-names":false,"suffix":""},{"dropping-particle":"","family":"Nelson","given":"Michael P","non-dropping-particle":"","parse-names":false,"suffix":""},{"dropping-particle":"","family":"Sandlos","given":"John","non-dropping-particle":"","parse-names":false,"suffix":""},{"dropping-particle":"","family":"Stedman","given":"Richard","non-dropping-particle":"","parse-names":false,"suffix":""},{"dropping-particle":"","family":"Teel","given":"Tara L","non-dropping-particle":"","parse-names":false,"suffix":""},{"dropping-particle":"","family":"Thomas","given":"Rebecca","non-dropping-particle":"","parse-names":false,"suffix":""},{"dropping-particle":"","family":"Veríssimo","given":"Diogo","non-dropping-particle":"","parse-names":false,"suffix":""},{"dropping-particle":"","family":"Wyborn","given":"Carina","non-dropping-particle":"","parse-names":false,"suffix":""}],"container-title":"Biological Conservation","id":"ITEM-2","issued":{"date-parts":[["2017","1","1"]]},"page":"93-108","publisher":"Elsevier","title":"Conservation social science: Understanding and integrating human dimensions to improve conservation","type":"article-journal","volume":"205"},"uris":["http://www.mendeley.com/documents/?uuid=3fcee2e2-64ab-3df0-9369-ac518b8666f6"]}],"mendeley":{"formattedCitation":"&lt;sup&gt;13,14&lt;/sup&gt;","plainTextFormattedCitation":"13,14","previouslyFormattedCitation":"&lt;sup&gt;12,13&lt;/sup&gt;"},"properties":{"noteIndex":0},"schema":"https://github.com/citation-style-language/schema/raw/master/csl-citation.json"}</w:instrText>
      </w:r>
      <w:r w:rsidR="00A21502">
        <w:rPr>
          <w:rFonts w:cstheme="minorHAnsi"/>
        </w:rPr>
        <w:fldChar w:fldCharType="separate"/>
      </w:r>
      <w:r w:rsidR="00300AA2" w:rsidRPr="00300AA2">
        <w:rPr>
          <w:rFonts w:cstheme="minorHAnsi"/>
          <w:noProof/>
          <w:vertAlign w:val="superscript"/>
        </w:rPr>
        <w:t>13,14</w:t>
      </w:r>
      <w:r w:rsidR="00A21502">
        <w:rPr>
          <w:rFonts w:cstheme="minorHAnsi"/>
        </w:rPr>
        <w:fldChar w:fldCharType="end"/>
      </w:r>
      <w:r w:rsidR="00A21502">
        <w:rPr>
          <w:rFonts w:cstheme="minorHAnsi"/>
        </w:rPr>
        <w:t>.</w:t>
      </w:r>
    </w:p>
    <w:p w14:paraId="643018B3" w14:textId="77777777" w:rsidR="00C323E9" w:rsidRDefault="00C323E9">
      <w:pPr>
        <w:spacing w:line="360" w:lineRule="auto"/>
        <w:rPr>
          <w:rFonts w:cstheme="minorHAnsi"/>
        </w:rPr>
      </w:pPr>
    </w:p>
    <w:p w14:paraId="24307B0C" w14:textId="2C07B227" w:rsidR="00C323E9" w:rsidRDefault="005D1C0C">
      <w:pPr>
        <w:spacing w:line="360" w:lineRule="auto"/>
      </w:pPr>
      <w:r>
        <w:rPr>
          <w:rFonts w:cstheme="minorHAnsi"/>
        </w:rPr>
        <w:t xml:space="preserve">The survey also highlights contentious </w:t>
      </w:r>
      <w:proofErr w:type="gramStart"/>
      <w:r>
        <w:rPr>
          <w:rFonts w:cstheme="minorHAnsi"/>
        </w:rPr>
        <w:t>issues which</w:t>
      </w:r>
      <w:proofErr w:type="gramEnd"/>
      <w:r>
        <w:rPr>
          <w:rFonts w:cstheme="minorHAnsi"/>
        </w:rPr>
        <w:t xml:space="preserve"> cannot be shied away from. Particularly challenging is placement and management of protected areas in ways </w:t>
      </w:r>
      <w:r w:rsidR="00C65E94">
        <w:rPr>
          <w:rFonts w:cstheme="minorHAnsi"/>
        </w:rPr>
        <w:t>that</w:t>
      </w:r>
      <w:r>
        <w:rPr>
          <w:rFonts w:cstheme="minorHAnsi"/>
        </w:rPr>
        <w:t xml:space="preserve"> do not exclude and harm local people </w:t>
      </w:r>
      <w:r w:rsidR="00A21502">
        <w:rPr>
          <w:rFonts w:cstheme="minorHAnsi"/>
        </w:rPr>
        <w:fldChar w:fldCharType="begin" w:fldLock="1"/>
      </w:r>
      <w:r w:rsidR="00300AA2">
        <w:rPr>
          <w:rFonts w:cstheme="minorHAnsi"/>
        </w:rPr>
        <w:instrText>ADDIN CSL_CITATION {"citationItems":[{"id":"ITEM-1","itemData":{"DOI":"10.1146/annurev.anthro.35.081705.123308","ISSN":"0084-6570","abstract":"AbstractThis review examines the social, economic, and political effects of environmental conservation projects as they are manifested in protected areas. We pay special attention to people living ...","author":[{"dropping-particle":"","family":"West","given":"Paige","non-dropping-particle":"","parse-names":false,"suffix":""},{"dropping-particle":"","family":"Igoe","given":"James","non-dropping-particle":"","parse-names":false,"suffix":""},{"dropping-particle":"","family":"Brockington","given":"Dan","non-dropping-particle":"","parse-names":false,"suffix":""}],"container-title":"Annual Review of Anthropology","id":"ITEM-1","issue":"1","issued":{"date-parts":[["2006","10","19"]]},"page":"251-277","publisher":"Annual Reviews","title":"Parks and Peoples: The Social Impact of Protected Areas","type":"article-journal","volume":"35"},"uris":["http://www.mendeley.com/documents/?uuid=11fb25a6-913a-3daa-ad75-81444debfdef"]},{"id":"ITEM-2","itemData":{"DOI":"10.7717/peerj.5106","ISSN":"2167-8359","author":[{"dropping-particle":"","family":"Poudyal","given":"Mahesh","non-dropping-particle":"","parse-names":false,"suffix":""},{"dropping-particle":"","family":"Jones","given":"Julia P.G.","non-dropping-particle":"","parse-names":false,"suffix":""},{"dropping-particle":"","family":"Rakotonarivo","given":"O. Sarobidy","non-dropping-particle":"","parse-names":false,"suffix":""},{"dropping-particle":"","family":"Hockley","given":"Neal","non-dropping-particle":"","parse-names":false,"suffix":""},{"dropping-particle":"","family":"Gibbons","given":"James M.","non-dropping-particle":"","parse-names":false,"suffix":""},{"dropping-particle":"","family":"Mandimbiniaina","given":"Rina","non-dropping-particle":"","parse-names":false,"suffix":""},{"dropping-particle":"","family":"Rasoamanana","given":"Alexandra","non-dropping-particle":"","parse-names":false,"suffix":""},{"dropping-particle":"","family":"Andrianantenaina","given":"Nilsen S.","non-dropping-particle":"","parse-names":false,"suffix":""},{"dropping-particle":"","family":"Ramamonjisoa","given":"Bruno S.","non-dropping-particle":"","parse-names":false,"suffix":""}],"container-title":"PeerJ","id":"ITEM-2","issued":{"date-parts":[["2018","7","5"]]},"page":"e5106","publisher":"PeerJ Inc.","title":"Who bears the cost of forest conservation?","type":"article-journal","volume":"6"},"uris":["http://www.mendeley.com/documents/?uuid=a2953d38-6877-3a94-ab6e-957397a2d084"]}],"mendeley":{"formattedCitation":"&lt;sup&gt;15,16&lt;/sup&gt;","plainTextFormattedCitation":"15,16","previouslyFormattedCitation":"&lt;sup&gt;14,15&lt;/sup&gt;"},"properties":{"noteIndex":0},"schema":"https://github.com/citation-style-language/schema/raw/master/csl-citation.json"}</w:instrText>
      </w:r>
      <w:r w:rsidR="00A21502">
        <w:rPr>
          <w:rFonts w:cstheme="minorHAnsi"/>
        </w:rPr>
        <w:fldChar w:fldCharType="separate"/>
      </w:r>
      <w:r w:rsidR="00300AA2" w:rsidRPr="00300AA2">
        <w:rPr>
          <w:rFonts w:cstheme="minorHAnsi"/>
          <w:noProof/>
          <w:vertAlign w:val="superscript"/>
        </w:rPr>
        <w:t>15,16</w:t>
      </w:r>
      <w:r w:rsidR="00A21502">
        <w:rPr>
          <w:rFonts w:cstheme="minorHAnsi"/>
        </w:rPr>
        <w:fldChar w:fldCharType="end"/>
      </w:r>
      <w:r w:rsidR="00A21502">
        <w:rPr>
          <w:rFonts w:cstheme="minorHAnsi"/>
        </w:rPr>
        <w:t>.</w:t>
      </w:r>
      <w:r>
        <w:rPr>
          <w:rFonts w:eastAsia="Times New Roman" w:cstheme="minorHAnsi"/>
          <w:color w:val="000000"/>
        </w:rPr>
        <w:t xml:space="preserve"> </w:t>
      </w:r>
      <w:r w:rsidR="00C65E94">
        <w:rPr>
          <w:rFonts w:cstheme="minorHAnsi"/>
        </w:rPr>
        <w:t>Although</w:t>
      </w:r>
      <w:r>
        <w:rPr>
          <w:rFonts w:cstheme="minorHAnsi"/>
        </w:rPr>
        <w:t xml:space="preserve"> protected areas remain vital to protect threatened species and habitats</w:t>
      </w:r>
      <w:r>
        <w:fldChar w:fldCharType="begin" w:fldLock="1"/>
      </w:r>
      <w:r w:rsidR="00300AA2">
        <w:instrText>ADDIN CSL_CITATION {"citationItems":[{"id":"ITEM-1","itemData":{"DOI":"10.1038/nature13947","ISSN":"0028-0836","author":[{"dropping-particle":"","family":"Watson","given":"James E. M.","non-dropping-particle":"","parse-names":false,"suffix":""},{"dropping-particle":"","family":"Dudley","given":"Nigel","non-dropping-particle":"","parse-names":false,"suffix":""},{"dropping-particle":"","family":"Segan","given":"Daniel B.","non-dropping-particle":"","parse-names":false,"suffix":""},{"dropping-particle":"","family":"Hockings","given":"Marc","non-dropping-particle":"","parse-names":false,"suffix":""}],"container-title":"Nature","id":"ITEM-1","issue":"7525","issued":{"date-parts":[["2014","11","6"]]},"page":"67-73","title":"The performance and potential of protected areas","type":"article-journal","volume":"515"},"uris":["http://www.mendeley.com/documents/?uuid=8df81a36-8bdb-3c4a-b560-c7567aa1dbd4"]}],"mendeley":{"formattedCitation":"&lt;sup&gt;17&lt;/sup&gt;","plainTextFormattedCitation":"17","previouslyFormattedCitation":"&lt;sup&gt;16&lt;/sup&gt;"},"properties":{"noteIndex":0},"schema":"https://github.com/citation-style-language/schema/raw/master/csl-citation.json"}</w:instrText>
      </w:r>
      <w:r>
        <w:fldChar w:fldCharType="separate"/>
      </w:r>
      <w:bookmarkStart w:id="7" w:name="Bookmark8"/>
      <w:r w:rsidR="00300AA2" w:rsidRPr="00300AA2">
        <w:rPr>
          <w:rFonts w:cstheme="minorHAnsi"/>
          <w:noProof/>
          <w:vertAlign w:val="superscript"/>
        </w:rPr>
        <w:t>17</w:t>
      </w:r>
      <w:r>
        <w:fldChar w:fldCharType="end"/>
      </w:r>
      <w:bookmarkEnd w:id="7"/>
      <w:r>
        <w:rPr>
          <w:rFonts w:cstheme="minorHAnsi"/>
        </w:rPr>
        <w:t>, most biodiversity will continue to live beyond their boundaries</w:t>
      </w:r>
      <w:r>
        <w:fldChar w:fldCharType="begin" w:fldLock="1"/>
      </w:r>
      <w:r w:rsidR="00300AA2">
        <w:instrText>ADDIN CSL_CITATION {"citationItems":[{"id":"ITEM-1","itemData":{"DOI":"10.1038/s41559-018-0595-2","ISSN":"2397-334X","abstract":"Ambitious targets for the retention — not just formal protection — of nature are urgently needed to conserve biodiversity and to maintain crucial ecosystem services for humanity.","author":[{"dropping-particle":"","family":"Maron","given":"Martine","non-dropping-particle":"","parse-names":false,"suffix":""},{"dropping-particle":"","family":"Simmonds","given":"Jeremy S.","non-dropping-particle":"","parse-names":false,"suffix":""},{"dropping-particle":"","family":"Watson","given":"James E. M.","non-dropping-particle":"","parse-names":false,"suffix":""}],"container-title":"Nature Ecology &amp; Evolution","id":"ITEM-1","issue":"8","issued":{"date-parts":[["2018","8","18"]]},"page":"1194-1195","publisher":"Nature Publishing Group","title":"Bold nature retention targets are essential for the global environment agenda","type":"article-journal","volume":"2"},"uris":["http://www.mendeley.com/documents/?uuid=0215017d-6bcd-3b6a-b2ab-8483f8851385"]}],"mendeley":{"formattedCitation":"&lt;sup&gt;18&lt;/sup&gt;","plainTextFormattedCitation":"18","previouslyFormattedCitation":"&lt;sup&gt;17&lt;/sup&gt;"},"properties":{"noteIndex":0},"schema":"https://github.com/citation-style-language/schema/raw/master/csl-citation.json"}</w:instrText>
      </w:r>
      <w:r>
        <w:fldChar w:fldCharType="separate"/>
      </w:r>
      <w:bookmarkStart w:id="8" w:name="Bookmark9"/>
      <w:r w:rsidR="00300AA2" w:rsidRPr="00300AA2">
        <w:rPr>
          <w:rFonts w:cstheme="minorHAnsi"/>
          <w:noProof/>
          <w:vertAlign w:val="superscript"/>
        </w:rPr>
        <w:t>18</w:t>
      </w:r>
      <w:r>
        <w:fldChar w:fldCharType="end"/>
      </w:r>
      <w:bookmarkEnd w:id="8"/>
      <w:r>
        <w:rPr>
          <w:rFonts w:cstheme="minorHAnsi"/>
        </w:rPr>
        <w:t xml:space="preserve"> and it is clear from the surveys that there is a lack of consensus around their overall use. Achieving the long-term aspirations of the Convention for Biological Diversity must mean significant increases in effective conservation activities beyond the protected area estate</w:t>
      </w:r>
      <w:r w:rsidR="00300AA2">
        <w:rPr>
          <w:rFonts w:cstheme="minorHAnsi"/>
        </w:rPr>
        <w:fldChar w:fldCharType="begin" w:fldLock="1"/>
      </w:r>
      <w:r w:rsidR="00300AA2">
        <w:rPr>
          <w:rFonts w:cstheme="minorHAnsi"/>
        </w:rPr>
        <w:instrText>ADDIN CSL_CITATION {"citationItems":[{"id":"ITEM-1","itemData":{"DOI":"10.1016/J.COSUST.2010.03.006","ISSN":"1877-3435","abstract":"The exclusionary protected area-based approach to biodiversity conservation has succeeded at several places, but at a significant social cost and conflict, especially in the developing country tropics. More inclusive approaches, including community-based conservation (CBC), its subset enterprise-based conservation (EBC), and payments-based conservation (PES) programs, have been tried in the past 15 years. A brief summary of the literature on socio-economic impacts of the exclusionary approach suggests that, although detailed studies and documentation is missing, impacts are significant, and the ethical argument against forced displacement quite strong. We then examine the potential of non-exclusionary approaches from a broader perspective that values biodiversity gains as well as socio-economic ones. Our review suggests that (a) comprehensive socio–ecological and comparative studies of such initiatives are surprisingly scarce, (b) enterprise-based conservation offers some potential if design flaws, poor implementation, assumptions about homogeneous communities, and inattention to tenurial change and security are addressed, (c) payments-based programs require caution because of their focus on economic efficiency, and simplified assumptions regarding the nature of rights, biological information, monitoring costs, and state interventions, and (d) the alternatives to exclusion have often not been given adequate state support and space to function, nor is the ongoing neoliberalization of the political-economic system conducive to giving them that space, except when they fit the direction of this larger process.","author":[{"dropping-particle":"","family":"Lele","given":"Sharachchandra","non-dropping-particle":"","parse-names":false,"suffix":""},{"dropping-particle":"","family":"Wilshusen","given":"Peter","non-dropping-particle":"","parse-names":false,"suffix":""},{"dropping-particle":"","family":"Brockington","given":"Dan","non-dropping-particle":"","parse-names":false,"suffix":""},{"dropping-particle":"","family":"Seidler","given":"Reinmar","non-dropping-particle":"","parse-names":false,"suffix":""},{"dropping-particle":"","family":"Bawa","given":"Kamaljit","non-dropping-particle":"","parse-names":false,"suffix":""}],"container-title":"Current Opinion in Environmental Sustainability","id":"ITEM-1","issue":"1-2","issued":{"date-parts":[["2010","5","1"]]},"page":"94-100","publisher":"Elsevier","title":"Beyond exclusion: alternative approaches to biodiversity conservation in the developing tropics","type":"article-journal","volume":"2"},"uris":["http://www.mendeley.com/documents/?uuid=70881620-e10c-30f5-8bed-cb4b5227890a"]},{"id":"ITEM-2","itemData":{"DOI":"10.1038/nature13947","ISSN":"0028-0836","author":[{"dropping-particle":"","family":"Watson","given":"James E. M.","non-dropping-particle":"","parse-names":false,"suffix":""},{"dropping-particle":"","family":"Dudley","given":"Nigel","non-dropping-particle":"","parse-names":false,"suffix":""},{"dropping-particle":"","family":"Segan","given":"Daniel B.","non-dropping-particle":"","parse-names":false,"suffix":""},{"dropping-particle":"","family":"Hockings","given":"Marc","non-dropping-particle":"","parse-names":false,"suffix":""}],"container-title":"Nature","id":"ITEM-2","issue":"7525","issued":{"date-parts":[["2014","11","6"]]},"page":"67-73","title":"The performance and potential of protected areas","type":"article-journal","volume":"515"},"uris":["http://www.mendeley.com/documents/?uuid=64e48a7e-99ba-3f21-bb50-e0f38caba42f"]}],"mendeley":{"formattedCitation":"&lt;sup&gt;17,19&lt;/sup&gt;","plainTextFormattedCitation":"17,19","previouslyFormattedCitation":"&lt;sup&gt;16,18&lt;/sup&gt;"},"properties":{"noteIndex":0},"schema":"https://github.com/citation-style-language/schema/raw/master/csl-citation.json"}</w:instrText>
      </w:r>
      <w:r w:rsidR="00300AA2">
        <w:rPr>
          <w:rFonts w:cstheme="minorHAnsi"/>
        </w:rPr>
        <w:fldChar w:fldCharType="separate"/>
      </w:r>
      <w:r w:rsidR="00300AA2" w:rsidRPr="00300AA2">
        <w:rPr>
          <w:rFonts w:cstheme="minorHAnsi"/>
          <w:noProof/>
          <w:vertAlign w:val="superscript"/>
        </w:rPr>
        <w:t>17,19</w:t>
      </w:r>
      <w:r w:rsidR="00300AA2">
        <w:rPr>
          <w:rFonts w:cstheme="minorHAnsi"/>
        </w:rPr>
        <w:fldChar w:fldCharType="end"/>
      </w:r>
      <w:r>
        <w:rPr>
          <w:rFonts w:cstheme="minorHAnsi"/>
        </w:rPr>
        <w:t xml:space="preserve">, and this survey reinforces the need for the conservation community to actively embrace nuanced indigenous governance, tenure reforms and other private landowner stewardship arrangements as a fundamental part of operationalising conservation goals. This is where the breadth of the conservation community comes in. Its diversity is its </w:t>
      </w:r>
      <w:r>
        <w:rPr>
          <w:rFonts w:cstheme="minorHAnsi"/>
        </w:rPr>
        <w:lastRenderedPageBreak/>
        <w:t xml:space="preserve">strength. The post 2020 framework is an opportunity to bring this diversity together, capitalize on the learning from research, and agree a cohesive </w:t>
      </w:r>
      <w:proofErr w:type="gramStart"/>
      <w:r>
        <w:rPr>
          <w:rFonts w:cstheme="minorHAnsi"/>
        </w:rPr>
        <w:t>plan which</w:t>
      </w:r>
      <w:proofErr w:type="gramEnd"/>
      <w:r>
        <w:rPr>
          <w:rFonts w:cstheme="minorHAnsi"/>
        </w:rPr>
        <w:t xml:space="preserve"> puts global conservation on the best possible trajectory for the next decade.</w:t>
      </w:r>
    </w:p>
    <w:p w14:paraId="72ED4409" w14:textId="77777777" w:rsidR="00C323E9" w:rsidRDefault="00C323E9">
      <w:pPr>
        <w:spacing w:line="360" w:lineRule="auto"/>
        <w:rPr>
          <w:rFonts w:cstheme="minorHAnsi"/>
        </w:rPr>
      </w:pPr>
    </w:p>
    <w:p w14:paraId="135814D1" w14:textId="77777777" w:rsidR="00C323E9" w:rsidRDefault="00C323E9">
      <w:pPr>
        <w:spacing w:line="360" w:lineRule="auto"/>
        <w:rPr>
          <w:rFonts w:cstheme="minorHAnsi"/>
          <w:lang w:val="en-GB" w:eastAsia="en-GB"/>
        </w:rPr>
      </w:pPr>
    </w:p>
    <w:p w14:paraId="35236008" w14:textId="4980F785" w:rsidR="00C323E9" w:rsidRDefault="001F1D59">
      <w:pPr>
        <w:spacing w:line="360" w:lineRule="auto"/>
        <w:rPr>
          <w:rFonts w:cstheme="minorHAnsi"/>
        </w:rPr>
      </w:pPr>
      <w:r w:rsidRPr="001F1D59">
        <w:rPr>
          <w:rFonts w:cstheme="minorHAnsi"/>
          <w:noProof/>
          <w:lang w:val="en-GB" w:eastAsia="en-GB"/>
        </w:rPr>
        <w:drawing>
          <wp:inline distT="0" distB="0" distL="0" distR="0" wp14:anchorId="70D99046" wp14:editId="078A09CD">
            <wp:extent cx="5731510" cy="367275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672757"/>
                    </a:xfrm>
                    <a:prstGeom prst="rect">
                      <a:avLst/>
                    </a:prstGeom>
                    <a:noFill/>
                    <a:ln>
                      <a:noFill/>
                    </a:ln>
                  </pic:spPr>
                </pic:pic>
              </a:graphicData>
            </a:graphic>
          </wp:inline>
        </w:drawing>
      </w:r>
    </w:p>
    <w:p w14:paraId="2927DF09" w14:textId="177795FA" w:rsidR="00C323E9" w:rsidRDefault="005D1C0C">
      <w:pPr>
        <w:spacing w:line="360" w:lineRule="auto"/>
      </w:pPr>
      <w:r w:rsidRPr="00300AA2">
        <w:rPr>
          <w:rFonts w:cstheme="minorHAnsi"/>
          <w:b/>
          <w:bCs/>
        </w:rPr>
        <w:t>Fig</w:t>
      </w:r>
      <w:r w:rsidR="00AF5F8B">
        <w:rPr>
          <w:rFonts w:cstheme="minorHAnsi"/>
          <w:b/>
          <w:bCs/>
        </w:rPr>
        <w:t>ure</w:t>
      </w:r>
      <w:r w:rsidRPr="00300AA2">
        <w:rPr>
          <w:rFonts w:cstheme="minorHAnsi"/>
          <w:b/>
          <w:bCs/>
        </w:rPr>
        <w:t xml:space="preserve"> 1</w:t>
      </w:r>
      <w:r w:rsidR="00AF5F8B">
        <w:rPr>
          <w:rFonts w:cstheme="minorHAnsi"/>
        </w:rPr>
        <w:t xml:space="preserve"> | </w:t>
      </w:r>
      <w:r w:rsidR="00AF5F8B" w:rsidRPr="00AF5F8B">
        <w:rPr>
          <w:rFonts w:cstheme="minorHAnsi"/>
          <w:b/>
        </w:rPr>
        <w:t>Conservationist consensus.</w:t>
      </w:r>
      <w:r>
        <w:rPr>
          <w:rFonts w:cstheme="minorHAnsi"/>
        </w:rPr>
        <w:t xml:space="preserve"> Responses to</w:t>
      </w:r>
      <w:r w:rsidR="00AF5F8B">
        <w:rPr>
          <w:rFonts w:cstheme="minorHAnsi"/>
        </w:rPr>
        <w:t xml:space="preserve"> Sandbrook and colleagues’</w:t>
      </w:r>
      <w:r>
        <w:rPr>
          <w:rFonts w:cstheme="minorHAnsi"/>
        </w:rPr>
        <w:t xml:space="preserve"> Futures of Conservation survey</w:t>
      </w:r>
      <w:r w:rsidR="00AF5F8B">
        <w:rPr>
          <w:rFonts w:cstheme="minorHAnsi"/>
          <w:vertAlign w:val="superscript"/>
        </w:rPr>
        <w:t>7</w:t>
      </w:r>
      <w:r>
        <w:rPr>
          <w:rFonts w:cstheme="minorHAnsi"/>
        </w:rPr>
        <w:t xml:space="preserve"> reveal</w:t>
      </w:r>
      <w:r w:rsidR="00263407">
        <w:rPr>
          <w:rFonts w:cstheme="minorHAnsi"/>
        </w:rPr>
        <w:t xml:space="preserve"> strong agreement in many areas,</w:t>
      </w:r>
      <w:r>
        <w:rPr>
          <w:rFonts w:cstheme="minorHAnsi"/>
        </w:rPr>
        <w:t xml:space="preserve"> but views</w:t>
      </w:r>
      <w:r w:rsidR="00263407">
        <w:rPr>
          <w:rFonts w:cstheme="minorHAnsi"/>
        </w:rPr>
        <w:t xml:space="preserve"> are polarised regarding</w:t>
      </w:r>
      <w:r>
        <w:rPr>
          <w:rFonts w:cstheme="minorHAnsi"/>
        </w:rPr>
        <w:t xml:space="preserve"> the role of protected areas in conservation and the extent to which pristine nature exists (n=9264 from 149 countries; adapted from Sandbrook et al.</w:t>
      </w:r>
      <w:r>
        <w:fldChar w:fldCharType="begin" w:fldLock="1"/>
      </w:r>
      <w:r>
        <w:instrText>ADDIN CSL_CITATION {"citationItems":[{"id":"ITEM-1","itemData":{"DOI":"10.1038/s41893-019-0267-5","ISSN":"2398-9629","abstract":"Biodiversity is being lost at an unprecedented rate, making the conservation movement of critical importance for life on Earth. However, recent debates over the future of conservation have been polarized, acrimonious and dominated by an unrepresentative demographic group. The views of the wider global conservation community on fundamental questions regarding what, why and how to conserve are unknown. Here we characterize the views of 9,264 conservationists from 149 countries, identifying specific areas of consensus and disagreement, and three independent dimensions of conservation thinking. The first two dimensions (people-centred conservation and science-led ecocentrism) have widespread support, whereas conservation through capitalism is more contentious. While conservationists’ views on these three dimensions do not fall into distinct clusters, there are clear relationships between dimension scores and respondents’ gender, age, educational background, career stage and continent of nationality. Future debates and policy processes should focus on the most contentious issues, and do more to include the perspectives of under-represented groups in conservation who may not share the views of those in more powerful positions.","author":[{"dropping-particle":"","family":"Sandbrook","given":"Chris","non-dropping-particle":"","parse-names":false,"suffix":""},{"dropping-particle":"","family":"Fisher","given":"Janet A.","non-dropping-particle":"","parse-names":false,"suffix":""},{"dropping-particle":"","family":"Holmes","given":"George","non-dropping-particle":"","parse-names":false,"suffix":""},{"dropping-particle":"","family":"Luque-Lora","given":"Rogelio","non-dropping-particle":"","parse-names":false,"suffix":""},{"dropping-particle":"","family":"Keane","given":"Aidan","non-dropping-particle":"","parse-names":false,"suffix":""}],"container-title":"Nature Sustainability","id":"ITEM-1","issue":"4","issued":{"date-parts":[["2019","4","9"]]},"page":"316-323","publisher":"Nature Publishing Group","title":"The global conservation movement is diverse but not divided","type":"article-journal","volume":"2"},"uris":["http://www.mendeley.com/documents/?uuid=b73323ca-902d-36ad-9cd1-8c7bc26369bb"]}],"mendeley":{"formattedCitation":"&lt;sup&gt;7&lt;/sup&gt;","plainTextFormattedCitation":"7","previouslyFormattedCitation":"&lt;sup&gt;7&lt;/sup&gt;"},"properties":{"noteIndex":0},"schema":"https://github.com/citation-style-language/schema/raw/master/csl-citation.json"}</w:instrText>
      </w:r>
      <w:r>
        <w:fldChar w:fldCharType="separate"/>
      </w:r>
      <w:bookmarkStart w:id="9" w:name="Bookmark10"/>
      <w:r>
        <w:rPr>
          <w:rFonts w:cstheme="minorHAnsi"/>
          <w:noProof/>
          <w:vertAlign w:val="superscript"/>
        </w:rPr>
        <w:t>7</w:t>
      </w:r>
      <w:r>
        <w:fldChar w:fldCharType="end"/>
      </w:r>
      <w:bookmarkEnd w:id="9"/>
      <w:r>
        <w:rPr>
          <w:rFonts w:cstheme="minorHAnsi"/>
        </w:rPr>
        <w:t>).</w:t>
      </w:r>
    </w:p>
    <w:p w14:paraId="79A424B9" w14:textId="7F2FC396" w:rsidR="00C323E9" w:rsidRDefault="00C323E9">
      <w:pPr>
        <w:spacing w:line="360" w:lineRule="auto"/>
        <w:rPr>
          <w:rFonts w:cstheme="minorHAnsi"/>
        </w:rPr>
      </w:pPr>
    </w:p>
    <w:p w14:paraId="0D529C0B" w14:textId="02283014" w:rsidR="00300AA2" w:rsidRDefault="00300AA2" w:rsidP="00AF5F8B">
      <w:pPr>
        <w:spacing w:line="360" w:lineRule="auto"/>
        <w:rPr>
          <w:rFonts w:cstheme="minorHAnsi"/>
        </w:rPr>
      </w:pPr>
    </w:p>
    <w:p w14:paraId="6976AEE6" w14:textId="77777777" w:rsidR="00300AA2" w:rsidRDefault="00300AA2">
      <w:pPr>
        <w:spacing w:line="360" w:lineRule="auto"/>
        <w:rPr>
          <w:rFonts w:cstheme="minorHAnsi"/>
        </w:rPr>
      </w:pPr>
    </w:p>
    <w:p w14:paraId="2921BFD9" w14:textId="77777777" w:rsidR="00C323E9" w:rsidRDefault="005D1C0C">
      <w:pPr>
        <w:spacing w:line="360" w:lineRule="auto"/>
        <w:rPr>
          <w:rFonts w:cstheme="minorHAnsi"/>
        </w:rPr>
      </w:pPr>
      <w:r>
        <w:rPr>
          <w:rFonts w:cstheme="minorHAnsi"/>
        </w:rPr>
        <w:t>References</w:t>
      </w:r>
    </w:p>
    <w:p w14:paraId="2F76C11F" w14:textId="4A8A91C9" w:rsidR="00300AA2" w:rsidRPr="00300AA2" w:rsidRDefault="005D1C0C" w:rsidP="00300AA2">
      <w:pPr>
        <w:widowControl w:val="0"/>
        <w:autoSpaceDE w:val="0"/>
        <w:autoSpaceDN w:val="0"/>
        <w:adjustRightInd w:val="0"/>
        <w:spacing w:line="360" w:lineRule="auto"/>
        <w:ind w:left="640" w:hanging="640"/>
        <w:rPr>
          <w:rFonts w:ascii="Calibri" w:hAnsi="Calibri" w:cs="Calibri"/>
          <w:noProof/>
          <w:lang w:val="en-US"/>
        </w:rPr>
      </w:pPr>
      <w:r>
        <w:fldChar w:fldCharType="begin" w:fldLock="1"/>
      </w:r>
      <w:r>
        <w:instrText>ADDIN Mendeley Bibliography CSL_BIBLIOGRAPHY</w:instrText>
      </w:r>
      <w:r>
        <w:fldChar w:fldCharType="separate"/>
      </w:r>
      <w:bookmarkStart w:id="10" w:name="Bookmark11"/>
      <w:r w:rsidR="00300AA2" w:rsidRPr="00300AA2">
        <w:rPr>
          <w:rFonts w:ascii="Calibri" w:hAnsi="Calibri" w:cs="Calibri"/>
          <w:noProof/>
          <w:lang w:val="en-US"/>
        </w:rPr>
        <w:t>1.</w:t>
      </w:r>
      <w:r w:rsidR="00300AA2" w:rsidRPr="00300AA2">
        <w:rPr>
          <w:rFonts w:ascii="Calibri" w:hAnsi="Calibri" w:cs="Calibri"/>
          <w:noProof/>
          <w:lang w:val="en-US"/>
        </w:rPr>
        <w:tab/>
        <w:t>Global assessment | IPBES. Available at: https://www.ipbes.net/deliverables/2c-global-assessment. (Accessed: 17th May 2019)</w:t>
      </w:r>
    </w:p>
    <w:p w14:paraId="79DB871E"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lastRenderedPageBreak/>
        <w:t>2.</w:t>
      </w:r>
      <w:r w:rsidRPr="00300AA2">
        <w:rPr>
          <w:rFonts w:ascii="Calibri" w:hAnsi="Calibri" w:cs="Calibri"/>
          <w:noProof/>
          <w:lang w:val="en-US"/>
        </w:rPr>
        <w:tab/>
        <w:t xml:space="preserve">Watson, J. E. M. &amp; Venter, O. A global plan for nature conservation. </w:t>
      </w:r>
      <w:r w:rsidRPr="00300AA2">
        <w:rPr>
          <w:rFonts w:ascii="Calibri" w:hAnsi="Calibri" w:cs="Calibri"/>
          <w:i/>
          <w:iCs/>
          <w:noProof/>
          <w:lang w:val="en-US"/>
        </w:rPr>
        <w:t>Nature</w:t>
      </w:r>
      <w:r w:rsidRPr="00300AA2">
        <w:rPr>
          <w:rFonts w:ascii="Calibri" w:hAnsi="Calibri" w:cs="Calibri"/>
          <w:noProof/>
          <w:lang w:val="en-US"/>
        </w:rPr>
        <w:t xml:space="preserve"> </w:t>
      </w:r>
      <w:r w:rsidRPr="00300AA2">
        <w:rPr>
          <w:rFonts w:ascii="Calibri" w:hAnsi="Calibri" w:cs="Calibri"/>
          <w:b/>
          <w:bCs/>
          <w:noProof/>
          <w:lang w:val="en-US"/>
        </w:rPr>
        <w:t>550</w:t>
      </w:r>
      <w:r w:rsidRPr="00300AA2">
        <w:rPr>
          <w:rFonts w:ascii="Calibri" w:hAnsi="Calibri" w:cs="Calibri"/>
          <w:noProof/>
          <w:lang w:val="en-US"/>
        </w:rPr>
        <w:t>, 48–49 (2017).</w:t>
      </w:r>
    </w:p>
    <w:p w14:paraId="75DB8753"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3.</w:t>
      </w:r>
      <w:r w:rsidRPr="00300AA2">
        <w:rPr>
          <w:rFonts w:ascii="Calibri" w:hAnsi="Calibri" w:cs="Calibri"/>
          <w:noProof/>
          <w:lang w:val="en-US"/>
        </w:rPr>
        <w:tab/>
        <w:t xml:space="preserve">Miller, B., Soulé, M. E. &amp; Terborgh, J. ‘New conservation’ or surrender to development? </w:t>
      </w:r>
      <w:r w:rsidRPr="00300AA2">
        <w:rPr>
          <w:rFonts w:ascii="Calibri" w:hAnsi="Calibri" w:cs="Calibri"/>
          <w:i/>
          <w:iCs/>
          <w:noProof/>
          <w:lang w:val="en-US"/>
        </w:rPr>
        <w:t>Anim. Conserv.</w:t>
      </w:r>
      <w:r w:rsidRPr="00300AA2">
        <w:rPr>
          <w:rFonts w:ascii="Calibri" w:hAnsi="Calibri" w:cs="Calibri"/>
          <w:noProof/>
          <w:lang w:val="en-US"/>
        </w:rPr>
        <w:t xml:space="preserve"> </w:t>
      </w:r>
      <w:r w:rsidRPr="00300AA2">
        <w:rPr>
          <w:rFonts w:ascii="Calibri" w:hAnsi="Calibri" w:cs="Calibri"/>
          <w:b/>
          <w:bCs/>
          <w:noProof/>
          <w:lang w:val="en-US"/>
        </w:rPr>
        <w:t>17</w:t>
      </w:r>
      <w:r w:rsidRPr="00300AA2">
        <w:rPr>
          <w:rFonts w:ascii="Calibri" w:hAnsi="Calibri" w:cs="Calibri"/>
          <w:noProof/>
          <w:lang w:val="en-US"/>
        </w:rPr>
        <w:t>, 509–515 (2014).</w:t>
      </w:r>
      <w:bookmarkStart w:id="11" w:name="_GoBack"/>
      <w:bookmarkEnd w:id="11"/>
    </w:p>
    <w:p w14:paraId="01E37E0E" w14:textId="6D4DBF9F"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4.</w:t>
      </w:r>
      <w:r w:rsidRPr="00300AA2">
        <w:rPr>
          <w:rFonts w:ascii="Calibri" w:hAnsi="Calibri" w:cs="Calibri"/>
          <w:noProof/>
          <w:lang w:val="en-US"/>
        </w:rPr>
        <w:tab/>
        <w:t>K</w:t>
      </w:r>
      <w:r w:rsidR="00EB779A">
        <w:rPr>
          <w:rFonts w:ascii="Calibri" w:hAnsi="Calibri" w:cs="Calibri"/>
          <w:noProof/>
          <w:lang w:val="en-US"/>
        </w:rPr>
        <w:t>areiva</w:t>
      </w:r>
      <w:r w:rsidRPr="00300AA2">
        <w:rPr>
          <w:rFonts w:ascii="Calibri" w:hAnsi="Calibri" w:cs="Calibri"/>
          <w:noProof/>
          <w:lang w:val="en-US"/>
        </w:rPr>
        <w:t xml:space="preserve">, P. New Conservation: Setting the Record Straight and Finding Common Ground. </w:t>
      </w:r>
      <w:r w:rsidRPr="00300AA2">
        <w:rPr>
          <w:rFonts w:ascii="Calibri" w:hAnsi="Calibri" w:cs="Calibri"/>
          <w:i/>
          <w:iCs/>
          <w:noProof/>
          <w:lang w:val="en-US"/>
        </w:rPr>
        <w:t>Conserv. Biol.</w:t>
      </w:r>
      <w:r w:rsidRPr="00300AA2">
        <w:rPr>
          <w:rFonts w:ascii="Calibri" w:hAnsi="Calibri" w:cs="Calibri"/>
          <w:noProof/>
          <w:lang w:val="en-US"/>
        </w:rPr>
        <w:t xml:space="preserve"> </w:t>
      </w:r>
      <w:r w:rsidRPr="00300AA2">
        <w:rPr>
          <w:rFonts w:ascii="Calibri" w:hAnsi="Calibri" w:cs="Calibri"/>
          <w:b/>
          <w:bCs/>
          <w:noProof/>
          <w:lang w:val="en-US"/>
        </w:rPr>
        <w:t>28</w:t>
      </w:r>
      <w:r w:rsidRPr="00300AA2">
        <w:rPr>
          <w:rFonts w:ascii="Calibri" w:hAnsi="Calibri" w:cs="Calibri"/>
          <w:noProof/>
          <w:lang w:val="en-US"/>
        </w:rPr>
        <w:t>, 634–636 (2014).</w:t>
      </w:r>
    </w:p>
    <w:p w14:paraId="0F679F27"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5.</w:t>
      </w:r>
      <w:r w:rsidRPr="00300AA2">
        <w:rPr>
          <w:rFonts w:ascii="Calibri" w:hAnsi="Calibri" w:cs="Calibri"/>
          <w:noProof/>
          <w:lang w:val="en-US"/>
        </w:rPr>
        <w:tab/>
        <w:t xml:space="preserve">Büscher, B. </w:t>
      </w:r>
      <w:r w:rsidRPr="00300AA2">
        <w:rPr>
          <w:rFonts w:ascii="Calibri" w:hAnsi="Calibri" w:cs="Calibri"/>
          <w:i/>
          <w:iCs/>
          <w:noProof/>
          <w:lang w:val="en-US"/>
        </w:rPr>
        <w:t>et al.</w:t>
      </w:r>
      <w:r w:rsidRPr="00300AA2">
        <w:rPr>
          <w:rFonts w:ascii="Calibri" w:hAnsi="Calibri" w:cs="Calibri"/>
          <w:noProof/>
          <w:lang w:val="en-US"/>
        </w:rPr>
        <w:t xml:space="preserve"> Half-Earth or Whole Earth? Radical ideas for conservation, and their implications. </w:t>
      </w:r>
      <w:r w:rsidRPr="00300AA2">
        <w:rPr>
          <w:rFonts w:ascii="Calibri" w:hAnsi="Calibri" w:cs="Calibri"/>
          <w:i/>
          <w:iCs/>
          <w:noProof/>
          <w:lang w:val="en-US"/>
        </w:rPr>
        <w:t>Oryx</w:t>
      </w:r>
      <w:r w:rsidRPr="00300AA2">
        <w:rPr>
          <w:rFonts w:ascii="Calibri" w:hAnsi="Calibri" w:cs="Calibri"/>
          <w:noProof/>
          <w:lang w:val="en-US"/>
        </w:rPr>
        <w:t xml:space="preserve"> </w:t>
      </w:r>
      <w:r w:rsidRPr="00300AA2">
        <w:rPr>
          <w:rFonts w:ascii="Calibri" w:hAnsi="Calibri" w:cs="Calibri"/>
          <w:b/>
          <w:bCs/>
          <w:noProof/>
          <w:lang w:val="en-US"/>
        </w:rPr>
        <w:t>51</w:t>
      </w:r>
      <w:r w:rsidRPr="00300AA2">
        <w:rPr>
          <w:rFonts w:ascii="Calibri" w:hAnsi="Calibri" w:cs="Calibri"/>
          <w:noProof/>
          <w:lang w:val="en-US"/>
        </w:rPr>
        <w:t>, 407–410 (2017).</w:t>
      </w:r>
    </w:p>
    <w:p w14:paraId="15515A43"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6.</w:t>
      </w:r>
      <w:r w:rsidRPr="00300AA2">
        <w:rPr>
          <w:rFonts w:ascii="Calibri" w:hAnsi="Calibri" w:cs="Calibri"/>
          <w:noProof/>
          <w:lang w:val="en-US"/>
        </w:rPr>
        <w:tab/>
        <w:t xml:space="preserve">Dinerstein, E. </w:t>
      </w:r>
      <w:r w:rsidRPr="00300AA2">
        <w:rPr>
          <w:rFonts w:ascii="Calibri" w:hAnsi="Calibri" w:cs="Calibri"/>
          <w:i/>
          <w:iCs/>
          <w:noProof/>
          <w:lang w:val="en-US"/>
        </w:rPr>
        <w:t>et al.</w:t>
      </w:r>
      <w:r w:rsidRPr="00300AA2">
        <w:rPr>
          <w:rFonts w:ascii="Calibri" w:hAnsi="Calibri" w:cs="Calibri"/>
          <w:noProof/>
          <w:lang w:val="en-US"/>
        </w:rPr>
        <w:t xml:space="preserve"> An Ecoregion-Based Approach to Protecting Half the Terrestrial Realm. </w:t>
      </w:r>
      <w:r w:rsidRPr="00300AA2">
        <w:rPr>
          <w:rFonts w:ascii="Calibri" w:hAnsi="Calibri" w:cs="Calibri"/>
          <w:i/>
          <w:iCs/>
          <w:noProof/>
          <w:lang w:val="en-US"/>
        </w:rPr>
        <w:t>Bioscience</w:t>
      </w:r>
      <w:r w:rsidRPr="00300AA2">
        <w:rPr>
          <w:rFonts w:ascii="Calibri" w:hAnsi="Calibri" w:cs="Calibri"/>
          <w:noProof/>
          <w:lang w:val="en-US"/>
        </w:rPr>
        <w:t xml:space="preserve"> </w:t>
      </w:r>
      <w:r w:rsidRPr="00300AA2">
        <w:rPr>
          <w:rFonts w:ascii="Calibri" w:hAnsi="Calibri" w:cs="Calibri"/>
          <w:b/>
          <w:bCs/>
          <w:noProof/>
          <w:lang w:val="en-US"/>
        </w:rPr>
        <w:t>67</w:t>
      </w:r>
      <w:r w:rsidRPr="00300AA2">
        <w:rPr>
          <w:rFonts w:ascii="Calibri" w:hAnsi="Calibri" w:cs="Calibri"/>
          <w:noProof/>
          <w:lang w:val="en-US"/>
        </w:rPr>
        <w:t>, 534–545 (2017).</w:t>
      </w:r>
    </w:p>
    <w:p w14:paraId="6D008491"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7.</w:t>
      </w:r>
      <w:r w:rsidRPr="00300AA2">
        <w:rPr>
          <w:rFonts w:ascii="Calibri" w:hAnsi="Calibri" w:cs="Calibri"/>
          <w:noProof/>
          <w:lang w:val="en-US"/>
        </w:rPr>
        <w:tab/>
        <w:t xml:space="preserve">Sandbrook, C., Fisher, J. A., Holmes, G., Luque-Lora, R. &amp; Keane, A. The global conservation movement is diverse but not divided. </w:t>
      </w:r>
      <w:r w:rsidRPr="00300AA2">
        <w:rPr>
          <w:rFonts w:ascii="Calibri" w:hAnsi="Calibri" w:cs="Calibri"/>
          <w:i/>
          <w:iCs/>
          <w:noProof/>
          <w:lang w:val="en-US"/>
        </w:rPr>
        <w:t>Nat. Sustain.</w:t>
      </w:r>
      <w:r w:rsidRPr="00300AA2">
        <w:rPr>
          <w:rFonts w:ascii="Calibri" w:hAnsi="Calibri" w:cs="Calibri"/>
          <w:noProof/>
          <w:lang w:val="en-US"/>
        </w:rPr>
        <w:t xml:space="preserve"> </w:t>
      </w:r>
      <w:r w:rsidRPr="00300AA2">
        <w:rPr>
          <w:rFonts w:ascii="Calibri" w:hAnsi="Calibri" w:cs="Calibri"/>
          <w:b/>
          <w:bCs/>
          <w:noProof/>
          <w:lang w:val="en-US"/>
        </w:rPr>
        <w:t>2</w:t>
      </w:r>
      <w:r w:rsidRPr="00300AA2">
        <w:rPr>
          <w:rFonts w:ascii="Calibri" w:hAnsi="Calibri" w:cs="Calibri"/>
          <w:noProof/>
          <w:lang w:val="en-US"/>
        </w:rPr>
        <w:t>, 316–323 (2019).</w:t>
      </w:r>
    </w:p>
    <w:p w14:paraId="47EAB2C6"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8.</w:t>
      </w:r>
      <w:r w:rsidRPr="00300AA2">
        <w:rPr>
          <w:rFonts w:ascii="Calibri" w:hAnsi="Calibri" w:cs="Calibri"/>
          <w:noProof/>
          <w:lang w:val="en-US"/>
        </w:rPr>
        <w:tab/>
        <w:t xml:space="preserve">Kareiva, P. &amp; Marvier, M. What Is Conservation Science? </w:t>
      </w:r>
      <w:r w:rsidRPr="00300AA2">
        <w:rPr>
          <w:rFonts w:ascii="Calibri" w:hAnsi="Calibri" w:cs="Calibri"/>
          <w:i/>
          <w:iCs/>
          <w:noProof/>
          <w:lang w:val="en-US"/>
        </w:rPr>
        <w:t>Bioscience</w:t>
      </w:r>
      <w:r w:rsidRPr="00300AA2">
        <w:rPr>
          <w:rFonts w:ascii="Calibri" w:hAnsi="Calibri" w:cs="Calibri"/>
          <w:noProof/>
          <w:lang w:val="en-US"/>
        </w:rPr>
        <w:t xml:space="preserve"> </w:t>
      </w:r>
      <w:r w:rsidRPr="00300AA2">
        <w:rPr>
          <w:rFonts w:ascii="Calibri" w:hAnsi="Calibri" w:cs="Calibri"/>
          <w:b/>
          <w:bCs/>
          <w:noProof/>
          <w:lang w:val="en-US"/>
        </w:rPr>
        <w:t>62</w:t>
      </w:r>
      <w:r w:rsidRPr="00300AA2">
        <w:rPr>
          <w:rFonts w:ascii="Calibri" w:hAnsi="Calibri" w:cs="Calibri"/>
          <w:noProof/>
          <w:lang w:val="en-US"/>
        </w:rPr>
        <w:t>, 962–969 (2012).</w:t>
      </w:r>
    </w:p>
    <w:p w14:paraId="11D938C3"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9.</w:t>
      </w:r>
      <w:r w:rsidRPr="00300AA2">
        <w:rPr>
          <w:rFonts w:ascii="Calibri" w:hAnsi="Calibri" w:cs="Calibri"/>
          <w:noProof/>
          <w:lang w:val="en-US"/>
        </w:rPr>
        <w:tab/>
        <w:t xml:space="preserve">Doak, D. F., Bakker, V. J., Goldstein, B. E. &amp; Hale, B. What is the future of conservation? </w:t>
      </w:r>
      <w:r w:rsidRPr="00300AA2">
        <w:rPr>
          <w:rFonts w:ascii="Calibri" w:hAnsi="Calibri" w:cs="Calibri"/>
          <w:i/>
          <w:iCs/>
          <w:noProof/>
          <w:lang w:val="en-US"/>
        </w:rPr>
        <w:t>Trends Ecol. Evol.</w:t>
      </w:r>
      <w:r w:rsidRPr="00300AA2">
        <w:rPr>
          <w:rFonts w:ascii="Calibri" w:hAnsi="Calibri" w:cs="Calibri"/>
          <w:noProof/>
          <w:lang w:val="en-US"/>
        </w:rPr>
        <w:t xml:space="preserve"> </w:t>
      </w:r>
      <w:r w:rsidRPr="00300AA2">
        <w:rPr>
          <w:rFonts w:ascii="Calibri" w:hAnsi="Calibri" w:cs="Calibri"/>
          <w:b/>
          <w:bCs/>
          <w:noProof/>
          <w:lang w:val="en-US"/>
        </w:rPr>
        <w:t>29</w:t>
      </w:r>
      <w:r w:rsidRPr="00300AA2">
        <w:rPr>
          <w:rFonts w:ascii="Calibri" w:hAnsi="Calibri" w:cs="Calibri"/>
          <w:noProof/>
          <w:lang w:val="en-US"/>
        </w:rPr>
        <w:t>, 77–81 (2014).</w:t>
      </w:r>
    </w:p>
    <w:p w14:paraId="55635AB8"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10.</w:t>
      </w:r>
      <w:r w:rsidRPr="00300AA2">
        <w:rPr>
          <w:rFonts w:ascii="Calibri" w:hAnsi="Calibri" w:cs="Calibri"/>
          <w:noProof/>
          <w:lang w:val="en-US"/>
        </w:rPr>
        <w:tab/>
        <w:t xml:space="preserve">Visconti, P. </w:t>
      </w:r>
      <w:r w:rsidRPr="00300AA2">
        <w:rPr>
          <w:rFonts w:ascii="Calibri" w:hAnsi="Calibri" w:cs="Calibri"/>
          <w:i/>
          <w:iCs/>
          <w:noProof/>
          <w:lang w:val="en-US"/>
        </w:rPr>
        <w:t>et al.</w:t>
      </w:r>
      <w:r w:rsidRPr="00300AA2">
        <w:rPr>
          <w:rFonts w:ascii="Calibri" w:hAnsi="Calibri" w:cs="Calibri"/>
          <w:noProof/>
          <w:lang w:val="en-US"/>
        </w:rPr>
        <w:t xml:space="preserve"> Protected area targets post-2020. </w:t>
      </w:r>
      <w:r w:rsidRPr="00300AA2">
        <w:rPr>
          <w:rFonts w:ascii="Calibri" w:hAnsi="Calibri" w:cs="Calibri"/>
          <w:i/>
          <w:iCs/>
          <w:noProof/>
          <w:lang w:val="en-US"/>
        </w:rPr>
        <w:t>Science (80-. ).</w:t>
      </w:r>
      <w:r w:rsidRPr="00300AA2">
        <w:rPr>
          <w:rFonts w:ascii="Calibri" w:hAnsi="Calibri" w:cs="Calibri"/>
          <w:noProof/>
          <w:lang w:val="en-US"/>
        </w:rPr>
        <w:t xml:space="preserve"> </w:t>
      </w:r>
      <w:r w:rsidRPr="00300AA2">
        <w:rPr>
          <w:rFonts w:ascii="Calibri" w:hAnsi="Calibri" w:cs="Calibri"/>
          <w:b/>
          <w:bCs/>
          <w:noProof/>
          <w:lang w:val="en-US"/>
        </w:rPr>
        <w:t>364</w:t>
      </w:r>
      <w:r w:rsidRPr="00300AA2">
        <w:rPr>
          <w:rFonts w:ascii="Calibri" w:hAnsi="Calibri" w:cs="Calibri"/>
          <w:noProof/>
          <w:lang w:val="en-US"/>
        </w:rPr>
        <w:t>, (2019).</w:t>
      </w:r>
    </w:p>
    <w:p w14:paraId="5F9C226D"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11.</w:t>
      </w:r>
      <w:r w:rsidRPr="00300AA2">
        <w:rPr>
          <w:rFonts w:ascii="Calibri" w:hAnsi="Calibri" w:cs="Calibri"/>
          <w:noProof/>
          <w:lang w:val="en-US"/>
        </w:rPr>
        <w:tab/>
        <w:t xml:space="preserve">Oldekop, J. A., Sims, K. R. E., Whittingham, M. J. &amp; Agrawal, A. An upside to globalization: International outmigration drives reforestation in Nepal. </w:t>
      </w:r>
      <w:r w:rsidRPr="00300AA2">
        <w:rPr>
          <w:rFonts w:ascii="Calibri" w:hAnsi="Calibri" w:cs="Calibri"/>
          <w:i/>
          <w:iCs/>
          <w:noProof/>
          <w:lang w:val="en-US"/>
        </w:rPr>
        <w:t>Glob. Environ. Chang.</w:t>
      </w:r>
      <w:r w:rsidRPr="00300AA2">
        <w:rPr>
          <w:rFonts w:ascii="Calibri" w:hAnsi="Calibri" w:cs="Calibri"/>
          <w:noProof/>
          <w:lang w:val="en-US"/>
        </w:rPr>
        <w:t xml:space="preserve"> </w:t>
      </w:r>
      <w:r w:rsidRPr="00300AA2">
        <w:rPr>
          <w:rFonts w:ascii="Calibri" w:hAnsi="Calibri" w:cs="Calibri"/>
          <w:b/>
          <w:bCs/>
          <w:noProof/>
          <w:lang w:val="en-US"/>
        </w:rPr>
        <w:t>52</w:t>
      </w:r>
      <w:r w:rsidRPr="00300AA2">
        <w:rPr>
          <w:rFonts w:ascii="Calibri" w:hAnsi="Calibri" w:cs="Calibri"/>
          <w:noProof/>
          <w:lang w:val="en-US"/>
        </w:rPr>
        <w:t>, 66–74 (2018).</w:t>
      </w:r>
    </w:p>
    <w:p w14:paraId="03E1AAC9"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12.</w:t>
      </w:r>
      <w:r w:rsidRPr="00300AA2">
        <w:rPr>
          <w:rFonts w:ascii="Calibri" w:hAnsi="Calibri" w:cs="Calibri"/>
          <w:noProof/>
          <w:lang w:val="en-US"/>
        </w:rPr>
        <w:tab/>
        <w:t xml:space="preserve">Arkema, K. K. </w:t>
      </w:r>
      <w:r w:rsidRPr="00300AA2">
        <w:rPr>
          <w:rFonts w:ascii="Calibri" w:hAnsi="Calibri" w:cs="Calibri"/>
          <w:i/>
          <w:iCs/>
          <w:noProof/>
          <w:lang w:val="en-US"/>
        </w:rPr>
        <w:t>et al.</w:t>
      </w:r>
      <w:r w:rsidRPr="00300AA2">
        <w:rPr>
          <w:rFonts w:ascii="Calibri" w:hAnsi="Calibri" w:cs="Calibri"/>
          <w:noProof/>
          <w:lang w:val="en-US"/>
        </w:rPr>
        <w:t xml:space="preserve"> Embedding ecosystem services in coastal planning leads to better outcomes for people and nature. </w:t>
      </w:r>
      <w:r w:rsidRPr="00300AA2">
        <w:rPr>
          <w:rFonts w:ascii="Calibri" w:hAnsi="Calibri" w:cs="Calibri"/>
          <w:i/>
          <w:iCs/>
          <w:noProof/>
          <w:lang w:val="en-US"/>
        </w:rPr>
        <w:t>Proc. Natl. Acad. Sci.</w:t>
      </w:r>
      <w:r w:rsidRPr="00300AA2">
        <w:rPr>
          <w:rFonts w:ascii="Calibri" w:hAnsi="Calibri" w:cs="Calibri"/>
          <w:noProof/>
          <w:lang w:val="en-US"/>
        </w:rPr>
        <w:t xml:space="preserve"> </w:t>
      </w:r>
      <w:r w:rsidRPr="00300AA2">
        <w:rPr>
          <w:rFonts w:ascii="Calibri" w:hAnsi="Calibri" w:cs="Calibri"/>
          <w:b/>
          <w:bCs/>
          <w:noProof/>
          <w:lang w:val="en-US"/>
        </w:rPr>
        <w:t>112</w:t>
      </w:r>
      <w:r w:rsidRPr="00300AA2">
        <w:rPr>
          <w:rFonts w:ascii="Calibri" w:hAnsi="Calibri" w:cs="Calibri"/>
          <w:noProof/>
          <w:lang w:val="en-US"/>
        </w:rPr>
        <w:t>, (2015).</w:t>
      </w:r>
    </w:p>
    <w:p w14:paraId="036185D0" w14:textId="6400929E"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13.</w:t>
      </w:r>
      <w:r w:rsidRPr="00300AA2">
        <w:rPr>
          <w:rFonts w:ascii="Calibri" w:hAnsi="Calibri" w:cs="Calibri"/>
          <w:noProof/>
          <w:lang w:val="en-US"/>
        </w:rPr>
        <w:tab/>
        <w:t>S</w:t>
      </w:r>
      <w:r w:rsidR="00EB779A">
        <w:rPr>
          <w:rFonts w:ascii="Calibri" w:hAnsi="Calibri" w:cs="Calibri"/>
          <w:noProof/>
          <w:lang w:val="en-US"/>
        </w:rPr>
        <w:t>andbrook,</w:t>
      </w:r>
      <w:r w:rsidRPr="00300AA2">
        <w:rPr>
          <w:rFonts w:ascii="Calibri" w:hAnsi="Calibri" w:cs="Calibri"/>
          <w:noProof/>
          <w:lang w:val="en-US"/>
        </w:rPr>
        <w:t xml:space="preserve"> C., A</w:t>
      </w:r>
      <w:r w:rsidR="00EB779A">
        <w:rPr>
          <w:rFonts w:ascii="Calibri" w:hAnsi="Calibri" w:cs="Calibri"/>
          <w:noProof/>
          <w:lang w:val="en-US"/>
        </w:rPr>
        <w:t>dams</w:t>
      </w:r>
      <w:r w:rsidRPr="00300AA2">
        <w:rPr>
          <w:rFonts w:ascii="Calibri" w:hAnsi="Calibri" w:cs="Calibri"/>
          <w:noProof/>
          <w:lang w:val="en-US"/>
        </w:rPr>
        <w:t>, W. M., B</w:t>
      </w:r>
      <w:r w:rsidR="00EB779A">
        <w:rPr>
          <w:rFonts w:ascii="Calibri" w:hAnsi="Calibri" w:cs="Calibri"/>
          <w:noProof/>
          <w:lang w:val="en-US"/>
        </w:rPr>
        <w:t>uscher</w:t>
      </w:r>
      <w:r w:rsidRPr="00300AA2">
        <w:rPr>
          <w:rFonts w:ascii="Calibri" w:hAnsi="Calibri" w:cs="Calibri"/>
          <w:noProof/>
          <w:lang w:val="en-US"/>
        </w:rPr>
        <w:t>, B. &amp; V</w:t>
      </w:r>
      <w:r w:rsidR="00EB779A">
        <w:rPr>
          <w:rFonts w:ascii="Calibri" w:hAnsi="Calibri" w:cs="Calibri"/>
          <w:noProof/>
          <w:lang w:val="en-US"/>
        </w:rPr>
        <w:t>ira</w:t>
      </w:r>
      <w:r w:rsidRPr="00300AA2">
        <w:rPr>
          <w:rFonts w:ascii="Calibri" w:hAnsi="Calibri" w:cs="Calibri"/>
          <w:noProof/>
          <w:lang w:val="en-US"/>
        </w:rPr>
        <w:t xml:space="preserve">, B. Social Research and Biodiversity Conservation. </w:t>
      </w:r>
      <w:r w:rsidRPr="00300AA2">
        <w:rPr>
          <w:rFonts w:ascii="Calibri" w:hAnsi="Calibri" w:cs="Calibri"/>
          <w:i/>
          <w:iCs/>
          <w:noProof/>
          <w:lang w:val="en-US"/>
        </w:rPr>
        <w:t>Conserv. Biol.</w:t>
      </w:r>
      <w:r w:rsidRPr="00300AA2">
        <w:rPr>
          <w:rFonts w:ascii="Calibri" w:hAnsi="Calibri" w:cs="Calibri"/>
          <w:noProof/>
          <w:lang w:val="en-US"/>
        </w:rPr>
        <w:t xml:space="preserve"> </w:t>
      </w:r>
      <w:r w:rsidRPr="00300AA2">
        <w:rPr>
          <w:rFonts w:ascii="Calibri" w:hAnsi="Calibri" w:cs="Calibri"/>
          <w:b/>
          <w:bCs/>
          <w:noProof/>
          <w:lang w:val="en-US"/>
        </w:rPr>
        <w:t>27</w:t>
      </w:r>
      <w:r w:rsidRPr="00300AA2">
        <w:rPr>
          <w:rFonts w:ascii="Calibri" w:hAnsi="Calibri" w:cs="Calibri"/>
          <w:noProof/>
          <w:lang w:val="en-US"/>
        </w:rPr>
        <w:t>, 1487–1490 (2013).</w:t>
      </w:r>
    </w:p>
    <w:p w14:paraId="4F573728"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14.</w:t>
      </w:r>
      <w:r w:rsidRPr="00300AA2">
        <w:rPr>
          <w:rFonts w:ascii="Calibri" w:hAnsi="Calibri" w:cs="Calibri"/>
          <w:noProof/>
          <w:lang w:val="en-US"/>
        </w:rPr>
        <w:tab/>
        <w:t xml:space="preserve">Bennett, N. J. </w:t>
      </w:r>
      <w:r w:rsidRPr="00300AA2">
        <w:rPr>
          <w:rFonts w:ascii="Calibri" w:hAnsi="Calibri" w:cs="Calibri"/>
          <w:i/>
          <w:iCs/>
          <w:noProof/>
          <w:lang w:val="en-US"/>
        </w:rPr>
        <w:t>et al.</w:t>
      </w:r>
      <w:r w:rsidRPr="00300AA2">
        <w:rPr>
          <w:rFonts w:ascii="Calibri" w:hAnsi="Calibri" w:cs="Calibri"/>
          <w:noProof/>
          <w:lang w:val="en-US"/>
        </w:rPr>
        <w:t xml:space="preserve"> Conservation social science: Understanding and integrating human dimensions to improve conservation. </w:t>
      </w:r>
      <w:r w:rsidRPr="00300AA2">
        <w:rPr>
          <w:rFonts w:ascii="Calibri" w:hAnsi="Calibri" w:cs="Calibri"/>
          <w:i/>
          <w:iCs/>
          <w:noProof/>
          <w:lang w:val="en-US"/>
        </w:rPr>
        <w:t>Biol. Conserv.</w:t>
      </w:r>
      <w:r w:rsidRPr="00300AA2">
        <w:rPr>
          <w:rFonts w:ascii="Calibri" w:hAnsi="Calibri" w:cs="Calibri"/>
          <w:noProof/>
          <w:lang w:val="en-US"/>
        </w:rPr>
        <w:t xml:space="preserve"> </w:t>
      </w:r>
      <w:r w:rsidRPr="00300AA2">
        <w:rPr>
          <w:rFonts w:ascii="Calibri" w:hAnsi="Calibri" w:cs="Calibri"/>
          <w:b/>
          <w:bCs/>
          <w:noProof/>
          <w:lang w:val="en-US"/>
        </w:rPr>
        <w:t>205</w:t>
      </w:r>
      <w:r w:rsidRPr="00300AA2">
        <w:rPr>
          <w:rFonts w:ascii="Calibri" w:hAnsi="Calibri" w:cs="Calibri"/>
          <w:noProof/>
          <w:lang w:val="en-US"/>
        </w:rPr>
        <w:t>, 93–108 (2017).</w:t>
      </w:r>
    </w:p>
    <w:p w14:paraId="5FEBD504"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lastRenderedPageBreak/>
        <w:t>15.</w:t>
      </w:r>
      <w:r w:rsidRPr="00300AA2">
        <w:rPr>
          <w:rFonts w:ascii="Calibri" w:hAnsi="Calibri" w:cs="Calibri"/>
          <w:noProof/>
          <w:lang w:val="en-US"/>
        </w:rPr>
        <w:tab/>
        <w:t xml:space="preserve">West, P., Igoe, J. &amp; Brockington, D. Parks and Peoples: The Social Impact of Protected Areas. </w:t>
      </w:r>
      <w:r w:rsidRPr="00300AA2">
        <w:rPr>
          <w:rFonts w:ascii="Calibri" w:hAnsi="Calibri" w:cs="Calibri"/>
          <w:i/>
          <w:iCs/>
          <w:noProof/>
          <w:lang w:val="en-US"/>
        </w:rPr>
        <w:t>Annu. Rev. Anthropol.</w:t>
      </w:r>
      <w:r w:rsidRPr="00300AA2">
        <w:rPr>
          <w:rFonts w:ascii="Calibri" w:hAnsi="Calibri" w:cs="Calibri"/>
          <w:noProof/>
          <w:lang w:val="en-US"/>
        </w:rPr>
        <w:t xml:space="preserve"> </w:t>
      </w:r>
      <w:r w:rsidRPr="00300AA2">
        <w:rPr>
          <w:rFonts w:ascii="Calibri" w:hAnsi="Calibri" w:cs="Calibri"/>
          <w:b/>
          <w:bCs/>
          <w:noProof/>
          <w:lang w:val="en-US"/>
        </w:rPr>
        <w:t>35</w:t>
      </w:r>
      <w:r w:rsidRPr="00300AA2">
        <w:rPr>
          <w:rFonts w:ascii="Calibri" w:hAnsi="Calibri" w:cs="Calibri"/>
          <w:noProof/>
          <w:lang w:val="en-US"/>
        </w:rPr>
        <w:t>, 251–277 (2006).</w:t>
      </w:r>
    </w:p>
    <w:p w14:paraId="7557F256"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16.</w:t>
      </w:r>
      <w:r w:rsidRPr="00300AA2">
        <w:rPr>
          <w:rFonts w:ascii="Calibri" w:hAnsi="Calibri" w:cs="Calibri"/>
          <w:noProof/>
          <w:lang w:val="en-US"/>
        </w:rPr>
        <w:tab/>
        <w:t xml:space="preserve">Poudyal, M. </w:t>
      </w:r>
      <w:r w:rsidRPr="00300AA2">
        <w:rPr>
          <w:rFonts w:ascii="Calibri" w:hAnsi="Calibri" w:cs="Calibri"/>
          <w:i/>
          <w:iCs/>
          <w:noProof/>
          <w:lang w:val="en-US"/>
        </w:rPr>
        <w:t>et al.</w:t>
      </w:r>
      <w:r w:rsidRPr="00300AA2">
        <w:rPr>
          <w:rFonts w:ascii="Calibri" w:hAnsi="Calibri" w:cs="Calibri"/>
          <w:noProof/>
          <w:lang w:val="en-US"/>
        </w:rPr>
        <w:t xml:space="preserve"> Who bears the cost of forest conservation? </w:t>
      </w:r>
      <w:r w:rsidRPr="00300AA2">
        <w:rPr>
          <w:rFonts w:ascii="Calibri" w:hAnsi="Calibri" w:cs="Calibri"/>
          <w:i/>
          <w:iCs/>
          <w:noProof/>
          <w:lang w:val="en-US"/>
        </w:rPr>
        <w:t>PeerJ</w:t>
      </w:r>
      <w:r w:rsidRPr="00300AA2">
        <w:rPr>
          <w:rFonts w:ascii="Calibri" w:hAnsi="Calibri" w:cs="Calibri"/>
          <w:noProof/>
          <w:lang w:val="en-US"/>
        </w:rPr>
        <w:t xml:space="preserve"> </w:t>
      </w:r>
      <w:r w:rsidRPr="00300AA2">
        <w:rPr>
          <w:rFonts w:ascii="Calibri" w:hAnsi="Calibri" w:cs="Calibri"/>
          <w:b/>
          <w:bCs/>
          <w:noProof/>
          <w:lang w:val="en-US"/>
        </w:rPr>
        <w:t>6</w:t>
      </w:r>
      <w:r w:rsidRPr="00300AA2">
        <w:rPr>
          <w:rFonts w:ascii="Calibri" w:hAnsi="Calibri" w:cs="Calibri"/>
          <w:noProof/>
          <w:lang w:val="en-US"/>
        </w:rPr>
        <w:t>, e5106 (2018).</w:t>
      </w:r>
    </w:p>
    <w:p w14:paraId="49F8BF0F"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17.</w:t>
      </w:r>
      <w:r w:rsidRPr="00300AA2">
        <w:rPr>
          <w:rFonts w:ascii="Calibri" w:hAnsi="Calibri" w:cs="Calibri"/>
          <w:noProof/>
          <w:lang w:val="en-US"/>
        </w:rPr>
        <w:tab/>
        <w:t xml:space="preserve">Watson, J. E. M., Dudley, N., Segan, D. B. &amp; Hockings, M. The performance and potential of protected areas. </w:t>
      </w:r>
      <w:r w:rsidRPr="00300AA2">
        <w:rPr>
          <w:rFonts w:ascii="Calibri" w:hAnsi="Calibri" w:cs="Calibri"/>
          <w:i/>
          <w:iCs/>
          <w:noProof/>
          <w:lang w:val="en-US"/>
        </w:rPr>
        <w:t>Nature</w:t>
      </w:r>
      <w:r w:rsidRPr="00300AA2">
        <w:rPr>
          <w:rFonts w:ascii="Calibri" w:hAnsi="Calibri" w:cs="Calibri"/>
          <w:noProof/>
          <w:lang w:val="en-US"/>
        </w:rPr>
        <w:t xml:space="preserve"> </w:t>
      </w:r>
      <w:r w:rsidRPr="00300AA2">
        <w:rPr>
          <w:rFonts w:ascii="Calibri" w:hAnsi="Calibri" w:cs="Calibri"/>
          <w:b/>
          <w:bCs/>
          <w:noProof/>
          <w:lang w:val="en-US"/>
        </w:rPr>
        <w:t>515</w:t>
      </w:r>
      <w:r w:rsidRPr="00300AA2">
        <w:rPr>
          <w:rFonts w:ascii="Calibri" w:hAnsi="Calibri" w:cs="Calibri"/>
          <w:noProof/>
          <w:lang w:val="en-US"/>
        </w:rPr>
        <w:t>, 67–73 (2014).</w:t>
      </w:r>
    </w:p>
    <w:p w14:paraId="66C678FD"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lang w:val="en-US"/>
        </w:rPr>
      </w:pPr>
      <w:r w:rsidRPr="00300AA2">
        <w:rPr>
          <w:rFonts w:ascii="Calibri" w:hAnsi="Calibri" w:cs="Calibri"/>
          <w:noProof/>
          <w:lang w:val="en-US"/>
        </w:rPr>
        <w:t>18.</w:t>
      </w:r>
      <w:r w:rsidRPr="00300AA2">
        <w:rPr>
          <w:rFonts w:ascii="Calibri" w:hAnsi="Calibri" w:cs="Calibri"/>
          <w:noProof/>
          <w:lang w:val="en-US"/>
        </w:rPr>
        <w:tab/>
        <w:t xml:space="preserve">Maron, M., Simmonds, J. S. &amp; Watson, J. E. M. Bold nature retention targets are essential for the global environment agenda. </w:t>
      </w:r>
      <w:r w:rsidRPr="00300AA2">
        <w:rPr>
          <w:rFonts w:ascii="Calibri" w:hAnsi="Calibri" w:cs="Calibri"/>
          <w:i/>
          <w:iCs/>
          <w:noProof/>
          <w:lang w:val="en-US"/>
        </w:rPr>
        <w:t>Nat. Ecol. Evol.</w:t>
      </w:r>
      <w:r w:rsidRPr="00300AA2">
        <w:rPr>
          <w:rFonts w:ascii="Calibri" w:hAnsi="Calibri" w:cs="Calibri"/>
          <w:noProof/>
          <w:lang w:val="en-US"/>
        </w:rPr>
        <w:t xml:space="preserve"> </w:t>
      </w:r>
      <w:r w:rsidRPr="00300AA2">
        <w:rPr>
          <w:rFonts w:ascii="Calibri" w:hAnsi="Calibri" w:cs="Calibri"/>
          <w:b/>
          <w:bCs/>
          <w:noProof/>
          <w:lang w:val="en-US"/>
        </w:rPr>
        <w:t>2</w:t>
      </w:r>
      <w:r w:rsidRPr="00300AA2">
        <w:rPr>
          <w:rFonts w:ascii="Calibri" w:hAnsi="Calibri" w:cs="Calibri"/>
          <w:noProof/>
          <w:lang w:val="en-US"/>
        </w:rPr>
        <w:t>, 1194–1195 (2018).</w:t>
      </w:r>
    </w:p>
    <w:p w14:paraId="671C7A3E" w14:textId="77777777" w:rsidR="00300AA2" w:rsidRPr="00300AA2" w:rsidRDefault="00300AA2" w:rsidP="00300AA2">
      <w:pPr>
        <w:widowControl w:val="0"/>
        <w:autoSpaceDE w:val="0"/>
        <w:autoSpaceDN w:val="0"/>
        <w:adjustRightInd w:val="0"/>
        <w:spacing w:line="360" w:lineRule="auto"/>
        <w:ind w:left="640" w:hanging="640"/>
        <w:rPr>
          <w:rFonts w:ascii="Calibri" w:hAnsi="Calibri" w:cs="Calibri"/>
          <w:noProof/>
        </w:rPr>
      </w:pPr>
      <w:r w:rsidRPr="00300AA2">
        <w:rPr>
          <w:rFonts w:ascii="Calibri" w:hAnsi="Calibri" w:cs="Calibri"/>
          <w:noProof/>
          <w:lang w:val="en-US"/>
        </w:rPr>
        <w:t>19.</w:t>
      </w:r>
      <w:r w:rsidRPr="00300AA2">
        <w:rPr>
          <w:rFonts w:ascii="Calibri" w:hAnsi="Calibri" w:cs="Calibri"/>
          <w:noProof/>
          <w:lang w:val="en-US"/>
        </w:rPr>
        <w:tab/>
        <w:t xml:space="preserve">Lele, S., Wilshusen, P., Brockington, D., Seidler, R. &amp; Bawa, K. Beyond exclusion: alternative approaches to biodiversity conservation in the developing tropics. </w:t>
      </w:r>
      <w:r w:rsidRPr="00300AA2">
        <w:rPr>
          <w:rFonts w:ascii="Calibri" w:hAnsi="Calibri" w:cs="Calibri"/>
          <w:i/>
          <w:iCs/>
          <w:noProof/>
          <w:lang w:val="en-US"/>
        </w:rPr>
        <w:t>Curr. Opin. Environ. Sustain.</w:t>
      </w:r>
      <w:r w:rsidRPr="00300AA2">
        <w:rPr>
          <w:rFonts w:ascii="Calibri" w:hAnsi="Calibri" w:cs="Calibri"/>
          <w:noProof/>
          <w:lang w:val="en-US"/>
        </w:rPr>
        <w:t xml:space="preserve"> </w:t>
      </w:r>
      <w:r w:rsidRPr="00300AA2">
        <w:rPr>
          <w:rFonts w:ascii="Calibri" w:hAnsi="Calibri" w:cs="Calibri"/>
          <w:b/>
          <w:bCs/>
          <w:noProof/>
          <w:lang w:val="en-US"/>
        </w:rPr>
        <w:t>2</w:t>
      </w:r>
      <w:r w:rsidRPr="00300AA2">
        <w:rPr>
          <w:rFonts w:ascii="Calibri" w:hAnsi="Calibri" w:cs="Calibri"/>
          <w:noProof/>
          <w:lang w:val="en-US"/>
        </w:rPr>
        <w:t>, 94–100 (2010).</w:t>
      </w:r>
    </w:p>
    <w:p w14:paraId="53C8C10C" w14:textId="0B5259B7" w:rsidR="00C323E9" w:rsidRDefault="005D1C0C" w:rsidP="00300AA2">
      <w:pPr>
        <w:widowControl w:val="0"/>
        <w:autoSpaceDE w:val="0"/>
        <w:autoSpaceDN w:val="0"/>
        <w:adjustRightInd w:val="0"/>
        <w:spacing w:line="360" w:lineRule="auto"/>
        <w:ind w:left="640" w:hanging="640"/>
        <w:rPr>
          <w:rFonts w:ascii="Calibri" w:hAnsi="Calibri" w:cs="Calibri"/>
        </w:rPr>
      </w:pPr>
      <w:r>
        <w:rPr>
          <w:rFonts w:cs="Calibri"/>
        </w:rPr>
        <w:fldChar w:fldCharType="end"/>
      </w:r>
      <w:bookmarkEnd w:id="10"/>
    </w:p>
    <w:p w14:paraId="57A2CF09" w14:textId="77777777" w:rsidR="00C323E9" w:rsidRDefault="00C323E9">
      <w:pPr>
        <w:spacing w:line="360" w:lineRule="auto"/>
      </w:pPr>
    </w:p>
    <w:sectPr w:rsidR="00C323E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E9"/>
    <w:rsid w:val="00013695"/>
    <w:rsid w:val="00111513"/>
    <w:rsid w:val="00192FD2"/>
    <w:rsid w:val="001F1D59"/>
    <w:rsid w:val="001F4111"/>
    <w:rsid w:val="00263407"/>
    <w:rsid w:val="00300AA2"/>
    <w:rsid w:val="00483AC2"/>
    <w:rsid w:val="004A1DD8"/>
    <w:rsid w:val="005061BB"/>
    <w:rsid w:val="00515F65"/>
    <w:rsid w:val="00541140"/>
    <w:rsid w:val="005430F8"/>
    <w:rsid w:val="005D1C0C"/>
    <w:rsid w:val="006817E3"/>
    <w:rsid w:val="006936A0"/>
    <w:rsid w:val="006E2B3B"/>
    <w:rsid w:val="006F497A"/>
    <w:rsid w:val="007024DE"/>
    <w:rsid w:val="00743649"/>
    <w:rsid w:val="007B0C18"/>
    <w:rsid w:val="00832A85"/>
    <w:rsid w:val="00974A9B"/>
    <w:rsid w:val="00997CE2"/>
    <w:rsid w:val="009F1DB3"/>
    <w:rsid w:val="00A21502"/>
    <w:rsid w:val="00A500A4"/>
    <w:rsid w:val="00AD07AA"/>
    <w:rsid w:val="00AD2270"/>
    <w:rsid w:val="00AF5F8B"/>
    <w:rsid w:val="00B35130"/>
    <w:rsid w:val="00B3544E"/>
    <w:rsid w:val="00B84D3D"/>
    <w:rsid w:val="00BC20EA"/>
    <w:rsid w:val="00C323E9"/>
    <w:rsid w:val="00C65E94"/>
    <w:rsid w:val="00CF581B"/>
    <w:rsid w:val="00D345EE"/>
    <w:rsid w:val="00DB1BBE"/>
    <w:rsid w:val="00EB779A"/>
    <w:rsid w:val="00ED3D94"/>
    <w:rsid w:val="00ED5453"/>
    <w:rsid w:val="00F23F77"/>
    <w:rsid w:val="00F67E39"/>
    <w:rsid w:val="00FA109B"/>
    <w:rsid w:val="00FA407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5CE2"/>
  <w15:docId w15:val="{83E7116E-B680-4505-944A-936A288C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37098"/>
    <w:rPr>
      <w:sz w:val="16"/>
      <w:szCs w:val="16"/>
    </w:rPr>
  </w:style>
  <w:style w:type="character" w:customStyle="1" w:styleId="CommentTextChar">
    <w:name w:val="Comment Text Char"/>
    <w:basedOn w:val="DefaultParagraphFont"/>
    <w:link w:val="CommentText"/>
    <w:uiPriority w:val="99"/>
    <w:qFormat/>
    <w:rsid w:val="00C37098"/>
    <w:rPr>
      <w:sz w:val="20"/>
      <w:szCs w:val="20"/>
      <w:lang w:val="en-GB"/>
    </w:rPr>
  </w:style>
  <w:style w:type="character" w:customStyle="1" w:styleId="BalloonTextChar">
    <w:name w:val="Balloon Text Char"/>
    <w:basedOn w:val="DefaultParagraphFont"/>
    <w:link w:val="BalloonText"/>
    <w:uiPriority w:val="99"/>
    <w:semiHidden/>
    <w:qFormat/>
    <w:rsid w:val="00C37098"/>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qFormat/>
    <w:rsid w:val="00A41A29"/>
    <w:rPr>
      <w:b/>
      <w:bCs/>
      <w:sz w:val="20"/>
      <w:szCs w:val="20"/>
      <w:lang w:val="en-GB"/>
    </w:rPr>
  </w:style>
  <w:style w:type="character" w:styleId="Emphasis">
    <w:name w:val="Emphasis"/>
    <w:basedOn w:val="DefaultParagraphFont"/>
    <w:uiPriority w:val="20"/>
    <w:qFormat/>
    <w:rsid w:val="00E41C11"/>
    <w:rPr>
      <w:i/>
      <w:iCs/>
    </w:rPr>
  </w:style>
  <w:style w:type="character" w:styleId="Strong">
    <w:name w:val="Strong"/>
    <w:basedOn w:val="DefaultParagraphFont"/>
    <w:uiPriority w:val="22"/>
    <w:qFormat/>
    <w:rsid w:val="00E41C11"/>
    <w:rPr>
      <w:b/>
      <w:bCs/>
    </w:rPr>
  </w:style>
  <w:style w:type="character" w:customStyle="1" w:styleId="FootnoteTextChar">
    <w:name w:val="Footnote Text Char"/>
    <w:basedOn w:val="DefaultParagraphFont"/>
    <w:link w:val="FootnoteText"/>
    <w:uiPriority w:val="99"/>
    <w:semiHidden/>
    <w:qFormat/>
    <w:rsid w:val="00E41CC4"/>
    <w:rPr>
      <w:sz w:val="20"/>
      <w:szCs w:val="20"/>
    </w:rPr>
  </w:style>
  <w:style w:type="character" w:customStyle="1" w:styleId="FootnoteCharacters">
    <w:name w:val="Footnote Characters"/>
    <w:basedOn w:val="DefaultParagraphFont"/>
    <w:uiPriority w:val="99"/>
    <w:semiHidden/>
    <w:unhideWhenUsed/>
    <w:qFormat/>
    <w:rsid w:val="00E41CC4"/>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CE413D"/>
    <w:rPr>
      <w:color w:val="0563C1" w:themeColor="hyperlink"/>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C37098"/>
    <w:rPr>
      <w:sz w:val="20"/>
      <w:szCs w:val="20"/>
      <w:lang w:val="en-GB"/>
    </w:rPr>
  </w:style>
  <w:style w:type="paragraph" w:styleId="BalloonText">
    <w:name w:val="Balloon Text"/>
    <w:basedOn w:val="Normal"/>
    <w:link w:val="BalloonTextChar"/>
    <w:uiPriority w:val="99"/>
    <w:semiHidden/>
    <w:unhideWhenUsed/>
    <w:qFormat/>
    <w:rsid w:val="00C3709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qFormat/>
    <w:rsid w:val="00A41A29"/>
    <w:rPr>
      <w:b/>
      <w:bCs/>
      <w:lang w:val="en-AU"/>
    </w:rPr>
  </w:style>
  <w:style w:type="paragraph" w:customStyle="1" w:styleId="Default">
    <w:name w:val="Default"/>
    <w:qFormat/>
    <w:rsid w:val="00E428A7"/>
    <w:rPr>
      <w:rFonts w:ascii="Arial" w:eastAsia="Calibri" w:hAnsi="Arial" w:cs="Arial"/>
      <w:color w:val="000000"/>
      <w:lang w:val="en-GB"/>
    </w:rPr>
  </w:style>
  <w:style w:type="paragraph" w:styleId="Bibliography">
    <w:name w:val="Bibliography"/>
    <w:basedOn w:val="Normal"/>
    <w:next w:val="Normal"/>
    <w:uiPriority w:val="37"/>
    <w:semiHidden/>
    <w:unhideWhenUsed/>
    <w:qFormat/>
    <w:rsid w:val="00125C7E"/>
  </w:style>
  <w:style w:type="paragraph" w:styleId="FootnoteText">
    <w:name w:val="footnote text"/>
    <w:basedOn w:val="Normal"/>
    <w:link w:val="FootnoteTextChar"/>
    <w:uiPriority w:val="99"/>
    <w:semiHidden/>
    <w:unhideWhenUsed/>
    <w:rsid w:val="00E41C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76EE-55B4-4A67-9BAD-48DE4D44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47F1477E.dotm</Template>
  <TotalTime>0</TotalTime>
  <Pages>6</Pages>
  <Words>7081</Words>
  <Characters>40364</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Watson</dc:creator>
  <dc:description/>
  <cp:lastModifiedBy>Beth Hall</cp:lastModifiedBy>
  <cp:revision>2</cp:revision>
  <dcterms:created xsi:type="dcterms:W3CDTF">2019-06-26T09:04:00Z</dcterms:created>
  <dcterms:modified xsi:type="dcterms:W3CDTF">2019-06-26T09:04:00Z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http://www.zotero.org/styles/nature</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2e74b141-4329-3017-8e84-88705f5e0f84</vt:lpwstr>
  </property>
  <property fmtid="{D5CDD505-2E9C-101B-9397-08002B2CF9AE}" pid="29" name="ScaleCrop">
    <vt:bool>false</vt:bool>
  </property>
  <property fmtid="{D5CDD505-2E9C-101B-9397-08002B2CF9AE}" pid="30" name="ShareDoc">
    <vt:bool>false</vt:bool>
  </property>
</Properties>
</file>