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5AD7" w:rsidRPr="008C1299" w:rsidRDefault="00D067D1" w:rsidP="00145373">
      <w:pPr>
        <w:jc w:val="center"/>
        <w:rPr>
          <w:sz w:val="44"/>
          <w:szCs w:val="44"/>
        </w:rPr>
      </w:pPr>
      <w:r w:rsidRPr="008C1299">
        <w:rPr>
          <w:sz w:val="44"/>
          <w:szCs w:val="44"/>
        </w:rPr>
        <w:t>Metabolomic fingerprinting and profiling of plant materials</w:t>
      </w:r>
      <w:r w:rsidR="008C1299" w:rsidRPr="008C1299">
        <w:rPr>
          <w:sz w:val="44"/>
          <w:szCs w:val="44"/>
        </w:rPr>
        <w:t xml:space="preserve"> using HRAM </w:t>
      </w:r>
      <w:r w:rsidR="0088769B">
        <w:rPr>
          <w:sz w:val="44"/>
          <w:szCs w:val="44"/>
        </w:rPr>
        <w:t>UP</w:t>
      </w:r>
      <w:r w:rsidR="008C1299" w:rsidRPr="008C1299">
        <w:rPr>
          <w:sz w:val="44"/>
          <w:szCs w:val="44"/>
        </w:rPr>
        <w:t>LC-MS</w:t>
      </w:r>
    </w:p>
    <w:p w:rsidR="00145373" w:rsidRPr="00145373" w:rsidRDefault="00145373" w:rsidP="00145373">
      <w:pPr>
        <w:jc w:val="center"/>
        <w:rPr>
          <w:sz w:val="40"/>
          <w:szCs w:val="40"/>
        </w:rPr>
      </w:pPr>
      <w:proofErr w:type="gramStart"/>
      <w:r>
        <w:rPr>
          <w:sz w:val="40"/>
          <w:szCs w:val="40"/>
        </w:rPr>
        <w:t>by</w:t>
      </w:r>
      <w:proofErr w:type="gramEnd"/>
    </w:p>
    <w:p w:rsidR="006F626C" w:rsidRPr="006F626C" w:rsidRDefault="006F626C" w:rsidP="00145373">
      <w:pPr>
        <w:ind w:left="2880" w:firstLine="720"/>
        <w:rPr>
          <w:sz w:val="40"/>
          <w:szCs w:val="40"/>
        </w:rPr>
      </w:pPr>
      <w:r w:rsidRPr="006F626C">
        <w:rPr>
          <w:sz w:val="40"/>
          <w:szCs w:val="40"/>
        </w:rPr>
        <w:t>C.M.Potter</w:t>
      </w:r>
    </w:p>
    <w:p w:rsidR="004B65FD" w:rsidRDefault="004B65FD" w:rsidP="00145373">
      <w:pPr>
        <w:jc w:val="center"/>
      </w:pPr>
      <w:r>
        <w:rPr>
          <w:noProof/>
          <w:lang w:eastAsia="en-GB"/>
        </w:rPr>
        <w:drawing>
          <wp:inline distT="0" distB="0" distL="0" distR="0" wp14:anchorId="0AAFD106" wp14:editId="3C677BD1">
            <wp:extent cx="4925291" cy="3721331"/>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31650" cy="3726135"/>
                    </a:xfrm>
                    <a:prstGeom prst="rect">
                      <a:avLst/>
                    </a:prstGeom>
                  </pic:spPr>
                </pic:pic>
              </a:graphicData>
            </a:graphic>
          </wp:inline>
        </w:drawing>
      </w:r>
    </w:p>
    <w:p w:rsidR="00D617C3" w:rsidRDefault="00D617C3" w:rsidP="00145373">
      <w:pPr>
        <w:ind w:left="2160" w:firstLine="720"/>
      </w:pPr>
    </w:p>
    <w:p w:rsidR="00034E9F" w:rsidRPr="00145373" w:rsidRDefault="00D617C3" w:rsidP="00145373">
      <w:pPr>
        <w:ind w:left="2160" w:firstLine="720"/>
        <w:rPr>
          <w:sz w:val="36"/>
          <w:szCs w:val="36"/>
        </w:rPr>
      </w:pPr>
      <w:r>
        <w:rPr>
          <w:sz w:val="36"/>
          <w:szCs w:val="36"/>
        </w:rPr>
        <w:t>Department</w:t>
      </w:r>
      <w:r w:rsidR="00034E9F" w:rsidRPr="00145373">
        <w:rPr>
          <w:sz w:val="36"/>
          <w:szCs w:val="36"/>
        </w:rPr>
        <w:t xml:space="preserve"> of Chemistry</w:t>
      </w:r>
    </w:p>
    <w:p w:rsidR="004B65FD" w:rsidRPr="00145373" w:rsidRDefault="00D617C3" w:rsidP="00145373">
      <w:pPr>
        <w:jc w:val="center"/>
        <w:rPr>
          <w:sz w:val="36"/>
          <w:szCs w:val="36"/>
        </w:rPr>
      </w:pPr>
      <w:r>
        <w:rPr>
          <w:sz w:val="36"/>
          <w:szCs w:val="36"/>
        </w:rPr>
        <w:t xml:space="preserve">      School of Natural</w:t>
      </w:r>
      <w:r w:rsidR="00034E9F" w:rsidRPr="00145373">
        <w:rPr>
          <w:sz w:val="36"/>
          <w:szCs w:val="36"/>
        </w:rPr>
        <w:t xml:space="preserve"> Sciences</w:t>
      </w:r>
    </w:p>
    <w:p w:rsidR="0013284F" w:rsidRDefault="0013284F" w:rsidP="00145373">
      <w:pPr>
        <w:ind w:left="720" w:firstLine="720"/>
        <w:jc w:val="center"/>
        <w:rPr>
          <w:sz w:val="40"/>
          <w:szCs w:val="40"/>
        </w:rPr>
      </w:pPr>
    </w:p>
    <w:p w:rsidR="0013284F" w:rsidRPr="00145373" w:rsidRDefault="0013284F" w:rsidP="00145373">
      <w:pPr>
        <w:autoSpaceDE w:val="0"/>
        <w:autoSpaceDN w:val="0"/>
        <w:adjustRightInd w:val="0"/>
        <w:spacing w:after="0" w:line="240" w:lineRule="auto"/>
        <w:jc w:val="center"/>
        <w:rPr>
          <w:rFonts w:cstheme="minorHAnsi"/>
          <w:sz w:val="28"/>
          <w:szCs w:val="28"/>
        </w:rPr>
      </w:pPr>
      <w:r w:rsidRPr="00145373">
        <w:rPr>
          <w:rFonts w:cstheme="minorHAnsi"/>
          <w:sz w:val="28"/>
          <w:szCs w:val="28"/>
        </w:rPr>
        <w:t>A Thesis Submitted in Partial Fulfilment of the</w:t>
      </w:r>
    </w:p>
    <w:p w:rsidR="0013284F" w:rsidRPr="00145373" w:rsidRDefault="0013284F" w:rsidP="00145373">
      <w:pPr>
        <w:autoSpaceDE w:val="0"/>
        <w:autoSpaceDN w:val="0"/>
        <w:adjustRightInd w:val="0"/>
        <w:spacing w:after="0" w:line="240" w:lineRule="auto"/>
        <w:jc w:val="center"/>
        <w:rPr>
          <w:rFonts w:cstheme="minorHAnsi"/>
          <w:sz w:val="28"/>
          <w:szCs w:val="28"/>
        </w:rPr>
      </w:pPr>
      <w:r w:rsidRPr="00145373">
        <w:rPr>
          <w:rFonts w:cstheme="minorHAnsi"/>
          <w:sz w:val="28"/>
          <w:szCs w:val="28"/>
        </w:rPr>
        <w:t>Requirements for the Degree of Doctor of Philosophy</w:t>
      </w:r>
    </w:p>
    <w:p w:rsidR="004D6D56" w:rsidRPr="00145373" w:rsidRDefault="004D6D56" w:rsidP="00145373">
      <w:pPr>
        <w:autoSpaceDE w:val="0"/>
        <w:autoSpaceDN w:val="0"/>
        <w:adjustRightInd w:val="0"/>
        <w:spacing w:after="0" w:line="240" w:lineRule="auto"/>
        <w:jc w:val="center"/>
        <w:rPr>
          <w:rFonts w:cstheme="minorHAnsi"/>
          <w:sz w:val="28"/>
          <w:szCs w:val="28"/>
        </w:rPr>
      </w:pPr>
    </w:p>
    <w:p w:rsidR="004D6D56" w:rsidRPr="00145373" w:rsidRDefault="004D6D56" w:rsidP="00145373">
      <w:pPr>
        <w:autoSpaceDE w:val="0"/>
        <w:autoSpaceDN w:val="0"/>
        <w:adjustRightInd w:val="0"/>
        <w:spacing w:after="0" w:line="240" w:lineRule="auto"/>
        <w:rPr>
          <w:rFonts w:cstheme="minorHAnsi"/>
          <w:sz w:val="28"/>
          <w:szCs w:val="28"/>
        </w:rPr>
      </w:pPr>
    </w:p>
    <w:p w:rsidR="00145373" w:rsidRPr="00145373" w:rsidRDefault="00FC19AB" w:rsidP="00145373">
      <w:pPr>
        <w:autoSpaceDE w:val="0"/>
        <w:autoSpaceDN w:val="0"/>
        <w:adjustRightInd w:val="0"/>
        <w:spacing w:after="0" w:line="240" w:lineRule="auto"/>
        <w:ind w:left="2880" w:firstLine="720"/>
        <w:rPr>
          <w:rFonts w:cstheme="minorHAnsi"/>
          <w:sz w:val="24"/>
          <w:szCs w:val="24"/>
        </w:rPr>
      </w:pPr>
      <w:r w:rsidRPr="00145373">
        <w:rPr>
          <w:rFonts w:cstheme="minorHAnsi"/>
          <w:sz w:val="24"/>
          <w:szCs w:val="24"/>
        </w:rPr>
        <w:t>© C.M.Potter 2020</w:t>
      </w:r>
    </w:p>
    <w:p w:rsidR="00FC19AB" w:rsidRPr="00145373" w:rsidRDefault="00FC19AB" w:rsidP="00145373">
      <w:pPr>
        <w:autoSpaceDE w:val="0"/>
        <w:autoSpaceDN w:val="0"/>
        <w:adjustRightInd w:val="0"/>
        <w:spacing w:after="0" w:line="240" w:lineRule="auto"/>
        <w:ind w:left="2880" w:firstLine="720"/>
        <w:rPr>
          <w:rFonts w:cstheme="minorHAnsi"/>
          <w:sz w:val="24"/>
          <w:szCs w:val="24"/>
        </w:rPr>
      </w:pPr>
      <w:r w:rsidRPr="00145373">
        <w:rPr>
          <w:rFonts w:cstheme="minorHAnsi"/>
          <w:sz w:val="24"/>
          <w:szCs w:val="24"/>
        </w:rPr>
        <w:t>Bangor University</w:t>
      </w:r>
    </w:p>
    <w:p w:rsidR="004D6D56" w:rsidRPr="00145373" w:rsidRDefault="00FC19AB" w:rsidP="00145373">
      <w:pPr>
        <w:autoSpaceDE w:val="0"/>
        <w:autoSpaceDN w:val="0"/>
        <w:adjustRightInd w:val="0"/>
        <w:spacing w:after="0" w:line="240" w:lineRule="auto"/>
        <w:ind w:left="3600" w:firstLine="720"/>
        <w:rPr>
          <w:rFonts w:cstheme="minorHAnsi"/>
          <w:sz w:val="24"/>
          <w:szCs w:val="24"/>
        </w:rPr>
      </w:pPr>
      <w:r w:rsidRPr="00145373">
        <w:rPr>
          <w:rFonts w:cstheme="minorHAnsi"/>
          <w:sz w:val="24"/>
          <w:szCs w:val="24"/>
        </w:rPr>
        <w:t>2020</w:t>
      </w:r>
    </w:p>
    <w:p w:rsidR="00D067D1" w:rsidRDefault="00D067D1" w:rsidP="00145373">
      <w:pPr>
        <w:autoSpaceDE w:val="0"/>
        <w:autoSpaceDN w:val="0"/>
        <w:adjustRightInd w:val="0"/>
        <w:spacing w:after="0" w:line="240" w:lineRule="auto"/>
        <w:ind w:left="2880" w:firstLine="720"/>
        <w:jc w:val="center"/>
        <w:rPr>
          <w:rFonts w:ascii="Times New Roman" w:hAnsi="Times New Roman" w:cs="Times New Roman"/>
          <w:sz w:val="24"/>
          <w:szCs w:val="24"/>
        </w:rPr>
      </w:pPr>
    </w:p>
    <w:p w:rsidR="00D067D1" w:rsidRPr="00145373" w:rsidRDefault="00145373" w:rsidP="00145373">
      <w:pPr>
        <w:rPr>
          <w:rFonts w:ascii="Times New Roman" w:hAnsi="Times New Roman" w:cs="Times New Roman"/>
          <w:sz w:val="24"/>
          <w:szCs w:val="24"/>
        </w:rPr>
      </w:pPr>
      <w:r>
        <w:rPr>
          <w:rFonts w:ascii="Times New Roman" w:hAnsi="Times New Roman" w:cs="Times New Roman"/>
          <w:sz w:val="24"/>
          <w:szCs w:val="24"/>
        </w:rPr>
        <w:br w:type="page"/>
      </w:r>
    </w:p>
    <w:p w:rsidR="000E60FB" w:rsidRDefault="000E60FB" w:rsidP="00380E68">
      <w:pPr>
        <w:autoSpaceDE w:val="0"/>
        <w:autoSpaceDN w:val="0"/>
        <w:adjustRightInd w:val="0"/>
        <w:spacing w:after="0" w:line="240" w:lineRule="auto"/>
        <w:ind w:left="2160" w:firstLine="720"/>
        <w:jc w:val="both"/>
        <w:rPr>
          <w:rFonts w:cs="Times New Roman"/>
          <w:b/>
          <w:sz w:val="32"/>
          <w:szCs w:val="32"/>
        </w:rPr>
      </w:pPr>
      <w:r w:rsidRPr="00380E68">
        <w:rPr>
          <w:rFonts w:cs="Times New Roman"/>
          <w:b/>
          <w:sz w:val="32"/>
          <w:szCs w:val="32"/>
        </w:rPr>
        <w:lastRenderedPageBreak/>
        <w:t>Declaration and Consent</w:t>
      </w:r>
    </w:p>
    <w:p w:rsidR="004C7F0D" w:rsidRPr="00380E68" w:rsidRDefault="004C7F0D" w:rsidP="00380E68">
      <w:pPr>
        <w:autoSpaceDE w:val="0"/>
        <w:autoSpaceDN w:val="0"/>
        <w:adjustRightInd w:val="0"/>
        <w:spacing w:after="0" w:line="240" w:lineRule="auto"/>
        <w:ind w:left="2160" w:firstLine="720"/>
        <w:jc w:val="both"/>
        <w:rPr>
          <w:rFonts w:cs="Times New Roman"/>
          <w:b/>
          <w:sz w:val="32"/>
          <w:szCs w:val="32"/>
        </w:rPr>
      </w:pPr>
    </w:p>
    <w:p w:rsidR="00D4357E" w:rsidRPr="00380E68" w:rsidRDefault="00D4357E" w:rsidP="00380E68">
      <w:pPr>
        <w:autoSpaceDE w:val="0"/>
        <w:autoSpaceDN w:val="0"/>
        <w:adjustRightInd w:val="0"/>
        <w:spacing w:after="0" w:line="240" w:lineRule="auto"/>
        <w:ind w:left="2160" w:firstLine="720"/>
        <w:jc w:val="both"/>
        <w:rPr>
          <w:rFonts w:cs="Times New Roman"/>
          <w:b/>
          <w:sz w:val="32"/>
          <w:szCs w:val="32"/>
        </w:rPr>
      </w:pPr>
    </w:p>
    <w:p w:rsidR="000E60FB" w:rsidRPr="00380E68" w:rsidRDefault="000E60FB" w:rsidP="00380E68">
      <w:pPr>
        <w:autoSpaceDE w:val="0"/>
        <w:autoSpaceDN w:val="0"/>
        <w:adjustRightInd w:val="0"/>
        <w:spacing w:after="0" w:line="240" w:lineRule="auto"/>
        <w:jc w:val="both"/>
        <w:rPr>
          <w:rFonts w:cs="Times New Roman"/>
          <w:b/>
          <w:sz w:val="28"/>
          <w:szCs w:val="28"/>
        </w:rPr>
      </w:pPr>
      <w:r w:rsidRPr="00380E68">
        <w:rPr>
          <w:rFonts w:cs="Times New Roman"/>
          <w:b/>
          <w:sz w:val="28"/>
          <w:szCs w:val="28"/>
        </w:rPr>
        <w:t>Details of the Work</w:t>
      </w:r>
    </w:p>
    <w:p w:rsidR="000E60FB" w:rsidRPr="00466AA2" w:rsidRDefault="000E60FB" w:rsidP="00380E68">
      <w:pPr>
        <w:autoSpaceDE w:val="0"/>
        <w:autoSpaceDN w:val="0"/>
        <w:adjustRightInd w:val="0"/>
        <w:spacing w:after="0" w:line="240" w:lineRule="auto"/>
        <w:jc w:val="both"/>
        <w:rPr>
          <w:rFonts w:cs="Times New Roman"/>
          <w:sz w:val="24"/>
          <w:szCs w:val="24"/>
        </w:rPr>
      </w:pPr>
      <w:r w:rsidRPr="00466AA2">
        <w:rPr>
          <w:rFonts w:cs="Times New Roman"/>
          <w:sz w:val="24"/>
          <w:szCs w:val="24"/>
        </w:rPr>
        <w:t xml:space="preserve">I hereby agree to deposit the following item in the digital </w:t>
      </w:r>
      <w:r w:rsidR="000F5383" w:rsidRPr="00466AA2">
        <w:rPr>
          <w:rFonts w:cs="Times New Roman"/>
          <w:sz w:val="24"/>
          <w:szCs w:val="24"/>
        </w:rPr>
        <w:t xml:space="preserve">repository maintained by Bangor </w:t>
      </w:r>
      <w:r w:rsidRPr="00466AA2">
        <w:rPr>
          <w:rFonts w:cs="Times New Roman"/>
          <w:sz w:val="24"/>
          <w:szCs w:val="24"/>
        </w:rPr>
        <w:t>University and/or in any other repository authorized for use by Bangor University.</w:t>
      </w:r>
    </w:p>
    <w:p w:rsidR="000F5383" w:rsidRPr="00380E68" w:rsidRDefault="000F5383" w:rsidP="00380E68">
      <w:pPr>
        <w:autoSpaceDE w:val="0"/>
        <w:autoSpaceDN w:val="0"/>
        <w:adjustRightInd w:val="0"/>
        <w:spacing w:after="0" w:line="240" w:lineRule="auto"/>
        <w:jc w:val="both"/>
        <w:rPr>
          <w:rFonts w:cs="Times New Roman"/>
          <w:sz w:val="28"/>
          <w:szCs w:val="28"/>
        </w:rPr>
      </w:pPr>
    </w:p>
    <w:p w:rsidR="000E60FB" w:rsidRDefault="000E60FB" w:rsidP="00380E68">
      <w:pPr>
        <w:autoSpaceDE w:val="0"/>
        <w:autoSpaceDN w:val="0"/>
        <w:adjustRightInd w:val="0"/>
        <w:spacing w:after="0" w:line="240" w:lineRule="auto"/>
        <w:jc w:val="both"/>
        <w:rPr>
          <w:rFonts w:cs="Times New Roman"/>
          <w:sz w:val="28"/>
          <w:szCs w:val="28"/>
        </w:rPr>
      </w:pPr>
      <w:r w:rsidRPr="00380E68">
        <w:rPr>
          <w:rFonts w:cs="Times New Roman"/>
          <w:b/>
          <w:sz w:val="28"/>
          <w:szCs w:val="28"/>
        </w:rPr>
        <w:t>Author Name</w:t>
      </w:r>
      <w:r w:rsidRPr="00380E68">
        <w:rPr>
          <w:rFonts w:cs="Times New Roman"/>
          <w:sz w:val="28"/>
          <w:szCs w:val="28"/>
        </w:rPr>
        <w:t xml:space="preserve">: </w:t>
      </w:r>
      <w:r w:rsidR="00715613">
        <w:rPr>
          <w:rFonts w:cs="Times New Roman"/>
          <w:sz w:val="28"/>
          <w:szCs w:val="28"/>
        </w:rPr>
        <w:t>Colin M. Potter</w:t>
      </w:r>
      <w:r w:rsidR="008D6DFA">
        <w:rPr>
          <w:rFonts w:cs="Times New Roman"/>
          <w:sz w:val="28"/>
          <w:szCs w:val="28"/>
        </w:rPr>
        <w:t xml:space="preserve"> B.Sc. (Hons)</w:t>
      </w:r>
      <w:r w:rsidR="00BE1F25">
        <w:rPr>
          <w:rFonts w:cs="Times New Roman"/>
          <w:sz w:val="28"/>
          <w:szCs w:val="28"/>
        </w:rPr>
        <w:t>, C.Chem.</w:t>
      </w:r>
    </w:p>
    <w:p w:rsidR="00AD6B1F" w:rsidRPr="00380E68" w:rsidRDefault="00AD6B1F" w:rsidP="00380E68">
      <w:pPr>
        <w:autoSpaceDE w:val="0"/>
        <w:autoSpaceDN w:val="0"/>
        <w:adjustRightInd w:val="0"/>
        <w:spacing w:after="0" w:line="240" w:lineRule="auto"/>
        <w:jc w:val="both"/>
        <w:rPr>
          <w:rFonts w:cs="Times New Roman"/>
          <w:sz w:val="28"/>
          <w:szCs w:val="28"/>
        </w:rPr>
      </w:pPr>
    </w:p>
    <w:p w:rsidR="00C84806" w:rsidRPr="00380E68" w:rsidRDefault="00C84806" w:rsidP="00380E68">
      <w:pPr>
        <w:autoSpaceDE w:val="0"/>
        <w:autoSpaceDN w:val="0"/>
        <w:adjustRightInd w:val="0"/>
        <w:spacing w:after="0" w:line="240" w:lineRule="auto"/>
        <w:jc w:val="both"/>
        <w:rPr>
          <w:rFonts w:cs="Times New Roman"/>
          <w:sz w:val="28"/>
          <w:szCs w:val="28"/>
        </w:rPr>
      </w:pPr>
    </w:p>
    <w:p w:rsidR="000E60FB" w:rsidRPr="00380E68" w:rsidRDefault="000E60FB" w:rsidP="00380E68">
      <w:pPr>
        <w:autoSpaceDE w:val="0"/>
        <w:autoSpaceDN w:val="0"/>
        <w:adjustRightInd w:val="0"/>
        <w:spacing w:after="0" w:line="240" w:lineRule="auto"/>
        <w:jc w:val="both"/>
        <w:rPr>
          <w:rFonts w:cs="Times New Roman"/>
          <w:sz w:val="28"/>
          <w:szCs w:val="28"/>
        </w:rPr>
      </w:pPr>
      <w:r w:rsidRPr="00380E68">
        <w:rPr>
          <w:rFonts w:cs="Times New Roman"/>
          <w:b/>
          <w:sz w:val="28"/>
          <w:szCs w:val="28"/>
        </w:rPr>
        <w:t>Supervisor/Department</w:t>
      </w:r>
      <w:r w:rsidRPr="00380E68">
        <w:rPr>
          <w:rFonts w:cs="Times New Roman"/>
          <w:sz w:val="28"/>
          <w:szCs w:val="28"/>
        </w:rPr>
        <w:t xml:space="preserve">: </w:t>
      </w:r>
      <w:r w:rsidR="002B4BA2">
        <w:rPr>
          <w:rFonts w:cs="Times New Roman"/>
          <w:sz w:val="28"/>
          <w:szCs w:val="28"/>
        </w:rPr>
        <w:t xml:space="preserve">Dr </w:t>
      </w:r>
      <w:r w:rsidR="00715613">
        <w:rPr>
          <w:rFonts w:cs="Times New Roman"/>
          <w:sz w:val="28"/>
          <w:szCs w:val="28"/>
        </w:rPr>
        <w:t>Lorrie Murphy / Chemistry.</w:t>
      </w:r>
    </w:p>
    <w:p w:rsidR="00C84806" w:rsidRPr="00380E68" w:rsidRDefault="00C84806" w:rsidP="00380E68">
      <w:pPr>
        <w:autoSpaceDE w:val="0"/>
        <w:autoSpaceDN w:val="0"/>
        <w:adjustRightInd w:val="0"/>
        <w:spacing w:after="0" w:line="240" w:lineRule="auto"/>
        <w:jc w:val="both"/>
        <w:rPr>
          <w:rFonts w:cs="Times New Roman"/>
          <w:sz w:val="28"/>
          <w:szCs w:val="28"/>
        </w:rPr>
      </w:pPr>
    </w:p>
    <w:p w:rsidR="00C84806" w:rsidRPr="00380E68" w:rsidRDefault="00C84806" w:rsidP="00380E68">
      <w:pPr>
        <w:autoSpaceDE w:val="0"/>
        <w:autoSpaceDN w:val="0"/>
        <w:adjustRightInd w:val="0"/>
        <w:spacing w:after="0" w:line="240" w:lineRule="auto"/>
        <w:jc w:val="both"/>
        <w:rPr>
          <w:rFonts w:cs="Times New Roman"/>
          <w:sz w:val="28"/>
          <w:szCs w:val="28"/>
        </w:rPr>
      </w:pPr>
    </w:p>
    <w:p w:rsidR="000E60FB" w:rsidRPr="00380E68" w:rsidRDefault="000E60FB" w:rsidP="00380E68">
      <w:pPr>
        <w:autoSpaceDE w:val="0"/>
        <w:autoSpaceDN w:val="0"/>
        <w:adjustRightInd w:val="0"/>
        <w:spacing w:after="0" w:line="240" w:lineRule="auto"/>
        <w:jc w:val="both"/>
        <w:rPr>
          <w:rFonts w:cs="Times New Roman"/>
          <w:sz w:val="28"/>
          <w:szCs w:val="28"/>
        </w:rPr>
      </w:pPr>
      <w:r w:rsidRPr="00380E68">
        <w:rPr>
          <w:rFonts w:cs="Times New Roman"/>
          <w:b/>
          <w:sz w:val="28"/>
          <w:szCs w:val="28"/>
        </w:rPr>
        <w:t>Qualification/Degree obtained</w:t>
      </w:r>
      <w:r w:rsidR="00D4357E" w:rsidRPr="00380E68">
        <w:rPr>
          <w:rFonts w:cs="Times New Roman"/>
          <w:sz w:val="28"/>
          <w:szCs w:val="28"/>
        </w:rPr>
        <w:t xml:space="preserve">: </w:t>
      </w:r>
      <w:r w:rsidR="00715613">
        <w:rPr>
          <w:rFonts w:cs="Times New Roman"/>
          <w:sz w:val="28"/>
          <w:szCs w:val="28"/>
        </w:rPr>
        <w:t>Ph.D.</w:t>
      </w:r>
    </w:p>
    <w:p w:rsidR="00D4357E" w:rsidRPr="00380E68" w:rsidRDefault="00D4357E" w:rsidP="00380E68">
      <w:pPr>
        <w:autoSpaceDE w:val="0"/>
        <w:autoSpaceDN w:val="0"/>
        <w:adjustRightInd w:val="0"/>
        <w:spacing w:after="0" w:line="240" w:lineRule="auto"/>
        <w:jc w:val="both"/>
        <w:rPr>
          <w:rFonts w:cs="Times New Roman"/>
          <w:sz w:val="28"/>
          <w:szCs w:val="28"/>
        </w:rPr>
      </w:pPr>
    </w:p>
    <w:p w:rsidR="000E60FB" w:rsidRPr="00466AA2" w:rsidRDefault="000E60FB" w:rsidP="00380E68">
      <w:pPr>
        <w:autoSpaceDE w:val="0"/>
        <w:autoSpaceDN w:val="0"/>
        <w:adjustRightInd w:val="0"/>
        <w:spacing w:after="0" w:line="240" w:lineRule="auto"/>
        <w:jc w:val="both"/>
        <w:rPr>
          <w:rFonts w:cs="Times New Roman"/>
          <w:sz w:val="24"/>
          <w:szCs w:val="24"/>
        </w:rPr>
      </w:pPr>
      <w:r w:rsidRPr="00466AA2">
        <w:rPr>
          <w:rFonts w:cs="Times New Roman"/>
          <w:sz w:val="24"/>
          <w:szCs w:val="24"/>
        </w:rPr>
        <w:t>This item is a product of my own research endeavours and is</w:t>
      </w:r>
      <w:r w:rsidR="00D4357E" w:rsidRPr="00466AA2">
        <w:rPr>
          <w:rFonts w:cs="Times New Roman"/>
          <w:sz w:val="24"/>
          <w:szCs w:val="24"/>
        </w:rPr>
        <w:t xml:space="preserve"> covered by the agreement below </w:t>
      </w:r>
      <w:r w:rsidRPr="00466AA2">
        <w:rPr>
          <w:rFonts w:cs="Times New Roman"/>
          <w:sz w:val="24"/>
          <w:szCs w:val="24"/>
        </w:rPr>
        <w:t>in which the item is referred to as “the Work”. It is identical in c</w:t>
      </w:r>
      <w:r w:rsidR="000F5383" w:rsidRPr="00466AA2">
        <w:rPr>
          <w:rFonts w:cs="Times New Roman"/>
          <w:sz w:val="24"/>
          <w:szCs w:val="24"/>
        </w:rPr>
        <w:t xml:space="preserve">ontent to that deposited in the </w:t>
      </w:r>
      <w:r w:rsidRPr="00466AA2">
        <w:rPr>
          <w:rFonts w:cs="Times New Roman"/>
          <w:sz w:val="24"/>
          <w:szCs w:val="24"/>
        </w:rPr>
        <w:t>Library, subject to point 4 below.</w:t>
      </w:r>
    </w:p>
    <w:p w:rsidR="00C84806" w:rsidRPr="00380E68" w:rsidRDefault="00C84806" w:rsidP="00380E68">
      <w:pPr>
        <w:autoSpaceDE w:val="0"/>
        <w:autoSpaceDN w:val="0"/>
        <w:adjustRightInd w:val="0"/>
        <w:spacing w:after="0" w:line="240" w:lineRule="auto"/>
        <w:jc w:val="both"/>
        <w:rPr>
          <w:rFonts w:cs="Times New Roman"/>
          <w:sz w:val="28"/>
          <w:szCs w:val="28"/>
        </w:rPr>
      </w:pPr>
    </w:p>
    <w:p w:rsidR="000E60FB" w:rsidRPr="00380E68" w:rsidRDefault="000E60FB" w:rsidP="00380E68">
      <w:pPr>
        <w:autoSpaceDE w:val="0"/>
        <w:autoSpaceDN w:val="0"/>
        <w:adjustRightInd w:val="0"/>
        <w:spacing w:after="0" w:line="240" w:lineRule="auto"/>
        <w:jc w:val="both"/>
        <w:rPr>
          <w:rFonts w:cs="Times New Roman"/>
          <w:b/>
          <w:sz w:val="28"/>
          <w:szCs w:val="28"/>
        </w:rPr>
      </w:pPr>
      <w:r w:rsidRPr="00380E68">
        <w:rPr>
          <w:rFonts w:cs="Times New Roman"/>
          <w:b/>
          <w:sz w:val="28"/>
          <w:szCs w:val="28"/>
        </w:rPr>
        <w:t>Non-exclusive Rights</w:t>
      </w:r>
    </w:p>
    <w:p w:rsidR="00C84806" w:rsidRPr="00380E68" w:rsidRDefault="00C84806" w:rsidP="00380E68">
      <w:pPr>
        <w:autoSpaceDE w:val="0"/>
        <w:autoSpaceDN w:val="0"/>
        <w:adjustRightInd w:val="0"/>
        <w:spacing w:after="0" w:line="240" w:lineRule="auto"/>
        <w:jc w:val="both"/>
        <w:rPr>
          <w:rFonts w:cs="Times New Roman"/>
          <w:b/>
          <w:sz w:val="28"/>
          <w:szCs w:val="28"/>
        </w:rPr>
      </w:pPr>
    </w:p>
    <w:p w:rsidR="000E60FB" w:rsidRPr="00466AA2" w:rsidRDefault="000E60FB" w:rsidP="00380E68">
      <w:pPr>
        <w:autoSpaceDE w:val="0"/>
        <w:autoSpaceDN w:val="0"/>
        <w:adjustRightInd w:val="0"/>
        <w:spacing w:after="0" w:line="240" w:lineRule="auto"/>
        <w:jc w:val="both"/>
        <w:rPr>
          <w:rFonts w:cs="Times New Roman"/>
          <w:sz w:val="24"/>
          <w:szCs w:val="24"/>
        </w:rPr>
      </w:pPr>
      <w:r w:rsidRPr="00466AA2">
        <w:rPr>
          <w:rFonts w:cs="Times New Roman"/>
          <w:sz w:val="24"/>
          <w:szCs w:val="24"/>
        </w:rPr>
        <w:t>Rights granted to the digital repository through this agreemen</w:t>
      </w:r>
      <w:r w:rsidR="00C84806" w:rsidRPr="00466AA2">
        <w:rPr>
          <w:rFonts w:cs="Times New Roman"/>
          <w:sz w:val="24"/>
          <w:szCs w:val="24"/>
        </w:rPr>
        <w:t xml:space="preserve">t are entirely non-exclusive. I </w:t>
      </w:r>
      <w:r w:rsidRPr="00466AA2">
        <w:rPr>
          <w:rFonts w:cs="Times New Roman"/>
          <w:sz w:val="24"/>
          <w:szCs w:val="24"/>
        </w:rPr>
        <w:t>am free to publish the Work in its present version or future versions elsewhere.</w:t>
      </w:r>
    </w:p>
    <w:p w:rsidR="00C84806" w:rsidRPr="00466AA2" w:rsidRDefault="00C84806" w:rsidP="00380E68">
      <w:pPr>
        <w:autoSpaceDE w:val="0"/>
        <w:autoSpaceDN w:val="0"/>
        <w:adjustRightInd w:val="0"/>
        <w:spacing w:after="0" w:line="240" w:lineRule="auto"/>
        <w:jc w:val="both"/>
        <w:rPr>
          <w:rFonts w:cs="Times New Roman"/>
          <w:sz w:val="24"/>
          <w:szCs w:val="24"/>
        </w:rPr>
      </w:pPr>
    </w:p>
    <w:p w:rsidR="000E60FB" w:rsidRPr="00466AA2" w:rsidRDefault="000E60FB" w:rsidP="00380E68">
      <w:pPr>
        <w:autoSpaceDE w:val="0"/>
        <w:autoSpaceDN w:val="0"/>
        <w:adjustRightInd w:val="0"/>
        <w:spacing w:after="0" w:line="240" w:lineRule="auto"/>
        <w:jc w:val="both"/>
        <w:rPr>
          <w:rFonts w:cs="Times New Roman"/>
          <w:sz w:val="24"/>
          <w:szCs w:val="24"/>
        </w:rPr>
      </w:pPr>
      <w:r w:rsidRPr="00466AA2">
        <w:rPr>
          <w:rFonts w:cs="Times New Roman"/>
          <w:sz w:val="24"/>
          <w:szCs w:val="24"/>
        </w:rPr>
        <w:t>I agree that Bangor University may electronically store, co</w:t>
      </w:r>
      <w:r w:rsidR="00C84806" w:rsidRPr="00466AA2">
        <w:rPr>
          <w:rFonts w:cs="Times New Roman"/>
          <w:sz w:val="24"/>
          <w:szCs w:val="24"/>
        </w:rPr>
        <w:t xml:space="preserve">py or translate the Work to any </w:t>
      </w:r>
      <w:r w:rsidRPr="00466AA2">
        <w:rPr>
          <w:rFonts w:cs="Times New Roman"/>
          <w:sz w:val="24"/>
          <w:szCs w:val="24"/>
        </w:rPr>
        <w:t xml:space="preserve">approved medium or format for the purpose of future preservation and accessibility. </w:t>
      </w:r>
      <w:r w:rsidR="00C84806" w:rsidRPr="00466AA2">
        <w:rPr>
          <w:rFonts w:cs="Times New Roman"/>
          <w:sz w:val="24"/>
          <w:szCs w:val="24"/>
        </w:rPr>
        <w:t xml:space="preserve">Bangor </w:t>
      </w:r>
      <w:r w:rsidRPr="00466AA2">
        <w:rPr>
          <w:rFonts w:cs="Times New Roman"/>
          <w:sz w:val="24"/>
          <w:szCs w:val="24"/>
        </w:rPr>
        <w:t xml:space="preserve">University is not under any obligation to reproduce or display </w:t>
      </w:r>
      <w:r w:rsidR="00C84806" w:rsidRPr="00466AA2">
        <w:rPr>
          <w:rFonts w:cs="Times New Roman"/>
          <w:sz w:val="24"/>
          <w:szCs w:val="24"/>
        </w:rPr>
        <w:t xml:space="preserve">the Work in the same formats or </w:t>
      </w:r>
      <w:r w:rsidRPr="00466AA2">
        <w:rPr>
          <w:rFonts w:cs="Times New Roman"/>
          <w:sz w:val="24"/>
          <w:szCs w:val="24"/>
        </w:rPr>
        <w:t>resolutions in which it was originally deposited.</w:t>
      </w:r>
    </w:p>
    <w:p w:rsidR="00C84806" w:rsidRPr="00380E68" w:rsidRDefault="00C84806" w:rsidP="00380E68">
      <w:pPr>
        <w:autoSpaceDE w:val="0"/>
        <w:autoSpaceDN w:val="0"/>
        <w:adjustRightInd w:val="0"/>
        <w:spacing w:after="0" w:line="240" w:lineRule="auto"/>
        <w:jc w:val="both"/>
        <w:rPr>
          <w:rFonts w:cs="Times New Roman"/>
          <w:sz w:val="28"/>
          <w:szCs w:val="28"/>
        </w:rPr>
      </w:pPr>
    </w:p>
    <w:p w:rsidR="000E60FB" w:rsidRPr="00380E68" w:rsidRDefault="000E60FB" w:rsidP="00380E68">
      <w:pPr>
        <w:autoSpaceDE w:val="0"/>
        <w:autoSpaceDN w:val="0"/>
        <w:adjustRightInd w:val="0"/>
        <w:spacing w:after="0" w:line="240" w:lineRule="auto"/>
        <w:jc w:val="both"/>
        <w:rPr>
          <w:rFonts w:cs="Times New Roman"/>
          <w:b/>
          <w:sz w:val="28"/>
          <w:szCs w:val="28"/>
        </w:rPr>
      </w:pPr>
      <w:r w:rsidRPr="00380E68">
        <w:rPr>
          <w:rFonts w:cs="Times New Roman"/>
          <w:b/>
          <w:sz w:val="28"/>
          <w:szCs w:val="28"/>
        </w:rPr>
        <w:t>Bangor University Digital Repository</w:t>
      </w:r>
    </w:p>
    <w:p w:rsidR="00C84806" w:rsidRPr="00380E68" w:rsidRDefault="00C84806" w:rsidP="00380E68">
      <w:pPr>
        <w:autoSpaceDE w:val="0"/>
        <w:autoSpaceDN w:val="0"/>
        <w:adjustRightInd w:val="0"/>
        <w:spacing w:after="0" w:line="240" w:lineRule="auto"/>
        <w:jc w:val="both"/>
        <w:rPr>
          <w:rFonts w:cs="Times New Roman"/>
          <w:b/>
          <w:sz w:val="28"/>
          <w:szCs w:val="28"/>
        </w:rPr>
      </w:pPr>
    </w:p>
    <w:p w:rsidR="000E60FB" w:rsidRPr="00466AA2" w:rsidRDefault="000E60FB" w:rsidP="00380E68">
      <w:pPr>
        <w:autoSpaceDE w:val="0"/>
        <w:autoSpaceDN w:val="0"/>
        <w:adjustRightInd w:val="0"/>
        <w:spacing w:after="0" w:line="240" w:lineRule="auto"/>
        <w:jc w:val="both"/>
        <w:rPr>
          <w:rFonts w:cs="Times New Roman"/>
          <w:sz w:val="24"/>
          <w:szCs w:val="24"/>
        </w:rPr>
      </w:pPr>
      <w:r w:rsidRPr="00466AA2">
        <w:rPr>
          <w:rFonts w:cs="Times New Roman"/>
          <w:sz w:val="24"/>
          <w:szCs w:val="24"/>
        </w:rPr>
        <w:t xml:space="preserve">I understand that work deposited in the digital repository will be </w:t>
      </w:r>
      <w:r w:rsidR="00A67AFC" w:rsidRPr="00466AA2">
        <w:rPr>
          <w:rFonts w:cs="Times New Roman"/>
          <w:sz w:val="24"/>
          <w:szCs w:val="24"/>
        </w:rPr>
        <w:t xml:space="preserve">accessible to a wide variety </w:t>
      </w:r>
      <w:r w:rsidRPr="00466AA2">
        <w:rPr>
          <w:rFonts w:cs="Times New Roman"/>
          <w:sz w:val="24"/>
          <w:szCs w:val="24"/>
        </w:rPr>
        <w:t xml:space="preserve">of people and institutions, including automated agents and search </w:t>
      </w:r>
      <w:r w:rsidR="00A67AFC" w:rsidRPr="00466AA2">
        <w:rPr>
          <w:rFonts w:cs="Times New Roman"/>
          <w:sz w:val="24"/>
          <w:szCs w:val="24"/>
        </w:rPr>
        <w:t xml:space="preserve">engines via the World Wide </w:t>
      </w:r>
      <w:r w:rsidRPr="00466AA2">
        <w:rPr>
          <w:rFonts w:cs="Times New Roman"/>
          <w:sz w:val="24"/>
          <w:szCs w:val="24"/>
        </w:rPr>
        <w:t>Web.</w:t>
      </w:r>
    </w:p>
    <w:p w:rsidR="00A67AFC" w:rsidRPr="00466AA2" w:rsidRDefault="00A67AFC" w:rsidP="00380E68">
      <w:pPr>
        <w:autoSpaceDE w:val="0"/>
        <w:autoSpaceDN w:val="0"/>
        <w:adjustRightInd w:val="0"/>
        <w:spacing w:after="0" w:line="240" w:lineRule="auto"/>
        <w:jc w:val="both"/>
        <w:rPr>
          <w:rFonts w:cs="Times New Roman"/>
          <w:sz w:val="24"/>
          <w:szCs w:val="24"/>
        </w:rPr>
      </w:pPr>
    </w:p>
    <w:p w:rsidR="000E60FB" w:rsidRPr="00466AA2" w:rsidRDefault="000E60FB" w:rsidP="00380E68">
      <w:pPr>
        <w:autoSpaceDE w:val="0"/>
        <w:autoSpaceDN w:val="0"/>
        <w:adjustRightInd w:val="0"/>
        <w:spacing w:after="0" w:line="240" w:lineRule="auto"/>
        <w:jc w:val="both"/>
        <w:rPr>
          <w:rFonts w:cs="Times New Roman"/>
          <w:sz w:val="24"/>
          <w:szCs w:val="24"/>
        </w:rPr>
      </w:pPr>
      <w:r w:rsidRPr="00466AA2">
        <w:rPr>
          <w:rFonts w:cs="Times New Roman"/>
          <w:sz w:val="24"/>
          <w:szCs w:val="24"/>
        </w:rPr>
        <w:t>I understand that once the Work is deposited, the item and i</w:t>
      </w:r>
      <w:r w:rsidR="00A67AFC" w:rsidRPr="00466AA2">
        <w:rPr>
          <w:rFonts w:cs="Times New Roman"/>
          <w:sz w:val="24"/>
          <w:szCs w:val="24"/>
        </w:rPr>
        <w:t xml:space="preserve">ts metadata may be incorporated </w:t>
      </w:r>
      <w:r w:rsidRPr="00466AA2">
        <w:rPr>
          <w:rFonts w:cs="Times New Roman"/>
          <w:sz w:val="24"/>
          <w:szCs w:val="24"/>
        </w:rPr>
        <w:t>into public access catalogues or services, national databases of electronic theses and</w:t>
      </w:r>
      <w:r w:rsidR="00A67AFC" w:rsidRPr="00466AA2">
        <w:rPr>
          <w:rFonts w:cs="Times New Roman"/>
          <w:sz w:val="24"/>
          <w:szCs w:val="24"/>
        </w:rPr>
        <w:t xml:space="preserve"> </w:t>
      </w:r>
      <w:r w:rsidRPr="00466AA2">
        <w:rPr>
          <w:rFonts w:cs="Times New Roman"/>
          <w:sz w:val="24"/>
          <w:szCs w:val="24"/>
        </w:rPr>
        <w:t xml:space="preserve">dissertations such as the British Library’s </w:t>
      </w:r>
      <w:proofErr w:type="spellStart"/>
      <w:r w:rsidRPr="00466AA2">
        <w:rPr>
          <w:rFonts w:cs="Times New Roman"/>
          <w:sz w:val="24"/>
          <w:szCs w:val="24"/>
        </w:rPr>
        <w:t>EThOS</w:t>
      </w:r>
      <w:proofErr w:type="spellEnd"/>
      <w:r w:rsidRPr="00466AA2">
        <w:rPr>
          <w:rFonts w:cs="Times New Roman"/>
          <w:sz w:val="24"/>
          <w:szCs w:val="24"/>
        </w:rPr>
        <w:t xml:space="preserve"> or any service provided by the National</w:t>
      </w:r>
      <w:r w:rsidR="00A67AFC" w:rsidRPr="00466AA2">
        <w:rPr>
          <w:rFonts w:cs="Times New Roman"/>
          <w:sz w:val="24"/>
          <w:szCs w:val="24"/>
        </w:rPr>
        <w:t xml:space="preserve"> </w:t>
      </w:r>
      <w:r w:rsidRPr="00466AA2">
        <w:rPr>
          <w:rFonts w:cs="Times New Roman"/>
          <w:sz w:val="24"/>
          <w:szCs w:val="24"/>
        </w:rPr>
        <w:t>Library of Wales.</w:t>
      </w:r>
    </w:p>
    <w:p w:rsidR="00380E68" w:rsidRPr="00380E68" w:rsidRDefault="00380E68" w:rsidP="00380E68">
      <w:pPr>
        <w:autoSpaceDE w:val="0"/>
        <w:autoSpaceDN w:val="0"/>
        <w:adjustRightInd w:val="0"/>
        <w:spacing w:after="0" w:line="240" w:lineRule="auto"/>
        <w:jc w:val="both"/>
        <w:rPr>
          <w:rFonts w:cs="Times New Roman"/>
          <w:sz w:val="28"/>
          <w:szCs w:val="28"/>
        </w:rPr>
      </w:pPr>
    </w:p>
    <w:p w:rsidR="004D6D56" w:rsidRDefault="000E60FB" w:rsidP="00F82F28">
      <w:pPr>
        <w:autoSpaceDE w:val="0"/>
        <w:autoSpaceDN w:val="0"/>
        <w:adjustRightInd w:val="0"/>
        <w:spacing w:after="0" w:line="240" w:lineRule="auto"/>
        <w:jc w:val="both"/>
        <w:rPr>
          <w:rFonts w:cs="Times New Roman"/>
          <w:sz w:val="24"/>
          <w:szCs w:val="24"/>
        </w:rPr>
      </w:pPr>
      <w:r w:rsidRPr="00466AA2">
        <w:rPr>
          <w:rFonts w:cs="Times New Roman"/>
          <w:sz w:val="24"/>
          <w:szCs w:val="24"/>
        </w:rPr>
        <w:t>I understand that the Work may be made available via the N</w:t>
      </w:r>
      <w:r w:rsidR="00A67AFC" w:rsidRPr="00466AA2">
        <w:rPr>
          <w:rFonts w:cs="Times New Roman"/>
          <w:sz w:val="24"/>
          <w:szCs w:val="24"/>
        </w:rPr>
        <w:t xml:space="preserve">ational Library of Wales Online </w:t>
      </w:r>
      <w:r w:rsidRPr="00466AA2">
        <w:rPr>
          <w:rFonts w:cs="Times New Roman"/>
          <w:sz w:val="24"/>
          <w:szCs w:val="24"/>
        </w:rPr>
        <w:t>Electronic Theses Servi</w:t>
      </w:r>
      <w:r w:rsidR="00A67AFC" w:rsidRPr="00466AA2">
        <w:rPr>
          <w:rFonts w:cs="Times New Roman"/>
          <w:sz w:val="24"/>
          <w:szCs w:val="24"/>
        </w:rPr>
        <w:t>ce under the declared terms and conditions</w:t>
      </w:r>
      <w:r w:rsidR="00A67AFC" w:rsidRPr="00380E68">
        <w:rPr>
          <w:rFonts w:cs="Times New Roman"/>
          <w:sz w:val="28"/>
          <w:szCs w:val="28"/>
        </w:rPr>
        <w:t xml:space="preserve"> </w:t>
      </w:r>
      <w:r w:rsidR="00A67AFC" w:rsidRPr="00F82F28">
        <w:rPr>
          <w:rFonts w:cs="Times New Roman"/>
          <w:sz w:val="24"/>
          <w:szCs w:val="24"/>
        </w:rPr>
        <w:t xml:space="preserve">of use </w:t>
      </w:r>
      <w:r w:rsidRPr="00F82F28">
        <w:rPr>
          <w:rFonts w:cs="Times New Roman"/>
          <w:sz w:val="24"/>
          <w:szCs w:val="24"/>
        </w:rPr>
        <w:t>(http://www.llgc.org.uk/index.php?id=4676). I agree that as pa</w:t>
      </w:r>
      <w:r w:rsidR="00A67AFC" w:rsidRPr="00F82F28">
        <w:rPr>
          <w:rFonts w:cs="Times New Roman"/>
          <w:sz w:val="24"/>
          <w:szCs w:val="24"/>
        </w:rPr>
        <w:t xml:space="preserve">rt of this service the National </w:t>
      </w:r>
      <w:r w:rsidRPr="00F82F28">
        <w:rPr>
          <w:rFonts w:cs="Times New Roman"/>
          <w:sz w:val="24"/>
          <w:szCs w:val="24"/>
        </w:rPr>
        <w:lastRenderedPageBreak/>
        <w:t xml:space="preserve">Library of Wales may electronically store, copy or convert </w:t>
      </w:r>
      <w:r w:rsidR="00F82F28" w:rsidRPr="00F82F28">
        <w:rPr>
          <w:rFonts w:cs="Times New Roman"/>
          <w:sz w:val="24"/>
          <w:szCs w:val="24"/>
        </w:rPr>
        <w:t xml:space="preserve">the Work to any approved </w:t>
      </w:r>
      <w:r w:rsidR="00A67AFC" w:rsidRPr="00F82F28">
        <w:rPr>
          <w:rFonts w:cs="Times New Roman"/>
          <w:sz w:val="24"/>
          <w:szCs w:val="24"/>
        </w:rPr>
        <w:t xml:space="preserve">medium </w:t>
      </w:r>
      <w:r w:rsidRPr="00F82F28">
        <w:rPr>
          <w:rFonts w:cs="Times New Roman"/>
          <w:sz w:val="24"/>
          <w:szCs w:val="24"/>
        </w:rPr>
        <w:t>or format for the purpose of future preservation and accessibility. The National Library of</w:t>
      </w:r>
      <w:r w:rsidR="009B2F63" w:rsidRPr="00F82F28">
        <w:rPr>
          <w:rFonts w:cs="Times New Roman"/>
          <w:sz w:val="24"/>
          <w:szCs w:val="24"/>
        </w:rPr>
        <w:t xml:space="preserve"> </w:t>
      </w:r>
      <w:r w:rsidRPr="00F82F28">
        <w:rPr>
          <w:rFonts w:cs="Times New Roman"/>
          <w:sz w:val="24"/>
          <w:szCs w:val="24"/>
        </w:rPr>
        <w:t xml:space="preserve">Wales is not under any obligation to reproduce or display </w:t>
      </w:r>
      <w:r w:rsidR="00F82F28" w:rsidRPr="00F82F28">
        <w:rPr>
          <w:rFonts w:cs="Times New Roman"/>
          <w:sz w:val="24"/>
          <w:szCs w:val="24"/>
        </w:rPr>
        <w:t xml:space="preserve">the Work in the same </w:t>
      </w:r>
      <w:r w:rsidR="00A67AFC" w:rsidRPr="00F82F28">
        <w:rPr>
          <w:rFonts w:cs="Times New Roman"/>
          <w:sz w:val="24"/>
          <w:szCs w:val="24"/>
        </w:rPr>
        <w:t xml:space="preserve">formats or </w:t>
      </w:r>
      <w:r w:rsidRPr="00F82F28">
        <w:rPr>
          <w:rFonts w:cs="Times New Roman"/>
          <w:sz w:val="24"/>
          <w:szCs w:val="24"/>
        </w:rPr>
        <w:t>resolutions in which it was originally deposited.</w:t>
      </w:r>
    </w:p>
    <w:p w:rsidR="00A548CB" w:rsidRPr="00F82F28" w:rsidRDefault="00A548CB" w:rsidP="00F82F28">
      <w:pPr>
        <w:autoSpaceDE w:val="0"/>
        <w:autoSpaceDN w:val="0"/>
        <w:adjustRightInd w:val="0"/>
        <w:spacing w:after="0" w:line="240" w:lineRule="auto"/>
        <w:jc w:val="both"/>
        <w:rPr>
          <w:rFonts w:cs="Times New Roman"/>
          <w:sz w:val="24"/>
          <w:szCs w:val="24"/>
        </w:rPr>
      </w:pPr>
    </w:p>
    <w:p w:rsidR="00466AA2" w:rsidRDefault="00466AA2" w:rsidP="00F82F28">
      <w:pPr>
        <w:autoSpaceDE w:val="0"/>
        <w:autoSpaceDN w:val="0"/>
        <w:adjustRightInd w:val="0"/>
        <w:spacing w:after="0" w:line="240" w:lineRule="auto"/>
        <w:jc w:val="both"/>
        <w:rPr>
          <w:rFonts w:cs="Times New Roman"/>
          <w:sz w:val="28"/>
          <w:szCs w:val="28"/>
        </w:rPr>
      </w:pPr>
    </w:p>
    <w:p w:rsidR="00466AA2" w:rsidRPr="00466AA2" w:rsidRDefault="00466AA2" w:rsidP="007C20A7">
      <w:pPr>
        <w:autoSpaceDE w:val="0"/>
        <w:autoSpaceDN w:val="0"/>
        <w:adjustRightInd w:val="0"/>
        <w:spacing w:after="0" w:line="240" w:lineRule="auto"/>
        <w:jc w:val="both"/>
        <w:rPr>
          <w:rFonts w:cs="Times New Roman"/>
          <w:b/>
          <w:bCs/>
          <w:sz w:val="28"/>
          <w:szCs w:val="28"/>
        </w:rPr>
      </w:pPr>
      <w:r w:rsidRPr="00466AA2">
        <w:rPr>
          <w:rFonts w:cs="Times New Roman"/>
          <w:b/>
          <w:bCs/>
          <w:sz w:val="28"/>
          <w:szCs w:val="28"/>
        </w:rPr>
        <w:t>Statement 1:</w:t>
      </w:r>
    </w:p>
    <w:p w:rsidR="00466AA2" w:rsidRDefault="00466AA2" w:rsidP="007C20A7">
      <w:pPr>
        <w:autoSpaceDE w:val="0"/>
        <w:autoSpaceDN w:val="0"/>
        <w:adjustRightInd w:val="0"/>
        <w:spacing w:after="0" w:line="240" w:lineRule="auto"/>
        <w:jc w:val="both"/>
        <w:rPr>
          <w:rFonts w:cs="Times New Roman"/>
          <w:sz w:val="24"/>
          <w:szCs w:val="24"/>
        </w:rPr>
      </w:pPr>
      <w:r w:rsidRPr="00A37FC1">
        <w:rPr>
          <w:rFonts w:cs="Times New Roman"/>
          <w:sz w:val="24"/>
          <w:szCs w:val="24"/>
        </w:rPr>
        <w:t>This work has not previously been accepted in substance for any degree and is not being concurrently submitted in candidature for any degree unless as agreed by the University for</w:t>
      </w:r>
      <w:r w:rsidR="009B2F63">
        <w:rPr>
          <w:rFonts w:cs="Times New Roman"/>
          <w:sz w:val="24"/>
          <w:szCs w:val="24"/>
        </w:rPr>
        <w:t xml:space="preserve"> </w:t>
      </w:r>
      <w:r w:rsidRPr="00A37FC1">
        <w:rPr>
          <w:rFonts w:cs="Times New Roman"/>
          <w:sz w:val="24"/>
          <w:szCs w:val="24"/>
        </w:rPr>
        <w:t>approved dual awards.</w:t>
      </w:r>
    </w:p>
    <w:p w:rsidR="00466AA2" w:rsidRDefault="007C20A7" w:rsidP="007C20A7">
      <w:pPr>
        <w:autoSpaceDE w:val="0"/>
        <w:autoSpaceDN w:val="0"/>
        <w:adjustRightInd w:val="0"/>
        <w:spacing w:after="0" w:line="240" w:lineRule="auto"/>
        <w:jc w:val="both"/>
        <w:rPr>
          <w:rFonts w:cs="Times New Roman"/>
          <w:sz w:val="24"/>
          <w:szCs w:val="24"/>
        </w:rPr>
      </w:pPr>
      <w:r>
        <w:rPr>
          <w:rFonts w:cs="Times New Roman"/>
          <w:sz w:val="24"/>
          <w:szCs w:val="24"/>
        </w:rPr>
        <w:t xml:space="preserve">Signed </w:t>
      </w:r>
      <w:r w:rsidR="00715613">
        <w:rPr>
          <w:rFonts w:cs="Times New Roman"/>
          <w:noProof/>
          <w:sz w:val="24"/>
          <w:szCs w:val="24"/>
          <w:lang w:eastAsia="en-GB"/>
        </w:rPr>
        <w:drawing>
          <wp:inline distT="0" distB="0" distL="0" distR="0">
            <wp:extent cx="912804" cy="415326"/>
            <wp:effectExtent l="0" t="0" r="1905"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MP Signature BEST use SMALL.png"/>
                    <pic:cNvPicPr/>
                  </pic:nvPicPr>
                  <pic:blipFill>
                    <a:blip r:embed="rId9">
                      <a:extLst>
                        <a:ext uri="{28A0092B-C50C-407E-A947-70E740481C1C}">
                          <a14:useLocalDpi xmlns:a14="http://schemas.microsoft.com/office/drawing/2010/main" val="0"/>
                        </a:ext>
                      </a:extLst>
                    </a:blip>
                    <a:stretch>
                      <a:fillRect/>
                    </a:stretch>
                  </pic:blipFill>
                  <pic:spPr>
                    <a:xfrm>
                      <a:off x="0" y="0"/>
                      <a:ext cx="938229" cy="426894"/>
                    </a:xfrm>
                    <a:prstGeom prst="rect">
                      <a:avLst/>
                    </a:prstGeom>
                  </pic:spPr>
                </pic:pic>
              </a:graphicData>
            </a:graphic>
          </wp:inline>
        </w:drawing>
      </w:r>
      <w:r w:rsidR="00466AA2" w:rsidRPr="00A37FC1">
        <w:rPr>
          <w:rFonts w:cs="Times New Roman"/>
          <w:sz w:val="24"/>
          <w:szCs w:val="24"/>
        </w:rPr>
        <w:t xml:space="preserve"> (candidate)</w:t>
      </w:r>
    </w:p>
    <w:p w:rsidR="00A919B1" w:rsidRPr="00A37FC1" w:rsidRDefault="00A919B1" w:rsidP="007C20A7">
      <w:pPr>
        <w:autoSpaceDE w:val="0"/>
        <w:autoSpaceDN w:val="0"/>
        <w:adjustRightInd w:val="0"/>
        <w:spacing w:after="0" w:line="240" w:lineRule="auto"/>
        <w:jc w:val="both"/>
        <w:rPr>
          <w:rFonts w:cs="Times New Roman"/>
          <w:sz w:val="24"/>
          <w:szCs w:val="24"/>
        </w:rPr>
      </w:pPr>
    </w:p>
    <w:p w:rsidR="00466AA2" w:rsidRPr="00A37FC1" w:rsidRDefault="00466AA2" w:rsidP="007C20A7">
      <w:pPr>
        <w:autoSpaceDE w:val="0"/>
        <w:autoSpaceDN w:val="0"/>
        <w:adjustRightInd w:val="0"/>
        <w:spacing w:after="0" w:line="240" w:lineRule="auto"/>
        <w:jc w:val="both"/>
        <w:rPr>
          <w:rFonts w:cs="Times New Roman"/>
          <w:sz w:val="24"/>
          <w:szCs w:val="24"/>
        </w:rPr>
      </w:pPr>
      <w:r w:rsidRPr="00A37FC1">
        <w:rPr>
          <w:rFonts w:cs="Times New Roman"/>
          <w:sz w:val="24"/>
          <w:szCs w:val="24"/>
        </w:rPr>
        <w:t>Date</w:t>
      </w:r>
      <w:r w:rsidR="00C60AC8">
        <w:rPr>
          <w:rFonts w:cs="Times New Roman"/>
          <w:sz w:val="24"/>
          <w:szCs w:val="24"/>
        </w:rPr>
        <w:tab/>
        <w:t>05/02/2020</w:t>
      </w:r>
    </w:p>
    <w:p w:rsidR="009B75B7" w:rsidRDefault="009B75B7" w:rsidP="007C20A7">
      <w:pPr>
        <w:autoSpaceDE w:val="0"/>
        <w:autoSpaceDN w:val="0"/>
        <w:adjustRightInd w:val="0"/>
        <w:spacing w:after="0" w:line="240" w:lineRule="auto"/>
        <w:jc w:val="both"/>
        <w:rPr>
          <w:rFonts w:cs="Times New Roman"/>
          <w:b/>
          <w:bCs/>
          <w:sz w:val="28"/>
          <w:szCs w:val="28"/>
        </w:rPr>
      </w:pPr>
    </w:p>
    <w:p w:rsidR="00A548CB" w:rsidRDefault="00A548CB" w:rsidP="007C20A7">
      <w:pPr>
        <w:autoSpaceDE w:val="0"/>
        <w:autoSpaceDN w:val="0"/>
        <w:adjustRightInd w:val="0"/>
        <w:spacing w:after="0" w:line="240" w:lineRule="auto"/>
        <w:jc w:val="both"/>
        <w:rPr>
          <w:rFonts w:cs="Times New Roman"/>
          <w:b/>
          <w:bCs/>
          <w:sz w:val="28"/>
          <w:szCs w:val="28"/>
        </w:rPr>
      </w:pPr>
    </w:p>
    <w:p w:rsidR="00466AA2" w:rsidRPr="00466AA2" w:rsidRDefault="00466AA2" w:rsidP="007C20A7">
      <w:pPr>
        <w:autoSpaceDE w:val="0"/>
        <w:autoSpaceDN w:val="0"/>
        <w:adjustRightInd w:val="0"/>
        <w:spacing w:after="0" w:line="240" w:lineRule="auto"/>
        <w:jc w:val="both"/>
        <w:rPr>
          <w:rFonts w:cs="Times New Roman"/>
          <w:b/>
          <w:bCs/>
          <w:sz w:val="28"/>
          <w:szCs w:val="28"/>
        </w:rPr>
      </w:pPr>
      <w:r w:rsidRPr="00466AA2">
        <w:rPr>
          <w:rFonts w:cs="Times New Roman"/>
          <w:b/>
          <w:bCs/>
          <w:sz w:val="28"/>
          <w:szCs w:val="28"/>
        </w:rPr>
        <w:t>Statement 2:</w:t>
      </w:r>
    </w:p>
    <w:p w:rsidR="00466AA2" w:rsidRDefault="00466AA2" w:rsidP="007C20A7">
      <w:pPr>
        <w:autoSpaceDE w:val="0"/>
        <w:autoSpaceDN w:val="0"/>
        <w:adjustRightInd w:val="0"/>
        <w:spacing w:after="0" w:line="240" w:lineRule="auto"/>
        <w:jc w:val="both"/>
        <w:rPr>
          <w:rFonts w:cs="Times New Roman"/>
          <w:sz w:val="24"/>
          <w:szCs w:val="24"/>
        </w:rPr>
      </w:pPr>
      <w:r w:rsidRPr="00A37FC1">
        <w:rPr>
          <w:rFonts w:cs="Times New Roman"/>
          <w:sz w:val="24"/>
          <w:szCs w:val="24"/>
        </w:rPr>
        <w:t>This thesis is the result of my own investigations, except where otherwise stated. Where</w:t>
      </w:r>
      <w:r w:rsidR="009B2F63">
        <w:rPr>
          <w:rFonts w:cs="Times New Roman"/>
          <w:sz w:val="24"/>
          <w:szCs w:val="24"/>
        </w:rPr>
        <w:t xml:space="preserve"> </w:t>
      </w:r>
      <w:r w:rsidRPr="00A37FC1">
        <w:rPr>
          <w:rFonts w:cs="Times New Roman"/>
          <w:sz w:val="24"/>
          <w:szCs w:val="24"/>
        </w:rPr>
        <w:t>correction services have been used, the extent and nature of the correction is clearly marked in</w:t>
      </w:r>
      <w:r w:rsidR="00A37FC1">
        <w:rPr>
          <w:rFonts w:cs="Times New Roman"/>
          <w:sz w:val="24"/>
          <w:szCs w:val="24"/>
        </w:rPr>
        <w:t xml:space="preserve"> </w:t>
      </w:r>
      <w:r w:rsidRPr="00A37FC1">
        <w:rPr>
          <w:rFonts w:cs="Times New Roman"/>
          <w:sz w:val="24"/>
          <w:szCs w:val="24"/>
        </w:rPr>
        <w:t>a footnote(s).</w:t>
      </w:r>
      <w:r w:rsidR="009B2F63">
        <w:rPr>
          <w:rFonts w:cs="Times New Roman"/>
          <w:sz w:val="24"/>
          <w:szCs w:val="24"/>
        </w:rPr>
        <w:t xml:space="preserve"> </w:t>
      </w:r>
      <w:r w:rsidRPr="00A37FC1">
        <w:rPr>
          <w:rFonts w:cs="Times New Roman"/>
          <w:sz w:val="24"/>
          <w:szCs w:val="24"/>
        </w:rPr>
        <w:t>Other sources are acknowledged by footnotes giving explicit references. A bibliography is</w:t>
      </w:r>
      <w:r w:rsidR="009B2F63">
        <w:rPr>
          <w:rFonts w:cs="Times New Roman"/>
          <w:sz w:val="24"/>
          <w:szCs w:val="24"/>
        </w:rPr>
        <w:t xml:space="preserve"> </w:t>
      </w:r>
      <w:r w:rsidRPr="00A37FC1">
        <w:rPr>
          <w:rFonts w:cs="Times New Roman"/>
          <w:sz w:val="24"/>
          <w:szCs w:val="24"/>
        </w:rPr>
        <w:t>appended.</w:t>
      </w:r>
    </w:p>
    <w:p w:rsidR="00466AA2" w:rsidRDefault="00466AA2" w:rsidP="007C20A7">
      <w:pPr>
        <w:autoSpaceDE w:val="0"/>
        <w:autoSpaceDN w:val="0"/>
        <w:adjustRightInd w:val="0"/>
        <w:spacing w:after="0" w:line="240" w:lineRule="auto"/>
        <w:jc w:val="both"/>
        <w:rPr>
          <w:rFonts w:cs="Times New Roman"/>
          <w:sz w:val="24"/>
          <w:szCs w:val="24"/>
        </w:rPr>
      </w:pPr>
      <w:r w:rsidRPr="00A37FC1">
        <w:rPr>
          <w:rFonts w:cs="Times New Roman"/>
          <w:sz w:val="24"/>
          <w:szCs w:val="24"/>
        </w:rPr>
        <w:t xml:space="preserve">Signed </w:t>
      </w:r>
      <w:r w:rsidR="0053631B">
        <w:rPr>
          <w:rFonts w:cs="Times New Roman"/>
          <w:noProof/>
          <w:sz w:val="24"/>
          <w:szCs w:val="24"/>
          <w:lang w:eastAsia="en-GB"/>
        </w:rPr>
        <w:drawing>
          <wp:inline distT="0" distB="0" distL="0" distR="0" wp14:anchorId="7EA84529">
            <wp:extent cx="914400" cy="41465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4400" cy="414655"/>
                    </a:xfrm>
                    <a:prstGeom prst="rect">
                      <a:avLst/>
                    </a:prstGeom>
                    <a:noFill/>
                  </pic:spPr>
                </pic:pic>
              </a:graphicData>
            </a:graphic>
          </wp:inline>
        </w:drawing>
      </w:r>
      <w:r w:rsidRPr="00A37FC1">
        <w:rPr>
          <w:rFonts w:cs="Times New Roman"/>
          <w:sz w:val="24"/>
          <w:szCs w:val="24"/>
        </w:rPr>
        <w:t xml:space="preserve"> (candidate)</w:t>
      </w:r>
    </w:p>
    <w:p w:rsidR="00A919B1" w:rsidRPr="00A37FC1" w:rsidRDefault="00A919B1" w:rsidP="007C20A7">
      <w:pPr>
        <w:autoSpaceDE w:val="0"/>
        <w:autoSpaceDN w:val="0"/>
        <w:adjustRightInd w:val="0"/>
        <w:spacing w:after="0" w:line="240" w:lineRule="auto"/>
        <w:jc w:val="both"/>
        <w:rPr>
          <w:rFonts w:cs="Times New Roman"/>
          <w:sz w:val="24"/>
          <w:szCs w:val="24"/>
        </w:rPr>
      </w:pPr>
    </w:p>
    <w:p w:rsidR="00466AA2" w:rsidRPr="00A37FC1" w:rsidRDefault="00466AA2" w:rsidP="007C20A7">
      <w:pPr>
        <w:autoSpaceDE w:val="0"/>
        <w:autoSpaceDN w:val="0"/>
        <w:adjustRightInd w:val="0"/>
        <w:spacing w:after="0" w:line="240" w:lineRule="auto"/>
        <w:jc w:val="both"/>
        <w:rPr>
          <w:rFonts w:cs="Times New Roman"/>
          <w:sz w:val="24"/>
          <w:szCs w:val="24"/>
        </w:rPr>
      </w:pPr>
      <w:r w:rsidRPr="00A37FC1">
        <w:rPr>
          <w:rFonts w:cs="Times New Roman"/>
          <w:sz w:val="24"/>
          <w:szCs w:val="24"/>
        </w:rPr>
        <w:t>Date</w:t>
      </w:r>
      <w:r w:rsidR="00C60AC8">
        <w:rPr>
          <w:rFonts w:cs="Times New Roman"/>
          <w:sz w:val="24"/>
          <w:szCs w:val="24"/>
        </w:rPr>
        <w:tab/>
        <w:t>05/02/2020</w:t>
      </w:r>
    </w:p>
    <w:p w:rsidR="009B75B7" w:rsidRDefault="009B75B7" w:rsidP="007C20A7">
      <w:pPr>
        <w:autoSpaceDE w:val="0"/>
        <w:autoSpaceDN w:val="0"/>
        <w:adjustRightInd w:val="0"/>
        <w:spacing w:after="0" w:line="240" w:lineRule="auto"/>
        <w:jc w:val="both"/>
        <w:rPr>
          <w:rFonts w:cs="Times New Roman"/>
          <w:b/>
          <w:bCs/>
          <w:sz w:val="28"/>
          <w:szCs w:val="28"/>
        </w:rPr>
      </w:pPr>
    </w:p>
    <w:p w:rsidR="00A548CB" w:rsidRDefault="00A548CB" w:rsidP="007C20A7">
      <w:pPr>
        <w:autoSpaceDE w:val="0"/>
        <w:autoSpaceDN w:val="0"/>
        <w:adjustRightInd w:val="0"/>
        <w:spacing w:after="0" w:line="240" w:lineRule="auto"/>
        <w:jc w:val="both"/>
        <w:rPr>
          <w:rFonts w:cs="Times New Roman"/>
          <w:b/>
          <w:bCs/>
          <w:sz w:val="28"/>
          <w:szCs w:val="28"/>
        </w:rPr>
      </w:pPr>
    </w:p>
    <w:p w:rsidR="00A919B1" w:rsidRDefault="00A919B1">
      <w:pPr>
        <w:rPr>
          <w:rFonts w:cs="Times New Roman"/>
          <w:b/>
          <w:bCs/>
          <w:sz w:val="28"/>
          <w:szCs w:val="28"/>
        </w:rPr>
      </w:pPr>
    </w:p>
    <w:p w:rsidR="00A548CB" w:rsidRDefault="00A548CB" w:rsidP="007C20A7">
      <w:pPr>
        <w:autoSpaceDE w:val="0"/>
        <w:autoSpaceDN w:val="0"/>
        <w:adjustRightInd w:val="0"/>
        <w:spacing w:after="0" w:line="240" w:lineRule="auto"/>
        <w:jc w:val="both"/>
        <w:rPr>
          <w:rFonts w:cs="Times New Roman"/>
          <w:b/>
          <w:bCs/>
          <w:sz w:val="28"/>
          <w:szCs w:val="28"/>
        </w:rPr>
      </w:pPr>
    </w:p>
    <w:p w:rsidR="00466AA2" w:rsidRPr="00466AA2" w:rsidRDefault="00466AA2" w:rsidP="007C20A7">
      <w:pPr>
        <w:autoSpaceDE w:val="0"/>
        <w:autoSpaceDN w:val="0"/>
        <w:adjustRightInd w:val="0"/>
        <w:spacing w:after="0" w:line="240" w:lineRule="auto"/>
        <w:jc w:val="both"/>
        <w:rPr>
          <w:rFonts w:cs="Times New Roman"/>
          <w:b/>
          <w:bCs/>
          <w:sz w:val="28"/>
          <w:szCs w:val="28"/>
        </w:rPr>
      </w:pPr>
      <w:r w:rsidRPr="00466AA2">
        <w:rPr>
          <w:rFonts w:cs="Times New Roman"/>
          <w:b/>
          <w:bCs/>
          <w:sz w:val="28"/>
          <w:szCs w:val="28"/>
        </w:rPr>
        <w:t>Statement 3 (bar):</w:t>
      </w:r>
    </w:p>
    <w:p w:rsidR="00466AA2" w:rsidRDefault="00466AA2" w:rsidP="007C20A7">
      <w:pPr>
        <w:autoSpaceDE w:val="0"/>
        <w:autoSpaceDN w:val="0"/>
        <w:adjustRightInd w:val="0"/>
        <w:spacing w:after="0" w:line="240" w:lineRule="auto"/>
        <w:jc w:val="both"/>
        <w:rPr>
          <w:rFonts w:cs="Times New Roman"/>
          <w:sz w:val="24"/>
          <w:szCs w:val="24"/>
        </w:rPr>
      </w:pPr>
      <w:r w:rsidRPr="00A37FC1">
        <w:rPr>
          <w:rFonts w:cs="Times New Roman"/>
          <w:sz w:val="24"/>
          <w:szCs w:val="24"/>
        </w:rPr>
        <w:t xml:space="preserve">I hereby give consent for my thesis, if accepted, to be </w:t>
      </w:r>
      <w:r w:rsidR="009B2F63">
        <w:rPr>
          <w:rFonts w:cs="Times New Roman"/>
          <w:sz w:val="24"/>
          <w:szCs w:val="24"/>
        </w:rPr>
        <w:t xml:space="preserve">available for photocopying, for </w:t>
      </w:r>
      <w:r w:rsidRPr="00A37FC1">
        <w:rPr>
          <w:rFonts w:cs="Times New Roman"/>
          <w:sz w:val="24"/>
          <w:szCs w:val="24"/>
        </w:rPr>
        <w:t>interlibrary</w:t>
      </w:r>
      <w:r w:rsidR="00A37FC1">
        <w:rPr>
          <w:rFonts w:cs="Times New Roman"/>
          <w:sz w:val="24"/>
          <w:szCs w:val="24"/>
        </w:rPr>
        <w:t xml:space="preserve"> </w:t>
      </w:r>
      <w:r w:rsidRPr="00A37FC1">
        <w:rPr>
          <w:rFonts w:cs="Times New Roman"/>
          <w:sz w:val="24"/>
          <w:szCs w:val="24"/>
        </w:rPr>
        <w:t>loans and for electronic repositories after expiry of a bar on access.</w:t>
      </w:r>
    </w:p>
    <w:p w:rsidR="00466AA2" w:rsidRDefault="00466AA2" w:rsidP="007C20A7">
      <w:pPr>
        <w:autoSpaceDE w:val="0"/>
        <w:autoSpaceDN w:val="0"/>
        <w:adjustRightInd w:val="0"/>
        <w:spacing w:after="0" w:line="240" w:lineRule="auto"/>
        <w:jc w:val="both"/>
        <w:rPr>
          <w:rFonts w:cs="Times New Roman"/>
          <w:sz w:val="24"/>
          <w:szCs w:val="24"/>
        </w:rPr>
      </w:pPr>
      <w:r w:rsidRPr="00A37FC1">
        <w:rPr>
          <w:rFonts w:cs="Times New Roman"/>
          <w:sz w:val="24"/>
          <w:szCs w:val="24"/>
        </w:rPr>
        <w:t xml:space="preserve">Signed </w:t>
      </w:r>
      <w:r w:rsidR="0053631B">
        <w:rPr>
          <w:rFonts w:cs="Times New Roman"/>
          <w:noProof/>
          <w:sz w:val="24"/>
          <w:szCs w:val="24"/>
          <w:lang w:eastAsia="en-GB"/>
        </w:rPr>
        <w:drawing>
          <wp:inline distT="0" distB="0" distL="0" distR="0" wp14:anchorId="4180EDF5">
            <wp:extent cx="914400" cy="414655"/>
            <wp:effectExtent l="0" t="0" r="0" b="444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4400" cy="414655"/>
                    </a:xfrm>
                    <a:prstGeom prst="rect">
                      <a:avLst/>
                    </a:prstGeom>
                    <a:noFill/>
                  </pic:spPr>
                </pic:pic>
              </a:graphicData>
            </a:graphic>
          </wp:inline>
        </w:drawing>
      </w:r>
      <w:r w:rsidRPr="00A37FC1">
        <w:rPr>
          <w:rFonts w:cs="Times New Roman"/>
          <w:sz w:val="24"/>
          <w:szCs w:val="24"/>
        </w:rPr>
        <w:t xml:space="preserve"> (candidate)</w:t>
      </w:r>
    </w:p>
    <w:p w:rsidR="00A919B1" w:rsidRPr="00A37FC1" w:rsidRDefault="00A919B1" w:rsidP="007C20A7">
      <w:pPr>
        <w:autoSpaceDE w:val="0"/>
        <w:autoSpaceDN w:val="0"/>
        <w:adjustRightInd w:val="0"/>
        <w:spacing w:after="0" w:line="240" w:lineRule="auto"/>
        <w:jc w:val="both"/>
        <w:rPr>
          <w:rFonts w:cs="Times New Roman"/>
          <w:sz w:val="24"/>
          <w:szCs w:val="24"/>
        </w:rPr>
      </w:pPr>
    </w:p>
    <w:p w:rsidR="009B75B7" w:rsidRDefault="00466AA2" w:rsidP="002C2B55">
      <w:pPr>
        <w:autoSpaceDE w:val="0"/>
        <w:autoSpaceDN w:val="0"/>
        <w:adjustRightInd w:val="0"/>
        <w:spacing w:after="0" w:line="240" w:lineRule="auto"/>
        <w:jc w:val="both"/>
        <w:rPr>
          <w:rFonts w:cs="Times New Roman"/>
          <w:sz w:val="24"/>
          <w:szCs w:val="24"/>
        </w:rPr>
      </w:pPr>
      <w:r w:rsidRPr="00A37FC1">
        <w:rPr>
          <w:rFonts w:cs="Times New Roman"/>
          <w:sz w:val="24"/>
          <w:szCs w:val="24"/>
        </w:rPr>
        <w:t>Date</w:t>
      </w:r>
      <w:r w:rsidR="00C60AC8">
        <w:rPr>
          <w:rFonts w:cs="Times New Roman"/>
          <w:sz w:val="24"/>
          <w:szCs w:val="24"/>
        </w:rPr>
        <w:tab/>
        <w:t>05/02/2020</w:t>
      </w:r>
    </w:p>
    <w:p w:rsidR="006F6A2E" w:rsidRDefault="006F6A2E" w:rsidP="002C2B55">
      <w:pPr>
        <w:autoSpaceDE w:val="0"/>
        <w:autoSpaceDN w:val="0"/>
        <w:adjustRightInd w:val="0"/>
        <w:spacing w:after="0" w:line="240" w:lineRule="auto"/>
        <w:jc w:val="both"/>
        <w:rPr>
          <w:rFonts w:cs="Times New Roman"/>
          <w:sz w:val="24"/>
          <w:szCs w:val="24"/>
        </w:rPr>
      </w:pPr>
    </w:p>
    <w:p w:rsidR="00A548CB" w:rsidRPr="006F6A2E" w:rsidRDefault="006F6A2E" w:rsidP="00E01A43">
      <w:pPr>
        <w:rPr>
          <w:rFonts w:cs="Times New Roman"/>
          <w:sz w:val="24"/>
          <w:szCs w:val="24"/>
        </w:rPr>
      </w:pPr>
      <w:r>
        <w:rPr>
          <w:rFonts w:cs="Times New Roman"/>
          <w:sz w:val="24"/>
          <w:szCs w:val="24"/>
        </w:rPr>
        <w:br w:type="page"/>
      </w:r>
    </w:p>
    <w:p w:rsidR="00466AA2" w:rsidRDefault="00466AA2" w:rsidP="007C20A7">
      <w:pPr>
        <w:autoSpaceDE w:val="0"/>
        <w:autoSpaceDN w:val="0"/>
        <w:adjustRightInd w:val="0"/>
        <w:spacing w:after="0" w:line="240" w:lineRule="auto"/>
        <w:jc w:val="both"/>
        <w:rPr>
          <w:rFonts w:cs="Times New Roman"/>
          <w:b/>
          <w:bCs/>
          <w:sz w:val="28"/>
          <w:szCs w:val="28"/>
        </w:rPr>
      </w:pPr>
      <w:r w:rsidRPr="00466AA2">
        <w:rPr>
          <w:rFonts w:cs="Times New Roman"/>
          <w:b/>
          <w:bCs/>
          <w:sz w:val="28"/>
          <w:szCs w:val="28"/>
        </w:rPr>
        <w:lastRenderedPageBreak/>
        <w:t>Statement 4:</w:t>
      </w:r>
    </w:p>
    <w:p w:rsidR="00A548CB" w:rsidRDefault="00A548CB" w:rsidP="007C20A7">
      <w:pPr>
        <w:autoSpaceDE w:val="0"/>
        <w:autoSpaceDN w:val="0"/>
        <w:adjustRightInd w:val="0"/>
        <w:spacing w:after="0" w:line="240" w:lineRule="auto"/>
        <w:jc w:val="both"/>
        <w:rPr>
          <w:rFonts w:cs="Times New Roman"/>
          <w:b/>
          <w:bCs/>
          <w:sz w:val="28"/>
          <w:szCs w:val="28"/>
        </w:rPr>
      </w:pPr>
    </w:p>
    <w:p w:rsidR="009B75B7" w:rsidRPr="00466AA2" w:rsidRDefault="009B75B7" w:rsidP="007C20A7">
      <w:pPr>
        <w:autoSpaceDE w:val="0"/>
        <w:autoSpaceDN w:val="0"/>
        <w:adjustRightInd w:val="0"/>
        <w:spacing w:after="0" w:line="240" w:lineRule="auto"/>
        <w:jc w:val="both"/>
        <w:rPr>
          <w:rFonts w:cs="Times New Roman"/>
          <w:b/>
          <w:bCs/>
          <w:sz w:val="28"/>
          <w:szCs w:val="28"/>
        </w:rPr>
      </w:pPr>
    </w:p>
    <w:p w:rsidR="00466AA2" w:rsidRDefault="00466AA2" w:rsidP="007C20A7">
      <w:pPr>
        <w:autoSpaceDE w:val="0"/>
        <w:autoSpaceDN w:val="0"/>
        <w:adjustRightInd w:val="0"/>
        <w:spacing w:after="0" w:line="240" w:lineRule="auto"/>
        <w:jc w:val="both"/>
        <w:rPr>
          <w:rFonts w:cs="Times New Roman"/>
          <w:sz w:val="24"/>
          <w:szCs w:val="24"/>
        </w:rPr>
      </w:pPr>
      <w:r w:rsidRPr="00E8195E">
        <w:rPr>
          <w:rFonts w:cs="Times New Roman"/>
          <w:sz w:val="24"/>
          <w:szCs w:val="24"/>
        </w:rPr>
        <w:t xml:space="preserve">Choose </w:t>
      </w:r>
      <w:r w:rsidRPr="00E8195E">
        <w:rPr>
          <w:rFonts w:cs="Times New Roman"/>
          <w:b/>
          <w:bCs/>
          <w:sz w:val="24"/>
          <w:szCs w:val="24"/>
        </w:rPr>
        <w:t xml:space="preserve">one </w:t>
      </w:r>
      <w:r w:rsidRPr="00E8195E">
        <w:rPr>
          <w:rFonts w:cs="Times New Roman"/>
          <w:sz w:val="24"/>
          <w:szCs w:val="24"/>
        </w:rPr>
        <w:t>of the following options</w:t>
      </w:r>
      <w:r w:rsidR="009B75B7" w:rsidRPr="00E8195E">
        <w:rPr>
          <w:rFonts w:cs="Times New Roman"/>
          <w:sz w:val="24"/>
          <w:szCs w:val="24"/>
        </w:rPr>
        <w:t>:</w:t>
      </w:r>
    </w:p>
    <w:p w:rsidR="00E8195E" w:rsidRDefault="00E8195E" w:rsidP="007C20A7">
      <w:pPr>
        <w:autoSpaceDE w:val="0"/>
        <w:autoSpaceDN w:val="0"/>
        <w:adjustRightInd w:val="0"/>
        <w:spacing w:after="0" w:line="240" w:lineRule="auto"/>
        <w:jc w:val="both"/>
        <w:rPr>
          <w:rFonts w:cs="Times New Roman"/>
          <w:sz w:val="24"/>
          <w:szCs w:val="24"/>
        </w:rPr>
      </w:pPr>
    </w:p>
    <w:p w:rsidR="00E8195E" w:rsidRPr="00E8195E" w:rsidRDefault="00E8195E" w:rsidP="007C20A7">
      <w:pPr>
        <w:autoSpaceDE w:val="0"/>
        <w:autoSpaceDN w:val="0"/>
        <w:adjustRightInd w:val="0"/>
        <w:spacing w:after="0" w:line="240" w:lineRule="auto"/>
        <w:jc w:val="both"/>
        <w:rPr>
          <w:rFonts w:cs="Times New Roman"/>
          <w:sz w:val="24"/>
          <w:szCs w:val="24"/>
        </w:rPr>
      </w:pPr>
    </w:p>
    <w:p w:rsidR="009B75B7" w:rsidRDefault="0065287C" w:rsidP="007C20A7">
      <w:pPr>
        <w:autoSpaceDE w:val="0"/>
        <w:autoSpaceDN w:val="0"/>
        <w:adjustRightInd w:val="0"/>
        <w:spacing w:after="0" w:line="240" w:lineRule="auto"/>
        <w:jc w:val="both"/>
        <w:rPr>
          <w:rFonts w:cs="Times New Roman"/>
          <w:sz w:val="28"/>
          <w:szCs w:val="28"/>
        </w:rPr>
      </w:pPr>
      <w:r>
        <w:rPr>
          <w:rFonts w:cs="Times New Roman"/>
          <w:noProof/>
          <w:sz w:val="28"/>
          <w:szCs w:val="28"/>
          <w:lang w:eastAsia="en-GB"/>
        </w:rPr>
        <w:drawing>
          <wp:inline distT="0" distB="0" distL="0" distR="0">
            <wp:extent cx="5827776" cy="2715496"/>
            <wp:effectExtent l="0" t="0" r="190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rr on access.png"/>
                    <pic:cNvPicPr/>
                  </pic:nvPicPr>
                  <pic:blipFill>
                    <a:blip r:embed="rId11">
                      <a:extLst>
                        <a:ext uri="{28A0092B-C50C-407E-A947-70E740481C1C}">
                          <a14:useLocalDpi xmlns:a14="http://schemas.microsoft.com/office/drawing/2010/main" val="0"/>
                        </a:ext>
                      </a:extLst>
                    </a:blip>
                    <a:stretch>
                      <a:fillRect/>
                    </a:stretch>
                  </pic:blipFill>
                  <pic:spPr>
                    <a:xfrm>
                      <a:off x="0" y="0"/>
                      <a:ext cx="5891845" cy="2745350"/>
                    </a:xfrm>
                    <a:prstGeom prst="rect">
                      <a:avLst/>
                    </a:prstGeom>
                  </pic:spPr>
                </pic:pic>
              </a:graphicData>
            </a:graphic>
          </wp:inline>
        </w:drawing>
      </w:r>
    </w:p>
    <w:p w:rsidR="009B75B7" w:rsidRPr="00466AA2" w:rsidRDefault="009B75B7" w:rsidP="007C20A7">
      <w:pPr>
        <w:autoSpaceDE w:val="0"/>
        <w:autoSpaceDN w:val="0"/>
        <w:adjustRightInd w:val="0"/>
        <w:spacing w:after="0" w:line="240" w:lineRule="auto"/>
        <w:jc w:val="both"/>
        <w:rPr>
          <w:rFonts w:cs="Times New Roman"/>
          <w:sz w:val="28"/>
          <w:szCs w:val="28"/>
        </w:rPr>
      </w:pPr>
    </w:p>
    <w:p w:rsidR="00E8195E" w:rsidRDefault="00E8195E" w:rsidP="007C20A7">
      <w:pPr>
        <w:autoSpaceDE w:val="0"/>
        <w:autoSpaceDN w:val="0"/>
        <w:adjustRightInd w:val="0"/>
        <w:spacing w:after="0" w:line="240" w:lineRule="auto"/>
        <w:jc w:val="both"/>
        <w:rPr>
          <w:rFonts w:cs="Times New Roman"/>
          <w:b/>
          <w:bCs/>
          <w:sz w:val="28"/>
          <w:szCs w:val="28"/>
        </w:rPr>
      </w:pPr>
    </w:p>
    <w:p w:rsidR="00466AA2" w:rsidRDefault="00466AA2" w:rsidP="007C20A7">
      <w:pPr>
        <w:autoSpaceDE w:val="0"/>
        <w:autoSpaceDN w:val="0"/>
        <w:adjustRightInd w:val="0"/>
        <w:spacing w:after="0" w:line="240" w:lineRule="auto"/>
        <w:jc w:val="both"/>
        <w:rPr>
          <w:rFonts w:cs="Times New Roman"/>
          <w:b/>
          <w:bCs/>
          <w:sz w:val="28"/>
          <w:szCs w:val="28"/>
        </w:rPr>
      </w:pPr>
      <w:r w:rsidRPr="00466AA2">
        <w:rPr>
          <w:rFonts w:cs="Times New Roman"/>
          <w:b/>
          <w:bCs/>
          <w:sz w:val="28"/>
          <w:szCs w:val="28"/>
        </w:rPr>
        <w:t>In addition to the above I also agree to the following:</w:t>
      </w:r>
    </w:p>
    <w:p w:rsidR="002C2B55" w:rsidRPr="00466AA2" w:rsidRDefault="002C2B55" w:rsidP="007C20A7">
      <w:pPr>
        <w:autoSpaceDE w:val="0"/>
        <w:autoSpaceDN w:val="0"/>
        <w:adjustRightInd w:val="0"/>
        <w:spacing w:after="0" w:line="240" w:lineRule="auto"/>
        <w:jc w:val="both"/>
        <w:rPr>
          <w:rFonts w:cs="Times New Roman"/>
          <w:b/>
          <w:bCs/>
          <w:sz w:val="28"/>
          <w:szCs w:val="28"/>
        </w:rPr>
      </w:pPr>
    </w:p>
    <w:p w:rsidR="00466AA2" w:rsidRDefault="00466AA2" w:rsidP="007C20A7">
      <w:pPr>
        <w:autoSpaceDE w:val="0"/>
        <w:autoSpaceDN w:val="0"/>
        <w:adjustRightInd w:val="0"/>
        <w:spacing w:after="0" w:line="240" w:lineRule="auto"/>
        <w:jc w:val="both"/>
        <w:rPr>
          <w:rFonts w:cs="Times New Roman"/>
          <w:sz w:val="24"/>
          <w:szCs w:val="24"/>
        </w:rPr>
      </w:pPr>
      <w:r w:rsidRPr="00466AA2">
        <w:rPr>
          <w:rFonts w:cs="Times New Roman"/>
          <w:sz w:val="28"/>
          <w:szCs w:val="28"/>
        </w:rPr>
        <w:t xml:space="preserve">1. </w:t>
      </w:r>
      <w:r w:rsidRPr="009B75B7">
        <w:rPr>
          <w:rFonts w:cs="Times New Roman"/>
          <w:sz w:val="24"/>
          <w:szCs w:val="24"/>
        </w:rPr>
        <w:t>That I am the author or have the authority of the author(s) to make this agreement and</w:t>
      </w:r>
      <w:r w:rsidR="00564854">
        <w:rPr>
          <w:rFonts w:cs="Times New Roman"/>
          <w:sz w:val="24"/>
          <w:szCs w:val="24"/>
        </w:rPr>
        <w:t xml:space="preserve"> </w:t>
      </w:r>
      <w:r w:rsidRPr="009B75B7">
        <w:rPr>
          <w:rFonts w:cs="Times New Roman"/>
          <w:sz w:val="24"/>
          <w:szCs w:val="24"/>
        </w:rPr>
        <w:t>do hereby give Bangor University the right to make available the Work in the way</w:t>
      </w:r>
      <w:r w:rsidR="009B75B7">
        <w:rPr>
          <w:rFonts w:cs="Times New Roman"/>
          <w:sz w:val="24"/>
          <w:szCs w:val="24"/>
        </w:rPr>
        <w:t xml:space="preserve"> </w:t>
      </w:r>
      <w:r w:rsidRPr="009B75B7">
        <w:rPr>
          <w:rFonts w:cs="Times New Roman"/>
          <w:sz w:val="24"/>
          <w:szCs w:val="24"/>
        </w:rPr>
        <w:t>described above.</w:t>
      </w:r>
    </w:p>
    <w:p w:rsidR="00E8195E" w:rsidRPr="009B75B7" w:rsidRDefault="00E8195E" w:rsidP="007C20A7">
      <w:pPr>
        <w:autoSpaceDE w:val="0"/>
        <w:autoSpaceDN w:val="0"/>
        <w:adjustRightInd w:val="0"/>
        <w:spacing w:after="0" w:line="240" w:lineRule="auto"/>
        <w:jc w:val="both"/>
        <w:rPr>
          <w:rFonts w:cs="Times New Roman"/>
          <w:sz w:val="24"/>
          <w:szCs w:val="24"/>
        </w:rPr>
      </w:pPr>
    </w:p>
    <w:p w:rsidR="00466AA2" w:rsidRDefault="00466AA2" w:rsidP="007C20A7">
      <w:pPr>
        <w:autoSpaceDE w:val="0"/>
        <w:autoSpaceDN w:val="0"/>
        <w:adjustRightInd w:val="0"/>
        <w:spacing w:after="0" w:line="240" w:lineRule="auto"/>
        <w:jc w:val="both"/>
        <w:rPr>
          <w:rFonts w:cs="Times New Roman"/>
          <w:sz w:val="24"/>
          <w:szCs w:val="24"/>
        </w:rPr>
      </w:pPr>
      <w:r w:rsidRPr="009B75B7">
        <w:rPr>
          <w:rFonts w:cs="Times New Roman"/>
          <w:sz w:val="24"/>
          <w:szCs w:val="24"/>
        </w:rPr>
        <w:t>2. That the electronic copy of the Work deposited in the digital repository and covered by</w:t>
      </w:r>
      <w:r w:rsidR="00FE78FA">
        <w:rPr>
          <w:rFonts w:cs="Times New Roman"/>
          <w:sz w:val="24"/>
          <w:szCs w:val="24"/>
        </w:rPr>
        <w:t xml:space="preserve"> </w:t>
      </w:r>
      <w:r w:rsidRPr="009B75B7">
        <w:rPr>
          <w:rFonts w:cs="Times New Roman"/>
          <w:sz w:val="24"/>
          <w:szCs w:val="24"/>
        </w:rPr>
        <w:t>this agreement, is identical in content to the paper copy of the Work deposited in the</w:t>
      </w:r>
      <w:r w:rsidR="00FE78FA">
        <w:rPr>
          <w:rFonts w:cs="Times New Roman"/>
          <w:sz w:val="24"/>
          <w:szCs w:val="24"/>
        </w:rPr>
        <w:t xml:space="preserve"> </w:t>
      </w:r>
      <w:r w:rsidRPr="009B75B7">
        <w:rPr>
          <w:rFonts w:cs="Times New Roman"/>
          <w:sz w:val="24"/>
          <w:szCs w:val="24"/>
        </w:rPr>
        <w:t>Bangor University Library, subject to point 4 below.</w:t>
      </w:r>
    </w:p>
    <w:p w:rsidR="00E8195E" w:rsidRPr="009B75B7" w:rsidRDefault="00E8195E" w:rsidP="007C20A7">
      <w:pPr>
        <w:autoSpaceDE w:val="0"/>
        <w:autoSpaceDN w:val="0"/>
        <w:adjustRightInd w:val="0"/>
        <w:spacing w:after="0" w:line="240" w:lineRule="auto"/>
        <w:jc w:val="both"/>
        <w:rPr>
          <w:rFonts w:cs="Times New Roman"/>
          <w:sz w:val="24"/>
          <w:szCs w:val="24"/>
        </w:rPr>
      </w:pPr>
    </w:p>
    <w:p w:rsidR="00466AA2" w:rsidRDefault="00466AA2" w:rsidP="007C20A7">
      <w:pPr>
        <w:autoSpaceDE w:val="0"/>
        <w:autoSpaceDN w:val="0"/>
        <w:adjustRightInd w:val="0"/>
        <w:spacing w:after="0" w:line="240" w:lineRule="auto"/>
        <w:jc w:val="both"/>
        <w:rPr>
          <w:rFonts w:cs="Times New Roman"/>
          <w:sz w:val="24"/>
          <w:szCs w:val="24"/>
        </w:rPr>
      </w:pPr>
      <w:r w:rsidRPr="009B75B7">
        <w:rPr>
          <w:rFonts w:cs="Times New Roman"/>
          <w:sz w:val="24"/>
          <w:szCs w:val="24"/>
        </w:rPr>
        <w:t>3. That I have exercised reasonable care to ensure that the Work is original and, to the best</w:t>
      </w:r>
      <w:r w:rsidR="00FE78FA">
        <w:rPr>
          <w:rFonts w:cs="Times New Roman"/>
          <w:sz w:val="24"/>
          <w:szCs w:val="24"/>
        </w:rPr>
        <w:t xml:space="preserve"> </w:t>
      </w:r>
      <w:r w:rsidRPr="009B75B7">
        <w:rPr>
          <w:rFonts w:cs="Times New Roman"/>
          <w:sz w:val="24"/>
          <w:szCs w:val="24"/>
        </w:rPr>
        <w:t xml:space="preserve">of my knowledge, does not breach any laws </w:t>
      </w:r>
      <w:r w:rsidRPr="009B75B7">
        <w:rPr>
          <w:rFonts w:cs="Times New Roman" w:hint="eastAsia"/>
          <w:sz w:val="24"/>
          <w:szCs w:val="24"/>
        </w:rPr>
        <w:t>–</w:t>
      </w:r>
      <w:r w:rsidRPr="009B75B7">
        <w:rPr>
          <w:rFonts w:cs="Times New Roman"/>
          <w:sz w:val="24"/>
          <w:szCs w:val="24"/>
        </w:rPr>
        <w:t xml:space="preserve"> including those relating to defamation,</w:t>
      </w:r>
      <w:r w:rsidR="00FE78FA">
        <w:rPr>
          <w:rFonts w:cs="Times New Roman"/>
          <w:sz w:val="24"/>
          <w:szCs w:val="24"/>
        </w:rPr>
        <w:t xml:space="preserve"> </w:t>
      </w:r>
      <w:r w:rsidRPr="009B75B7">
        <w:rPr>
          <w:rFonts w:cs="Times New Roman"/>
          <w:sz w:val="24"/>
          <w:szCs w:val="24"/>
        </w:rPr>
        <w:t>libel and copyright.</w:t>
      </w:r>
    </w:p>
    <w:p w:rsidR="00E8195E" w:rsidRPr="009B75B7" w:rsidRDefault="00E8195E" w:rsidP="007C20A7">
      <w:pPr>
        <w:autoSpaceDE w:val="0"/>
        <w:autoSpaceDN w:val="0"/>
        <w:adjustRightInd w:val="0"/>
        <w:spacing w:after="0" w:line="240" w:lineRule="auto"/>
        <w:jc w:val="both"/>
        <w:rPr>
          <w:rFonts w:cs="Times New Roman"/>
          <w:sz w:val="24"/>
          <w:szCs w:val="24"/>
        </w:rPr>
      </w:pPr>
    </w:p>
    <w:p w:rsidR="00466AA2" w:rsidRDefault="00466AA2" w:rsidP="007C20A7">
      <w:pPr>
        <w:autoSpaceDE w:val="0"/>
        <w:autoSpaceDN w:val="0"/>
        <w:adjustRightInd w:val="0"/>
        <w:spacing w:after="0" w:line="240" w:lineRule="auto"/>
        <w:jc w:val="both"/>
        <w:rPr>
          <w:rFonts w:cs="Times New Roman"/>
          <w:sz w:val="24"/>
          <w:szCs w:val="24"/>
        </w:rPr>
      </w:pPr>
      <w:r w:rsidRPr="009B75B7">
        <w:rPr>
          <w:rFonts w:cs="Times New Roman"/>
          <w:sz w:val="24"/>
          <w:szCs w:val="24"/>
        </w:rPr>
        <w:t>4. That I have, in instances where the intellectual property of other authors or copyright</w:t>
      </w:r>
      <w:r w:rsidR="00FE78FA">
        <w:rPr>
          <w:rFonts w:cs="Times New Roman"/>
          <w:sz w:val="24"/>
          <w:szCs w:val="24"/>
        </w:rPr>
        <w:t xml:space="preserve"> </w:t>
      </w:r>
      <w:r w:rsidRPr="009B75B7">
        <w:rPr>
          <w:rFonts w:cs="Times New Roman"/>
          <w:sz w:val="24"/>
          <w:szCs w:val="24"/>
        </w:rPr>
        <w:t>holders is included in the Work, and where appropriate, gained explicit permission for</w:t>
      </w:r>
      <w:r w:rsidR="00FE78FA">
        <w:rPr>
          <w:rFonts w:cs="Times New Roman"/>
          <w:sz w:val="24"/>
          <w:szCs w:val="24"/>
        </w:rPr>
        <w:t xml:space="preserve"> </w:t>
      </w:r>
      <w:r w:rsidRPr="009B75B7">
        <w:rPr>
          <w:rFonts w:cs="Times New Roman"/>
          <w:sz w:val="24"/>
          <w:szCs w:val="24"/>
        </w:rPr>
        <w:t>the inclusion of that material in the Work, and in the electronic form of the Work as</w:t>
      </w:r>
      <w:r w:rsidR="00FE78FA">
        <w:rPr>
          <w:rFonts w:cs="Times New Roman"/>
          <w:sz w:val="24"/>
          <w:szCs w:val="24"/>
        </w:rPr>
        <w:t xml:space="preserve"> </w:t>
      </w:r>
      <w:r w:rsidRPr="009B75B7">
        <w:rPr>
          <w:rFonts w:cs="Times New Roman"/>
          <w:sz w:val="24"/>
          <w:szCs w:val="24"/>
        </w:rPr>
        <w:t xml:space="preserve">accessed through the open access digital repository, </w:t>
      </w:r>
      <w:r w:rsidRPr="009B75B7">
        <w:rPr>
          <w:rFonts w:cs="Times New Roman"/>
          <w:i/>
          <w:iCs/>
          <w:sz w:val="24"/>
          <w:szCs w:val="24"/>
        </w:rPr>
        <w:t xml:space="preserve">or </w:t>
      </w:r>
      <w:r w:rsidRPr="009B75B7">
        <w:rPr>
          <w:rFonts w:cs="Times New Roman"/>
          <w:sz w:val="24"/>
          <w:szCs w:val="24"/>
        </w:rPr>
        <w:t>that I have identified and</w:t>
      </w:r>
      <w:r w:rsidR="00FE78FA">
        <w:rPr>
          <w:rFonts w:cs="Times New Roman"/>
          <w:sz w:val="24"/>
          <w:szCs w:val="24"/>
        </w:rPr>
        <w:t xml:space="preserve"> </w:t>
      </w:r>
      <w:r w:rsidRPr="009B75B7">
        <w:rPr>
          <w:rFonts w:cs="Times New Roman"/>
          <w:sz w:val="24"/>
          <w:szCs w:val="24"/>
        </w:rPr>
        <w:t>removed that material for which adequate and appropriate permission has not been</w:t>
      </w:r>
      <w:r w:rsidR="00FE78FA">
        <w:rPr>
          <w:rFonts w:cs="Times New Roman"/>
          <w:sz w:val="24"/>
          <w:szCs w:val="24"/>
        </w:rPr>
        <w:t xml:space="preserve"> </w:t>
      </w:r>
      <w:r w:rsidRPr="009B75B7">
        <w:rPr>
          <w:rFonts w:cs="Times New Roman"/>
          <w:sz w:val="24"/>
          <w:szCs w:val="24"/>
        </w:rPr>
        <w:t>obtained and which will be inaccessible via the digital repository.</w:t>
      </w:r>
    </w:p>
    <w:p w:rsidR="00E8195E" w:rsidRPr="009B75B7" w:rsidRDefault="00E8195E" w:rsidP="007C20A7">
      <w:pPr>
        <w:autoSpaceDE w:val="0"/>
        <w:autoSpaceDN w:val="0"/>
        <w:adjustRightInd w:val="0"/>
        <w:spacing w:after="0" w:line="240" w:lineRule="auto"/>
        <w:jc w:val="both"/>
        <w:rPr>
          <w:rFonts w:cs="Times New Roman"/>
          <w:sz w:val="24"/>
          <w:szCs w:val="24"/>
        </w:rPr>
      </w:pPr>
    </w:p>
    <w:p w:rsidR="00466AA2" w:rsidRDefault="00466AA2" w:rsidP="007C20A7">
      <w:pPr>
        <w:autoSpaceDE w:val="0"/>
        <w:autoSpaceDN w:val="0"/>
        <w:adjustRightInd w:val="0"/>
        <w:spacing w:after="0" w:line="240" w:lineRule="auto"/>
        <w:jc w:val="both"/>
        <w:rPr>
          <w:rFonts w:cs="Times New Roman"/>
          <w:sz w:val="24"/>
          <w:szCs w:val="24"/>
        </w:rPr>
      </w:pPr>
      <w:r w:rsidRPr="009B75B7">
        <w:rPr>
          <w:rFonts w:cs="Times New Roman"/>
          <w:sz w:val="24"/>
          <w:szCs w:val="24"/>
        </w:rPr>
        <w:lastRenderedPageBreak/>
        <w:t>5. That Bangor University does not hold any obligation to take legal action on behalf of</w:t>
      </w:r>
      <w:r w:rsidR="00FE78FA">
        <w:rPr>
          <w:rFonts w:cs="Times New Roman"/>
          <w:sz w:val="24"/>
          <w:szCs w:val="24"/>
        </w:rPr>
        <w:t xml:space="preserve"> </w:t>
      </w:r>
      <w:r w:rsidRPr="009B75B7">
        <w:rPr>
          <w:rFonts w:cs="Times New Roman"/>
          <w:sz w:val="24"/>
          <w:szCs w:val="24"/>
        </w:rPr>
        <w:t>the Depositor, or other rights holders, in the event of a breach of intellectual property</w:t>
      </w:r>
      <w:r w:rsidR="00FE78FA">
        <w:rPr>
          <w:rFonts w:cs="Times New Roman"/>
          <w:sz w:val="24"/>
          <w:szCs w:val="24"/>
        </w:rPr>
        <w:t xml:space="preserve"> </w:t>
      </w:r>
      <w:r w:rsidRPr="009B75B7">
        <w:rPr>
          <w:rFonts w:cs="Times New Roman"/>
          <w:sz w:val="24"/>
          <w:szCs w:val="24"/>
        </w:rPr>
        <w:t>rights, or any other right, in the material deposited.</w:t>
      </w:r>
    </w:p>
    <w:p w:rsidR="00E8195E" w:rsidRDefault="00E8195E" w:rsidP="007C20A7">
      <w:pPr>
        <w:autoSpaceDE w:val="0"/>
        <w:autoSpaceDN w:val="0"/>
        <w:adjustRightInd w:val="0"/>
        <w:spacing w:after="0" w:line="240" w:lineRule="auto"/>
        <w:jc w:val="both"/>
        <w:rPr>
          <w:rFonts w:cs="Times New Roman"/>
          <w:sz w:val="24"/>
          <w:szCs w:val="24"/>
        </w:rPr>
      </w:pPr>
    </w:p>
    <w:p w:rsidR="00E8195E" w:rsidRPr="009B75B7" w:rsidRDefault="00E8195E" w:rsidP="007C20A7">
      <w:pPr>
        <w:autoSpaceDE w:val="0"/>
        <w:autoSpaceDN w:val="0"/>
        <w:adjustRightInd w:val="0"/>
        <w:spacing w:after="0" w:line="240" w:lineRule="auto"/>
        <w:jc w:val="both"/>
        <w:rPr>
          <w:rFonts w:cs="Times New Roman"/>
          <w:sz w:val="24"/>
          <w:szCs w:val="24"/>
        </w:rPr>
      </w:pPr>
    </w:p>
    <w:p w:rsidR="00466AA2" w:rsidRDefault="00466AA2" w:rsidP="007C20A7">
      <w:pPr>
        <w:autoSpaceDE w:val="0"/>
        <w:autoSpaceDN w:val="0"/>
        <w:adjustRightInd w:val="0"/>
        <w:spacing w:after="0" w:line="240" w:lineRule="auto"/>
        <w:jc w:val="both"/>
        <w:rPr>
          <w:rFonts w:cs="Times New Roman"/>
          <w:sz w:val="24"/>
          <w:szCs w:val="24"/>
        </w:rPr>
      </w:pPr>
      <w:r w:rsidRPr="009B75B7">
        <w:rPr>
          <w:rFonts w:cs="Times New Roman"/>
          <w:sz w:val="24"/>
          <w:szCs w:val="24"/>
        </w:rPr>
        <w:t>6. That I will indemnify and keep indemnified Bangor University and the National Library</w:t>
      </w:r>
      <w:r w:rsidR="00564854">
        <w:rPr>
          <w:rFonts w:cs="Times New Roman"/>
          <w:sz w:val="24"/>
          <w:szCs w:val="24"/>
        </w:rPr>
        <w:t xml:space="preserve"> </w:t>
      </w:r>
      <w:r w:rsidRPr="009B75B7">
        <w:rPr>
          <w:rFonts w:cs="Times New Roman"/>
          <w:sz w:val="24"/>
          <w:szCs w:val="24"/>
        </w:rPr>
        <w:t>of Wales from and against any loss, liability, claim or damage, including without</w:t>
      </w:r>
      <w:r w:rsidR="00564854">
        <w:rPr>
          <w:rFonts w:cs="Times New Roman"/>
          <w:sz w:val="24"/>
          <w:szCs w:val="24"/>
        </w:rPr>
        <w:t xml:space="preserve"> </w:t>
      </w:r>
      <w:r w:rsidRPr="009B75B7">
        <w:rPr>
          <w:rFonts w:cs="Times New Roman"/>
          <w:sz w:val="24"/>
          <w:szCs w:val="24"/>
        </w:rPr>
        <w:t>limitation any related legal fees and court costs (on a full indemnity bases), related to</w:t>
      </w:r>
      <w:r w:rsidR="00564854">
        <w:rPr>
          <w:rFonts w:cs="Times New Roman"/>
          <w:sz w:val="24"/>
          <w:szCs w:val="24"/>
        </w:rPr>
        <w:t xml:space="preserve"> </w:t>
      </w:r>
      <w:r w:rsidRPr="009B75B7">
        <w:rPr>
          <w:rFonts w:cs="Times New Roman"/>
          <w:sz w:val="24"/>
          <w:szCs w:val="24"/>
        </w:rPr>
        <w:t>any breach by myself of any term of this agreement.</w:t>
      </w:r>
    </w:p>
    <w:p w:rsidR="00E8195E" w:rsidRDefault="00E8195E" w:rsidP="007C20A7">
      <w:pPr>
        <w:autoSpaceDE w:val="0"/>
        <w:autoSpaceDN w:val="0"/>
        <w:adjustRightInd w:val="0"/>
        <w:spacing w:after="0" w:line="240" w:lineRule="auto"/>
        <w:jc w:val="both"/>
        <w:rPr>
          <w:rFonts w:cs="Times New Roman"/>
          <w:sz w:val="24"/>
          <w:szCs w:val="24"/>
        </w:rPr>
      </w:pPr>
    </w:p>
    <w:p w:rsidR="00466AA2" w:rsidRDefault="00466AA2" w:rsidP="007C20A7">
      <w:pPr>
        <w:autoSpaceDE w:val="0"/>
        <w:autoSpaceDN w:val="0"/>
        <w:adjustRightInd w:val="0"/>
        <w:spacing w:after="0" w:line="240" w:lineRule="auto"/>
        <w:jc w:val="both"/>
        <w:rPr>
          <w:rFonts w:cs="Times New Roman"/>
          <w:sz w:val="24"/>
          <w:szCs w:val="24"/>
        </w:rPr>
      </w:pPr>
      <w:r w:rsidRPr="009B75B7">
        <w:rPr>
          <w:rFonts w:cs="Times New Roman"/>
          <w:sz w:val="24"/>
          <w:szCs w:val="24"/>
        </w:rPr>
        <w:t xml:space="preserve">Signature: </w:t>
      </w:r>
      <w:r w:rsidR="0053631B">
        <w:rPr>
          <w:rFonts w:cs="Times New Roman"/>
          <w:noProof/>
          <w:sz w:val="24"/>
          <w:szCs w:val="24"/>
          <w:lang w:eastAsia="en-GB"/>
        </w:rPr>
        <w:drawing>
          <wp:inline distT="0" distB="0" distL="0" distR="0" wp14:anchorId="37C95D38" wp14:editId="430A0396">
            <wp:extent cx="912804" cy="415326"/>
            <wp:effectExtent l="0" t="0" r="1905"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MP Signature BEST use SMALL.png"/>
                    <pic:cNvPicPr/>
                  </pic:nvPicPr>
                  <pic:blipFill>
                    <a:blip r:embed="rId9">
                      <a:extLst>
                        <a:ext uri="{28A0092B-C50C-407E-A947-70E740481C1C}">
                          <a14:useLocalDpi xmlns:a14="http://schemas.microsoft.com/office/drawing/2010/main" val="0"/>
                        </a:ext>
                      </a:extLst>
                    </a:blip>
                    <a:stretch>
                      <a:fillRect/>
                    </a:stretch>
                  </pic:blipFill>
                  <pic:spPr>
                    <a:xfrm>
                      <a:off x="0" y="0"/>
                      <a:ext cx="938229" cy="426894"/>
                    </a:xfrm>
                    <a:prstGeom prst="rect">
                      <a:avLst/>
                    </a:prstGeom>
                  </pic:spPr>
                </pic:pic>
              </a:graphicData>
            </a:graphic>
          </wp:inline>
        </w:drawing>
      </w:r>
      <w:r w:rsidRPr="009B75B7">
        <w:rPr>
          <w:rFonts w:cs="Times New Roman"/>
          <w:sz w:val="24"/>
          <w:szCs w:val="24"/>
        </w:rPr>
        <w:t xml:space="preserve"> </w:t>
      </w:r>
      <w:r w:rsidR="00E8195E">
        <w:rPr>
          <w:rFonts w:cs="Times New Roman"/>
          <w:sz w:val="24"/>
          <w:szCs w:val="24"/>
        </w:rPr>
        <w:t xml:space="preserve">  </w:t>
      </w:r>
      <w:r w:rsidRPr="009B75B7">
        <w:rPr>
          <w:rFonts w:cs="Times New Roman"/>
          <w:sz w:val="24"/>
          <w:szCs w:val="24"/>
        </w:rPr>
        <w:t xml:space="preserve">Date </w:t>
      </w:r>
      <w:r w:rsidR="00C60AC8">
        <w:rPr>
          <w:rFonts w:cs="Times New Roman"/>
          <w:sz w:val="24"/>
          <w:szCs w:val="24"/>
        </w:rPr>
        <w:tab/>
        <w:t>05/02/2020</w:t>
      </w:r>
    </w:p>
    <w:p w:rsidR="00B170BC" w:rsidRPr="009B75B7" w:rsidRDefault="00B170BC" w:rsidP="007C20A7">
      <w:pPr>
        <w:autoSpaceDE w:val="0"/>
        <w:autoSpaceDN w:val="0"/>
        <w:adjustRightInd w:val="0"/>
        <w:spacing w:after="0" w:line="240" w:lineRule="auto"/>
        <w:jc w:val="both"/>
        <w:rPr>
          <w:rFonts w:cs="Times New Roman"/>
          <w:sz w:val="24"/>
          <w:szCs w:val="24"/>
        </w:rPr>
      </w:pPr>
    </w:p>
    <w:p w:rsidR="00443D48" w:rsidRDefault="00443D48">
      <w:pPr>
        <w:rPr>
          <w:rFonts w:cs="Times New Roman"/>
          <w:sz w:val="28"/>
          <w:szCs w:val="28"/>
        </w:rPr>
      </w:pPr>
      <w:r>
        <w:rPr>
          <w:rFonts w:cs="Times New Roman"/>
          <w:sz w:val="28"/>
          <w:szCs w:val="28"/>
        </w:rPr>
        <w:br w:type="page"/>
      </w:r>
    </w:p>
    <w:p w:rsidR="00076014" w:rsidRPr="00E15410" w:rsidRDefault="00076014" w:rsidP="000F0253">
      <w:pPr>
        <w:autoSpaceDE w:val="0"/>
        <w:autoSpaceDN w:val="0"/>
        <w:adjustRightInd w:val="0"/>
        <w:spacing w:after="0" w:line="240" w:lineRule="auto"/>
        <w:rPr>
          <w:rFonts w:cs="Cambria-Bold"/>
          <w:b/>
          <w:bCs/>
          <w:sz w:val="36"/>
          <w:szCs w:val="36"/>
        </w:rPr>
      </w:pPr>
      <w:r w:rsidRPr="00E15410">
        <w:rPr>
          <w:rFonts w:cs="Cambria-Bold"/>
          <w:b/>
          <w:bCs/>
          <w:sz w:val="36"/>
          <w:szCs w:val="36"/>
        </w:rPr>
        <w:lastRenderedPageBreak/>
        <w:t>Dedication</w:t>
      </w:r>
    </w:p>
    <w:p w:rsidR="00076014" w:rsidRDefault="00076014" w:rsidP="000F0253">
      <w:pPr>
        <w:autoSpaceDE w:val="0"/>
        <w:autoSpaceDN w:val="0"/>
        <w:adjustRightInd w:val="0"/>
        <w:spacing w:after="0" w:line="240" w:lineRule="auto"/>
        <w:rPr>
          <w:rFonts w:ascii="Cambria-Bold" w:hAnsi="Cambria-Bold" w:cs="Cambria-Bold"/>
          <w:b/>
          <w:bCs/>
          <w:sz w:val="36"/>
          <w:szCs w:val="36"/>
        </w:rPr>
      </w:pPr>
    </w:p>
    <w:p w:rsidR="00C97381" w:rsidRDefault="00C97381" w:rsidP="000F0253">
      <w:pPr>
        <w:autoSpaceDE w:val="0"/>
        <w:autoSpaceDN w:val="0"/>
        <w:adjustRightInd w:val="0"/>
        <w:spacing w:after="0" w:line="240" w:lineRule="auto"/>
        <w:rPr>
          <w:rFonts w:ascii="Cambria-Bold" w:hAnsi="Cambria-Bold" w:cs="Cambria-Bold"/>
          <w:b/>
          <w:bCs/>
          <w:sz w:val="36"/>
          <w:szCs w:val="36"/>
        </w:rPr>
      </w:pPr>
    </w:p>
    <w:p w:rsidR="00C97381" w:rsidRDefault="00C97381" w:rsidP="000F0253">
      <w:pPr>
        <w:autoSpaceDE w:val="0"/>
        <w:autoSpaceDN w:val="0"/>
        <w:adjustRightInd w:val="0"/>
        <w:spacing w:after="0" w:line="240" w:lineRule="auto"/>
        <w:rPr>
          <w:rFonts w:ascii="Cambria-Bold" w:hAnsi="Cambria-Bold" w:cs="Cambria-Bold"/>
          <w:b/>
          <w:bCs/>
          <w:sz w:val="36"/>
          <w:szCs w:val="36"/>
        </w:rPr>
      </w:pPr>
    </w:p>
    <w:p w:rsidR="00C97381" w:rsidRDefault="00C97381" w:rsidP="000F0253">
      <w:pPr>
        <w:autoSpaceDE w:val="0"/>
        <w:autoSpaceDN w:val="0"/>
        <w:adjustRightInd w:val="0"/>
        <w:spacing w:after="0" w:line="240" w:lineRule="auto"/>
        <w:rPr>
          <w:rFonts w:ascii="Cambria-Bold" w:hAnsi="Cambria-Bold" w:cs="Cambria-Bold"/>
          <w:b/>
          <w:bCs/>
          <w:sz w:val="36"/>
          <w:szCs w:val="36"/>
        </w:rPr>
      </w:pPr>
    </w:p>
    <w:p w:rsidR="00076014" w:rsidRDefault="004A15A2" w:rsidP="000F0253">
      <w:pPr>
        <w:autoSpaceDE w:val="0"/>
        <w:autoSpaceDN w:val="0"/>
        <w:adjustRightInd w:val="0"/>
        <w:spacing w:after="0" w:line="240" w:lineRule="auto"/>
        <w:rPr>
          <w:rFonts w:cstheme="minorHAnsi"/>
          <w:bCs/>
          <w:i/>
          <w:sz w:val="32"/>
          <w:szCs w:val="32"/>
        </w:rPr>
      </w:pPr>
      <w:r w:rsidRPr="004A15A2">
        <w:rPr>
          <w:rFonts w:cstheme="minorHAnsi"/>
          <w:bCs/>
          <w:i/>
          <w:sz w:val="32"/>
          <w:szCs w:val="32"/>
        </w:rPr>
        <w:t>To my parents for their endless support</w:t>
      </w:r>
      <w:r w:rsidR="002B04ED">
        <w:rPr>
          <w:rFonts w:cstheme="minorHAnsi"/>
          <w:bCs/>
          <w:i/>
          <w:sz w:val="32"/>
          <w:szCs w:val="32"/>
        </w:rPr>
        <w:t xml:space="preserve"> and encouragement</w:t>
      </w:r>
      <w:r w:rsidRPr="004A15A2">
        <w:rPr>
          <w:rFonts w:cstheme="minorHAnsi"/>
          <w:bCs/>
          <w:i/>
          <w:sz w:val="32"/>
          <w:szCs w:val="32"/>
        </w:rPr>
        <w:t>.</w:t>
      </w:r>
    </w:p>
    <w:p w:rsidR="00033B53" w:rsidRDefault="00033B53" w:rsidP="000F0253">
      <w:pPr>
        <w:autoSpaceDE w:val="0"/>
        <w:autoSpaceDN w:val="0"/>
        <w:adjustRightInd w:val="0"/>
        <w:spacing w:after="0" w:line="240" w:lineRule="auto"/>
        <w:rPr>
          <w:rFonts w:cstheme="minorHAnsi"/>
          <w:bCs/>
          <w:i/>
          <w:sz w:val="32"/>
          <w:szCs w:val="32"/>
        </w:rPr>
      </w:pPr>
    </w:p>
    <w:p w:rsidR="00033B53" w:rsidRDefault="00033B53" w:rsidP="000F0253">
      <w:pPr>
        <w:autoSpaceDE w:val="0"/>
        <w:autoSpaceDN w:val="0"/>
        <w:adjustRightInd w:val="0"/>
        <w:spacing w:after="0" w:line="240" w:lineRule="auto"/>
        <w:rPr>
          <w:rFonts w:cstheme="minorHAnsi"/>
          <w:bCs/>
          <w:i/>
          <w:sz w:val="32"/>
          <w:szCs w:val="32"/>
        </w:rPr>
      </w:pPr>
      <w:r>
        <w:rPr>
          <w:rFonts w:cstheme="minorHAnsi"/>
          <w:bCs/>
          <w:i/>
          <w:sz w:val="32"/>
          <w:szCs w:val="32"/>
        </w:rPr>
        <w:t xml:space="preserve">To Karin for </w:t>
      </w:r>
      <w:r w:rsidR="00397FCB">
        <w:rPr>
          <w:rFonts w:cstheme="minorHAnsi"/>
          <w:bCs/>
          <w:i/>
          <w:sz w:val="32"/>
          <w:szCs w:val="32"/>
        </w:rPr>
        <w:t xml:space="preserve">her </w:t>
      </w:r>
      <w:r>
        <w:rPr>
          <w:rFonts w:cstheme="minorHAnsi"/>
          <w:bCs/>
          <w:i/>
          <w:sz w:val="32"/>
          <w:szCs w:val="32"/>
        </w:rPr>
        <w:t>inspiration and guidance.</w:t>
      </w:r>
    </w:p>
    <w:p w:rsidR="00033B53" w:rsidRDefault="00033B53" w:rsidP="000F0253">
      <w:pPr>
        <w:autoSpaceDE w:val="0"/>
        <w:autoSpaceDN w:val="0"/>
        <w:adjustRightInd w:val="0"/>
        <w:spacing w:after="0" w:line="240" w:lineRule="auto"/>
        <w:rPr>
          <w:rFonts w:cstheme="minorHAnsi"/>
          <w:bCs/>
          <w:i/>
          <w:sz w:val="32"/>
          <w:szCs w:val="32"/>
        </w:rPr>
      </w:pPr>
    </w:p>
    <w:p w:rsidR="00033B53" w:rsidRPr="004A15A2" w:rsidRDefault="00033B53" w:rsidP="000F0253">
      <w:pPr>
        <w:autoSpaceDE w:val="0"/>
        <w:autoSpaceDN w:val="0"/>
        <w:adjustRightInd w:val="0"/>
        <w:spacing w:after="0" w:line="240" w:lineRule="auto"/>
        <w:rPr>
          <w:rFonts w:cstheme="minorHAnsi"/>
          <w:bCs/>
          <w:i/>
          <w:sz w:val="32"/>
          <w:szCs w:val="32"/>
        </w:rPr>
      </w:pPr>
      <w:r>
        <w:rPr>
          <w:rFonts w:cstheme="minorHAnsi"/>
          <w:bCs/>
          <w:i/>
          <w:sz w:val="32"/>
          <w:szCs w:val="32"/>
        </w:rPr>
        <w:t>To Elise may this insp</w:t>
      </w:r>
      <w:r w:rsidR="00743942">
        <w:rPr>
          <w:rFonts w:cstheme="minorHAnsi"/>
          <w:bCs/>
          <w:i/>
          <w:sz w:val="32"/>
          <w:szCs w:val="32"/>
        </w:rPr>
        <w:t>ire you to continue to have high aims in life.</w:t>
      </w:r>
    </w:p>
    <w:p w:rsidR="00443D48" w:rsidRDefault="00443D48">
      <w:pPr>
        <w:rPr>
          <w:rFonts w:ascii="Cambria-Bold" w:hAnsi="Cambria-Bold" w:cs="Cambria-Bold"/>
          <w:b/>
          <w:bCs/>
          <w:sz w:val="36"/>
          <w:szCs w:val="36"/>
        </w:rPr>
      </w:pPr>
      <w:r>
        <w:rPr>
          <w:rFonts w:ascii="Cambria-Bold" w:hAnsi="Cambria-Bold" w:cs="Cambria-Bold"/>
          <w:b/>
          <w:bCs/>
          <w:sz w:val="36"/>
          <w:szCs w:val="36"/>
        </w:rPr>
        <w:br w:type="page"/>
      </w:r>
    </w:p>
    <w:p w:rsidR="00076014" w:rsidRPr="00E15410" w:rsidRDefault="00076014" w:rsidP="000F0253">
      <w:pPr>
        <w:autoSpaceDE w:val="0"/>
        <w:autoSpaceDN w:val="0"/>
        <w:adjustRightInd w:val="0"/>
        <w:spacing w:after="0" w:line="240" w:lineRule="auto"/>
        <w:rPr>
          <w:rFonts w:cs="Cambria-Bold"/>
          <w:b/>
          <w:bCs/>
          <w:sz w:val="36"/>
          <w:szCs w:val="36"/>
        </w:rPr>
      </w:pPr>
      <w:r w:rsidRPr="00E15410">
        <w:rPr>
          <w:rFonts w:cs="Cambria-Bold"/>
          <w:b/>
          <w:bCs/>
          <w:sz w:val="36"/>
          <w:szCs w:val="36"/>
        </w:rPr>
        <w:lastRenderedPageBreak/>
        <w:t>Acknowledgments</w:t>
      </w:r>
    </w:p>
    <w:p w:rsidR="00443D48" w:rsidRPr="00D2681B" w:rsidRDefault="00443D48" w:rsidP="00443D48">
      <w:pPr>
        <w:autoSpaceDE w:val="0"/>
        <w:autoSpaceDN w:val="0"/>
        <w:adjustRightInd w:val="0"/>
        <w:spacing w:after="0" w:line="360" w:lineRule="auto"/>
        <w:jc w:val="both"/>
        <w:rPr>
          <w:rFonts w:ascii="Cambria-Bold" w:hAnsi="Cambria-Bold" w:cs="Cambria-Bold"/>
          <w:b/>
          <w:bCs/>
          <w:sz w:val="44"/>
          <w:szCs w:val="44"/>
        </w:rPr>
      </w:pPr>
    </w:p>
    <w:p w:rsidR="00443D48" w:rsidRDefault="00443D48" w:rsidP="00443D48">
      <w:pPr>
        <w:autoSpaceDE w:val="0"/>
        <w:autoSpaceDN w:val="0"/>
        <w:adjustRightInd w:val="0"/>
        <w:spacing w:after="0" w:line="360" w:lineRule="auto"/>
        <w:ind w:firstLine="360"/>
        <w:jc w:val="both"/>
        <w:rPr>
          <w:rFonts w:cstheme="minorHAnsi"/>
          <w:sz w:val="24"/>
          <w:szCs w:val="24"/>
        </w:rPr>
      </w:pPr>
      <w:r w:rsidRPr="00D2681B">
        <w:rPr>
          <w:rFonts w:cstheme="minorHAnsi"/>
          <w:sz w:val="24"/>
          <w:szCs w:val="24"/>
        </w:rPr>
        <w:t>I would like to express my special appreciation and deepest gra</w:t>
      </w:r>
      <w:r>
        <w:rPr>
          <w:rFonts w:cstheme="minorHAnsi"/>
          <w:sz w:val="24"/>
          <w:szCs w:val="24"/>
        </w:rPr>
        <w:t>titude to my supervisor Dr Lorrie Murphy</w:t>
      </w:r>
      <w:r w:rsidRPr="00D2681B">
        <w:rPr>
          <w:rFonts w:cstheme="minorHAnsi"/>
          <w:sz w:val="24"/>
          <w:szCs w:val="24"/>
        </w:rPr>
        <w:t xml:space="preserve"> </w:t>
      </w:r>
      <w:r>
        <w:rPr>
          <w:rFonts w:cstheme="minorHAnsi"/>
          <w:sz w:val="24"/>
          <w:szCs w:val="24"/>
        </w:rPr>
        <w:t xml:space="preserve">and chair, Dr Martina Lahmann, </w:t>
      </w:r>
      <w:r w:rsidRPr="00D2681B">
        <w:rPr>
          <w:rFonts w:cstheme="minorHAnsi"/>
          <w:sz w:val="24"/>
          <w:szCs w:val="24"/>
        </w:rPr>
        <w:t xml:space="preserve">for </w:t>
      </w:r>
      <w:r>
        <w:rPr>
          <w:rFonts w:cstheme="minorHAnsi"/>
          <w:sz w:val="24"/>
          <w:szCs w:val="24"/>
        </w:rPr>
        <w:t>t</w:t>
      </w:r>
      <w:r w:rsidRPr="00D2681B">
        <w:rPr>
          <w:rFonts w:cstheme="minorHAnsi"/>
          <w:sz w:val="24"/>
          <w:szCs w:val="24"/>
        </w:rPr>
        <w:t>he</w:t>
      </w:r>
      <w:r>
        <w:rPr>
          <w:rFonts w:cstheme="minorHAnsi"/>
          <w:sz w:val="24"/>
          <w:szCs w:val="24"/>
        </w:rPr>
        <w:t>i</w:t>
      </w:r>
      <w:r w:rsidRPr="00D2681B">
        <w:rPr>
          <w:rFonts w:cstheme="minorHAnsi"/>
          <w:sz w:val="24"/>
          <w:szCs w:val="24"/>
        </w:rPr>
        <w:t xml:space="preserve">r </w:t>
      </w:r>
      <w:r>
        <w:rPr>
          <w:rFonts w:cstheme="minorHAnsi"/>
          <w:sz w:val="24"/>
          <w:szCs w:val="24"/>
        </w:rPr>
        <w:t>fantastic</w:t>
      </w:r>
      <w:r w:rsidRPr="00D2681B">
        <w:rPr>
          <w:rFonts w:cstheme="minorHAnsi"/>
          <w:sz w:val="24"/>
          <w:szCs w:val="24"/>
        </w:rPr>
        <w:t xml:space="preserve"> support and </w:t>
      </w:r>
      <w:r w:rsidR="00E31630">
        <w:rPr>
          <w:rFonts w:cstheme="minorHAnsi"/>
          <w:sz w:val="24"/>
          <w:szCs w:val="24"/>
        </w:rPr>
        <w:t>constructive</w:t>
      </w:r>
      <w:r w:rsidRPr="00D2681B">
        <w:rPr>
          <w:rFonts w:cstheme="minorHAnsi"/>
          <w:sz w:val="24"/>
          <w:szCs w:val="24"/>
        </w:rPr>
        <w:t xml:space="preserve"> criticism durin</w:t>
      </w:r>
      <w:r>
        <w:rPr>
          <w:rFonts w:cstheme="minorHAnsi"/>
          <w:sz w:val="24"/>
          <w:szCs w:val="24"/>
        </w:rPr>
        <w:t>g my PhD study</w:t>
      </w:r>
      <w:r w:rsidRPr="00D2681B">
        <w:rPr>
          <w:rFonts w:cstheme="minorHAnsi"/>
          <w:sz w:val="24"/>
          <w:szCs w:val="24"/>
        </w:rPr>
        <w:t xml:space="preserve">. I would also like to thank you for </w:t>
      </w:r>
      <w:r>
        <w:rPr>
          <w:rFonts w:cstheme="minorHAnsi"/>
          <w:sz w:val="24"/>
          <w:szCs w:val="24"/>
        </w:rPr>
        <w:t>your necessary intervention and helping me get across the finishing line</w:t>
      </w:r>
      <w:r w:rsidRPr="00D2681B">
        <w:rPr>
          <w:rFonts w:cstheme="minorHAnsi"/>
          <w:sz w:val="24"/>
          <w:szCs w:val="24"/>
        </w:rPr>
        <w:t>. Your advice on</w:t>
      </w:r>
      <w:r>
        <w:rPr>
          <w:rFonts w:cstheme="minorHAnsi"/>
          <w:sz w:val="24"/>
          <w:szCs w:val="24"/>
        </w:rPr>
        <w:t xml:space="preserve"> both research as well as writing structure and style have been priceless. </w:t>
      </w:r>
      <w:r w:rsidRPr="00D2681B">
        <w:rPr>
          <w:rFonts w:cstheme="minorHAnsi"/>
          <w:sz w:val="24"/>
          <w:szCs w:val="24"/>
        </w:rPr>
        <w:t>I would also like to extend my sincerest gratitude and ackno</w:t>
      </w:r>
      <w:r>
        <w:rPr>
          <w:rFonts w:cstheme="minorHAnsi"/>
          <w:sz w:val="24"/>
          <w:szCs w:val="24"/>
        </w:rPr>
        <w:t xml:space="preserve">wledge the following people and </w:t>
      </w:r>
      <w:r w:rsidRPr="00D2681B">
        <w:rPr>
          <w:rFonts w:cstheme="minorHAnsi"/>
          <w:sz w:val="24"/>
          <w:szCs w:val="24"/>
        </w:rPr>
        <w:t>groups who assisted me in different ways in the completion of these studies:</w:t>
      </w:r>
    </w:p>
    <w:p w:rsidR="00443D48" w:rsidRDefault="00443D48" w:rsidP="00443D48">
      <w:pPr>
        <w:autoSpaceDE w:val="0"/>
        <w:autoSpaceDN w:val="0"/>
        <w:adjustRightInd w:val="0"/>
        <w:spacing w:after="0" w:line="360" w:lineRule="auto"/>
        <w:jc w:val="both"/>
        <w:rPr>
          <w:rFonts w:cstheme="minorHAnsi"/>
          <w:sz w:val="24"/>
          <w:szCs w:val="24"/>
        </w:rPr>
      </w:pP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Dr Karin Lanthaler – my partner. For hours of discussion, proof reading, top quality guidance and acting as my informal PhD supervisor. Your patience and commitment has been supernal.</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 xml:space="preserve">Mr Bryn Jones – my secondary school chemistry teacher who inspired me and believed in me. He taught me how to enjoy learning. </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Mr Simon Shaw – the consultant neurosurgeon who saved my life 5 years ago. Without you and your team this thesis would not have happened.</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Mr I.</w:t>
      </w:r>
      <w:r w:rsidR="003E2059">
        <w:rPr>
          <w:rFonts w:cstheme="minorHAnsi"/>
          <w:sz w:val="24"/>
          <w:szCs w:val="24"/>
        </w:rPr>
        <w:t xml:space="preserve"> </w:t>
      </w:r>
      <w:r>
        <w:rPr>
          <w:rFonts w:cstheme="minorHAnsi"/>
          <w:sz w:val="24"/>
          <w:szCs w:val="24"/>
        </w:rPr>
        <w:t>A.</w:t>
      </w:r>
      <w:r w:rsidR="003E2059">
        <w:rPr>
          <w:rFonts w:cstheme="minorHAnsi"/>
          <w:sz w:val="24"/>
          <w:szCs w:val="24"/>
        </w:rPr>
        <w:t xml:space="preserve"> </w:t>
      </w:r>
      <w:r>
        <w:rPr>
          <w:rFonts w:cstheme="minorHAnsi"/>
          <w:sz w:val="24"/>
          <w:szCs w:val="24"/>
        </w:rPr>
        <w:t>I. Potter – my dad, for endlessly inspiring me.</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Mrs D.</w:t>
      </w:r>
      <w:r w:rsidR="003E2059">
        <w:rPr>
          <w:rFonts w:cstheme="minorHAnsi"/>
          <w:sz w:val="24"/>
          <w:szCs w:val="24"/>
        </w:rPr>
        <w:t xml:space="preserve"> </w:t>
      </w:r>
      <w:r>
        <w:rPr>
          <w:rFonts w:cstheme="minorHAnsi"/>
          <w:sz w:val="24"/>
          <w:szCs w:val="24"/>
        </w:rPr>
        <w:t>L. Potter – my mum, for seeing the importance of education and creating the space needed to learn in my own way.</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 xml:space="preserve">E.S. Potter – my daughter. For being there for me. A strong soul for sure. Your </w:t>
      </w:r>
      <w:r w:rsidRPr="00D3154F">
        <w:rPr>
          <w:rFonts w:cstheme="minorHAnsi"/>
          <w:sz w:val="24"/>
          <w:szCs w:val="24"/>
        </w:rPr>
        <w:t>tenacity</w:t>
      </w:r>
      <w:r>
        <w:rPr>
          <w:rFonts w:cstheme="minorHAnsi"/>
          <w:sz w:val="24"/>
          <w:szCs w:val="24"/>
        </w:rPr>
        <w:t xml:space="preserve"> has always been an inspiration.</w:t>
      </w:r>
    </w:p>
    <w:p w:rsidR="003E2059" w:rsidRDefault="00443D48" w:rsidP="003E2059">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 xml:space="preserve">Dr </w:t>
      </w:r>
      <w:r w:rsidRPr="00A44A21">
        <w:rPr>
          <w:rFonts w:cstheme="minorHAnsi"/>
          <w:sz w:val="24"/>
          <w:szCs w:val="24"/>
        </w:rPr>
        <w:t>Jim McGregor</w:t>
      </w:r>
      <w:r>
        <w:rPr>
          <w:rFonts w:cstheme="minorHAnsi"/>
          <w:sz w:val="24"/>
          <w:szCs w:val="24"/>
        </w:rPr>
        <w:t xml:space="preserve"> – my godfather and research biochemist, Strathclyde University. His passion for science sparked my interest in biochemistry from an early age.</w:t>
      </w:r>
    </w:p>
    <w:p w:rsidR="003E2059" w:rsidRPr="003E2059" w:rsidRDefault="003E2059" w:rsidP="003E2059">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 xml:space="preserve">P. J. Potter &amp; S. M. Potter – my brothers. </w:t>
      </w:r>
      <w:r w:rsidR="00265637">
        <w:rPr>
          <w:rFonts w:cstheme="minorHAnsi"/>
          <w:sz w:val="24"/>
          <w:szCs w:val="24"/>
        </w:rPr>
        <w:t>They kindled my fighting spirit.</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Dr Bernhard Poschner – the Waters specialist who took his time to answer the myriad of questions I bombarded him with.</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The Centre for Environmental Biotechnology, Bangor University – for allowing access to our fantastic facility.</w:t>
      </w:r>
      <w:r w:rsidR="00745A47">
        <w:rPr>
          <w:rFonts w:cstheme="minorHAnsi"/>
          <w:sz w:val="24"/>
          <w:szCs w:val="24"/>
        </w:rPr>
        <w:t xml:space="preserve"> Long may this provide a platform for high quality research at Bangor </w:t>
      </w:r>
      <w:proofErr w:type="gramStart"/>
      <w:r w:rsidR="001D21B5">
        <w:rPr>
          <w:rFonts w:cstheme="minorHAnsi"/>
          <w:sz w:val="24"/>
          <w:szCs w:val="24"/>
        </w:rPr>
        <w:t>University.</w:t>
      </w:r>
      <w:proofErr w:type="gramEnd"/>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lastRenderedPageBreak/>
        <w:t>Waters UK Ltd. – Their support was beyond anything I expected. I have become a self-appointed ambassador of this company. Excellent customer support. Thank you Mark Beaton, Rob Lawrence, Caitlyn Da Costa, Steve Groom and anyone I’ve missed.</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sidRPr="00976720">
        <w:rPr>
          <w:rFonts w:cstheme="minorHAnsi"/>
          <w:sz w:val="24"/>
          <w:szCs w:val="24"/>
        </w:rPr>
        <w:t xml:space="preserve">Nonlinear Dynamics </w:t>
      </w:r>
      <w:r>
        <w:rPr>
          <w:rFonts w:cstheme="minorHAnsi"/>
          <w:sz w:val="24"/>
          <w:szCs w:val="24"/>
        </w:rPr>
        <w:t xml:space="preserve">(UK) – </w:t>
      </w:r>
      <w:r w:rsidRPr="003638C0">
        <w:rPr>
          <w:rFonts w:cstheme="minorHAnsi"/>
          <w:sz w:val="24"/>
          <w:szCs w:val="24"/>
        </w:rPr>
        <w:t>Angus Black, Support Team</w:t>
      </w:r>
      <w:r>
        <w:rPr>
          <w:rFonts w:cstheme="minorHAnsi"/>
          <w:sz w:val="24"/>
          <w:szCs w:val="24"/>
        </w:rPr>
        <w:t>. Your support on Progenesis QI was excellent. Very much appreciated.</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Brian Warner – local woodsman who supplied bags of forestry waste without which chapter 1 would not exist.</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 xml:space="preserve">James Finlay Ltd. – Thank you to Dr Wolfgang Tosch and Dr Frieda Dehrmann for the tea samples and allowing this research to be included in my PhD thesis. </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proofErr w:type="spellStart"/>
      <w:r>
        <w:rPr>
          <w:rFonts w:cstheme="minorHAnsi"/>
          <w:sz w:val="24"/>
          <w:szCs w:val="24"/>
        </w:rPr>
        <w:t>Prof.</w:t>
      </w:r>
      <w:proofErr w:type="spellEnd"/>
      <w:r>
        <w:rPr>
          <w:rFonts w:cstheme="minorHAnsi"/>
          <w:sz w:val="24"/>
          <w:szCs w:val="24"/>
        </w:rPr>
        <w:t xml:space="preserve"> John Turner and Mrs P. Dowdney for their support and guidance when good advice was required in a difficult final year.</w:t>
      </w:r>
    </w:p>
    <w:p w:rsidR="00443D48" w:rsidRDefault="008C057C"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Christine Baker – my boss at</w:t>
      </w:r>
      <w:r w:rsidR="00443D48">
        <w:rPr>
          <w:rFonts w:cstheme="minorHAnsi"/>
          <w:sz w:val="24"/>
          <w:szCs w:val="24"/>
        </w:rPr>
        <w:t xml:space="preserve"> Bayer Crop Science (BCS) who once wrote in an appraisal “Colin is capable of doing anything he puts his mind to”. This has been my mental fuel for many years.</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Ray Nolan – BCS colleague, for mentoring me in chromatography when I was 21 and the plethora of discussions over the following 21 years. An enthusiastic inspiration.</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sidRPr="001F4A88">
        <w:rPr>
          <w:rFonts w:cstheme="minorHAnsi"/>
          <w:sz w:val="24"/>
          <w:szCs w:val="24"/>
        </w:rPr>
        <w:t>Ibrahim Abu Reidah</w:t>
      </w:r>
      <w:r>
        <w:rPr>
          <w:rFonts w:cstheme="minorHAnsi"/>
          <w:sz w:val="24"/>
          <w:szCs w:val="24"/>
        </w:rPr>
        <w:t xml:space="preserve"> – polyphenol researcher. Thank you for taking the time to discuss my thoughts and questions.</w:t>
      </w:r>
    </w:p>
    <w:p w:rsidR="00443D48"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Andy Gahan – graphic artist extraordinaire. Thanks for your help.</w:t>
      </w:r>
    </w:p>
    <w:p w:rsidR="00443D48" w:rsidRPr="00D376F0" w:rsidRDefault="00443D48" w:rsidP="00443D48">
      <w:pPr>
        <w:pStyle w:val="ListParagraph"/>
        <w:numPr>
          <w:ilvl w:val="0"/>
          <w:numId w:val="1"/>
        </w:numPr>
        <w:autoSpaceDE w:val="0"/>
        <w:autoSpaceDN w:val="0"/>
        <w:adjustRightInd w:val="0"/>
        <w:spacing w:after="0" w:line="360" w:lineRule="auto"/>
        <w:jc w:val="both"/>
        <w:rPr>
          <w:rFonts w:cstheme="minorHAnsi"/>
          <w:sz w:val="24"/>
          <w:szCs w:val="24"/>
        </w:rPr>
      </w:pPr>
      <w:r>
        <w:rPr>
          <w:rFonts w:cstheme="minorHAnsi"/>
          <w:sz w:val="24"/>
          <w:szCs w:val="24"/>
        </w:rPr>
        <w:t xml:space="preserve">The people who had </w:t>
      </w:r>
      <w:r w:rsidRPr="00215794">
        <w:rPr>
          <w:rFonts w:cstheme="minorHAnsi"/>
          <w:i/>
          <w:sz w:val="24"/>
          <w:szCs w:val="24"/>
        </w:rPr>
        <w:t>no</w:t>
      </w:r>
      <w:r>
        <w:rPr>
          <w:rFonts w:cstheme="minorHAnsi"/>
          <w:sz w:val="24"/>
          <w:szCs w:val="24"/>
        </w:rPr>
        <w:t xml:space="preserve"> faith in me. They inspired me to prove them wrong!</w:t>
      </w:r>
    </w:p>
    <w:p w:rsidR="00443D48" w:rsidRDefault="00443D48" w:rsidP="00443D48">
      <w:pPr>
        <w:autoSpaceDE w:val="0"/>
        <w:autoSpaceDN w:val="0"/>
        <w:adjustRightInd w:val="0"/>
        <w:spacing w:after="0" w:line="360" w:lineRule="auto"/>
        <w:jc w:val="both"/>
        <w:rPr>
          <w:rFonts w:ascii="Times New Roman" w:hAnsi="Times New Roman" w:cs="Times New Roman"/>
          <w:sz w:val="24"/>
          <w:szCs w:val="24"/>
        </w:rPr>
      </w:pPr>
    </w:p>
    <w:p w:rsidR="007D4727" w:rsidRDefault="00443D48" w:rsidP="00443D48">
      <w:pPr>
        <w:rPr>
          <w:rFonts w:ascii="Cambria-Bold" w:hAnsi="Cambria-Bold" w:cs="Cambria-Bold"/>
          <w:b/>
          <w:bCs/>
          <w:sz w:val="36"/>
          <w:szCs w:val="36"/>
        </w:rPr>
      </w:pPr>
      <w:r>
        <w:rPr>
          <w:rFonts w:ascii="Cambria-Bold" w:hAnsi="Cambria-Bold" w:cs="Cambria-Bold"/>
          <w:b/>
          <w:bCs/>
          <w:sz w:val="36"/>
          <w:szCs w:val="36"/>
        </w:rPr>
        <w:br w:type="page"/>
      </w:r>
    </w:p>
    <w:p w:rsidR="007D4727" w:rsidRPr="00FA6F99" w:rsidRDefault="007D4727" w:rsidP="00283318">
      <w:pPr>
        <w:autoSpaceDE w:val="0"/>
        <w:autoSpaceDN w:val="0"/>
        <w:adjustRightInd w:val="0"/>
        <w:spacing w:after="0" w:line="240" w:lineRule="auto"/>
        <w:jc w:val="both"/>
        <w:rPr>
          <w:rFonts w:cs="Cambria-Bold"/>
          <w:b/>
          <w:bCs/>
          <w:sz w:val="44"/>
          <w:szCs w:val="44"/>
        </w:rPr>
      </w:pPr>
      <w:r w:rsidRPr="00FA6F99">
        <w:rPr>
          <w:rFonts w:cs="Cambria-Bold"/>
          <w:b/>
          <w:bCs/>
          <w:sz w:val="44"/>
          <w:szCs w:val="44"/>
        </w:rPr>
        <w:lastRenderedPageBreak/>
        <w:t>Table of Contents</w:t>
      </w:r>
    </w:p>
    <w:p w:rsidR="00E62A92" w:rsidRDefault="00E62A92" w:rsidP="00283318">
      <w:pPr>
        <w:autoSpaceDE w:val="0"/>
        <w:autoSpaceDN w:val="0"/>
        <w:adjustRightInd w:val="0"/>
        <w:spacing w:after="0" w:line="240" w:lineRule="auto"/>
        <w:jc w:val="both"/>
        <w:rPr>
          <w:rFonts w:ascii="Cambria-Bold" w:hAnsi="Cambria-Bold" w:cs="Cambria-Bold"/>
          <w:b/>
          <w:bCs/>
          <w:sz w:val="36"/>
          <w:szCs w:val="36"/>
        </w:rPr>
      </w:pPr>
    </w:p>
    <w:p w:rsidR="00E62A92" w:rsidRPr="00E62A92" w:rsidRDefault="00E62A92" w:rsidP="00283318">
      <w:pPr>
        <w:autoSpaceDE w:val="0"/>
        <w:autoSpaceDN w:val="0"/>
        <w:adjustRightInd w:val="0"/>
        <w:spacing w:after="0" w:line="360" w:lineRule="auto"/>
        <w:jc w:val="both"/>
        <w:rPr>
          <w:rFonts w:cs="Times New Roman"/>
          <w:sz w:val="24"/>
          <w:szCs w:val="24"/>
        </w:rPr>
      </w:pPr>
      <w:r w:rsidRPr="00E62A92">
        <w:rPr>
          <w:rFonts w:cs="Times New Roman"/>
          <w:sz w:val="24"/>
          <w:szCs w:val="24"/>
        </w:rPr>
        <w:t>Declaration and Consent .......................</w:t>
      </w:r>
      <w:r w:rsidR="0040138C">
        <w:rPr>
          <w:rFonts w:cs="Times New Roman"/>
          <w:sz w:val="24"/>
          <w:szCs w:val="24"/>
        </w:rPr>
        <w:t>.................................................</w:t>
      </w:r>
      <w:r w:rsidR="00BC05BB">
        <w:rPr>
          <w:rFonts w:cs="Times New Roman"/>
          <w:sz w:val="24"/>
          <w:szCs w:val="24"/>
        </w:rPr>
        <w:t>...</w:t>
      </w:r>
      <w:r w:rsidR="00127946">
        <w:rPr>
          <w:rFonts w:cs="Times New Roman"/>
          <w:sz w:val="24"/>
          <w:szCs w:val="24"/>
        </w:rPr>
        <w:t>..........................</w:t>
      </w:r>
      <w:r w:rsidR="007D03AC">
        <w:rPr>
          <w:rFonts w:cs="Times New Roman"/>
          <w:sz w:val="24"/>
          <w:szCs w:val="24"/>
        </w:rPr>
        <w:t>.....i</w:t>
      </w:r>
      <w:r w:rsidRPr="00E62A92">
        <w:rPr>
          <w:rFonts w:cs="Times New Roman"/>
          <w:sz w:val="24"/>
          <w:szCs w:val="24"/>
        </w:rPr>
        <w:t xml:space="preserve"> i</w:t>
      </w:r>
    </w:p>
    <w:p w:rsidR="00E62A92" w:rsidRPr="00E62A92" w:rsidRDefault="00E62A92" w:rsidP="00283318">
      <w:pPr>
        <w:autoSpaceDE w:val="0"/>
        <w:autoSpaceDN w:val="0"/>
        <w:adjustRightInd w:val="0"/>
        <w:spacing w:after="0" w:line="360" w:lineRule="auto"/>
        <w:jc w:val="both"/>
        <w:rPr>
          <w:rFonts w:cs="Times New Roman"/>
          <w:sz w:val="24"/>
          <w:szCs w:val="24"/>
        </w:rPr>
      </w:pPr>
      <w:r w:rsidRPr="00E62A92">
        <w:rPr>
          <w:rFonts w:cs="Times New Roman"/>
          <w:sz w:val="24"/>
          <w:szCs w:val="24"/>
        </w:rPr>
        <w:t>Dedication ......................................................</w:t>
      </w:r>
      <w:r w:rsidR="002F20D0">
        <w:rPr>
          <w:rFonts w:cs="Times New Roman"/>
          <w:sz w:val="24"/>
          <w:szCs w:val="24"/>
        </w:rPr>
        <w:t>................................</w:t>
      </w:r>
      <w:r w:rsidRPr="00E62A92">
        <w:rPr>
          <w:rFonts w:cs="Times New Roman"/>
          <w:sz w:val="24"/>
          <w:szCs w:val="24"/>
        </w:rPr>
        <w:t>...........</w:t>
      </w:r>
      <w:r w:rsidR="00BE18BE">
        <w:rPr>
          <w:rFonts w:cs="Times New Roman"/>
          <w:sz w:val="24"/>
          <w:szCs w:val="24"/>
        </w:rPr>
        <w:t xml:space="preserve">.............................. </w:t>
      </w:r>
      <w:r w:rsidRPr="00E62A92">
        <w:rPr>
          <w:rFonts w:cs="Times New Roman"/>
          <w:sz w:val="24"/>
          <w:szCs w:val="24"/>
        </w:rPr>
        <w:t>v</w:t>
      </w:r>
      <w:r w:rsidR="00BE18BE">
        <w:rPr>
          <w:rFonts w:cs="Times New Roman"/>
          <w:sz w:val="24"/>
          <w:szCs w:val="24"/>
        </w:rPr>
        <w:t>i</w:t>
      </w:r>
    </w:p>
    <w:p w:rsidR="00E62A92" w:rsidRPr="00E62A92" w:rsidRDefault="002F20D0" w:rsidP="00283318">
      <w:pPr>
        <w:autoSpaceDE w:val="0"/>
        <w:autoSpaceDN w:val="0"/>
        <w:adjustRightInd w:val="0"/>
        <w:spacing w:after="0" w:line="360" w:lineRule="auto"/>
        <w:jc w:val="both"/>
        <w:rPr>
          <w:rFonts w:cs="Times New Roman"/>
          <w:sz w:val="24"/>
          <w:szCs w:val="24"/>
        </w:rPr>
      </w:pPr>
      <w:r>
        <w:rPr>
          <w:rFonts w:cs="Times New Roman"/>
          <w:sz w:val="24"/>
          <w:szCs w:val="24"/>
        </w:rPr>
        <w:t>Acknowledgment</w:t>
      </w:r>
      <w:r w:rsidR="00610B36">
        <w:rPr>
          <w:rFonts w:cs="Times New Roman"/>
          <w:sz w:val="24"/>
          <w:szCs w:val="24"/>
        </w:rPr>
        <w:t>s……………………………………………………</w:t>
      </w:r>
      <w:r>
        <w:rPr>
          <w:rFonts w:cs="Times New Roman"/>
          <w:sz w:val="24"/>
          <w:szCs w:val="24"/>
        </w:rPr>
        <w:t>..</w:t>
      </w:r>
      <w:r w:rsidR="00610B36">
        <w:rPr>
          <w:rFonts w:cs="Times New Roman"/>
          <w:sz w:val="24"/>
          <w:szCs w:val="24"/>
        </w:rPr>
        <w:t>……………………………………………………….</w:t>
      </w:r>
      <w:r w:rsidR="00E62A92" w:rsidRPr="00E62A92">
        <w:rPr>
          <w:rFonts w:cs="Times New Roman"/>
          <w:sz w:val="24"/>
          <w:szCs w:val="24"/>
        </w:rPr>
        <w:t>v</w:t>
      </w:r>
      <w:r w:rsidR="00DA4C5B">
        <w:rPr>
          <w:rFonts w:cs="Times New Roman"/>
          <w:sz w:val="24"/>
          <w:szCs w:val="24"/>
        </w:rPr>
        <w:t>ii</w:t>
      </w:r>
    </w:p>
    <w:p w:rsidR="00E62A92" w:rsidRPr="00E62A92" w:rsidRDefault="00E62A92" w:rsidP="00283318">
      <w:pPr>
        <w:autoSpaceDE w:val="0"/>
        <w:autoSpaceDN w:val="0"/>
        <w:adjustRightInd w:val="0"/>
        <w:spacing w:after="0" w:line="360" w:lineRule="auto"/>
        <w:jc w:val="both"/>
        <w:rPr>
          <w:rFonts w:cs="Times New Roman"/>
          <w:sz w:val="24"/>
          <w:szCs w:val="24"/>
        </w:rPr>
      </w:pPr>
      <w:r w:rsidRPr="00E62A92">
        <w:rPr>
          <w:rFonts w:cs="Times New Roman"/>
          <w:sz w:val="24"/>
          <w:szCs w:val="24"/>
        </w:rPr>
        <w:t>Table of Contents .........................................................................</w:t>
      </w:r>
      <w:r w:rsidR="00610B36">
        <w:rPr>
          <w:rFonts w:cs="Times New Roman"/>
          <w:sz w:val="24"/>
          <w:szCs w:val="24"/>
        </w:rPr>
        <w:t>..</w:t>
      </w:r>
      <w:r w:rsidRPr="00E62A92">
        <w:rPr>
          <w:rFonts w:cs="Times New Roman"/>
          <w:sz w:val="24"/>
          <w:szCs w:val="24"/>
        </w:rPr>
        <w:t>.............</w:t>
      </w:r>
      <w:r w:rsidR="00DA4C5B">
        <w:rPr>
          <w:rFonts w:cs="Times New Roman"/>
          <w:sz w:val="24"/>
          <w:szCs w:val="24"/>
        </w:rPr>
        <w:t xml:space="preserve">............................. </w:t>
      </w:r>
      <w:r w:rsidRPr="00E62A92">
        <w:rPr>
          <w:rFonts w:cs="Times New Roman"/>
          <w:sz w:val="24"/>
          <w:szCs w:val="24"/>
        </w:rPr>
        <w:t>i</w:t>
      </w:r>
      <w:r w:rsidR="00DA4C5B">
        <w:rPr>
          <w:rFonts w:cs="Times New Roman"/>
          <w:sz w:val="24"/>
          <w:szCs w:val="24"/>
        </w:rPr>
        <w:t>x</w:t>
      </w:r>
    </w:p>
    <w:p w:rsidR="00E62A92" w:rsidRPr="00E62A92" w:rsidRDefault="00E62A92" w:rsidP="00283318">
      <w:pPr>
        <w:autoSpaceDE w:val="0"/>
        <w:autoSpaceDN w:val="0"/>
        <w:adjustRightInd w:val="0"/>
        <w:spacing w:after="0" w:line="360" w:lineRule="auto"/>
        <w:jc w:val="both"/>
        <w:rPr>
          <w:rFonts w:cs="Times New Roman"/>
          <w:sz w:val="24"/>
          <w:szCs w:val="24"/>
        </w:rPr>
      </w:pPr>
      <w:r w:rsidRPr="00E62A92">
        <w:rPr>
          <w:rFonts w:cs="Times New Roman"/>
          <w:sz w:val="24"/>
          <w:szCs w:val="24"/>
        </w:rPr>
        <w:t>List of Tables ............................................................................</w:t>
      </w:r>
      <w:r w:rsidR="002F20D0">
        <w:rPr>
          <w:rFonts w:cs="Times New Roman"/>
          <w:sz w:val="24"/>
          <w:szCs w:val="24"/>
        </w:rPr>
        <w:t>.</w:t>
      </w:r>
      <w:r w:rsidRPr="00E62A92">
        <w:rPr>
          <w:rFonts w:cs="Times New Roman"/>
          <w:sz w:val="24"/>
          <w:szCs w:val="24"/>
        </w:rPr>
        <w:t>.....</w:t>
      </w:r>
      <w:r w:rsidR="00DC5287">
        <w:rPr>
          <w:rFonts w:cs="Times New Roman"/>
          <w:sz w:val="24"/>
          <w:szCs w:val="24"/>
        </w:rPr>
        <w:t>.</w:t>
      </w:r>
      <w:r w:rsidRPr="00E62A92">
        <w:rPr>
          <w:rFonts w:cs="Times New Roman"/>
          <w:sz w:val="24"/>
          <w:szCs w:val="24"/>
        </w:rPr>
        <w:t>............</w:t>
      </w:r>
      <w:r w:rsidR="004E23F9">
        <w:rPr>
          <w:rFonts w:cs="Times New Roman"/>
          <w:sz w:val="24"/>
          <w:szCs w:val="24"/>
        </w:rPr>
        <w:t>............................. xi</w:t>
      </w:r>
    </w:p>
    <w:p w:rsidR="00E62A92" w:rsidRPr="00E62A92" w:rsidRDefault="00E62A92" w:rsidP="00283318">
      <w:pPr>
        <w:autoSpaceDE w:val="0"/>
        <w:autoSpaceDN w:val="0"/>
        <w:adjustRightInd w:val="0"/>
        <w:spacing w:after="0" w:line="360" w:lineRule="auto"/>
        <w:jc w:val="both"/>
        <w:rPr>
          <w:rFonts w:cs="Times New Roman"/>
          <w:sz w:val="24"/>
          <w:szCs w:val="24"/>
        </w:rPr>
      </w:pPr>
      <w:r w:rsidRPr="00E62A92">
        <w:rPr>
          <w:rFonts w:cs="Times New Roman"/>
          <w:sz w:val="24"/>
          <w:szCs w:val="24"/>
        </w:rPr>
        <w:t>List of Figures ................................................................................</w:t>
      </w:r>
      <w:r w:rsidR="00DC5287">
        <w:rPr>
          <w:rFonts w:cs="Times New Roman"/>
          <w:sz w:val="24"/>
          <w:szCs w:val="24"/>
        </w:rPr>
        <w:t>.</w:t>
      </w:r>
      <w:r w:rsidRPr="00E62A92">
        <w:rPr>
          <w:rFonts w:cs="Times New Roman"/>
          <w:sz w:val="24"/>
          <w:szCs w:val="24"/>
        </w:rPr>
        <w:t>..........</w:t>
      </w:r>
      <w:r w:rsidR="00A94A64">
        <w:rPr>
          <w:rFonts w:cs="Times New Roman"/>
          <w:sz w:val="24"/>
          <w:szCs w:val="24"/>
        </w:rPr>
        <w:t>.....................</w:t>
      </w:r>
      <w:r w:rsidR="002F20D0">
        <w:rPr>
          <w:rFonts w:cs="Times New Roman"/>
          <w:sz w:val="24"/>
          <w:szCs w:val="24"/>
        </w:rPr>
        <w:t>.</w:t>
      </w:r>
      <w:r w:rsidR="00A94A64">
        <w:rPr>
          <w:rFonts w:cs="Times New Roman"/>
          <w:sz w:val="24"/>
          <w:szCs w:val="24"/>
        </w:rPr>
        <w:t>........ xii</w:t>
      </w:r>
      <w:r w:rsidRPr="00E62A92">
        <w:rPr>
          <w:rFonts w:cs="Times New Roman"/>
          <w:sz w:val="24"/>
          <w:szCs w:val="24"/>
        </w:rPr>
        <w:t>i</w:t>
      </w:r>
    </w:p>
    <w:p w:rsidR="00E62A92" w:rsidRDefault="004F3C22" w:rsidP="00283318">
      <w:pPr>
        <w:autoSpaceDE w:val="0"/>
        <w:autoSpaceDN w:val="0"/>
        <w:adjustRightInd w:val="0"/>
        <w:spacing w:after="0" w:line="360" w:lineRule="auto"/>
        <w:jc w:val="both"/>
        <w:rPr>
          <w:rFonts w:cs="Times New Roman"/>
          <w:sz w:val="24"/>
          <w:szCs w:val="24"/>
        </w:rPr>
      </w:pPr>
      <w:r>
        <w:rPr>
          <w:rFonts w:cs="Times New Roman"/>
          <w:sz w:val="24"/>
          <w:szCs w:val="24"/>
        </w:rPr>
        <w:t>List of Tables</w:t>
      </w:r>
      <w:r w:rsidR="00E62A92" w:rsidRPr="00E62A92">
        <w:rPr>
          <w:rFonts w:cs="Times New Roman"/>
          <w:sz w:val="24"/>
          <w:szCs w:val="24"/>
        </w:rPr>
        <w:t xml:space="preserve"> in Appendices .....................................................</w:t>
      </w:r>
      <w:r w:rsidR="00DC5287">
        <w:rPr>
          <w:rFonts w:cs="Times New Roman"/>
          <w:sz w:val="24"/>
          <w:szCs w:val="24"/>
        </w:rPr>
        <w:t>.</w:t>
      </w:r>
      <w:r w:rsidR="00E62A92" w:rsidRPr="00E62A92">
        <w:rPr>
          <w:rFonts w:cs="Times New Roman"/>
          <w:sz w:val="24"/>
          <w:szCs w:val="24"/>
        </w:rPr>
        <w:t>.................</w:t>
      </w:r>
      <w:r>
        <w:rPr>
          <w:rFonts w:cs="Times New Roman"/>
          <w:sz w:val="24"/>
          <w:szCs w:val="24"/>
        </w:rPr>
        <w:t>..</w:t>
      </w:r>
      <w:r w:rsidR="00A94A64">
        <w:rPr>
          <w:rFonts w:cs="Times New Roman"/>
          <w:sz w:val="24"/>
          <w:szCs w:val="24"/>
        </w:rPr>
        <w:t>..................</w:t>
      </w:r>
      <w:r w:rsidR="002F20D0">
        <w:rPr>
          <w:rFonts w:cs="Times New Roman"/>
          <w:sz w:val="24"/>
          <w:szCs w:val="24"/>
        </w:rPr>
        <w:t>.</w:t>
      </w:r>
      <w:r w:rsidR="00A94A64">
        <w:rPr>
          <w:rFonts w:cs="Times New Roman"/>
          <w:sz w:val="24"/>
          <w:szCs w:val="24"/>
        </w:rPr>
        <w:t>..... xvii</w:t>
      </w:r>
      <w:r w:rsidR="00E62A92" w:rsidRPr="00E62A92">
        <w:rPr>
          <w:rFonts w:cs="Times New Roman"/>
          <w:sz w:val="24"/>
          <w:szCs w:val="24"/>
        </w:rPr>
        <w:t>i</w:t>
      </w:r>
    </w:p>
    <w:p w:rsidR="004F3C22" w:rsidRPr="00E62A92" w:rsidRDefault="004F3C22" w:rsidP="00283318">
      <w:pPr>
        <w:autoSpaceDE w:val="0"/>
        <w:autoSpaceDN w:val="0"/>
        <w:adjustRightInd w:val="0"/>
        <w:spacing w:after="0" w:line="360" w:lineRule="auto"/>
        <w:jc w:val="both"/>
        <w:rPr>
          <w:rFonts w:cs="Times New Roman"/>
          <w:sz w:val="24"/>
          <w:szCs w:val="24"/>
        </w:rPr>
      </w:pPr>
      <w:r w:rsidRPr="00E62A92">
        <w:rPr>
          <w:rFonts w:cs="Times New Roman"/>
          <w:sz w:val="24"/>
          <w:szCs w:val="24"/>
        </w:rPr>
        <w:t>List of Figures in Appendices .....................................................</w:t>
      </w:r>
      <w:r>
        <w:rPr>
          <w:rFonts w:cs="Times New Roman"/>
          <w:sz w:val="24"/>
          <w:szCs w:val="24"/>
        </w:rPr>
        <w:t>.</w:t>
      </w:r>
      <w:r w:rsidRPr="00E62A92">
        <w:rPr>
          <w:rFonts w:cs="Times New Roman"/>
          <w:sz w:val="24"/>
          <w:szCs w:val="24"/>
        </w:rPr>
        <w:t>.................</w:t>
      </w:r>
      <w:r>
        <w:rPr>
          <w:rFonts w:cs="Times New Roman"/>
          <w:sz w:val="24"/>
          <w:szCs w:val="24"/>
        </w:rPr>
        <w:t>.</w:t>
      </w:r>
      <w:r w:rsidRPr="00E62A92">
        <w:rPr>
          <w:rFonts w:cs="Times New Roman"/>
          <w:sz w:val="24"/>
          <w:szCs w:val="24"/>
        </w:rPr>
        <w:t>...............</w:t>
      </w:r>
      <w:r w:rsidR="002F20D0">
        <w:rPr>
          <w:rFonts w:cs="Times New Roman"/>
          <w:sz w:val="24"/>
          <w:szCs w:val="24"/>
        </w:rPr>
        <w:t>............</w:t>
      </w:r>
      <w:r w:rsidR="00A94A64">
        <w:rPr>
          <w:rFonts w:cs="Times New Roman"/>
          <w:sz w:val="24"/>
          <w:szCs w:val="24"/>
        </w:rPr>
        <w:t>xix</w:t>
      </w:r>
    </w:p>
    <w:p w:rsidR="00E62A92" w:rsidRPr="00E62A92" w:rsidRDefault="0040138C" w:rsidP="00283318">
      <w:pPr>
        <w:autoSpaceDE w:val="0"/>
        <w:autoSpaceDN w:val="0"/>
        <w:adjustRightInd w:val="0"/>
        <w:spacing w:after="0" w:line="360" w:lineRule="auto"/>
        <w:jc w:val="both"/>
        <w:rPr>
          <w:rFonts w:cs="Times New Roman"/>
          <w:sz w:val="24"/>
          <w:szCs w:val="24"/>
        </w:rPr>
      </w:pPr>
      <w:r>
        <w:rPr>
          <w:rFonts w:cs="Times New Roman"/>
          <w:sz w:val="24"/>
          <w:szCs w:val="24"/>
        </w:rPr>
        <w:t xml:space="preserve">List of </w:t>
      </w:r>
      <w:r w:rsidR="00E62A92" w:rsidRPr="00E62A92">
        <w:rPr>
          <w:rFonts w:cs="Times New Roman"/>
          <w:sz w:val="24"/>
          <w:szCs w:val="24"/>
        </w:rPr>
        <w:t xml:space="preserve">Abbreviations </w:t>
      </w:r>
      <w:r w:rsidR="00AF10BF">
        <w:rPr>
          <w:rFonts w:cs="Times New Roman"/>
          <w:sz w:val="24"/>
          <w:szCs w:val="24"/>
        </w:rPr>
        <w:t>………..</w:t>
      </w:r>
      <w:r w:rsidR="00E62A92" w:rsidRPr="00E62A92">
        <w:rPr>
          <w:rFonts w:cs="Times New Roman"/>
          <w:sz w:val="24"/>
          <w:szCs w:val="24"/>
        </w:rPr>
        <w:t>..........................</w:t>
      </w:r>
      <w:r>
        <w:rPr>
          <w:rFonts w:cs="Times New Roman"/>
          <w:sz w:val="24"/>
          <w:szCs w:val="24"/>
        </w:rPr>
        <w:t>......</w:t>
      </w:r>
      <w:r w:rsidR="00E62A92" w:rsidRPr="00E62A92">
        <w:rPr>
          <w:rFonts w:cs="Times New Roman"/>
          <w:sz w:val="24"/>
          <w:szCs w:val="24"/>
        </w:rPr>
        <w:t>.....................................</w:t>
      </w:r>
      <w:r w:rsidR="002F20D0">
        <w:rPr>
          <w:rFonts w:cs="Times New Roman"/>
          <w:sz w:val="24"/>
          <w:szCs w:val="24"/>
        </w:rPr>
        <w:t>..............................</w:t>
      </w:r>
      <w:r w:rsidR="00A94A64">
        <w:rPr>
          <w:rFonts w:cs="Times New Roman"/>
          <w:sz w:val="24"/>
          <w:szCs w:val="24"/>
        </w:rPr>
        <w:t>xxi</w:t>
      </w:r>
      <w:r w:rsidR="00E62A92" w:rsidRPr="00E62A92">
        <w:rPr>
          <w:rFonts w:cs="Times New Roman"/>
          <w:sz w:val="24"/>
          <w:szCs w:val="24"/>
        </w:rPr>
        <w:t>ii</w:t>
      </w:r>
    </w:p>
    <w:p w:rsidR="00E62A92" w:rsidRDefault="00E62A92" w:rsidP="00283318">
      <w:pPr>
        <w:autoSpaceDE w:val="0"/>
        <w:autoSpaceDN w:val="0"/>
        <w:adjustRightInd w:val="0"/>
        <w:spacing w:after="0" w:line="360" w:lineRule="auto"/>
        <w:jc w:val="both"/>
        <w:rPr>
          <w:rFonts w:ascii="Cambria-Bold" w:hAnsi="Cambria-Bold" w:cs="Cambria-Bold"/>
          <w:b/>
          <w:bCs/>
          <w:sz w:val="36"/>
          <w:szCs w:val="36"/>
        </w:rPr>
      </w:pPr>
      <w:r w:rsidRPr="00E62A92">
        <w:rPr>
          <w:rFonts w:cs="Times New Roman"/>
          <w:sz w:val="24"/>
          <w:szCs w:val="24"/>
        </w:rPr>
        <w:t>Abstract ..............................................................................................</w:t>
      </w:r>
      <w:r w:rsidR="002F20D0">
        <w:rPr>
          <w:rFonts w:cs="Times New Roman"/>
          <w:sz w:val="24"/>
          <w:szCs w:val="24"/>
        </w:rPr>
        <w:t>.............................</w:t>
      </w:r>
      <w:r w:rsidR="00127946">
        <w:rPr>
          <w:rFonts w:cs="Times New Roman"/>
          <w:sz w:val="24"/>
          <w:szCs w:val="24"/>
        </w:rPr>
        <w:t>......xx</w:t>
      </w:r>
      <w:r w:rsidR="00283318">
        <w:rPr>
          <w:rFonts w:cs="Times New Roman"/>
          <w:sz w:val="24"/>
          <w:szCs w:val="24"/>
        </w:rPr>
        <w:t>v</w:t>
      </w:r>
    </w:p>
    <w:p w:rsidR="007D4727" w:rsidRDefault="007D4727" w:rsidP="00283318">
      <w:pPr>
        <w:autoSpaceDE w:val="0"/>
        <w:autoSpaceDN w:val="0"/>
        <w:adjustRightInd w:val="0"/>
        <w:spacing w:after="0" w:line="240" w:lineRule="auto"/>
        <w:jc w:val="both"/>
        <w:rPr>
          <w:rFonts w:ascii="Cambria-Bold" w:hAnsi="Cambria-Bold" w:cs="Cambria-Bold"/>
          <w:b/>
          <w:bCs/>
          <w:sz w:val="36"/>
          <w:szCs w:val="36"/>
        </w:rPr>
      </w:pPr>
    </w:p>
    <w:p w:rsidR="007D4727" w:rsidRPr="00DC5287" w:rsidRDefault="00DC5287" w:rsidP="00283318">
      <w:pPr>
        <w:autoSpaceDE w:val="0"/>
        <w:autoSpaceDN w:val="0"/>
        <w:adjustRightInd w:val="0"/>
        <w:spacing w:after="0" w:line="240" w:lineRule="auto"/>
        <w:jc w:val="both"/>
        <w:rPr>
          <w:rFonts w:cs="Cambria-Bold"/>
          <w:b/>
          <w:bCs/>
          <w:sz w:val="36"/>
          <w:szCs w:val="36"/>
        </w:rPr>
      </w:pPr>
      <w:r w:rsidRPr="00DC5287">
        <w:rPr>
          <w:rFonts w:cs="Cambria-Bold"/>
          <w:b/>
          <w:bCs/>
          <w:sz w:val="36"/>
          <w:szCs w:val="36"/>
        </w:rPr>
        <w:t>General Introduction</w:t>
      </w:r>
      <w:r w:rsidR="004F3C22" w:rsidRPr="000A0354">
        <w:t>................</w:t>
      </w:r>
      <w:r w:rsidR="004F3C22">
        <w:t>.....................................................................</w:t>
      </w:r>
      <w:r w:rsidR="00C3301C">
        <w:t>....</w:t>
      </w:r>
      <w:r w:rsidR="004F3C22">
        <w:t>..............</w:t>
      </w:r>
      <w:r>
        <w:rPr>
          <w:b/>
          <w:bCs/>
          <w:sz w:val="36"/>
          <w:szCs w:val="36"/>
        </w:rPr>
        <w:t>1</w:t>
      </w:r>
      <w:r w:rsidRPr="003A13E7">
        <w:rPr>
          <w:b/>
          <w:bCs/>
          <w:sz w:val="36"/>
          <w:szCs w:val="36"/>
        </w:rPr>
        <w:t xml:space="preserve">                </w:t>
      </w:r>
      <w:r>
        <w:rPr>
          <w:b/>
          <w:bCs/>
          <w:sz w:val="36"/>
          <w:szCs w:val="36"/>
        </w:rPr>
        <w:t xml:space="preserve">  </w:t>
      </w:r>
    </w:p>
    <w:p w:rsidR="00DC5287" w:rsidRDefault="00DC5287" w:rsidP="00283318">
      <w:pPr>
        <w:autoSpaceDE w:val="0"/>
        <w:autoSpaceDN w:val="0"/>
        <w:adjustRightInd w:val="0"/>
        <w:spacing w:after="0" w:line="240" w:lineRule="auto"/>
        <w:jc w:val="both"/>
        <w:rPr>
          <w:rFonts w:ascii="Cambria-Bold" w:hAnsi="Cambria-Bold" w:cs="Cambria-Bold"/>
          <w:b/>
          <w:bCs/>
          <w:sz w:val="36"/>
          <w:szCs w:val="36"/>
        </w:rPr>
      </w:pPr>
    </w:p>
    <w:p w:rsidR="00C13B64" w:rsidRDefault="001B1C1B" w:rsidP="00C13B64">
      <w:pPr>
        <w:spacing w:line="240" w:lineRule="auto"/>
        <w:jc w:val="both"/>
        <w:rPr>
          <w:b/>
          <w:bCs/>
          <w:sz w:val="36"/>
          <w:szCs w:val="36"/>
        </w:rPr>
      </w:pPr>
      <w:r w:rsidRPr="003A13E7">
        <w:rPr>
          <w:b/>
          <w:bCs/>
          <w:sz w:val="36"/>
          <w:szCs w:val="36"/>
        </w:rPr>
        <w:t>Chapter 1</w:t>
      </w:r>
      <w:r w:rsidR="004F3C22" w:rsidRPr="000A0354">
        <w:t>..............</w:t>
      </w:r>
      <w:r w:rsidR="004F3C22">
        <w:t>................................................................................</w:t>
      </w:r>
      <w:r w:rsidR="00E56BDD">
        <w:t>..............................</w:t>
      </w:r>
      <w:r w:rsidR="00C3301C">
        <w:t>.........</w:t>
      </w:r>
      <w:r w:rsidR="00E56BDD">
        <w:rPr>
          <w:b/>
          <w:bCs/>
          <w:sz w:val="36"/>
          <w:szCs w:val="36"/>
        </w:rPr>
        <w:t>4</w:t>
      </w:r>
    </w:p>
    <w:p w:rsidR="00AA6A63" w:rsidRPr="00815D3B" w:rsidRDefault="00C13B64" w:rsidP="00C13B64">
      <w:pPr>
        <w:spacing w:line="240" w:lineRule="auto"/>
        <w:jc w:val="both"/>
        <w:rPr>
          <w:i/>
          <w:color w:val="538135" w:themeColor="accent6" w:themeShade="BF"/>
          <w:sz w:val="24"/>
          <w:szCs w:val="24"/>
        </w:rPr>
      </w:pPr>
      <w:r w:rsidRPr="00815D3B">
        <w:rPr>
          <w:i/>
          <w:color w:val="538135" w:themeColor="accent6" w:themeShade="BF"/>
          <w:sz w:val="24"/>
          <w:szCs w:val="24"/>
        </w:rPr>
        <w:t>A study of polyphenolic compounds in forestry waste, produced in North Wales, by the use of UPLC with HDMS</w:t>
      </w:r>
      <w:r w:rsidRPr="00815D3B">
        <w:rPr>
          <w:i/>
          <w:color w:val="538135" w:themeColor="accent6" w:themeShade="BF"/>
          <w:sz w:val="24"/>
          <w:szCs w:val="24"/>
          <w:vertAlign w:val="superscript"/>
        </w:rPr>
        <w:t>e</w:t>
      </w:r>
      <w:r w:rsidRPr="00815D3B">
        <w:rPr>
          <w:i/>
          <w:color w:val="538135" w:themeColor="accent6" w:themeShade="BF"/>
          <w:sz w:val="24"/>
          <w:szCs w:val="24"/>
        </w:rPr>
        <w:t xml:space="preserve">, </w:t>
      </w:r>
      <w:proofErr w:type="spellStart"/>
      <w:r w:rsidRPr="00815D3B">
        <w:rPr>
          <w:i/>
          <w:color w:val="538135" w:themeColor="accent6" w:themeShade="BF"/>
          <w:sz w:val="24"/>
          <w:szCs w:val="24"/>
        </w:rPr>
        <w:t>QqQ</w:t>
      </w:r>
      <w:proofErr w:type="spellEnd"/>
      <w:r w:rsidRPr="00815D3B">
        <w:rPr>
          <w:i/>
          <w:color w:val="538135" w:themeColor="accent6" w:themeShade="BF"/>
          <w:sz w:val="24"/>
          <w:szCs w:val="24"/>
        </w:rPr>
        <w:t>-MRM, Q-ToF-MRM and Orbitrap PRM.</w:t>
      </w:r>
    </w:p>
    <w:p w:rsidR="001B1C1B" w:rsidRPr="000A0354" w:rsidRDefault="001B1C1B" w:rsidP="00283318">
      <w:pPr>
        <w:pStyle w:val="Default"/>
        <w:spacing w:line="360" w:lineRule="auto"/>
        <w:jc w:val="both"/>
        <w:rPr>
          <w:rFonts w:asciiTheme="minorHAnsi" w:hAnsiTheme="minorHAnsi"/>
        </w:rPr>
      </w:pPr>
      <w:r w:rsidRPr="000A0354">
        <w:rPr>
          <w:rFonts w:asciiTheme="minorHAnsi" w:hAnsiTheme="minorHAnsi"/>
        </w:rPr>
        <w:t>1.1 Introduction</w:t>
      </w:r>
      <w:r>
        <w:rPr>
          <w:rFonts w:asciiTheme="minorHAnsi" w:hAnsiTheme="minorHAnsi"/>
        </w:rPr>
        <w:t xml:space="preserve">  </w:t>
      </w:r>
      <w:r w:rsidRPr="000A0354">
        <w:rPr>
          <w:rFonts w:asciiTheme="minorHAnsi" w:hAnsiTheme="minorHAnsi"/>
        </w:rPr>
        <w:t>.............................................................................................</w:t>
      </w:r>
      <w:r w:rsidR="001B58CB">
        <w:rPr>
          <w:rFonts w:asciiTheme="minorHAnsi" w:hAnsiTheme="minorHAnsi"/>
        </w:rPr>
        <w:t>........................05</w:t>
      </w:r>
    </w:p>
    <w:p w:rsidR="001B1C1B" w:rsidRPr="000A0354" w:rsidRDefault="001B1C1B" w:rsidP="00283318">
      <w:pPr>
        <w:pStyle w:val="Default"/>
        <w:spacing w:line="360" w:lineRule="auto"/>
        <w:jc w:val="both"/>
        <w:rPr>
          <w:rFonts w:asciiTheme="minorHAnsi" w:hAnsiTheme="minorHAnsi"/>
        </w:rPr>
      </w:pPr>
      <w:r w:rsidRPr="000A0354">
        <w:rPr>
          <w:rFonts w:asciiTheme="minorHAnsi" w:hAnsiTheme="minorHAnsi"/>
        </w:rPr>
        <w:t>1.2 Methods</w:t>
      </w:r>
      <w:r>
        <w:rPr>
          <w:rFonts w:asciiTheme="minorHAnsi" w:hAnsiTheme="minorHAnsi"/>
        </w:rPr>
        <w:t xml:space="preserve"> &amp; Rationale   </w:t>
      </w:r>
      <w:r w:rsidRPr="000A0354">
        <w:rPr>
          <w:rFonts w:asciiTheme="minorHAnsi" w:hAnsiTheme="minorHAnsi"/>
        </w:rPr>
        <w:t>.....................................................................</w:t>
      </w:r>
      <w:r>
        <w:rPr>
          <w:rFonts w:asciiTheme="minorHAnsi" w:hAnsiTheme="minorHAnsi"/>
        </w:rPr>
        <w:t>..................</w:t>
      </w:r>
      <w:r w:rsidRPr="000A0354">
        <w:rPr>
          <w:rFonts w:asciiTheme="minorHAnsi" w:hAnsiTheme="minorHAnsi"/>
        </w:rPr>
        <w:t>...</w:t>
      </w:r>
      <w:r>
        <w:rPr>
          <w:rFonts w:asciiTheme="minorHAnsi" w:hAnsiTheme="minorHAnsi"/>
        </w:rPr>
        <w:t>.</w:t>
      </w:r>
      <w:r w:rsidRPr="000A0354">
        <w:rPr>
          <w:rFonts w:asciiTheme="minorHAnsi" w:hAnsiTheme="minorHAnsi"/>
        </w:rPr>
        <w:t>...</w:t>
      </w:r>
      <w:r w:rsidR="00C3301C">
        <w:rPr>
          <w:rFonts w:asciiTheme="minorHAnsi" w:hAnsiTheme="minorHAnsi"/>
        </w:rPr>
        <w:t>.</w:t>
      </w:r>
      <w:r w:rsidRPr="000A0354">
        <w:rPr>
          <w:rFonts w:asciiTheme="minorHAnsi" w:hAnsiTheme="minorHAnsi"/>
        </w:rPr>
        <w:t>........</w:t>
      </w:r>
      <w:r w:rsidR="001B58CB">
        <w:rPr>
          <w:rFonts w:asciiTheme="minorHAnsi" w:hAnsiTheme="minorHAnsi"/>
        </w:rPr>
        <w:t>14</w:t>
      </w:r>
    </w:p>
    <w:p w:rsidR="001B1C1B" w:rsidRPr="000A0354" w:rsidRDefault="001B1C1B" w:rsidP="00283318">
      <w:pPr>
        <w:pStyle w:val="Default"/>
        <w:spacing w:line="360" w:lineRule="auto"/>
        <w:ind w:firstLine="720"/>
        <w:jc w:val="both"/>
        <w:rPr>
          <w:rFonts w:asciiTheme="minorHAnsi" w:hAnsiTheme="minorHAnsi"/>
        </w:rPr>
      </w:pPr>
      <w:r w:rsidRPr="000A0354">
        <w:rPr>
          <w:rFonts w:asciiTheme="minorHAnsi" w:hAnsiTheme="minorHAnsi"/>
        </w:rPr>
        <w:t xml:space="preserve">1.21 </w:t>
      </w:r>
      <w:r w:rsidRPr="001F1A51">
        <w:rPr>
          <w:rFonts w:asciiTheme="minorHAnsi" w:hAnsiTheme="minorHAnsi"/>
        </w:rPr>
        <w:t>Synapt G2-Si Untargeted Method (HDMS</w:t>
      </w:r>
      <w:r w:rsidRPr="00A00C0B">
        <w:rPr>
          <w:rFonts w:asciiTheme="minorHAnsi" w:hAnsiTheme="minorHAnsi"/>
          <w:vertAlign w:val="superscript"/>
        </w:rPr>
        <w:t>e</w:t>
      </w:r>
      <w:r w:rsidRPr="001F1A51">
        <w:rPr>
          <w:rFonts w:asciiTheme="minorHAnsi" w:hAnsiTheme="minorHAnsi"/>
        </w:rPr>
        <w:t>)</w:t>
      </w:r>
      <w:r>
        <w:rPr>
          <w:rFonts w:asciiTheme="minorHAnsi" w:hAnsiTheme="minorHAnsi"/>
        </w:rPr>
        <w:t xml:space="preserve">            </w:t>
      </w:r>
      <w:r w:rsidRPr="000A0354">
        <w:rPr>
          <w:rFonts w:asciiTheme="minorHAnsi" w:hAnsiTheme="minorHAnsi"/>
        </w:rPr>
        <w:t>..............................</w:t>
      </w:r>
      <w:r>
        <w:rPr>
          <w:rFonts w:asciiTheme="minorHAnsi" w:hAnsiTheme="minorHAnsi"/>
        </w:rPr>
        <w:t>..........</w:t>
      </w:r>
      <w:r w:rsidRPr="000A0354">
        <w:rPr>
          <w:rFonts w:asciiTheme="minorHAnsi" w:hAnsiTheme="minorHAnsi"/>
        </w:rPr>
        <w:t>.</w:t>
      </w:r>
      <w:r w:rsidR="00C3301C">
        <w:rPr>
          <w:rFonts w:asciiTheme="minorHAnsi" w:hAnsiTheme="minorHAnsi"/>
        </w:rPr>
        <w:t>..</w:t>
      </w:r>
      <w:r w:rsidRPr="000A0354">
        <w:rPr>
          <w:rFonts w:asciiTheme="minorHAnsi" w:hAnsiTheme="minorHAnsi"/>
        </w:rPr>
        <w:t>....</w:t>
      </w:r>
      <w:r w:rsidR="001B58CB">
        <w:rPr>
          <w:rFonts w:asciiTheme="minorHAnsi" w:hAnsiTheme="minorHAnsi"/>
        </w:rPr>
        <w:t>19</w:t>
      </w:r>
    </w:p>
    <w:p w:rsidR="001B1C1B" w:rsidRPr="000A0354" w:rsidRDefault="001B1C1B" w:rsidP="00283318">
      <w:pPr>
        <w:pStyle w:val="Default"/>
        <w:spacing w:line="360" w:lineRule="auto"/>
        <w:ind w:firstLine="720"/>
        <w:jc w:val="both"/>
        <w:rPr>
          <w:rFonts w:asciiTheme="minorHAnsi" w:hAnsiTheme="minorHAnsi"/>
        </w:rPr>
      </w:pPr>
      <w:r w:rsidRPr="000A0354">
        <w:rPr>
          <w:rFonts w:asciiTheme="minorHAnsi" w:hAnsiTheme="minorHAnsi"/>
        </w:rPr>
        <w:t xml:space="preserve">1.22 </w:t>
      </w:r>
      <w:r w:rsidRPr="001F1A51">
        <w:rPr>
          <w:rFonts w:asciiTheme="minorHAnsi" w:hAnsiTheme="minorHAnsi"/>
        </w:rPr>
        <w:t>Xevo TQ-XS Targeted Method (MRM)</w:t>
      </w:r>
      <w:r w:rsidRPr="000A0354">
        <w:rPr>
          <w:rFonts w:asciiTheme="minorHAnsi" w:hAnsiTheme="minorHAnsi"/>
        </w:rPr>
        <w:t xml:space="preserve">             </w:t>
      </w:r>
      <w:r>
        <w:rPr>
          <w:rFonts w:asciiTheme="minorHAnsi" w:hAnsiTheme="minorHAnsi"/>
        </w:rPr>
        <w:t xml:space="preserve">      </w:t>
      </w:r>
      <w:r w:rsidRPr="000A0354">
        <w:rPr>
          <w:rFonts w:asciiTheme="minorHAnsi" w:hAnsiTheme="minorHAnsi"/>
        </w:rPr>
        <w:t xml:space="preserve"> ..........................</w:t>
      </w:r>
      <w:r>
        <w:rPr>
          <w:rFonts w:asciiTheme="minorHAnsi" w:hAnsiTheme="minorHAnsi"/>
        </w:rPr>
        <w:t>.</w:t>
      </w:r>
      <w:r w:rsidRPr="000A0354">
        <w:rPr>
          <w:rFonts w:asciiTheme="minorHAnsi" w:hAnsiTheme="minorHAnsi"/>
        </w:rPr>
        <w:t>.......</w:t>
      </w:r>
      <w:r>
        <w:rPr>
          <w:rFonts w:asciiTheme="minorHAnsi" w:hAnsiTheme="minorHAnsi"/>
        </w:rPr>
        <w:t>........</w:t>
      </w:r>
      <w:r w:rsidR="00C3301C">
        <w:rPr>
          <w:rFonts w:asciiTheme="minorHAnsi" w:hAnsiTheme="minorHAnsi"/>
        </w:rPr>
        <w:t>..</w:t>
      </w:r>
      <w:r>
        <w:rPr>
          <w:rFonts w:asciiTheme="minorHAnsi" w:hAnsiTheme="minorHAnsi"/>
        </w:rPr>
        <w:t>...</w:t>
      </w:r>
      <w:r w:rsidRPr="000A0354">
        <w:rPr>
          <w:rFonts w:asciiTheme="minorHAnsi" w:hAnsiTheme="minorHAnsi"/>
        </w:rPr>
        <w:t>..</w:t>
      </w:r>
      <w:r w:rsidR="001B58CB">
        <w:rPr>
          <w:rFonts w:asciiTheme="minorHAnsi" w:hAnsiTheme="minorHAnsi"/>
        </w:rPr>
        <w:t>22</w:t>
      </w:r>
    </w:p>
    <w:p w:rsidR="001B1C1B" w:rsidRDefault="001B1C1B" w:rsidP="00283318">
      <w:pPr>
        <w:pStyle w:val="Default"/>
        <w:spacing w:line="360" w:lineRule="auto"/>
        <w:ind w:firstLine="720"/>
        <w:jc w:val="both"/>
        <w:rPr>
          <w:rFonts w:asciiTheme="minorHAnsi" w:hAnsiTheme="minorHAnsi"/>
        </w:rPr>
      </w:pPr>
      <w:r w:rsidRPr="000A0354">
        <w:rPr>
          <w:rFonts w:asciiTheme="minorHAnsi" w:hAnsiTheme="minorHAnsi"/>
        </w:rPr>
        <w:t>1.23 Synapt G2-Si Targeted M</w:t>
      </w:r>
      <w:r w:rsidR="00A00C0B">
        <w:rPr>
          <w:rFonts w:asciiTheme="minorHAnsi" w:hAnsiTheme="minorHAnsi"/>
        </w:rPr>
        <w:t>ethod (Q-ToF MRM</w:t>
      </w:r>
      <w:r>
        <w:rPr>
          <w:rFonts w:asciiTheme="minorHAnsi" w:hAnsiTheme="minorHAnsi"/>
        </w:rPr>
        <w:t xml:space="preserve">)             </w:t>
      </w:r>
      <w:r w:rsidRPr="000A0354">
        <w:rPr>
          <w:rFonts w:asciiTheme="minorHAnsi" w:hAnsiTheme="minorHAnsi"/>
        </w:rPr>
        <w:t>...................</w:t>
      </w:r>
      <w:r>
        <w:rPr>
          <w:rFonts w:asciiTheme="minorHAnsi" w:hAnsiTheme="minorHAnsi"/>
        </w:rPr>
        <w:t>.....</w:t>
      </w:r>
      <w:r w:rsidRPr="000A0354">
        <w:rPr>
          <w:rFonts w:asciiTheme="minorHAnsi" w:hAnsiTheme="minorHAnsi"/>
        </w:rPr>
        <w:t>........</w:t>
      </w:r>
      <w:r>
        <w:rPr>
          <w:rFonts w:asciiTheme="minorHAnsi" w:hAnsiTheme="minorHAnsi"/>
        </w:rPr>
        <w:t>.</w:t>
      </w:r>
      <w:r w:rsidRPr="000A0354">
        <w:rPr>
          <w:rFonts w:asciiTheme="minorHAnsi" w:hAnsiTheme="minorHAnsi"/>
        </w:rPr>
        <w:t>.</w:t>
      </w:r>
      <w:r w:rsidR="00C3301C">
        <w:rPr>
          <w:rFonts w:asciiTheme="minorHAnsi" w:hAnsiTheme="minorHAnsi"/>
        </w:rPr>
        <w:t>..</w:t>
      </w:r>
      <w:r w:rsidRPr="000A0354">
        <w:rPr>
          <w:rFonts w:asciiTheme="minorHAnsi" w:hAnsiTheme="minorHAnsi"/>
        </w:rPr>
        <w:t>......</w:t>
      </w:r>
      <w:r w:rsidR="001B58CB">
        <w:rPr>
          <w:rFonts w:asciiTheme="minorHAnsi" w:hAnsiTheme="minorHAnsi"/>
        </w:rPr>
        <w:t>25</w:t>
      </w:r>
    </w:p>
    <w:p w:rsidR="001B1C1B" w:rsidRPr="000A0354" w:rsidRDefault="001B1C1B" w:rsidP="00283318">
      <w:pPr>
        <w:pStyle w:val="Default"/>
        <w:spacing w:line="360" w:lineRule="auto"/>
        <w:ind w:firstLine="720"/>
        <w:jc w:val="both"/>
        <w:rPr>
          <w:rFonts w:asciiTheme="minorHAnsi" w:hAnsiTheme="minorHAnsi"/>
        </w:rPr>
      </w:pPr>
      <w:r>
        <w:rPr>
          <w:rFonts w:asciiTheme="minorHAnsi" w:hAnsiTheme="minorHAnsi"/>
        </w:rPr>
        <w:t xml:space="preserve">1.24 Q Exactive Plus Targeted Method (PRM)           </w:t>
      </w:r>
      <w:proofErr w:type="gramStart"/>
      <w:r>
        <w:rPr>
          <w:rFonts w:asciiTheme="minorHAnsi" w:hAnsiTheme="minorHAnsi"/>
        </w:rPr>
        <w:t>…………………………………..…...</w:t>
      </w:r>
      <w:r w:rsidR="00C3301C">
        <w:rPr>
          <w:rFonts w:asciiTheme="minorHAnsi" w:hAnsiTheme="minorHAnsi"/>
        </w:rPr>
        <w:t>..</w:t>
      </w:r>
      <w:r>
        <w:rPr>
          <w:rFonts w:asciiTheme="minorHAnsi" w:hAnsiTheme="minorHAnsi"/>
        </w:rPr>
        <w:t>….….</w:t>
      </w:r>
      <w:proofErr w:type="gramEnd"/>
      <w:r w:rsidR="001B58CB">
        <w:rPr>
          <w:rFonts w:asciiTheme="minorHAnsi" w:hAnsiTheme="minorHAnsi"/>
        </w:rPr>
        <w:t>28</w:t>
      </w:r>
    </w:p>
    <w:p w:rsidR="001B1C1B" w:rsidRPr="000A0354" w:rsidRDefault="001B1C1B" w:rsidP="00283318">
      <w:pPr>
        <w:pStyle w:val="Default"/>
        <w:spacing w:line="360" w:lineRule="auto"/>
        <w:jc w:val="both"/>
        <w:rPr>
          <w:rFonts w:asciiTheme="minorHAnsi" w:hAnsiTheme="minorHAnsi"/>
        </w:rPr>
      </w:pPr>
      <w:r w:rsidRPr="000A0354">
        <w:rPr>
          <w:rFonts w:asciiTheme="minorHAnsi" w:hAnsiTheme="minorHAnsi"/>
        </w:rPr>
        <w:t>1.3 Results</w:t>
      </w:r>
      <w:r>
        <w:rPr>
          <w:rFonts w:asciiTheme="minorHAnsi" w:hAnsiTheme="minorHAnsi"/>
        </w:rPr>
        <w:t xml:space="preserve">         </w:t>
      </w:r>
      <w:r w:rsidRPr="000A0354">
        <w:rPr>
          <w:rFonts w:asciiTheme="minorHAnsi" w:hAnsiTheme="minorHAnsi"/>
        </w:rPr>
        <w:t>.................................................................................................</w:t>
      </w:r>
      <w:r>
        <w:rPr>
          <w:rFonts w:asciiTheme="minorHAnsi" w:hAnsiTheme="minorHAnsi"/>
        </w:rPr>
        <w:t>............</w:t>
      </w:r>
      <w:r w:rsidR="00C3301C">
        <w:rPr>
          <w:rFonts w:asciiTheme="minorHAnsi" w:hAnsiTheme="minorHAnsi"/>
        </w:rPr>
        <w:t>..</w:t>
      </w:r>
      <w:r>
        <w:rPr>
          <w:rFonts w:asciiTheme="minorHAnsi" w:hAnsiTheme="minorHAnsi"/>
        </w:rPr>
        <w:t>...</w:t>
      </w:r>
      <w:r w:rsidRPr="000A0354">
        <w:rPr>
          <w:rFonts w:asciiTheme="minorHAnsi" w:hAnsiTheme="minorHAnsi"/>
        </w:rPr>
        <w:t>..</w:t>
      </w:r>
      <w:r>
        <w:rPr>
          <w:rFonts w:asciiTheme="minorHAnsi" w:hAnsiTheme="minorHAnsi"/>
        </w:rPr>
        <w:t>.</w:t>
      </w:r>
      <w:r w:rsidRPr="000A0354">
        <w:rPr>
          <w:rFonts w:asciiTheme="minorHAnsi" w:hAnsiTheme="minorHAnsi"/>
        </w:rPr>
        <w:t>....</w:t>
      </w:r>
      <w:r w:rsidR="001B58CB">
        <w:rPr>
          <w:rFonts w:asciiTheme="minorHAnsi" w:hAnsiTheme="minorHAnsi"/>
        </w:rPr>
        <w:t>34</w:t>
      </w:r>
    </w:p>
    <w:p w:rsidR="001B1C1B" w:rsidRPr="000A0354" w:rsidRDefault="001B1C1B" w:rsidP="00283318">
      <w:pPr>
        <w:pStyle w:val="Default"/>
        <w:spacing w:line="360" w:lineRule="auto"/>
        <w:ind w:firstLine="720"/>
        <w:jc w:val="both"/>
        <w:rPr>
          <w:rFonts w:asciiTheme="minorHAnsi" w:hAnsiTheme="minorHAnsi"/>
        </w:rPr>
      </w:pPr>
      <w:r w:rsidRPr="000A0354">
        <w:rPr>
          <w:rFonts w:asciiTheme="minorHAnsi" w:hAnsiTheme="minorHAnsi"/>
        </w:rPr>
        <w:t xml:space="preserve">1.31 </w:t>
      </w:r>
      <w:r w:rsidRPr="001F1A51">
        <w:rPr>
          <w:rFonts w:asciiTheme="minorHAnsi" w:hAnsiTheme="minorHAnsi"/>
        </w:rPr>
        <w:t>Synapt G2-Si Untargeted Method (HDMS</w:t>
      </w:r>
      <w:r w:rsidRPr="00A00C0B">
        <w:rPr>
          <w:rFonts w:asciiTheme="minorHAnsi" w:hAnsiTheme="minorHAnsi"/>
          <w:vertAlign w:val="superscript"/>
        </w:rPr>
        <w:t>e</w:t>
      </w:r>
      <w:r w:rsidRPr="001F1A51">
        <w:rPr>
          <w:rFonts w:asciiTheme="minorHAnsi" w:hAnsiTheme="minorHAnsi"/>
        </w:rPr>
        <w:t>)</w:t>
      </w:r>
      <w:r>
        <w:rPr>
          <w:rFonts w:asciiTheme="minorHAnsi" w:hAnsiTheme="minorHAnsi"/>
        </w:rPr>
        <w:t xml:space="preserve">               </w:t>
      </w:r>
      <w:r w:rsidRPr="000A0354">
        <w:rPr>
          <w:rFonts w:asciiTheme="minorHAnsi" w:hAnsiTheme="minorHAnsi"/>
        </w:rPr>
        <w:t>.............................</w:t>
      </w:r>
      <w:r>
        <w:rPr>
          <w:rFonts w:asciiTheme="minorHAnsi" w:hAnsiTheme="minorHAnsi"/>
        </w:rPr>
        <w:t>.</w:t>
      </w:r>
      <w:r w:rsidRPr="000A0354">
        <w:rPr>
          <w:rFonts w:asciiTheme="minorHAnsi" w:hAnsiTheme="minorHAnsi"/>
        </w:rPr>
        <w:t>..</w:t>
      </w:r>
      <w:r>
        <w:rPr>
          <w:rFonts w:asciiTheme="minorHAnsi" w:hAnsiTheme="minorHAnsi"/>
        </w:rPr>
        <w:t>.</w:t>
      </w:r>
      <w:r w:rsidR="00C3301C">
        <w:rPr>
          <w:rFonts w:asciiTheme="minorHAnsi" w:hAnsiTheme="minorHAnsi"/>
        </w:rPr>
        <w:t>.</w:t>
      </w:r>
      <w:r>
        <w:rPr>
          <w:rFonts w:asciiTheme="minorHAnsi" w:hAnsiTheme="minorHAnsi"/>
        </w:rPr>
        <w:t>.....</w:t>
      </w:r>
      <w:r w:rsidRPr="000A0354">
        <w:rPr>
          <w:rFonts w:asciiTheme="minorHAnsi" w:hAnsiTheme="minorHAnsi"/>
        </w:rPr>
        <w:t>...</w:t>
      </w:r>
      <w:r>
        <w:rPr>
          <w:rFonts w:asciiTheme="minorHAnsi" w:hAnsiTheme="minorHAnsi"/>
        </w:rPr>
        <w:t>.</w:t>
      </w:r>
      <w:r w:rsidRPr="000A0354">
        <w:rPr>
          <w:rFonts w:asciiTheme="minorHAnsi" w:hAnsiTheme="minorHAnsi"/>
        </w:rPr>
        <w:t>.</w:t>
      </w:r>
      <w:r w:rsidR="001B58CB">
        <w:rPr>
          <w:rFonts w:asciiTheme="minorHAnsi" w:hAnsiTheme="minorHAnsi"/>
        </w:rPr>
        <w:t>34</w:t>
      </w:r>
    </w:p>
    <w:p w:rsidR="001B1C1B" w:rsidRPr="000A0354" w:rsidRDefault="001B1C1B" w:rsidP="00283318">
      <w:pPr>
        <w:pStyle w:val="Default"/>
        <w:spacing w:line="360" w:lineRule="auto"/>
        <w:ind w:firstLine="720"/>
        <w:jc w:val="both"/>
        <w:rPr>
          <w:rFonts w:asciiTheme="minorHAnsi" w:hAnsiTheme="minorHAnsi"/>
        </w:rPr>
      </w:pPr>
      <w:r w:rsidRPr="000A0354">
        <w:rPr>
          <w:rFonts w:asciiTheme="minorHAnsi" w:hAnsiTheme="minorHAnsi"/>
        </w:rPr>
        <w:t xml:space="preserve">1.32 </w:t>
      </w:r>
      <w:r w:rsidRPr="001F1A51">
        <w:rPr>
          <w:rFonts w:asciiTheme="minorHAnsi" w:hAnsiTheme="minorHAnsi"/>
        </w:rPr>
        <w:t>Xevo TQ-XS Targeted Method (MRM)</w:t>
      </w:r>
      <w:r w:rsidRPr="000A0354">
        <w:rPr>
          <w:rFonts w:asciiTheme="minorHAnsi" w:hAnsiTheme="minorHAnsi"/>
        </w:rPr>
        <w:t xml:space="preserve">              ............................</w:t>
      </w:r>
      <w:r>
        <w:rPr>
          <w:rFonts w:asciiTheme="minorHAnsi" w:hAnsiTheme="minorHAnsi"/>
        </w:rPr>
        <w:t>............</w:t>
      </w:r>
      <w:r w:rsidRPr="000A0354">
        <w:rPr>
          <w:rFonts w:asciiTheme="minorHAnsi" w:hAnsiTheme="minorHAnsi"/>
        </w:rPr>
        <w:t>....</w:t>
      </w:r>
      <w:r>
        <w:rPr>
          <w:rFonts w:asciiTheme="minorHAnsi" w:hAnsiTheme="minorHAnsi"/>
        </w:rPr>
        <w:t>..</w:t>
      </w:r>
      <w:r w:rsidR="00C3301C">
        <w:rPr>
          <w:rFonts w:asciiTheme="minorHAnsi" w:hAnsiTheme="minorHAnsi"/>
        </w:rPr>
        <w:t>.</w:t>
      </w:r>
      <w:r>
        <w:rPr>
          <w:rFonts w:asciiTheme="minorHAnsi" w:hAnsiTheme="minorHAnsi"/>
        </w:rPr>
        <w:t>....</w:t>
      </w:r>
      <w:r w:rsidRPr="000A0354">
        <w:rPr>
          <w:rFonts w:asciiTheme="minorHAnsi" w:hAnsiTheme="minorHAnsi"/>
        </w:rPr>
        <w:t>...</w:t>
      </w:r>
      <w:r w:rsidR="00D10CCA">
        <w:rPr>
          <w:rFonts w:asciiTheme="minorHAnsi" w:hAnsiTheme="minorHAnsi"/>
        </w:rPr>
        <w:t>39</w:t>
      </w:r>
    </w:p>
    <w:p w:rsidR="001B1C1B" w:rsidRDefault="001B1C1B" w:rsidP="00283318">
      <w:pPr>
        <w:pStyle w:val="Default"/>
        <w:spacing w:line="360" w:lineRule="auto"/>
        <w:ind w:firstLine="720"/>
        <w:jc w:val="both"/>
        <w:rPr>
          <w:rFonts w:asciiTheme="minorHAnsi" w:hAnsiTheme="minorHAnsi"/>
        </w:rPr>
      </w:pPr>
      <w:r w:rsidRPr="000A0354">
        <w:rPr>
          <w:rFonts w:asciiTheme="minorHAnsi" w:hAnsiTheme="minorHAnsi"/>
        </w:rPr>
        <w:t>1.33 Synapt G2-Si Targeted M</w:t>
      </w:r>
      <w:r>
        <w:rPr>
          <w:rFonts w:asciiTheme="minorHAnsi" w:hAnsiTheme="minorHAnsi"/>
        </w:rPr>
        <w:t xml:space="preserve">ethod (Q-ToF </w:t>
      </w:r>
      <w:proofErr w:type="gramStart"/>
      <w:r>
        <w:rPr>
          <w:rFonts w:asciiTheme="minorHAnsi" w:hAnsiTheme="minorHAnsi"/>
        </w:rPr>
        <w:t>MRM )</w:t>
      </w:r>
      <w:proofErr w:type="gramEnd"/>
      <w:r w:rsidRPr="000A0354">
        <w:rPr>
          <w:rFonts w:asciiTheme="minorHAnsi" w:hAnsiTheme="minorHAnsi"/>
        </w:rPr>
        <w:t xml:space="preserve">               .........................</w:t>
      </w:r>
      <w:r>
        <w:rPr>
          <w:rFonts w:asciiTheme="minorHAnsi" w:hAnsiTheme="minorHAnsi"/>
        </w:rPr>
        <w:t>.....</w:t>
      </w:r>
      <w:r w:rsidRPr="000A0354">
        <w:rPr>
          <w:rFonts w:asciiTheme="minorHAnsi" w:hAnsiTheme="minorHAnsi"/>
        </w:rPr>
        <w:t>.</w:t>
      </w:r>
      <w:r>
        <w:rPr>
          <w:rFonts w:asciiTheme="minorHAnsi" w:hAnsiTheme="minorHAnsi"/>
        </w:rPr>
        <w:t>.</w:t>
      </w:r>
      <w:r w:rsidR="00C3301C">
        <w:rPr>
          <w:rFonts w:asciiTheme="minorHAnsi" w:hAnsiTheme="minorHAnsi"/>
        </w:rPr>
        <w:t>..</w:t>
      </w:r>
      <w:r w:rsidRPr="000A0354">
        <w:rPr>
          <w:rFonts w:asciiTheme="minorHAnsi" w:hAnsiTheme="minorHAnsi"/>
        </w:rPr>
        <w:t>.</w:t>
      </w:r>
      <w:r>
        <w:rPr>
          <w:rFonts w:asciiTheme="minorHAnsi" w:hAnsiTheme="minorHAnsi"/>
        </w:rPr>
        <w:t>.</w:t>
      </w:r>
      <w:r w:rsidRPr="000A0354">
        <w:rPr>
          <w:rFonts w:asciiTheme="minorHAnsi" w:hAnsiTheme="minorHAnsi"/>
        </w:rPr>
        <w:t>....</w:t>
      </w:r>
      <w:r w:rsidR="00D842A6">
        <w:rPr>
          <w:rFonts w:asciiTheme="minorHAnsi" w:hAnsiTheme="minorHAnsi"/>
        </w:rPr>
        <w:t>49</w:t>
      </w:r>
    </w:p>
    <w:p w:rsidR="001B1C1B" w:rsidRPr="000A0354" w:rsidRDefault="001B1C1B" w:rsidP="00283318">
      <w:pPr>
        <w:pStyle w:val="Default"/>
        <w:spacing w:line="360" w:lineRule="auto"/>
        <w:ind w:firstLine="720"/>
        <w:jc w:val="both"/>
        <w:rPr>
          <w:rFonts w:asciiTheme="minorHAnsi" w:hAnsiTheme="minorHAnsi"/>
        </w:rPr>
      </w:pPr>
      <w:r>
        <w:rPr>
          <w:rFonts w:asciiTheme="minorHAnsi" w:hAnsiTheme="minorHAnsi"/>
        </w:rPr>
        <w:t xml:space="preserve">1.34 Q Exactive Plus Targeted Method (PRM)           </w:t>
      </w:r>
      <w:proofErr w:type="gramStart"/>
      <w:r>
        <w:rPr>
          <w:rFonts w:asciiTheme="minorHAnsi" w:hAnsiTheme="minorHAnsi"/>
        </w:rPr>
        <w:t>…………………………………….…</w:t>
      </w:r>
      <w:r w:rsidR="00C3301C">
        <w:rPr>
          <w:rFonts w:asciiTheme="minorHAnsi" w:hAnsiTheme="minorHAnsi"/>
        </w:rPr>
        <w:t>..</w:t>
      </w:r>
      <w:r>
        <w:rPr>
          <w:rFonts w:asciiTheme="minorHAnsi" w:hAnsiTheme="minorHAnsi"/>
        </w:rPr>
        <w:t>…..….</w:t>
      </w:r>
      <w:proofErr w:type="gramEnd"/>
      <w:r w:rsidR="001B58CB">
        <w:rPr>
          <w:rFonts w:asciiTheme="minorHAnsi" w:hAnsiTheme="minorHAnsi"/>
        </w:rPr>
        <w:t>5</w:t>
      </w:r>
      <w:r w:rsidR="00D842A6">
        <w:rPr>
          <w:rFonts w:asciiTheme="minorHAnsi" w:hAnsiTheme="minorHAnsi"/>
        </w:rPr>
        <w:t>8</w:t>
      </w:r>
    </w:p>
    <w:p w:rsidR="001B1C1B" w:rsidRPr="000A0354" w:rsidRDefault="00C3301C" w:rsidP="00283318">
      <w:pPr>
        <w:pStyle w:val="Default"/>
        <w:spacing w:line="360" w:lineRule="auto"/>
        <w:jc w:val="both"/>
        <w:rPr>
          <w:rFonts w:asciiTheme="minorHAnsi" w:hAnsiTheme="minorHAnsi"/>
        </w:rPr>
      </w:pPr>
      <w:r>
        <w:rPr>
          <w:rFonts w:asciiTheme="minorHAnsi" w:hAnsiTheme="minorHAnsi"/>
        </w:rPr>
        <w:t>1.4 Discussion ………..</w:t>
      </w:r>
      <w:r w:rsidR="001B1C1B" w:rsidRPr="000A0354">
        <w:rPr>
          <w:rFonts w:asciiTheme="minorHAnsi" w:hAnsiTheme="minorHAnsi"/>
        </w:rPr>
        <w:t>........................................................................................................</w:t>
      </w:r>
      <w:r w:rsidR="001B1C1B">
        <w:rPr>
          <w:rFonts w:asciiTheme="minorHAnsi" w:hAnsiTheme="minorHAnsi"/>
        </w:rPr>
        <w:t>....</w:t>
      </w:r>
      <w:r w:rsidR="001B1C1B" w:rsidRPr="000A0354">
        <w:rPr>
          <w:rFonts w:asciiTheme="minorHAnsi" w:hAnsiTheme="minorHAnsi"/>
        </w:rPr>
        <w:t>...</w:t>
      </w:r>
      <w:r w:rsidR="001B58CB">
        <w:rPr>
          <w:rFonts w:asciiTheme="minorHAnsi" w:hAnsiTheme="minorHAnsi"/>
        </w:rPr>
        <w:t>7</w:t>
      </w:r>
      <w:r w:rsidR="00D842A6">
        <w:rPr>
          <w:rFonts w:asciiTheme="minorHAnsi" w:hAnsiTheme="minorHAnsi"/>
        </w:rPr>
        <w:t>2</w:t>
      </w:r>
    </w:p>
    <w:p w:rsidR="001B1C1B" w:rsidRPr="00C13B64" w:rsidRDefault="001B1C1B" w:rsidP="00C13B64">
      <w:pPr>
        <w:pStyle w:val="Default"/>
        <w:spacing w:line="360" w:lineRule="auto"/>
        <w:jc w:val="both"/>
        <w:rPr>
          <w:rFonts w:asciiTheme="minorHAnsi" w:hAnsiTheme="minorHAnsi"/>
        </w:rPr>
      </w:pPr>
      <w:r>
        <w:rPr>
          <w:rFonts w:asciiTheme="minorHAnsi" w:hAnsiTheme="minorHAnsi"/>
        </w:rPr>
        <w:t>1.5 Conclusion</w:t>
      </w:r>
      <w:r w:rsidRPr="000A0354">
        <w:rPr>
          <w:rFonts w:asciiTheme="minorHAnsi" w:hAnsiTheme="minorHAnsi"/>
        </w:rPr>
        <w:t xml:space="preserve"> ...........................................................</w:t>
      </w:r>
      <w:r w:rsidR="00C3301C">
        <w:rPr>
          <w:rFonts w:asciiTheme="minorHAnsi" w:hAnsiTheme="minorHAnsi"/>
        </w:rPr>
        <w:t>...................</w:t>
      </w:r>
      <w:r w:rsidRPr="000A0354">
        <w:rPr>
          <w:rFonts w:asciiTheme="minorHAnsi" w:hAnsiTheme="minorHAnsi"/>
        </w:rPr>
        <w:t>.........</w:t>
      </w:r>
      <w:r>
        <w:rPr>
          <w:rFonts w:asciiTheme="minorHAnsi" w:hAnsiTheme="minorHAnsi"/>
        </w:rPr>
        <w:t>..</w:t>
      </w:r>
      <w:r w:rsidRPr="000A0354">
        <w:rPr>
          <w:rFonts w:asciiTheme="minorHAnsi" w:hAnsiTheme="minorHAnsi"/>
        </w:rPr>
        <w:t>................................</w:t>
      </w:r>
      <w:r w:rsidR="00561D45">
        <w:rPr>
          <w:rFonts w:asciiTheme="minorHAnsi" w:hAnsiTheme="minorHAnsi"/>
        </w:rPr>
        <w:t>85</w:t>
      </w:r>
    </w:p>
    <w:p w:rsidR="00E15410" w:rsidRDefault="00E15410" w:rsidP="00C13B64">
      <w:pPr>
        <w:spacing w:line="240" w:lineRule="auto"/>
        <w:jc w:val="both"/>
        <w:rPr>
          <w:b/>
          <w:bCs/>
          <w:sz w:val="36"/>
          <w:szCs w:val="36"/>
        </w:rPr>
      </w:pPr>
      <w:r w:rsidRPr="003A13E7">
        <w:rPr>
          <w:b/>
          <w:bCs/>
          <w:sz w:val="36"/>
          <w:szCs w:val="36"/>
        </w:rPr>
        <w:lastRenderedPageBreak/>
        <w:t xml:space="preserve">Chapter </w:t>
      </w:r>
      <w:r w:rsidR="00610B36">
        <w:rPr>
          <w:b/>
          <w:bCs/>
          <w:sz w:val="36"/>
          <w:szCs w:val="36"/>
        </w:rPr>
        <w:t>2</w:t>
      </w:r>
      <w:r w:rsidR="00A831B2" w:rsidRPr="000A0354">
        <w:t>....</w:t>
      </w:r>
      <w:r w:rsidR="00A831B2">
        <w:t>...........................</w:t>
      </w:r>
      <w:r w:rsidR="00610B36">
        <w:t>...</w:t>
      </w:r>
      <w:r w:rsidR="00A831B2">
        <w:t>...........................</w:t>
      </w:r>
      <w:r w:rsidR="00E568AA">
        <w:t>........................</w:t>
      </w:r>
      <w:r w:rsidR="00A831B2">
        <w:t>.....................................</w:t>
      </w:r>
      <w:r w:rsidR="00610B36">
        <w:t>.</w:t>
      </w:r>
      <w:r w:rsidR="00A831B2">
        <w:t>.......</w:t>
      </w:r>
      <w:r w:rsidR="00561D45">
        <w:rPr>
          <w:b/>
          <w:bCs/>
          <w:sz w:val="36"/>
          <w:szCs w:val="36"/>
        </w:rPr>
        <w:t>86</w:t>
      </w:r>
    </w:p>
    <w:p w:rsidR="00C13B64" w:rsidRPr="00815D3B" w:rsidRDefault="00C13B64" w:rsidP="00C13B64">
      <w:pPr>
        <w:spacing w:line="240" w:lineRule="auto"/>
        <w:jc w:val="both"/>
        <w:rPr>
          <w:bCs/>
          <w:color w:val="538135" w:themeColor="accent6" w:themeShade="BF"/>
          <w:sz w:val="24"/>
          <w:szCs w:val="24"/>
        </w:rPr>
      </w:pPr>
      <w:r w:rsidRPr="00815D3B">
        <w:rPr>
          <w:bCs/>
          <w:i/>
          <w:color w:val="538135" w:themeColor="accent6" w:themeShade="BF"/>
          <w:sz w:val="24"/>
          <w:szCs w:val="24"/>
        </w:rPr>
        <w:t>A study of polyphenolic compounds in waste produced by agriculture and aquaculture in North Wales, using the analytical techniques of UPLC with HDMS</w:t>
      </w:r>
      <w:r w:rsidRPr="00815D3B">
        <w:rPr>
          <w:bCs/>
          <w:i/>
          <w:color w:val="538135" w:themeColor="accent6" w:themeShade="BF"/>
          <w:sz w:val="24"/>
          <w:szCs w:val="24"/>
          <w:vertAlign w:val="superscript"/>
        </w:rPr>
        <w:t>e</w:t>
      </w:r>
      <w:r w:rsidRPr="00815D3B">
        <w:rPr>
          <w:bCs/>
          <w:i/>
          <w:color w:val="538135" w:themeColor="accent6" w:themeShade="BF"/>
          <w:sz w:val="24"/>
          <w:szCs w:val="24"/>
        </w:rPr>
        <w:t xml:space="preserve"> and Orbitrap PRM</w:t>
      </w:r>
      <w:r w:rsidRPr="00815D3B">
        <w:rPr>
          <w:bCs/>
          <w:color w:val="538135" w:themeColor="accent6" w:themeShade="BF"/>
          <w:sz w:val="24"/>
          <w:szCs w:val="24"/>
        </w:rPr>
        <w:t>.</w:t>
      </w:r>
    </w:p>
    <w:p w:rsidR="00E15410" w:rsidRPr="000A0354" w:rsidRDefault="00E15410" w:rsidP="00283318">
      <w:pPr>
        <w:pStyle w:val="Default"/>
        <w:spacing w:line="360" w:lineRule="auto"/>
        <w:jc w:val="both"/>
        <w:rPr>
          <w:rFonts w:asciiTheme="minorHAnsi" w:hAnsiTheme="minorHAnsi"/>
        </w:rPr>
      </w:pPr>
      <w:r>
        <w:rPr>
          <w:rFonts w:asciiTheme="minorHAnsi" w:hAnsiTheme="minorHAnsi"/>
        </w:rPr>
        <w:t>2</w:t>
      </w:r>
      <w:r w:rsidRPr="000A0354">
        <w:rPr>
          <w:rFonts w:asciiTheme="minorHAnsi" w:hAnsiTheme="minorHAnsi"/>
        </w:rPr>
        <w:t>.1 Introduction..................</w:t>
      </w:r>
      <w:r w:rsidR="00610B36">
        <w:rPr>
          <w:rFonts w:asciiTheme="minorHAnsi" w:hAnsiTheme="minorHAnsi"/>
        </w:rPr>
        <w:t>...</w:t>
      </w:r>
      <w:r w:rsidRPr="000A0354">
        <w:rPr>
          <w:rFonts w:asciiTheme="minorHAnsi" w:hAnsiTheme="minorHAnsi"/>
        </w:rPr>
        <w:t>.............</w:t>
      </w:r>
      <w:r w:rsidR="00E568AA">
        <w:rPr>
          <w:rFonts w:asciiTheme="minorHAnsi" w:hAnsiTheme="minorHAnsi"/>
        </w:rPr>
        <w:t>................</w:t>
      </w:r>
      <w:r w:rsidRPr="000A0354">
        <w:rPr>
          <w:rFonts w:asciiTheme="minorHAnsi" w:hAnsiTheme="minorHAnsi"/>
        </w:rPr>
        <w:t>.....</w:t>
      </w:r>
      <w:r w:rsidR="00387FA2">
        <w:rPr>
          <w:rFonts w:asciiTheme="minorHAnsi" w:hAnsiTheme="minorHAnsi"/>
        </w:rPr>
        <w:t>..</w:t>
      </w:r>
      <w:r w:rsidRPr="000A0354">
        <w:rPr>
          <w:rFonts w:asciiTheme="minorHAnsi" w:hAnsiTheme="minorHAnsi"/>
        </w:rPr>
        <w:t>........................................</w:t>
      </w:r>
      <w:r w:rsidR="00031E72">
        <w:rPr>
          <w:rFonts w:asciiTheme="minorHAnsi" w:hAnsiTheme="minorHAnsi"/>
        </w:rPr>
        <w:t>......................8</w:t>
      </w:r>
      <w:r w:rsidR="003B428B">
        <w:rPr>
          <w:rFonts w:asciiTheme="minorHAnsi" w:hAnsiTheme="minorHAnsi"/>
        </w:rPr>
        <w:t>7</w:t>
      </w:r>
      <w:r w:rsidRPr="000A0354">
        <w:rPr>
          <w:rFonts w:asciiTheme="minorHAnsi" w:hAnsiTheme="minorHAnsi"/>
        </w:rPr>
        <w:t xml:space="preserve"> </w:t>
      </w:r>
    </w:p>
    <w:p w:rsidR="00E15410" w:rsidRPr="000A0354" w:rsidRDefault="00E15410" w:rsidP="00283318">
      <w:pPr>
        <w:pStyle w:val="Default"/>
        <w:spacing w:line="360" w:lineRule="auto"/>
        <w:jc w:val="both"/>
        <w:rPr>
          <w:rFonts w:asciiTheme="minorHAnsi" w:hAnsiTheme="minorHAnsi"/>
        </w:rPr>
      </w:pPr>
      <w:r>
        <w:rPr>
          <w:rFonts w:asciiTheme="minorHAnsi" w:hAnsiTheme="minorHAnsi"/>
        </w:rPr>
        <w:t>2</w:t>
      </w:r>
      <w:r w:rsidRPr="000A0354">
        <w:rPr>
          <w:rFonts w:asciiTheme="minorHAnsi" w:hAnsiTheme="minorHAnsi"/>
        </w:rPr>
        <w:t>.2 Methods</w:t>
      </w:r>
      <w:r w:rsidR="00610B36">
        <w:rPr>
          <w:rFonts w:asciiTheme="minorHAnsi" w:hAnsiTheme="minorHAnsi"/>
        </w:rPr>
        <w:t>…</w:t>
      </w:r>
      <w:r w:rsidRPr="000A0354">
        <w:rPr>
          <w:rFonts w:asciiTheme="minorHAnsi" w:hAnsiTheme="minorHAnsi"/>
        </w:rPr>
        <w:t>......................................................</w:t>
      </w:r>
      <w:r w:rsidR="00E568AA">
        <w:rPr>
          <w:rFonts w:asciiTheme="minorHAnsi" w:hAnsiTheme="minorHAnsi"/>
        </w:rPr>
        <w:t>...................</w:t>
      </w:r>
      <w:r w:rsidRPr="000A0354">
        <w:rPr>
          <w:rFonts w:asciiTheme="minorHAnsi" w:hAnsiTheme="minorHAnsi"/>
        </w:rPr>
        <w:t>.................</w:t>
      </w:r>
      <w:r>
        <w:rPr>
          <w:rFonts w:asciiTheme="minorHAnsi" w:hAnsiTheme="minorHAnsi"/>
        </w:rPr>
        <w:t>...........................</w:t>
      </w:r>
      <w:r w:rsidRPr="000A0354">
        <w:rPr>
          <w:rFonts w:asciiTheme="minorHAnsi" w:hAnsiTheme="minorHAnsi"/>
        </w:rPr>
        <w:t>.....</w:t>
      </w:r>
      <w:r>
        <w:rPr>
          <w:rFonts w:asciiTheme="minorHAnsi" w:hAnsiTheme="minorHAnsi"/>
        </w:rPr>
        <w:t>9</w:t>
      </w:r>
      <w:r w:rsidR="003B428B">
        <w:rPr>
          <w:rFonts w:asciiTheme="minorHAnsi" w:hAnsiTheme="minorHAnsi"/>
        </w:rPr>
        <w:t>4</w:t>
      </w:r>
      <w:r w:rsidRPr="000A0354">
        <w:rPr>
          <w:rFonts w:asciiTheme="minorHAnsi" w:hAnsiTheme="minorHAnsi"/>
        </w:rPr>
        <w:t xml:space="preserve"> </w:t>
      </w:r>
    </w:p>
    <w:p w:rsidR="00E15410" w:rsidRDefault="00E15410" w:rsidP="00283318">
      <w:pPr>
        <w:pStyle w:val="Default"/>
        <w:spacing w:line="360" w:lineRule="auto"/>
        <w:ind w:firstLine="720"/>
        <w:jc w:val="both"/>
        <w:rPr>
          <w:rFonts w:asciiTheme="minorHAnsi" w:hAnsiTheme="minorHAnsi"/>
        </w:rPr>
      </w:pPr>
      <w:r>
        <w:rPr>
          <w:rFonts w:asciiTheme="minorHAnsi" w:hAnsiTheme="minorHAnsi"/>
        </w:rPr>
        <w:t>2.21</w:t>
      </w:r>
      <w:r w:rsidRPr="000A0354">
        <w:rPr>
          <w:rFonts w:asciiTheme="minorHAnsi" w:hAnsiTheme="minorHAnsi"/>
        </w:rPr>
        <w:t xml:space="preserve"> Synapt G2-Si Untargeted Method (HDMS</w:t>
      </w:r>
      <w:r w:rsidRPr="000A0354">
        <w:rPr>
          <w:rFonts w:asciiTheme="minorHAnsi" w:hAnsiTheme="minorHAnsi"/>
          <w:vertAlign w:val="superscript"/>
        </w:rPr>
        <w:t>e</w:t>
      </w:r>
      <w:r w:rsidRPr="000A0354">
        <w:rPr>
          <w:rFonts w:asciiTheme="minorHAnsi" w:hAnsiTheme="minorHAnsi"/>
        </w:rPr>
        <w:t>)</w:t>
      </w:r>
      <w:r w:rsidR="00610B36">
        <w:rPr>
          <w:rFonts w:asciiTheme="minorHAnsi" w:hAnsiTheme="minorHAnsi"/>
        </w:rPr>
        <w:t>…………………</w:t>
      </w:r>
      <w:r w:rsidR="00E568AA">
        <w:rPr>
          <w:rFonts w:asciiTheme="minorHAnsi" w:hAnsiTheme="minorHAnsi"/>
        </w:rPr>
        <w:t>………</w:t>
      </w:r>
      <w:r w:rsidR="00610B36">
        <w:rPr>
          <w:rFonts w:asciiTheme="minorHAnsi" w:hAnsiTheme="minorHAnsi"/>
        </w:rPr>
        <w:t>……………………………</w:t>
      </w:r>
      <w:r w:rsidR="00031E72">
        <w:rPr>
          <w:rFonts w:asciiTheme="minorHAnsi" w:hAnsiTheme="minorHAnsi"/>
        </w:rPr>
        <w:t>9</w:t>
      </w:r>
      <w:r w:rsidR="003B428B">
        <w:rPr>
          <w:rFonts w:asciiTheme="minorHAnsi" w:hAnsiTheme="minorHAnsi"/>
        </w:rPr>
        <w:t>4</w:t>
      </w:r>
    </w:p>
    <w:p w:rsidR="00E15410" w:rsidRPr="000A0354" w:rsidRDefault="00E15410" w:rsidP="00283318">
      <w:pPr>
        <w:pStyle w:val="Default"/>
        <w:spacing w:line="360" w:lineRule="auto"/>
        <w:ind w:firstLine="720"/>
        <w:jc w:val="both"/>
        <w:rPr>
          <w:rFonts w:asciiTheme="minorHAnsi" w:hAnsiTheme="minorHAnsi"/>
        </w:rPr>
      </w:pPr>
      <w:r>
        <w:rPr>
          <w:rFonts w:asciiTheme="minorHAnsi" w:hAnsiTheme="minorHAnsi"/>
        </w:rPr>
        <w:t>2.22 Q Exactive Plus Targeted Method (PRM)</w:t>
      </w:r>
      <w:r w:rsidR="00610B36">
        <w:rPr>
          <w:rFonts w:asciiTheme="minorHAnsi" w:hAnsiTheme="minorHAnsi"/>
        </w:rPr>
        <w:t>…………………………</w:t>
      </w:r>
      <w:r w:rsidR="00E568AA">
        <w:rPr>
          <w:rFonts w:asciiTheme="minorHAnsi" w:hAnsiTheme="minorHAnsi"/>
        </w:rPr>
        <w:t>…………</w:t>
      </w:r>
      <w:r w:rsidR="00610B36">
        <w:rPr>
          <w:rFonts w:asciiTheme="minorHAnsi" w:hAnsiTheme="minorHAnsi"/>
        </w:rPr>
        <w:t>……………………..</w:t>
      </w:r>
      <w:r w:rsidR="00031E72">
        <w:rPr>
          <w:rFonts w:asciiTheme="minorHAnsi" w:hAnsiTheme="minorHAnsi"/>
        </w:rPr>
        <w:t>9</w:t>
      </w:r>
      <w:r w:rsidR="003B428B">
        <w:rPr>
          <w:rFonts w:asciiTheme="minorHAnsi" w:hAnsiTheme="minorHAnsi"/>
        </w:rPr>
        <w:t>6</w:t>
      </w:r>
      <w:r w:rsidRPr="000A0354">
        <w:rPr>
          <w:rFonts w:asciiTheme="minorHAnsi" w:hAnsiTheme="minorHAnsi"/>
        </w:rPr>
        <w:t xml:space="preserve"> </w:t>
      </w:r>
    </w:p>
    <w:p w:rsidR="00E15410" w:rsidRPr="000A0354" w:rsidRDefault="00E15410" w:rsidP="00283318">
      <w:pPr>
        <w:pStyle w:val="Default"/>
        <w:spacing w:line="360" w:lineRule="auto"/>
        <w:jc w:val="both"/>
        <w:rPr>
          <w:rFonts w:asciiTheme="minorHAnsi" w:hAnsiTheme="minorHAnsi"/>
        </w:rPr>
      </w:pPr>
      <w:r>
        <w:rPr>
          <w:rFonts w:asciiTheme="minorHAnsi" w:hAnsiTheme="minorHAnsi"/>
        </w:rPr>
        <w:t>2</w:t>
      </w:r>
      <w:r w:rsidRPr="000A0354">
        <w:rPr>
          <w:rFonts w:asciiTheme="minorHAnsi" w:hAnsiTheme="minorHAnsi"/>
        </w:rPr>
        <w:t>.3 Results</w:t>
      </w:r>
      <w:r>
        <w:rPr>
          <w:rFonts w:asciiTheme="minorHAnsi" w:hAnsiTheme="minorHAnsi"/>
        </w:rPr>
        <w:t xml:space="preserve"> </w:t>
      </w:r>
      <w:r w:rsidR="00610B36">
        <w:rPr>
          <w:rFonts w:asciiTheme="minorHAnsi" w:hAnsiTheme="minorHAnsi"/>
        </w:rPr>
        <w:t>…………………………………………………………………………………………………</w:t>
      </w:r>
      <w:r w:rsidR="00E568AA">
        <w:rPr>
          <w:rFonts w:asciiTheme="minorHAnsi" w:hAnsiTheme="minorHAnsi"/>
        </w:rPr>
        <w:t>…</w:t>
      </w:r>
      <w:r w:rsidR="00610B36">
        <w:rPr>
          <w:rFonts w:asciiTheme="minorHAnsi" w:hAnsiTheme="minorHAnsi"/>
        </w:rPr>
        <w:t>…………………….</w:t>
      </w:r>
      <w:r w:rsidR="00031E72">
        <w:rPr>
          <w:rFonts w:asciiTheme="minorHAnsi" w:hAnsiTheme="minorHAnsi"/>
        </w:rPr>
        <w:t>9</w:t>
      </w:r>
      <w:r w:rsidR="003B428B">
        <w:rPr>
          <w:rFonts w:asciiTheme="minorHAnsi" w:hAnsiTheme="minorHAnsi"/>
        </w:rPr>
        <w:t>7</w:t>
      </w:r>
      <w:r w:rsidRPr="000A0354">
        <w:rPr>
          <w:rFonts w:asciiTheme="minorHAnsi" w:hAnsiTheme="minorHAnsi"/>
        </w:rPr>
        <w:t xml:space="preserve"> </w:t>
      </w:r>
    </w:p>
    <w:p w:rsidR="00E15410" w:rsidRDefault="00E15410" w:rsidP="00283318">
      <w:pPr>
        <w:pStyle w:val="Default"/>
        <w:spacing w:line="360" w:lineRule="auto"/>
        <w:ind w:firstLine="720"/>
        <w:jc w:val="both"/>
        <w:rPr>
          <w:rFonts w:asciiTheme="minorHAnsi" w:hAnsiTheme="minorHAnsi"/>
        </w:rPr>
      </w:pPr>
      <w:r>
        <w:rPr>
          <w:rFonts w:asciiTheme="minorHAnsi" w:hAnsiTheme="minorHAnsi"/>
        </w:rPr>
        <w:t>2.31</w:t>
      </w:r>
      <w:r w:rsidRPr="000A0354">
        <w:rPr>
          <w:rFonts w:asciiTheme="minorHAnsi" w:hAnsiTheme="minorHAnsi"/>
        </w:rPr>
        <w:t xml:space="preserve"> Synapt G2-Si Untargeted Method (HDMS</w:t>
      </w:r>
      <w:r w:rsidRPr="000A0354">
        <w:rPr>
          <w:rFonts w:asciiTheme="minorHAnsi" w:hAnsiTheme="minorHAnsi"/>
          <w:vertAlign w:val="superscript"/>
        </w:rPr>
        <w:t>e</w:t>
      </w:r>
      <w:r w:rsidRPr="000A0354">
        <w:rPr>
          <w:rFonts w:asciiTheme="minorHAnsi" w:hAnsiTheme="minorHAnsi"/>
        </w:rPr>
        <w:t>)</w:t>
      </w:r>
      <w:r w:rsidR="00610B36">
        <w:rPr>
          <w:rFonts w:asciiTheme="minorHAnsi" w:hAnsiTheme="minorHAnsi"/>
        </w:rPr>
        <w:t>…………………</w:t>
      </w:r>
      <w:r w:rsidR="00E568AA">
        <w:rPr>
          <w:rFonts w:asciiTheme="minorHAnsi" w:hAnsiTheme="minorHAnsi"/>
        </w:rPr>
        <w:t>……………</w:t>
      </w:r>
      <w:r w:rsidR="00610B36">
        <w:rPr>
          <w:rFonts w:asciiTheme="minorHAnsi" w:hAnsiTheme="minorHAnsi"/>
        </w:rPr>
        <w:t>………………………</w:t>
      </w:r>
      <w:r w:rsidR="00031E72">
        <w:rPr>
          <w:rFonts w:asciiTheme="minorHAnsi" w:hAnsiTheme="minorHAnsi"/>
        </w:rPr>
        <w:t>9</w:t>
      </w:r>
      <w:r w:rsidR="003B428B">
        <w:rPr>
          <w:rFonts w:asciiTheme="minorHAnsi" w:hAnsiTheme="minorHAnsi"/>
        </w:rPr>
        <w:t>7</w:t>
      </w:r>
    </w:p>
    <w:p w:rsidR="00E15410" w:rsidRPr="000A0354" w:rsidRDefault="00E15410" w:rsidP="00283318">
      <w:pPr>
        <w:pStyle w:val="Default"/>
        <w:spacing w:line="360" w:lineRule="auto"/>
        <w:ind w:firstLine="720"/>
        <w:jc w:val="both"/>
        <w:rPr>
          <w:rFonts w:asciiTheme="minorHAnsi" w:hAnsiTheme="minorHAnsi"/>
        </w:rPr>
      </w:pPr>
      <w:r>
        <w:rPr>
          <w:rFonts w:asciiTheme="minorHAnsi" w:hAnsiTheme="minorHAnsi"/>
        </w:rPr>
        <w:t>2.32 Q Exactive Plus Targeted Method (PRM)</w:t>
      </w:r>
      <w:r w:rsidR="00610B36">
        <w:rPr>
          <w:rFonts w:asciiTheme="minorHAnsi" w:hAnsiTheme="minorHAnsi"/>
        </w:rPr>
        <w:t>………………</w:t>
      </w:r>
      <w:r w:rsidR="00E568AA">
        <w:rPr>
          <w:rFonts w:asciiTheme="minorHAnsi" w:hAnsiTheme="minorHAnsi"/>
        </w:rPr>
        <w:t>……………………</w:t>
      </w:r>
      <w:r w:rsidR="00610B36">
        <w:rPr>
          <w:rFonts w:asciiTheme="minorHAnsi" w:hAnsiTheme="minorHAnsi"/>
        </w:rPr>
        <w:t>……………………</w:t>
      </w:r>
      <w:r w:rsidR="00031E72">
        <w:rPr>
          <w:rFonts w:asciiTheme="minorHAnsi" w:hAnsiTheme="minorHAnsi"/>
        </w:rPr>
        <w:t>1</w:t>
      </w:r>
      <w:r w:rsidR="00B456E0">
        <w:rPr>
          <w:rFonts w:asciiTheme="minorHAnsi" w:hAnsiTheme="minorHAnsi"/>
        </w:rPr>
        <w:t>13</w:t>
      </w:r>
      <w:r w:rsidRPr="000A0354">
        <w:rPr>
          <w:rFonts w:asciiTheme="minorHAnsi" w:hAnsiTheme="minorHAnsi"/>
        </w:rPr>
        <w:t xml:space="preserve">  </w:t>
      </w:r>
    </w:p>
    <w:p w:rsidR="00E15410" w:rsidRPr="000A0354" w:rsidRDefault="00E15410" w:rsidP="00283318">
      <w:pPr>
        <w:pStyle w:val="Default"/>
        <w:spacing w:line="360" w:lineRule="auto"/>
        <w:jc w:val="both"/>
        <w:rPr>
          <w:rFonts w:asciiTheme="minorHAnsi" w:hAnsiTheme="minorHAnsi"/>
        </w:rPr>
      </w:pPr>
      <w:r>
        <w:rPr>
          <w:rFonts w:asciiTheme="minorHAnsi" w:hAnsiTheme="minorHAnsi"/>
        </w:rPr>
        <w:t>2</w:t>
      </w:r>
      <w:r w:rsidRPr="000A0354">
        <w:rPr>
          <w:rFonts w:asciiTheme="minorHAnsi" w:hAnsiTheme="minorHAnsi"/>
        </w:rPr>
        <w:t xml:space="preserve">.4 Discussion </w:t>
      </w:r>
      <w:r w:rsidR="00610B36">
        <w:rPr>
          <w:rFonts w:asciiTheme="minorHAnsi" w:hAnsiTheme="minorHAnsi"/>
        </w:rPr>
        <w:t>……………………………………</w:t>
      </w:r>
      <w:r w:rsidR="00E568AA">
        <w:rPr>
          <w:rFonts w:asciiTheme="minorHAnsi" w:hAnsiTheme="minorHAnsi"/>
        </w:rPr>
        <w:t>………………………………………………..</w:t>
      </w:r>
      <w:r w:rsidR="00610B36">
        <w:rPr>
          <w:rFonts w:asciiTheme="minorHAnsi" w:hAnsiTheme="minorHAnsi"/>
        </w:rPr>
        <w:t>……………………………</w:t>
      </w:r>
      <w:r w:rsidR="00031E72">
        <w:rPr>
          <w:rFonts w:asciiTheme="minorHAnsi" w:hAnsiTheme="minorHAnsi"/>
        </w:rPr>
        <w:t>11</w:t>
      </w:r>
      <w:r w:rsidR="003B428B">
        <w:rPr>
          <w:rFonts w:asciiTheme="minorHAnsi" w:hAnsiTheme="minorHAnsi"/>
        </w:rPr>
        <w:t>8</w:t>
      </w:r>
      <w:r w:rsidRPr="000A0354">
        <w:rPr>
          <w:rFonts w:asciiTheme="minorHAnsi" w:hAnsiTheme="minorHAnsi"/>
        </w:rPr>
        <w:t xml:space="preserve"> </w:t>
      </w:r>
    </w:p>
    <w:p w:rsidR="00E15410" w:rsidRDefault="00E15410" w:rsidP="00283318">
      <w:pPr>
        <w:pStyle w:val="Default"/>
        <w:spacing w:line="360" w:lineRule="auto"/>
        <w:jc w:val="both"/>
        <w:rPr>
          <w:rFonts w:asciiTheme="minorHAnsi" w:hAnsiTheme="minorHAnsi"/>
        </w:rPr>
      </w:pPr>
      <w:r>
        <w:rPr>
          <w:rFonts w:asciiTheme="minorHAnsi" w:hAnsiTheme="minorHAnsi"/>
        </w:rPr>
        <w:t>2.5 Conclusion</w:t>
      </w:r>
      <w:r w:rsidRPr="000A0354">
        <w:rPr>
          <w:rFonts w:asciiTheme="minorHAnsi" w:hAnsiTheme="minorHAnsi"/>
        </w:rPr>
        <w:t xml:space="preserve"> </w:t>
      </w:r>
      <w:r w:rsidR="00610B36">
        <w:rPr>
          <w:rFonts w:asciiTheme="minorHAnsi" w:hAnsiTheme="minorHAnsi"/>
        </w:rPr>
        <w:t>…………………………</w:t>
      </w:r>
      <w:r w:rsidR="00E568AA">
        <w:rPr>
          <w:rFonts w:asciiTheme="minorHAnsi" w:hAnsiTheme="minorHAnsi"/>
        </w:rPr>
        <w:t>………………………………………………………….</w:t>
      </w:r>
      <w:r w:rsidR="00610B36">
        <w:rPr>
          <w:rFonts w:asciiTheme="minorHAnsi" w:hAnsiTheme="minorHAnsi"/>
        </w:rPr>
        <w:t>……………………………</w:t>
      </w:r>
      <w:r w:rsidR="00031E72">
        <w:rPr>
          <w:rFonts w:asciiTheme="minorHAnsi" w:hAnsiTheme="minorHAnsi"/>
        </w:rPr>
        <w:t>12</w:t>
      </w:r>
      <w:r w:rsidR="003B428B">
        <w:rPr>
          <w:rFonts w:asciiTheme="minorHAnsi" w:hAnsiTheme="minorHAnsi"/>
        </w:rPr>
        <w:t>3</w:t>
      </w:r>
      <w:r w:rsidRPr="000A0354">
        <w:rPr>
          <w:rFonts w:asciiTheme="minorHAnsi" w:hAnsiTheme="minorHAnsi"/>
        </w:rPr>
        <w:t xml:space="preserve"> </w:t>
      </w:r>
    </w:p>
    <w:p w:rsidR="007D4727" w:rsidRDefault="007D4727" w:rsidP="00283318">
      <w:pPr>
        <w:autoSpaceDE w:val="0"/>
        <w:autoSpaceDN w:val="0"/>
        <w:adjustRightInd w:val="0"/>
        <w:spacing w:after="0" w:line="240" w:lineRule="auto"/>
        <w:jc w:val="both"/>
        <w:rPr>
          <w:rFonts w:ascii="Cambria-Bold" w:hAnsi="Cambria-Bold" w:cs="Cambria-Bold"/>
          <w:b/>
          <w:bCs/>
          <w:sz w:val="36"/>
          <w:szCs w:val="36"/>
        </w:rPr>
      </w:pPr>
    </w:p>
    <w:p w:rsidR="00E15410" w:rsidRDefault="00E15410" w:rsidP="00283318">
      <w:pPr>
        <w:autoSpaceDE w:val="0"/>
        <w:autoSpaceDN w:val="0"/>
        <w:adjustRightInd w:val="0"/>
        <w:spacing w:after="0" w:line="240" w:lineRule="auto"/>
        <w:jc w:val="both"/>
        <w:rPr>
          <w:rFonts w:ascii="Cambria-Bold" w:hAnsi="Cambria-Bold" w:cs="Cambria-Bold"/>
          <w:b/>
          <w:bCs/>
          <w:sz w:val="36"/>
          <w:szCs w:val="36"/>
        </w:rPr>
      </w:pPr>
    </w:p>
    <w:p w:rsidR="0059314C" w:rsidRDefault="00A831B2" w:rsidP="0059314C">
      <w:pPr>
        <w:spacing w:line="240" w:lineRule="auto"/>
        <w:jc w:val="both"/>
        <w:rPr>
          <w:rFonts w:ascii="Calibri" w:eastAsia="Calibri" w:hAnsi="Calibri" w:cs="Times New Roman"/>
          <w:b/>
          <w:bCs/>
          <w:sz w:val="36"/>
          <w:szCs w:val="36"/>
        </w:rPr>
      </w:pPr>
      <w:r>
        <w:rPr>
          <w:rFonts w:ascii="Calibri" w:eastAsia="Calibri" w:hAnsi="Calibri" w:cs="Times New Roman"/>
          <w:b/>
          <w:bCs/>
          <w:sz w:val="36"/>
          <w:szCs w:val="36"/>
        </w:rPr>
        <w:t>Chapter 3</w:t>
      </w:r>
      <w:r w:rsidR="00610B36">
        <w:t>…………………………………</w:t>
      </w:r>
      <w:r w:rsidR="003A5918">
        <w:t>………………………………</w:t>
      </w:r>
      <w:r w:rsidR="00CC7291">
        <w:t>………………………………………</w:t>
      </w:r>
      <w:r w:rsidR="00610B36">
        <w:t>……………….</w:t>
      </w:r>
      <w:r w:rsidR="000231AB">
        <w:rPr>
          <w:rFonts w:ascii="Calibri" w:eastAsia="Calibri" w:hAnsi="Calibri" w:cs="Times New Roman"/>
          <w:b/>
          <w:bCs/>
          <w:sz w:val="36"/>
          <w:szCs w:val="36"/>
        </w:rPr>
        <w:t>12</w:t>
      </w:r>
      <w:r w:rsidR="00CC7291">
        <w:rPr>
          <w:rFonts w:ascii="Calibri" w:eastAsia="Calibri" w:hAnsi="Calibri" w:cs="Times New Roman"/>
          <w:b/>
          <w:bCs/>
          <w:sz w:val="36"/>
          <w:szCs w:val="36"/>
        </w:rPr>
        <w:t>4</w:t>
      </w:r>
    </w:p>
    <w:p w:rsidR="00E15410" w:rsidRPr="00A56717" w:rsidRDefault="0059314C" w:rsidP="0059314C">
      <w:pPr>
        <w:spacing w:line="240" w:lineRule="auto"/>
        <w:jc w:val="both"/>
        <w:rPr>
          <w:rFonts w:ascii="Calibri" w:eastAsia="Calibri" w:hAnsi="Calibri" w:cs="Times New Roman"/>
          <w:i/>
          <w:color w:val="2E74B5" w:themeColor="accent1" w:themeShade="BF"/>
          <w:sz w:val="24"/>
          <w:szCs w:val="24"/>
        </w:rPr>
      </w:pPr>
      <w:r w:rsidRPr="00815D3B">
        <w:rPr>
          <w:rFonts w:ascii="Calibri" w:eastAsia="Calibri" w:hAnsi="Calibri" w:cs="Times New Roman"/>
          <w:bCs/>
          <w:i/>
          <w:color w:val="538135" w:themeColor="accent6" w:themeShade="BF"/>
          <w:sz w:val="24"/>
          <w:szCs w:val="24"/>
        </w:rPr>
        <w:t>Characterisation of various types of tea by the use of UPLC with a Q Exactive Plus in dd-MS</w:t>
      </w:r>
      <w:r w:rsidRPr="00815D3B">
        <w:rPr>
          <w:rFonts w:ascii="Calibri" w:eastAsia="Calibri" w:hAnsi="Calibri" w:cs="Times New Roman"/>
          <w:bCs/>
          <w:i/>
          <w:color w:val="538135" w:themeColor="accent6" w:themeShade="BF"/>
          <w:sz w:val="24"/>
          <w:szCs w:val="24"/>
          <w:vertAlign w:val="superscript"/>
        </w:rPr>
        <w:t>2</w:t>
      </w:r>
      <w:r w:rsidRPr="00815D3B">
        <w:rPr>
          <w:rFonts w:ascii="Calibri" w:eastAsia="Calibri" w:hAnsi="Calibri" w:cs="Times New Roman"/>
          <w:bCs/>
          <w:i/>
          <w:color w:val="538135" w:themeColor="accent6" w:themeShade="BF"/>
          <w:sz w:val="24"/>
          <w:szCs w:val="24"/>
        </w:rPr>
        <w:t xml:space="preserve"> mode and multivariate data analysis.</w:t>
      </w:r>
      <w:r w:rsidR="00E15410" w:rsidRPr="00A56717">
        <w:rPr>
          <w:rFonts w:ascii="Calibri" w:eastAsia="Calibri" w:hAnsi="Calibri" w:cs="Times New Roman"/>
          <w:bCs/>
          <w:i/>
          <w:color w:val="2E74B5" w:themeColor="accent1" w:themeShade="BF"/>
          <w:sz w:val="24"/>
          <w:szCs w:val="24"/>
        </w:rPr>
        <w:t xml:space="preserve"> </w:t>
      </w:r>
    </w:p>
    <w:p w:rsidR="00E15410" w:rsidRPr="00E15410" w:rsidRDefault="00E15410" w:rsidP="00283318">
      <w:pPr>
        <w:autoSpaceDE w:val="0"/>
        <w:autoSpaceDN w:val="0"/>
        <w:adjustRightInd w:val="0"/>
        <w:spacing w:after="0" w:line="360" w:lineRule="auto"/>
        <w:jc w:val="both"/>
        <w:rPr>
          <w:rFonts w:ascii="Calibri" w:eastAsia="Calibri" w:hAnsi="Calibri" w:cs="Times New Roman"/>
          <w:color w:val="000000"/>
          <w:sz w:val="24"/>
          <w:szCs w:val="24"/>
        </w:rPr>
      </w:pPr>
      <w:r w:rsidRPr="00E15410">
        <w:rPr>
          <w:rFonts w:ascii="Calibri" w:eastAsia="Calibri" w:hAnsi="Calibri" w:cs="Times New Roman"/>
          <w:color w:val="000000"/>
          <w:sz w:val="24"/>
          <w:szCs w:val="24"/>
        </w:rPr>
        <w:t xml:space="preserve">3.1 Introduction </w:t>
      </w:r>
      <w:r w:rsidR="00610B36">
        <w:rPr>
          <w:rFonts w:ascii="Calibri" w:eastAsia="Calibri" w:hAnsi="Calibri" w:cs="Times New Roman"/>
          <w:color w:val="000000"/>
          <w:sz w:val="24"/>
          <w:szCs w:val="24"/>
        </w:rPr>
        <w:t>………………………………</w:t>
      </w:r>
      <w:r w:rsidR="003A5918">
        <w:rPr>
          <w:rFonts w:ascii="Calibri" w:eastAsia="Calibri" w:hAnsi="Calibri" w:cs="Times New Roman"/>
          <w:color w:val="000000"/>
          <w:sz w:val="24"/>
          <w:szCs w:val="24"/>
        </w:rPr>
        <w:t>……………………………</w:t>
      </w:r>
      <w:r w:rsidR="00610B36">
        <w:rPr>
          <w:rFonts w:ascii="Calibri" w:eastAsia="Calibri" w:hAnsi="Calibri" w:cs="Times New Roman"/>
          <w:color w:val="000000"/>
          <w:sz w:val="24"/>
          <w:szCs w:val="24"/>
        </w:rPr>
        <w:t>………………………………………………….</w:t>
      </w:r>
      <w:r w:rsidR="000231AB">
        <w:rPr>
          <w:rFonts w:ascii="Calibri" w:eastAsia="Calibri" w:hAnsi="Calibri" w:cs="Times New Roman"/>
          <w:color w:val="000000"/>
          <w:sz w:val="24"/>
          <w:szCs w:val="24"/>
        </w:rPr>
        <w:t>12</w:t>
      </w:r>
      <w:r w:rsidR="00CC7291">
        <w:rPr>
          <w:rFonts w:ascii="Calibri" w:eastAsia="Calibri" w:hAnsi="Calibri" w:cs="Times New Roman"/>
          <w:color w:val="000000"/>
          <w:sz w:val="24"/>
          <w:szCs w:val="24"/>
        </w:rPr>
        <w:t>5</w:t>
      </w:r>
    </w:p>
    <w:p w:rsidR="00E15410" w:rsidRPr="00E15410" w:rsidRDefault="00E15410" w:rsidP="00283318">
      <w:pPr>
        <w:autoSpaceDE w:val="0"/>
        <w:autoSpaceDN w:val="0"/>
        <w:adjustRightInd w:val="0"/>
        <w:spacing w:after="0" w:line="360" w:lineRule="auto"/>
        <w:jc w:val="both"/>
        <w:rPr>
          <w:rFonts w:ascii="Calibri" w:eastAsia="Calibri" w:hAnsi="Calibri" w:cs="Times New Roman"/>
          <w:color w:val="000000"/>
          <w:sz w:val="24"/>
          <w:szCs w:val="24"/>
        </w:rPr>
      </w:pPr>
      <w:r w:rsidRPr="00E15410">
        <w:rPr>
          <w:rFonts w:ascii="Calibri" w:eastAsia="Calibri" w:hAnsi="Calibri" w:cs="Times New Roman"/>
          <w:color w:val="000000"/>
          <w:sz w:val="24"/>
          <w:szCs w:val="24"/>
        </w:rPr>
        <w:t xml:space="preserve">3.2 Methods </w:t>
      </w:r>
      <w:r w:rsidR="00610B36">
        <w:rPr>
          <w:rFonts w:ascii="Calibri" w:eastAsia="Calibri" w:hAnsi="Calibri" w:cs="Times New Roman"/>
          <w:color w:val="000000"/>
          <w:sz w:val="24"/>
          <w:szCs w:val="24"/>
        </w:rPr>
        <w:t>………………………………</w:t>
      </w:r>
      <w:r w:rsidR="003A5918">
        <w:rPr>
          <w:rFonts w:ascii="Calibri" w:eastAsia="Calibri" w:hAnsi="Calibri" w:cs="Times New Roman"/>
          <w:color w:val="000000"/>
          <w:sz w:val="24"/>
          <w:szCs w:val="24"/>
        </w:rPr>
        <w:t>…………………………………………………………………</w:t>
      </w:r>
      <w:r w:rsidR="00610B36">
        <w:rPr>
          <w:rFonts w:ascii="Calibri" w:eastAsia="Calibri" w:hAnsi="Calibri" w:cs="Times New Roman"/>
          <w:color w:val="000000"/>
          <w:sz w:val="24"/>
          <w:szCs w:val="24"/>
        </w:rPr>
        <w:t>………………….</w:t>
      </w:r>
      <w:r w:rsidR="000231AB">
        <w:rPr>
          <w:rFonts w:ascii="Calibri" w:eastAsia="Calibri" w:hAnsi="Calibri" w:cs="Times New Roman"/>
          <w:color w:val="000000"/>
          <w:sz w:val="24"/>
          <w:szCs w:val="24"/>
        </w:rPr>
        <w:t>15</w:t>
      </w:r>
      <w:r w:rsidR="00CC7291">
        <w:rPr>
          <w:rFonts w:ascii="Calibri" w:eastAsia="Calibri" w:hAnsi="Calibri" w:cs="Times New Roman"/>
          <w:color w:val="000000"/>
          <w:sz w:val="24"/>
          <w:szCs w:val="24"/>
        </w:rPr>
        <w:t>5</w:t>
      </w:r>
      <w:r w:rsidRPr="00E15410">
        <w:rPr>
          <w:rFonts w:ascii="Calibri" w:eastAsia="Calibri" w:hAnsi="Calibri" w:cs="Times New Roman"/>
          <w:color w:val="000000"/>
          <w:sz w:val="24"/>
          <w:szCs w:val="24"/>
        </w:rPr>
        <w:t xml:space="preserve"> </w:t>
      </w:r>
    </w:p>
    <w:p w:rsidR="00E15410" w:rsidRPr="00E15410" w:rsidRDefault="00E15410" w:rsidP="00283318">
      <w:pPr>
        <w:autoSpaceDE w:val="0"/>
        <w:autoSpaceDN w:val="0"/>
        <w:adjustRightInd w:val="0"/>
        <w:spacing w:after="0" w:line="360" w:lineRule="auto"/>
        <w:jc w:val="both"/>
        <w:rPr>
          <w:rFonts w:ascii="Calibri" w:eastAsia="Calibri" w:hAnsi="Calibri" w:cs="Times New Roman"/>
          <w:color w:val="000000"/>
          <w:sz w:val="24"/>
          <w:szCs w:val="24"/>
        </w:rPr>
      </w:pPr>
      <w:r w:rsidRPr="00E15410">
        <w:rPr>
          <w:rFonts w:ascii="Calibri" w:eastAsia="Calibri" w:hAnsi="Calibri" w:cs="Times New Roman"/>
          <w:color w:val="000000"/>
          <w:sz w:val="24"/>
          <w:szCs w:val="24"/>
        </w:rPr>
        <w:t>3.3 Results</w:t>
      </w:r>
      <w:r w:rsidR="00610B36">
        <w:rPr>
          <w:rFonts w:ascii="Calibri" w:eastAsia="Calibri" w:hAnsi="Calibri" w:cs="Times New Roman"/>
          <w:color w:val="000000"/>
          <w:sz w:val="24"/>
          <w:szCs w:val="24"/>
        </w:rPr>
        <w:t>……………………………………………</w:t>
      </w:r>
      <w:r w:rsidR="003A5918">
        <w:rPr>
          <w:rFonts w:ascii="Calibri" w:eastAsia="Calibri" w:hAnsi="Calibri" w:cs="Times New Roman"/>
          <w:color w:val="000000"/>
          <w:sz w:val="24"/>
          <w:szCs w:val="24"/>
        </w:rPr>
        <w:t>…………………</w:t>
      </w:r>
      <w:r w:rsidR="00CC7291">
        <w:rPr>
          <w:rFonts w:ascii="Calibri" w:eastAsia="Calibri" w:hAnsi="Calibri" w:cs="Times New Roman"/>
          <w:color w:val="000000"/>
          <w:sz w:val="24"/>
          <w:szCs w:val="24"/>
        </w:rPr>
        <w:t>…………………………</w:t>
      </w:r>
      <w:r w:rsidR="00610B36">
        <w:rPr>
          <w:rFonts w:ascii="Calibri" w:eastAsia="Calibri" w:hAnsi="Calibri" w:cs="Times New Roman"/>
          <w:color w:val="000000"/>
          <w:sz w:val="24"/>
          <w:szCs w:val="24"/>
        </w:rPr>
        <w:t>……………………………..</w:t>
      </w:r>
      <w:r w:rsidR="000231AB">
        <w:rPr>
          <w:rFonts w:ascii="Calibri" w:eastAsia="Calibri" w:hAnsi="Calibri" w:cs="Times New Roman"/>
          <w:color w:val="000000"/>
          <w:sz w:val="24"/>
          <w:szCs w:val="24"/>
        </w:rPr>
        <w:t>16</w:t>
      </w:r>
      <w:r w:rsidR="00CC7291">
        <w:rPr>
          <w:rFonts w:ascii="Calibri" w:eastAsia="Calibri" w:hAnsi="Calibri" w:cs="Times New Roman"/>
          <w:color w:val="000000"/>
          <w:sz w:val="24"/>
          <w:szCs w:val="24"/>
        </w:rPr>
        <w:t>3</w:t>
      </w:r>
    </w:p>
    <w:p w:rsidR="00E15410" w:rsidRPr="00E15410" w:rsidRDefault="00E15410" w:rsidP="00283318">
      <w:pPr>
        <w:autoSpaceDE w:val="0"/>
        <w:autoSpaceDN w:val="0"/>
        <w:adjustRightInd w:val="0"/>
        <w:spacing w:after="0" w:line="360" w:lineRule="auto"/>
        <w:jc w:val="both"/>
        <w:rPr>
          <w:rFonts w:ascii="Calibri" w:eastAsia="Calibri" w:hAnsi="Calibri" w:cs="Times New Roman"/>
          <w:color w:val="000000"/>
          <w:sz w:val="24"/>
          <w:szCs w:val="24"/>
        </w:rPr>
      </w:pPr>
      <w:r w:rsidRPr="00E15410">
        <w:rPr>
          <w:rFonts w:ascii="Calibri" w:eastAsia="Calibri" w:hAnsi="Calibri" w:cs="Times New Roman"/>
          <w:color w:val="000000"/>
          <w:sz w:val="24"/>
          <w:szCs w:val="24"/>
        </w:rPr>
        <w:t xml:space="preserve">3.4 Discussion </w:t>
      </w:r>
      <w:r w:rsidR="00610B36">
        <w:rPr>
          <w:rFonts w:ascii="Calibri" w:eastAsia="Calibri" w:hAnsi="Calibri" w:cs="Times New Roman"/>
          <w:color w:val="000000"/>
          <w:sz w:val="24"/>
          <w:szCs w:val="24"/>
        </w:rPr>
        <w:t>…………………………………………………</w:t>
      </w:r>
      <w:r w:rsidR="003A5918">
        <w:rPr>
          <w:rFonts w:ascii="Calibri" w:eastAsia="Calibri" w:hAnsi="Calibri" w:cs="Times New Roman"/>
          <w:color w:val="000000"/>
          <w:sz w:val="24"/>
          <w:szCs w:val="24"/>
        </w:rPr>
        <w:t>…………………………………………</w:t>
      </w:r>
      <w:r w:rsidR="00610B36">
        <w:rPr>
          <w:rFonts w:ascii="Calibri" w:eastAsia="Calibri" w:hAnsi="Calibri" w:cs="Times New Roman"/>
          <w:color w:val="000000"/>
          <w:sz w:val="24"/>
          <w:szCs w:val="24"/>
        </w:rPr>
        <w:t>……………………..</w:t>
      </w:r>
      <w:r w:rsidRPr="00E15410">
        <w:rPr>
          <w:rFonts w:ascii="Calibri" w:eastAsia="Calibri" w:hAnsi="Calibri" w:cs="Times New Roman"/>
          <w:color w:val="000000"/>
          <w:sz w:val="24"/>
          <w:szCs w:val="24"/>
        </w:rPr>
        <w:t>21</w:t>
      </w:r>
      <w:r w:rsidR="00CC7291">
        <w:rPr>
          <w:rFonts w:ascii="Calibri" w:eastAsia="Calibri" w:hAnsi="Calibri" w:cs="Times New Roman"/>
          <w:color w:val="000000"/>
          <w:sz w:val="24"/>
          <w:szCs w:val="24"/>
        </w:rPr>
        <w:t>6</w:t>
      </w:r>
    </w:p>
    <w:p w:rsidR="00E15410" w:rsidRDefault="00E15410" w:rsidP="00283318">
      <w:pPr>
        <w:autoSpaceDE w:val="0"/>
        <w:autoSpaceDN w:val="0"/>
        <w:adjustRightInd w:val="0"/>
        <w:spacing w:after="0" w:line="360" w:lineRule="auto"/>
        <w:jc w:val="both"/>
        <w:rPr>
          <w:rFonts w:ascii="Calibri" w:eastAsia="Calibri" w:hAnsi="Calibri" w:cs="Times New Roman"/>
          <w:color w:val="000000"/>
          <w:sz w:val="24"/>
          <w:szCs w:val="24"/>
        </w:rPr>
      </w:pPr>
      <w:r w:rsidRPr="00E15410">
        <w:rPr>
          <w:rFonts w:ascii="Calibri" w:eastAsia="Calibri" w:hAnsi="Calibri" w:cs="Times New Roman"/>
          <w:color w:val="000000"/>
          <w:sz w:val="24"/>
          <w:szCs w:val="24"/>
        </w:rPr>
        <w:t xml:space="preserve">3.5 Conclusion </w:t>
      </w:r>
      <w:r w:rsidR="00610B36">
        <w:rPr>
          <w:rFonts w:ascii="Calibri" w:eastAsia="Calibri" w:hAnsi="Calibri" w:cs="Times New Roman"/>
          <w:color w:val="000000"/>
          <w:sz w:val="24"/>
          <w:szCs w:val="24"/>
        </w:rPr>
        <w:t>………………………………………………</w:t>
      </w:r>
      <w:r w:rsidR="003A5918">
        <w:rPr>
          <w:rFonts w:ascii="Calibri" w:eastAsia="Calibri" w:hAnsi="Calibri" w:cs="Times New Roman"/>
          <w:color w:val="000000"/>
          <w:sz w:val="24"/>
          <w:szCs w:val="24"/>
        </w:rPr>
        <w:t>………………………………………………</w:t>
      </w:r>
      <w:r w:rsidR="00610B36">
        <w:rPr>
          <w:rFonts w:ascii="Calibri" w:eastAsia="Calibri" w:hAnsi="Calibri" w:cs="Times New Roman"/>
          <w:color w:val="000000"/>
          <w:sz w:val="24"/>
          <w:szCs w:val="24"/>
        </w:rPr>
        <w:t>………………….</w:t>
      </w:r>
      <w:r w:rsidR="00096088">
        <w:rPr>
          <w:rFonts w:ascii="Calibri" w:eastAsia="Calibri" w:hAnsi="Calibri" w:cs="Times New Roman"/>
          <w:color w:val="000000"/>
          <w:sz w:val="24"/>
          <w:szCs w:val="24"/>
        </w:rPr>
        <w:t>22</w:t>
      </w:r>
      <w:r w:rsidR="000943D8">
        <w:rPr>
          <w:rFonts w:ascii="Calibri" w:eastAsia="Calibri" w:hAnsi="Calibri" w:cs="Times New Roman"/>
          <w:color w:val="000000"/>
          <w:sz w:val="24"/>
          <w:szCs w:val="24"/>
        </w:rPr>
        <w:t>6</w:t>
      </w:r>
      <w:r w:rsidRPr="00E15410">
        <w:rPr>
          <w:rFonts w:ascii="Calibri" w:eastAsia="Calibri" w:hAnsi="Calibri" w:cs="Times New Roman"/>
          <w:color w:val="000000"/>
          <w:sz w:val="24"/>
          <w:szCs w:val="24"/>
        </w:rPr>
        <w:t xml:space="preserve"> </w:t>
      </w:r>
    </w:p>
    <w:p w:rsidR="00FA6F99" w:rsidRPr="00E15410" w:rsidRDefault="00FA6F99" w:rsidP="00283318">
      <w:pPr>
        <w:autoSpaceDE w:val="0"/>
        <w:autoSpaceDN w:val="0"/>
        <w:adjustRightInd w:val="0"/>
        <w:spacing w:after="0" w:line="360" w:lineRule="auto"/>
        <w:jc w:val="both"/>
        <w:rPr>
          <w:rFonts w:ascii="Calibri" w:eastAsia="Calibri" w:hAnsi="Calibri" w:cs="Times New Roman"/>
          <w:color w:val="000000"/>
          <w:sz w:val="24"/>
          <w:szCs w:val="24"/>
        </w:rPr>
      </w:pPr>
    </w:p>
    <w:p w:rsidR="00E15410" w:rsidRDefault="00E15410" w:rsidP="00283318">
      <w:pPr>
        <w:autoSpaceDE w:val="0"/>
        <w:autoSpaceDN w:val="0"/>
        <w:adjustRightInd w:val="0"/>
        <w:spacing w:after="0" w:line="240" w:lineRule="auto"/>
        <w:jc w:val="both"/>
        <w:rPr>
          <w:rFonts w:ascii="Cambria-Bold" w:hAnsi="Cambria-Bold" w:cs="Cambria-Bold"/>
          <w:b/>
          <w:bCs/>
          <w:sz w:val="36"/>
          <w:szCs w:val="36"/>
        </w:rPr>
      </w:pPr>
    </w:p>
    <w:p w:rsidR="007D4727" w:rsidRDefault="00D93995" w:rsidP="00283318">
      <w:pPr>
        <w:autoSpaceDE w:val="0"/>
        <w:autoSpaceDN w:val="0"/>
        <w:adjustRightInd w:val="0"/>
        <w:spacing w:after="0" w:line="240" w:lineRule="auto"/>
        <w:jc w:val="both"/>
        <w:rPr>
          <w:rFonts w:ascii="Cambria-Bold" w:hAnsi="Cambria-Bold" w:cs="Cambria-Bold"/>
          <w:b/>
          <w:bCs/>
          <w:sz w:val="36"/>
          <w:szCs w:val="36"/>
        </w:rPr>
      </w:pPr>
      <w:r>
        <w:rPr>
          <w:rFonts w:cs="Times New Roman"/>
          <w:b/>
          <w:sz w:val="36"/>
          <w:szCs w:val="36"/>
        </w:rPr>
        <w:t xml:space="preserve">List of </w:t>
      </w:r>
      <w:r w:rsidRPr="00D93995">
        <w:rPr>
          <w:rFonts w:cs="Times New Roman"/>
          <w:b/>
          <w:sz w:val="36"/>
          <w:szCs w:val="36"/>
        </w:rPr>
        <w:t>References</w:t>
      </w:r>
      <w:r>
        <w:rPr>
          <w:rFonts w:cs="Times New Roman"/>
          <w:sz w:val="24"/>
          <w:szCs w:val="24"/>
        </w:rPr>
        <w:t>........</w:t>
      </w:r>
      <w:r w:rsidRPr="00D93995">
        <w:rPr>
          <w:rFonts w:cs="Times New Roman"/>
          <w:sz w:val="24"/>
          <w:szCs w:val="24"/>
        </w:rPr>
        <w:t>.............</w:t>
      </w:r>
      <w:r w:rsidR="003A5918">
        <w:rPr>
          <w:rFonts w:cs="Times New Roman"/>
          <w:sz w:val="24"/>
          <w:szCs w:val="24"/>
        </w:rPr>
        <w:t>.......................................................</w:t>
      </w:r>
      <w:r w:rsidRPr="00D93995">
        <w:rPr>
          <w:rFonts w:cs="Times New Roman"/>
          <w:sz w:val="24"/>
          <w:szCs w:val="24"/>
        </w:rPr>
        <w:t>...................</w:t>
      </w:r>
      <w:r>
        <w:rPr>
          <w:rFonts w:cs="Times New Roman"/>
          <w:sz w:val="24"/>
          <w:szCs w:val="24"/>
        </w:rPr>
        <w:t>.</w:t>
      </w:r>
      <w:r w:rsidRPr="00D93995">
        <w:rPr>
          <w:rFonts w:cs="Times New Roman"/>
          <w:sz w:val="24"/>
          <w:szCs w:val="24"/>
        </w:rPr>
        <w:t>.</w:t>
      </w:r>
      <w:r w:rsidR="002A01A0">
        <w:rPr>
          <w:rFonts w:cs="Times New Roman"/>
          <w:b/>
          <w:sz w:val="36"/>
          <w:szCs w:val="36"/>
        </w:rPr>
        <w:t>227</w:t>
      </w:r>
    </w:p>
    <w:p w:rsidR="007D4727" w:rsidRDefault="007D4727" w:rsidP="00283318">
      <w:pPr>
        <w:autoSpaceDE w:val="0"/>
        <w:autoSpaceDN w:val="0"/>
        <w:adjustRightInd w:val="0"/>
        <w:spacing w:after="0" w:line="240" w:lineRule="auto"/>
        <w:jc w:val="both"/>
        <w:rPr>
          <w:rFonts w:ascii="Cambria-Bold" w:hAnsi="Cambria-Bold" w:cs="Cambria-Bold"/>
          <w:b/>
          <w:bCs/>
          <w:sz w:val="36"/>
          <w:szCs w:val="36"/>
        </w:rPr>
      </w:pPr>
    </w:p>
    <w:p w:rsidR="00387FA2" w:rsidRDefault="00A34552" w:rsidP="00283318">
      <w:pPr>
        <w:autoSpaceDE w:val="0"/>
        <w:autoSpaceDN w:val="0"/>
        <w:adjustRightInd w:val="0"/>
        <w:spacing w:after="0" w:line="240" w:lineRule="auto"/>
        <w:jc w:val="both"/>
        <w:rPr>
          <w:rFonts w:ascii="Cambria-Bold" w:hAnsi="Cambria-Bold" w:cs="Cambria-Bold"/>
          <w:b/>
          <w:bCs/>
          <w:sz w:val="36"/>
          <w:szCs w:val="36"/>
        </w:rPr>
      </w:pPr>
      <w:r>
        <w:rPr>
          <w:rFonts w:cs="Times New Roman"/>
          <w:b/>
          <w:sz w:val="36"/>
          <w:szCs w:val="36"/>
        </w:rPr>
        <w:t>Appendices</w:t>
      </w:r>
      <w:r w:rsidR="00387FA2">
        <w:rPr>
          <w:rFonts w:cs="Times New Roman"/>
          <w:sz w:val="24"/>
          <w:szCs w:val="24"/>
        </w:rPr>
        <w:t>........</w:t>
      </w:r>
      <w:r w:rsidR="00387FA2" w:rsidRPr="00D93995">
        <w:rPr>
          <w:rFonts w:cs="Times New Roman"/>
          <w:sz w:val="24"/>
          <w:szCs w:val="24"/>
        </w:rPr>
        <w:t>...........................</w:t>
      </w:r>
      <w:r w:rsidR="003A5918">
        <w:rPr>
          <w:rFonts w:cs="Times New Roman"/>
          <w:sz w:val="24"/>
          <w:szCs w:val="24"/>
        </w:rPr>
        <w:t>.......................................................</w:t>
      </w:r>
      <w:r>
        <w:rPr>
          <w:rFonts w:cs="Times New Roman"/>
          <w:sz w:val="24"/>
          <w:szCs w:val="24"/>
        </w:rPr>
        <w:t>..........</w:t>
      </w:r>
      <w:r w:rsidR="00387FA2" w:rsidRPr="00D93995">
        <w:rPr>
          <w:rFonts w:cs="Times New Roman"/>
          <w:sz w:val="24"/>
          <w:szCs w:val="24"/>
        </w:rPr>
        <w:t>.........</w:t>
      </w:r>
      <w:r w:rsidR="00387FA2">
        <w:rPr>
          <w:rFonts w:cs="Times New Roman"/>
          <w:sz w:val="24"/>
          <w:szCs w:val="24"/>
        </w:rPr>
        <w:t>.</w:t>
      </w:r>
      <w:r w:rsidR="00387FA2" w:rsidRPr="00D93995">
        <w:rPr>
          <w:rFonts w:cs="Times New Roman"/>
          <w:sz w:val="24"/>
          <w:szCs w:val="24"/>
        </w:rPr>
        <w:t>.</w:t>
      </w:r>
      <w:r w:rsidR="00387FA2">
        <w:rPr>
          <w:rFonts w:cs="Times New Roman"/>
          <w:b/>
          <w:sz w:val="36"/>
          <w:szCs w:val="36"/>
        </w:rPr>
        <w:t>2</w:t>
      </w:r>
      <w:r w:rsidR="002A01A0">
        <w:rPr>
          <w:rFonts w:cs="Times New Roman"/>
          <w:b/>
          <w:sz w:val="36"/>
          <w:szCs w:val="36"/>
        </w:rPr>
        <w:t>5</w:t>
      </w:r>
      <w:r w:rsidR="000943D8">
        <w:rPr>
          <w:rFonts w:cs="Times New Roman"/>
          <w:b/>
          <w:sz w:val="36"/>
          <w:szCs w:val="36"/>
        </w:rPr>
        <w:t>1</w:t>
      </w:r>
    </w:p>
    <w:p w:rsidR="007D4727" w:rsidRDefault="007D4727" w:rsidP="00283318">
      <w:pPr>
        <w:autoSpaceDE w:val="0"/>
        <w:autoSpaceDN w:val="0"/>
        <w:adjustRightInd w:val="0"/>
        <w:spacing w:after="0" w:line="240" w:lineRule="auto"/>
        <w:jc w:val="both"/>
        <w:rPr>
          <w:rFonts w:ascii="Cambria-Bold" w:hAnsi="Cambria-Bold" w:cs="Cambria-Bold"/>
          <w:b/>
          <w:bCs/>
          <w:sz w:val="36"/>
          <w:szCs w:val="36"/>
        </w:rPr>
      </w:pPr>
    </w:p>
    <w:p w:rsidR="00FA6F99" w:rsidRDefault="00FA6F99" w:rsidP="00283318">
      <w:pPr>
        <w:jc w:val="both"/>
        <w:rPr>
          <w:rFonts w:cs="Times New Roman"/>
          <w:b/>
          <w:sz w:val="36"/>
          <w:szCs w:val="36"/>
        </w:rPr>
      </w:pPr>
      <w:r>
        <w:rPr>
          <w:rFonts w:ascii="Cambria-Bold" w:hAnsi="Cambria-Bold" w:cs="Cambria-Bold"/>
          <w:b/>
          <w:bCs/>
          <w:sz w:val="36"/>
          <w:szCs w:val="36"/>
        </w:rPr>
        <w:br w:type="page"/>
      </w:r>
      <w:r>
        <w:rPr>
          <w:rFonts w:cs="Times New Roman"/>
          <w:b/>
          <w:sz w:val="36"/>
          <w:szCs w:val="36"/>
        </w:rPr>
        <w:lastRenderedPageBreak/>
        <w:t>List of Tabl</w:t>
      </w:r>
      <w:r w:rsidRPr="00D93995">
        <w:rPr>
          <w:rFonts w:cs="Times New Roman"/>
          <w:b/>
          <w:sz w:val="36"/>
          <w:szCs w:val="36"/>
        </w:rPr>
        <w:t>es</w:t>
      </w:r>
    </w:p>
    <w:p w:rsidR="006A3D71" w:rsidRDefault="001C18A8" w:rsidP="00311A77">
      <w:pPr>
        <w:jc w:val="both"/>
      </w:pPr>
      <w:r>
        <w:t xml:space="preserve">Tab.1 Surveyor HPLC </w:t>
      </w:r>
      <w:r w:rsidR="006A3D71">
        <w:t>method conditions</w:t>
      </w:r>
      <w:r w:rsidR="00311A77">
        <w:t>…………………………</w:t>
      </w:r>
      <w:r>
        <w:t>.</w:t>
      </w:r>
      <w:r w:rsidR="00311A77">
        <w:t>………………………………………………………………</w:t>
      </w:r>
      <w:r w:rsidR="00225EB2">
        <w:t>18</w:t>
      </w:r>
    </w:p>
    <w:p w:rsidR="006A3D71" w:rsidRDefault="006A3D71" w:rsidP="00311A77">
      <w:pPr>
        <w:jc w:val="both"/>
      </w:pPr>
      <w:r>
        <w:t>Tab.2 I-Class UPLC method conditions</w:t>
      </w:r>
      <w:r w:rsidR="00F22BC3">
        <w:t xml:space="preserve"> (bark extracts)</w:t>
      </w:r>
      <w:r w:rsidR="00311A77">
        <w:t>……………………</w:t>
      </w:r>
      <w:r w:rsidR="00F22BC3">
        <w:t>…………………………</w:t>
      </w:r>
      <w:r w:rsidR="00311A77">
        <w:t>………………………</w:t>
      </w:r>
      <w:r w:rsidR="00225EB2">
        <w:t>2</w:t>
      </w:r>
      <w:r w:rsidR="000B40FB">
        <w:t>0</w:t>
      </w:r>
    </w:p>
    <w:p w:rsidR="006A3D71" w:rsidRDefault="006A3D71" w:rsidP="00311A77">
      <w:pPr>
        <w:jc w:val="both"/>
      </w:pPr>
      <w:r>
        <w:t>Tab.3 Synapt G2-Si method conditions</w:t>
      </w:r>
      <w:r w:rsidR="00F22BC3">
        <w:t xml:space="preserve"> (bark extracts)………</w:t>
      </w:r>
      <w:r w:rsidR="00311A77">
        <w:t>……………………………………………………………..</w:t>
      </w:r>
      <w:r w:rsidR="00225EB2">
        <w:t>2</w:t>
      </w:r>
      <w:r w:rsidR="000B40FB">
        <w:t>0</w:t>
      </w:r>
    </w:p>
    <w:p w:rsidR="006A3D71" w:rsidRDefault="006A3D71" w:rsidP="00311A77">
      <w:pPr>
        <w:jc w:val="both"/>
      </w:pPr>
      <w:r>
        <w:t>Tab.4 I-class UPLC method conditions</w:t>
      </w:r>
      <w:r w:rsidR="00D071B9">
        <w:t xml:space="preserve"> (bark extracts)</w:t>
      </w:r>
      <w:r w:rsidR="00311A77">
        <w:t>…………………</w:t>
      </w:r>
      <w:r w:rsidR="00D071B9">
        <w:t>……….</w:t>
      </w:r>
      <w:r w:rsidR="00311A77">
        <w:t>……………………………………………</w:t>
      </w:r>
      <w:r w:rsidR="00225EB2">
        <w:t>2</w:t>
      </w:r>
      <w:r w:rsidR="00D071B9">
        <w:t>3</w:t>
      </w:r>
    </w:p>
    <w:p w:rsidR="006A3D71" w:rsidRDefault="006A3D71" w:rsidP="00311A77">
      <w:pPr>
        <w:jc w:val="both"/>
      </w:pPr>
      <w:r>
        <w:t>Tab.5 Xevo-TQXS MRM transitions</w:t>
      </w:r>
      <w:r w:rsidR="00D071B9">
        <w:t xml:space="preserve"> (bark extracts)</w:t>
      </w:r>
      <w:r w:rsidR="00311A77">
        <w:t>………………………………</w:t>
      </w:r>
      <w:r w:rsidR="00D071B9">
        <w:t>……………………</w:t>
      </w:r>
      <w:r w:rsidR="00311A77">
        <w:t>………………………</w:t>
      </w:r>
      <w:r w:rsidR="00225EB2">
        <w:t>2</w:t>
      </w:r>
      <w:r w:rsidR="00D071B9">
        <w:t>3</w:t>
      </w:r>
    </w:p>
    <w:p w:rsidR="006A3D71" w:rsidRDefault="006A3D71" w:rsidP="00311A77">
      <w:pPr>
        <w:jc w:val="both"/>
      </w:pPr>
      <w:r>
        <w:t>Tab.6 I-Class UPLC conditions for the ToF-MRM acquisition</w:t>
      </w:r>
      <w:r w:rsidR="00D071B9">
        <w:t xml:space="preserve"> (quercetin method)</w:t>
      </w:r>
      <w:r w:rsidR="00311A77">
        <w:t>……………</w:t>
      </w:r>
      <w:r w:rsidR="00D071B9">
        <w:t>…………</w:t>
      </w:r>
      <w:r w:rsidR="00311A77">
        <w:t>……..</w:t>
      </w:r>
      <w:r w:rsidR="00225EB2">
        <w:t>2</w:t>
      </w:r>
      <w:r w:rsidR="00D071B9">
        <w:t>6</w:t>
      </w:r>
    </w:p>
    <w:p w:rsidR="006A3D71" w:rsidRDefault="006A3D71" w:rsidP="00311A77">
      <w:pPr>
        <w:jc w:val="both"/>
      </w:pPr>
      <w:r>
        <w:t>Tab.7 Vanquish UHPLC method conditions</w:t>
      </w:r>
      <w:r w:rsidR="00904D27">
        <w:t xml:space="preserve"> (bark and plant extracts)</w:t>
      </w:r>
      <w:r w:rsidR="00311A77">
        <w:t>………………</w:t>
      </w:r>
      <w:r w:rsidR="00904D27">
        <w:t>…………………….</w:t>
      </w:r>
      <w:r w:rsidR="00311A77">
        <w:t>………….</w:t>
      </w:r>
      <w:r w:rsidR="00225EB2">
        <w:t>3</w:t>
      </w:r>
      <w:r w:rsidR="00904D27">
        <w:t>1</w:t>
      </w:r>
    </w:p>
    <w:p w:rsidR="006A3D71" w:rsidRDefault="006A3D71" w:rsidP="00311A77">
      <w:pPr>
        <w:jc w:val="both"/>
      </w:pPr>
      <w:r>
        <w:t>Tab.8 PRM transitions and collision energies</w:t>
      </w:r>
      <w:r w:rsidR="00904D27">
        <w:t xml:space="preserve"> (bark and plant extracts)</w:t>
      </w:r>
      <w:r w:rsidR="00311A77">
        <w:t>…………………</w:t>
      </w:r>
      <w:r w:rsidR="00904D27">
        <w:t>…………………</w:t>
      </w:r>
      <w:r w:rsidR="00311A77">
        <w:t>……….</w:t>
      </w:r>
      <w:r w:rsidR="00225EB2">
        <w:t>3</w:t>
      </w:r>
      <w:r w:rsidR="00904D27">
        <w:t>3</w:t>
      </w:r>
    </w:p>
    <w:p w:rsidR="006A3D71" w:rsidRDefault="006A3D71" w:rsidP="00311A77">
      <w:pPr>
        <w:jc w:val="both"/>
      </w:pPr>
      <w:r>
        <w:t>Tab.9 ChemSpider ID, the chemical name, the adduct observed, the chemical formula and the score rating attributed by Progenesis QI</w:t>
      </w:r>
      <w:r w:rsidR="00664025">
        <w:t xml:space="preserve"> (bark and plant extracts)</w:t>
      </w:r>
      <w:r w:rsidR="00311A77">
        <w:t>…</w:t>
      </w:r>
      <w:r w:rsidR="00664025">
        <w:t>….</w:t>
      </w:r>
      <w:r w:rsidR="00311A77">
        <w:t>……………………………………………………….</w:t>
      </w:r>
      <w:r w:rsidR="008A1B09">
        <w:t>3</w:t>
      </w:r>
      <w:r w:rsidR="001B246D">
        <w:t>6</w:t>
      </w:r>
    </w:p>
    <w:p w:rsidR="00C84B96" w:rsidRDefault="00C84B96" w:rsidP="00C84B96">
      <w:pPr>
        <w:jc w:val="both"/>
      </w:pPr>
      <w:r>
        <w:t>Tab.9a Heat map of average abundances of the polyphenols identified for the 4 sample types…….………………………………………………………………………………………………………………………………………….3</w:t>
      </w:r>
      <w:r w:rsidR="001B246D">
        <w:t>7</w:t>
      </w:r>
    </w:p>
    <w:p w:rsidR="006A3D71" w:rsidRDefault="006A3D71" w:rsidP="00311A77">
      <w:pPr>
        <w:jc w:val="both"/>
      </w:pPr>
      <w:r>
        <w:t>Tab.10 Calibration and quantification of (-)-epicatechin in the 3 bark extracts and also Pycnogenol as a qualitative reference</w:t>
      </w:r>
      <w:r w:rsidR="00311A77">
        <w:t>……………………………………………………………………………………………………………………..</w:t>
      </w:r>
      <w:r w:rsidR="008A1B09">
        <w:t>4</w:t>
      </w:r>
      <w:r w:rsidR="00664025">
        <w:t>6</w:t>
      </w:r>
    </w:p>
    <w:p w:rsidR="006A3D71" w:rsidRDefault="006A3D71" w:rsidP="00311A77">
      <w:pPr>
        <w:jc w:val="both"/>
      </w:pPr>
      <w:r>
        <w:t>Tab.11 Calibration and quantification of Caffeic acid in the 3 bark extracts and also Pycnogenol as a qualitative reference</w:t>
      </w:r>
      <w:r w:rsidR="00311A77">
        <w:t>………………………………………………………………………………………………………………………..</w:t>
      </w:r>
      <w:r w:rsidR="008A1B09">
        <w:t>4</w:t>
      </w:r>
      <w:r w:rsidR="00664025">
        <w:t>6</w:t>
      </w:r>
    </w:p>
    <w:p w:rsidR="006A3D71" w:rsidRDefault="006A3D71" w:rsidP="00311A77">
      <w:pPr>
        <w:jc w:val="both"/>
      </w:pPr>
      <w:r>
        <w:t>Tab.12 Calibration and quantification of Vanillic acid in the 3 bark extracts and also Pycnogenol as a qualitative reference</w:t>
      </w:r>
      <w:r w:rsidR="00311A77">
        <w:t>………………………………………………………………………………………………………………………..</w:t>
      </w:r>
      <w:r w:rsidR="008A1B09">
        <w:t>4</w:t>
      </w:r>
      <w:r w:rsidR="00664025">
        <w:t>7</w:t>
      </w:r>
    </w:p>
    <w:p w:rsidR="006A3D71" w:rsidRDefault="006A3D71" w:rsidP="00311A77">
      <w:pPr>
        <w:jc w:val="both"/>
      </w:pPr>
      <w:r>
        <w:t>Tab.13 Calibration and quantification of p-</w:t>
      </w:r>
      <w:proofErr w:type="spellStart"/>
      <w:r>
        <w:t>coumaric</w:t>
      </w:r>
      <w:proofErr w:type="spellEnd"/>
      <w:r>
        <w:t xml:space="preserve"> acid in the 3 bark extracts and also Pycnogenol as a qualitative reference</w:t>
      </w:r>
      <w:r w:rsidR="00311A77">
        <w:t>……………………………………………………………………………………………………………………..</w:t>
      </w:r>
      <w:r w:rsidR="008A1B09">
        <w:t>4</w:t>
      </w:r>
      <w:r w:rsidR="00664025">
        <w:t>7</w:t>
      </w:r>
    </w:p>
    <w:p w:rsidR="006A3D71" w:rsidRDefault="006A3D71" w:rsidP="00311A77">
      <w:pPr>
        <w:jc w:val="both"/>
      </w:pPr>
      <w:r>
        <w:t>Tab.14 Calibration and quantification of trans-</w:t>
      </w:r>
      <w:proofErr w:type="spellStart"/>
      <w:r>
        <w:t>ferulic</w:t>
      </w:r>
      <w:proofErr w:type="spellEnd"/>
      <w:r>
        <w:t xml:space="preserve"> acid in the 3 bark extracts and also Pycnogenol as a qualitative reference</w:t>
      </w:r>
      <w:r w:rsidR="00311A77">
        <w:t>…………………………………………………………………………………………………………………</w:t>
      </w:r>
      <w:r w:rsidR="008A1B09">
        <w:t>4</w:t>
      </w:r>
      <w:r w:rsidR="00664025">
        <w:t>8</w:t>
      </w:r>
    </w:p>
    <w:p w:rsidR="006A3D71" w:rsidRDefault="006A3D71" w:rsidP="00311A77">
      <w:pPr>
        <w:jc w:val="both"/>
      </w:pPr>
      <w:r>
        <w:t xml:space="preserve">Tab.15 </w:t>
      </w:r>
      <w:r w:rsidR="0094510B">
        <w:t>C</w:t>
      </w:r>
      <w:r>
        <w:t>alibration and quantification of sinapic acid in the 3 bark extracts and also Pycnogenol as a qualitative reference</w:t>
      </w:r>
      <w:r w:rsidR="00311A77">
        <w:t xml:space="preserve"> ..................................................................</w:t>
      </w:r>
      <w:r w:rsidR="0094510B">
        <w:t>.................................</w:t>
      </w:r>
      <w:r w:rsidR="00311A77">
        <w:t>.........................</w:t>
      </w:r>
      <w:r w:rsidR="00B16C3F">
        <w:t>4</w:t>
      </w:r>
      <w:r w:rsidR="00664025">
        <w:t>8</w:t>
      </w:r>
    </w:p>
    <w:p w:rsidR="006A3D71" w:rsidRDefault="006A3D71" w:rsidP="00311A77">
      <w:pPr>
        <w:jc w:val="both"/>
      </w:pPr>
      <w:r>
        <w:t>Tab.16 Calibration and quantification of Quercetin in the 3 bark extracts and also Pycnogenol as a qualitative reference</w:t>
      </w:r>
      <w:r w:rsidR="00311A77">
        <w:t>………………………………………………………………………………………………………………………..</w:t>
      </w:r>
      <w:r w:rsidR="00664025">
        <w:t>49</w:t>
      </w:r>
    </w:p>
    <w:p w:rsidR="006A3D71" w:rsidRDefault="006A3D71" w:rsidP="00311A77">
      <w:pPr>
        <w:jc w:val="both"/>
      </w:pPr>
      <w:r>
        <w:t xml:space="preserve">Tab.17 Areas </w:t>
      </w:r>
      <w:r w:rsidR="00C51DCC">
        <w:t xml:space="preserve">&amp; concentrations of </w:t>
      </w:r>
      <w:r w:rsidR="00B141FB">
        <w:t xml:space="preserve">quercetin </w:t>
      </w:r>
      <w:r w:rsidR="00C51DCC">
        <w:t xml:space="preserve">standards </w:t>
      </w:r>
      <w:r w:rsidR="00B141FB">
        <w:t>and</w:t>
      </w:r>
      <w:r>
        <w:t xml:space="preserve"> </w:t>
      </w:r>
      <w:r w:rsidR="00B141FB">
        <w:t>bark</w:t>
      </w:r>
      <w:r>
        <w:t xml:space="preserve"> extract</w:t>
      </w:r>
      <w:r w:rsidR="00C51DCC">
        <w:t>s…</w:t>
      </w:r>
      <w:r w:rsidR="00B141FB">
        <w:t>…………………………………</w:t>
      </w:r>
      <w:r w:rsidR="00C51DCC">
        <w:t>……</w:t>
      </w:r>
      <w:r w:rsidR="008A1B09">
        <w:t>5</w:t>
      </w:r>
      <w:r w:rsidR="00D842A6">
        <w:t>6</w:t>
      </w:r>
    </w:p>
    <w:p w:rsidR="006A3D71" w:rsidRDefault="006A3D71" w:rsidP="00311A77">
      <w:pPr>
        <w:jc w:val="both"/>
      </w:pPr>
      <w:r>
        <w:t xml:space="preserve">Tab.18 Calibration </w:t>
      </w:r>
      <w:r w:rsidR="00C51DCC">
        <w:t>and</w:t>
      </w:r>
      <w:r>
        <w:t xml:space="preserve"> qu</w:t>
      </w:r>
      <w:r w:rsidR="00C51DCC">
        <w:t>antification of quercetin in</w:t>
      </w:r>
      <w:r>
        <w:t xml:space="preserve"> </w:t>
      </w:r>
      <w:r w:rsidR="00C51DCC">
        <w:t xml:space="preserve">the </w:t>
      </w:r>
      <w:r>
        <w:t xml:space="preserve">3 bark extracts </w:t>
      </w:r>
      <w:r w:rsidR="00C51DCC">
        <w:t>and also Pycnogenol as qualitative reference………………………………………………………………………………………………………………………..</w:t>
      </w:r>
      <w:r w:rsidR="008A1B09">
        <w:t>5</w:t>
      </w:r>
      <w:r w:rsidR="00D842A6">
        <w:t>7</w:t>
      </w:r>
    </w:p>
    <w:p w:rsidR="006A3D71" w:rsidRDefault="006A3D71" w:rsidP="00311A77">
      <w:pPr>
        <w:jc w:val="both"/>
      </w:pPr>
      <w:r>
        <w:t>Tab.19 Calibration and quantification of Paeonol in the 3 bark extracts and also Pycnogenol as a qualitative reference</w:t>
      </w:r>
      <w:r w:rsidR="00C51DCC">
        <w:t>………………………………………………………………………………………………………………………..</w:t>
      </w:r>
      <w:r w:rsidR="008A1B09">
        <w:t>6</w:t>
      </w:r>
      <w:r w:rsidR="00D842A6">
        <w:t>7</w:t>
      </w:r>
    </w:p>
    <w:p w:rsidR="006A3D71" w:rsidRDefault="006A3D71" w:rsidP="00311A77">
      <w:pPr>
        <w:jc w:val="both"/>
      </w:pPr>
      <w:r>
        <w:t>Tab.20 Calibration and quantification of S-Equol in the 3 bark extracts and also Pycnogenol as a qualitative reference</w:t>
      </w:r>
      <w:r w:rsidR="00C51DCC">
        <w:t>………………………………………………………………………………………………………………………..</w:t>
      </w:r>
      <w:r w:rsidR="00664025">
        <w:t>6</w:t>
      </w:r>
      <w:r w:rsidR="00D842A6">
        <w:t>8</w:t>
      </w:r>
    </w:p>
    <w:p w:rsidR="006A3D71" w:rsidRDefault="006A3D71" w:rsidP="00311A77">
      <w:pPr>
        <w:jc w:val="both"/>
      </w:pPr>
      <w:r>
        <w:lastRenderedPageBreak/>
        <w:t>Tab.21 Calibration and quantification of EGCG in the 3 bark extracts and also Pycnogenol as a qualitative reference</w:t>
      </w:r>
      <w:r w:rsidR="00C51DCC">
        <w:t>………………………………………………………………………………………………………………………..</w:t>
      </w:r>
      <w:r w:rsidR="00D842A6">
        <w:t>69</w:t>
      </w:r>
    </w:p>
    <w:p w:rsidR="006A3D71" w:rsidRDefault="006A3D71" w:rsidP="00311A77">
      <w:pPr>
        <w:jc w:val="both"/>
      </w:pPr>
      <w:r>
        <w:t>Tab.22 Calibration and quantification of Rutin in the 3 bark extracts and also Pycnogenol as a qualitative reference</w:t>
      </w:r>
      <w:r w:rsidR="008A1B09">
        <w:t>……………………………………………………………………………………</w:t>
      </w:r>
      <w:r w:rsidR="00C51DCC">
        <w:t>…………………………………..</w:t>
      </w:r>
      <w:r w:rsidR="008A1B09">
        <w:t>7</w:t>
      </w:r>
      <w:r w:rsidR="00D842A6">
        <w:t>0</w:t>
      </w:r>
    </w:p>
    <w:p w:rsidR="006A3D71" w:rsidRDefault="006A3D71" w:rsidP="00311A77">
      <w:pPr>
        <w:jc w:val="both"/>
      </w:pPr>
      <w:r>
        <w:t xml:space="preserve">Tab.23 </w:t>
      </w:r>
      <w:r w:rsidR="00CC0916">
        <w:t xml:space="preserve">The top 20 ANOVA (p), q Values, Max Fold Change, Scores and Accepted ID for bark sample extracts </w:t>
      </w:r>
      <w:r w:rsidR="00ED7A6A">
        <w:t>……………………………………………………………………………………………………………………………………………</w:t>
      </w:r>
      <w:r w:rsidR="004116EE">
        <w:t>7</w:t>
      </w:r>
      <w:r w:rsidR="00664025">
        <w:t>8</w:t>
      </w:r>
    </w:p>
    <w:p w:rsidR="006A3D71" w:rsidRDefault="006A3D71" w:rsidP="00311A77">
      <w:pPr>
        <w:jc w:val="both"/>
      </w:pPr>
      <w:r>
        <w:t>Tab.24 A summary of the discovery mode observations</w:t>
      </w:r>
      <w:r w:rsidR="00ED7A6A">
        <w:t xml:space="preserve"> (for bark extracts)</w:t>
      </w:r>
      <w:r w:rsidR="00C51DCC">
        <w:t>…………………</w:t>
      </w:r>
      <w:r w:rsidR="00ED7A6A">
        <w:t>………</w:t>
      </w:r>
      <w:r w:rsidR="00C51DCC">
        <w:t>……………</w:t>
      </w:r>
      <w:r w:rsidR="00AE0DA9">
        <w:t>8</w:t>
      </w:r>
      <w:r w:rsidR="00664025">
        <w:t>0</w:t>
      </w:r>
    </w:p>
    <w:p w:rsidR="006A3D71" w:rsidRDefault="006A3D71" w:rsidP="00311A77">
      <w:pPr>
        <w:jc w:val="both"/>
      </w:pPr>
      <w:r>
        <w:t>Tab.25 A summary of the targeted mode observations</w:t>
      </w:r>
      <w:r w:rsidR="00ED7A6A">
        <w:t xml:space="preserve"> </w:t>
      </w:r>
      <w:r w:rsidR="00ED7A6A" w:rsidRPr="00ED7A6A">
        <w:t>(for bark extracts)</w:t>
      </w:r>
      <w:r w:rsidR="00C51DCC">
        <w:t>…………………</w:t>
      </w:r>
      <w:r w:rsidR="00ED7A6A">
        <w:t>………</w:t>
      </w:r>
      <w:r w:rsidR="00C51DCC">
        <w:t>…………….</w:t>
      </w:r>
      <w:r w:rsidR="00AE0DA9">
        <w:t>8</w:t>
      </w:r>
      <w:r w:rsidR="00484A00">
        <w:t>0</w:t>
      </w:r>
    </w:p>
    <w:p w:rsidR="006A3D71" w:rsidRDefault="006A3D71" w:rsidP="00311A77">
      <w:pPr>
        <w:jc w:val="both"/>
      </w:pPr>
      <w:r>
        <w:t>Tab.26 I-class UPLC method conditions</w:t>
      </w:r>
      <w:r w:rsidR="00F44CCA">
        <w:t xml:space="preserve"> </w:t>
      </w:r>
      <w:r w:rsidR="00F44CCA" w:rsidRPr="00F44CCA">
        <w:t>(</w:t>
      </w:r>
      <w:r w:rsidR="00F44CCA">
        <w:t xml:space="preserve">plant extracts </w:t>
      </w:r>
      <w:r w:rsidR="00F44CCA" w:rsidRPr="00F44CCA">
        <w:t>HDMS</w:t>
      </w:r>
      <w:r w:rsidR="00F44CCA" w:rsidRPr="00F44CCA">
        <w:rPr>
          <w:vertAlign w:val="superscript"/>
        </w:rPr>
        <w:t>e</w:t>
      </w:r>
      <w:r w:rsidR="00F44CCA" w:rsidRPr="00F44CCA">
        <w:t>)</w:t>
      </w:r>
      <w:r w:rsidR="00C51DCC">
        <w:t>…</w:t>
      </w:r>
      <w:r w:rsidR="00F44CCA">
        <w:t>………………………………………………….</w:t>
      </w:r>
      <w:r w:rsidR="00C51DCC">
        <w:t>…</w:t>
      </w:r>
      <w:r w:rsidR="00F44CCA">
        <w:t xml:space="preserve"> </w:t>
      </w:r>
      <w:r w:rsidR="00AE0DA9">
        <w:t>9</w:t>
      </w:r>
      <w:r w:rsidR="00484A00">
        <w:t>5</w:t>
      </w:r>
    </w:p>
    <w:p w:rsidR="006A3D71" w:rsidRDefault="006A3D71" w:rsidP="00311A77">
      <w:pPr>
        <w:jc w:val="both"/>
      </w:pPr>
      <w:r>
        <w:t>Tab.27 ChemSpider ID, the chemical name, the adduct observed, the chemical formula and the score rating attributed by Progenesis QI</w:t>
      </w:r>
      <w:r w:rsidR="00484A00">
        <w:t xml:space="preserve"> (plant extracts)</w:t>
      </w:r>
      <w:r w:rsidR="00C51DCC">
        <w:t>……………………</w:t>
      </w:r>
      <w:r w:rsidR="00484A00">
        <w:t>……………</w:t>
      </w:r>
      <w:r w:rsidR="00C51DCC">
        <w:t>……………………………………….</w:t>
      </w:r>
      <w:r w:rsidR="00AE0DA9">
        <w:t>10</w:t>
      </w:r>
      <w:r w:rsidR="00D842A6">
        <w:t>0</w:t>
      </w:r>
    </w:p>
    <w:p w:rsidR="006A3D71" w:rsidRDefault="006A3D71" w:rsidP="00311A77">
      <w:pPr>
        <w:jc w:val="both"/>
      </w:pPr>
      <w:r>
        <w:t xml:space="preserve">Tab.28 </w:t>
      </w:r>
      <w:r w:rsidR="00CC0916">
        <w:t xml:space="preserve">The top 20 ANOVA (p), q Values, Max Fold Change, Scores and Accepted ID for plant sample extracts </w:t>
      </w:r>
      <w:r w:rsidR="00C51DCC">
        <w:t>……</w:t>
      </w:r>
      <w:r w:rsidR="00CC0916">
        <w:t>……………………………………………………………………………………………………………………………….</w:t>
      </w:r>
      <w:r w:rsidR="00C51DCC">
        <w:t>…..</w:t>
      </w:r>
      <w:r w:rsidR="00AE0DA9">
        <w:t>10</w:t>
      </w:r>
      <w:r w:rsidR="0089397D">
        <w:t>4</w:t>
      </w:r>
    </w:p>
    <w:p w:rsidR="006A3D71" w:rsidRDefault="006A3D71" w:rsidP="00311A77">
      <w:pPr>
        <w:jc w:val="both"/>
      </w:pPr>
      <w:r>
        <w:t xml:space="preserve">Tab.29 External standard calibration and analytical results for S-Equol in </w:t>
      </w:r>
      <w:r w:rsidR="00484A00">
        <w:t>plant</w:t>
      </w:r>
      <w:r>
        <w:t xml:space="preserve"> extracts</w:t>
      </w:r>
      <w:r w:rsidR="00C51DCC">
        <w:t>……</w:t>
      </w:r>
      <w:r w:rsidR="00484A00">
        <w:t>………..</w:t>
      </w:r>
      <w:r w:rsidR="00C51DCC">
        <w:t>…</w:t>
      </w:r>
      <w:r w:rsidR="00AE0DA9">
        <w:t>1</w:t>
      </w:r>
      <w:r w:rsidR="00B456E0">
        <w:t>15</w:t>
      </w:r>
    </w:p>
    <w:p w:rsidR="006A3D71" w:rsidRDefault="006A3D71" w:rsidP="00311A77">
      <w:pPr>
        <w:jc w:val="both"/>
      </w:pPr>
      <w:r>
        <w:t xml:space="preserve">Tab.30 External standard calibration and the analytical results for EGCG in </w:t>
      </w:r>
      <w:r w:rsidR="00484A00">
        <w:t>plant</w:t>
      </w:r>
      <w:r>
        <w:t xml:space="preserve"> extracts</w:t>
      </w:r>
      <w:r w:rsidR="00C51DCC">
        <w:t>…</w:t>
      </w:r>
      <w:r w:rsidR="00484A00">
        <w:t>……….</w:t>
      </w:r>
      <w:r w:rsidR="00C51DCC">
        <w:t>….</w:t>
      </w:r>
      <w:r w:rsidR="00AE0DA9">
        <w:t>1</w:t>
      </w:r>
      <w:r w:rsidR="00B456E0">
        <w:t>16</w:t>
      </w:r>
    </w:p>
    <w:p w:rsidR="006A3D71" w:rsidRDefault="006A3D71" w:rsidP="00311A77">
      <w:pPr>
        <w:jc w:val="both"/>
      </w:pPr>
      <w:r>
        <w:t xml:space="preserve">Tab.31 External standard calibration and the analytical results for Rutin in </w:t>
      </w:r>
      <w:r w:rsidR="00484A00">
        <w:t>plant</w:t>
      </w:r>
      <w:r>
        <w:t xml:space="preserve"> extracts</w:t>
      </w:r>
      <w:r w:rsidR="00C51DCC">
        <w:t>……</w:t>
      </w:r>
      <w:r w:rsidR="00484A00">
        <w:t>……….</w:t>
      </w:r>
      <w:r w:rsidR="00C51DCC">
        <w:t>.</w:t>
      </w:r>
      <w:r w:rsidR="00AE0DA9">
        <w:t>1</w:t>
      </w:r>
      <w:r w:rsidR="00B456E0">
        <w:t>17</w:t>
      </w:r>
    </w:p>
    <w:p w:rsidR="006A3D71" w:rsidRDefault="006A3D71" w:rsidP="00311A77">
      <w:pPr>
        <w:jc w:val="both"/>
      </w:pPr>
      <w:r>
        <w:t xml:space="preserve">Tab.32 Major </w:t>
      </w:r>
      <w:proofErr w:type="gramStart"/>
      <w:r>
        <w:t>theaflavins</w:t>
      </w:r>
      <w:proofErr w:type="gramEnd"/>
      <w:r>
        <w:t xml:space="preserve"> precursors</w:t>
      </w:r>
      <w:r w:rsidR="00CC5151">
        <w:t xml:space="preserve"> and their products</w:t>
      </w:r>
      <w:r w:rsidR="00C51DCC">
        <w:t>………………………</w:t>
      </w:r>
      <w:r w:rsidR="00CC5151">
        <w:t>…………………</w:t>
      </w:r>
      <w:r w:rsidR="00C51DCC">
        <w:t>………………………</w:t>
      </w:r>
      <w:r w:rsidR="00AE0DA9">
        <w:t>14</w:t>
      </w:r>
      <w:r w:rsidR="00CC5151">
        <w:t>0</w:t>
      </w:r>
    </w:p>
    <w:p w:rsidR="006A3D71" w:rsidRDefault="00373346" w:rsidP="00311A77">
      <w:pPr>
        <w:jc w:val="both"/>
      </w:pPr>
      <w:r>
        <w:t>Tab.</w:t>
      </w:r>
      <w:r w:rsidR="006A3D71">
        <w:t>33 UHPLC conditions</w:t>
      </w:r>
      <w:r w:rsidR="00CC5151">
        <w:t xml:space="preserve"> for tea extract analysis</w:t>
      </w:r>
      <w:r w:rsidR="00C51DCC">
        <w:t>……………………</w:t>
      </w:r>
      <w:r w:rsidR="00CC5151">
        <w:t>……………………………………..</w:t>
      </w:r>
      <w:r w:rsidR="00C51DCC">
        <w:t>……………….</w:t>
      </w:r>
      <w:r w:rsidR="00AE0DA9">
        <w:t>1</w:t>
      </w:r>
      <w:r w:rsidR="00CC5151">
        <w:t>55</w:t>
      </w:r>
    </w:p>
    <w:p w:rsidR="006A3D71" w:rsidRDefault="00373346" w:rsidP="00311A77">
      <w:pPr>
        <w:jc w:val="both"/>
      </w:pPr>
      <w:r>
        <w:t>Tab.</w:t>
      </w:r>
      <w:r w:rsidR="006A3D71">
        <w:t xml:space="preserve">34 </w:t>
      </w:r>
      <w:r w:rsidR="00CC5151">
        <w:t>D</w:t>
      </w:r>
      <w:r w:rsidR="006A3D71">
        <w:t xml:space="preserve">etails of the </w:t>
      </w:r>
      <w:r w:rsidR="00F44CCA">
        <w:t xml:space="preserve">tea </w:t>
      </w:r>
      <w:r w:rsidR="006A3D71">
        <w:t>samples received from J.Finlay Ltd</w:t>
      </w:r>
      <w:proofErr w:type="gramStart"/>
      <w:r w:rsidR="00C51DCC">
        <w:t>……………</w:t>
      </w:r>
      <w:r w:rsidR="00CC5151">
        <w:t>………………………</w:t>
      </w:r>
      <w:r w:rsidR="00F44CCA">
        <w:t>……..</w:t>
      </w:r>
      <w:r w:rsidR="00CC5151">
        <w:t>……..</w:t>
      </w:r>
      <w:r w:rsidR="00C51DCC">
        <w:t>……….</w:t>
      </w:r>
      <w:proofErr w:type="gramEnd"/>
      <w:r w:rsidR="00AE0DA9">
        <w:t>1</w:t>
      </w:r>
      <w:r w:rsidR="00CC5151">
        <w:t>58</w:t>
      </w:r>
    </w:p>
    <w:p w:rsidR="006A3D71" w:rsidRDefault="006A3D71" w:rsidP="00311A77">
      <w:pPr>
        <w:jc w:val="both"/>
      </w:pPr>
      <w:r>
        <w:t>Tab.35 Table of qualitative results created in Progenesis QI after manually inspecting spectra and accepting identifications (</w:t>
      </w:r>
      <w:r w:rsidR="00CC5151">
        <w:t xml:space="preserve">tea extracts, </w:t>
      </w:r>
      <w:r>
        <w:t>stage 1</w:t>
      </w:r>
      <w:r w:rsidR="00CC5151">
        <w:t>)</w:t>
      </w:r>
      <w:r w:rsidR="00C51DCC">
        <w:t>……………………………</w:t>
      </w:r>
      <w:r w:rsidR="00CC5151">
        <w:t>………………………..</w:t>
      </w:r>
      <w:r w:rsidR="00C51DCC">
        <w:t>……………………….</w:t>
      </w:r>
      <w:r w:rsidR="00AE0DA9">
        <w:t>1</w:t>
      </w:r>
      <w:r w:rsidR="00CC5151">
        <w:t>69</w:t>
      </w:r>
    </w:p>
    <w:p w:rsidR="006A3D71" w:rsidRDefault="006A3D71" w:rsidP="00311A77">
      <w:pPr>
        <w:jc w:val="both"/>
      </w:pPr>
      <w:r>
        <w:t>Tab</w:t>
      </w:r>
      <w:r w:rsidR="00373346">
        <w:t>.</w:t>
      </w:r>
      <w:r>
        <w:t>36 Colour key to clusters in the abundance profiles shown in Fig.101</w:t>
      </w:r>
      <w:r w:rsidR="00C51DCC">
        <w:t>………………………………………</w:t>
      </w:r>
      <w:r w:rsidR="00AE0DA9">
        <w:t>17</w:t>
      </w:r>
      <w:r w:rsidR="00CC5151">
        <w:t>2</w:t>
      </w:r>
    </w:p>
    <w:p w:rsidR="006A581F" w:rsidRPr="00C96B92" w:rsidRDefault="006A3D71" w:rsidP="00311A77">
      <w:pPr>
        <w:jc w:val="both"/>
      </w:pPr>
      <w:r>
        <w:t>Tab</w:t>
      </w:r>
      <w:r w:rsidR="00373346">
        <w:t>.37</w:t>
      </w:r>
      <w:r w:rsidR="00312A63">
        <w:t xml:space="preserve"> Comparison of key features which discriminate between 9 tea types based on 7 components acquired in negative mode (stage 2 interpretation) ……………………….……………………………………………… </w:t>
      </w:r>
      <w:r w:rsidR="00AE0DA9">
        <w:t>1</w:t>
      </w:r>
      <w:r w:rsidR="00CC5151">
        <w:t>8</w:t>
      </w:r>
      <w:r w:rsidR="004D55CD">
        <w:t>6</w:t>
      </w:r>
    </w:p>
    <w:p w:rsidR="006A581F" w:rsidRDefault="006A581F" w:rsidP="00311A77">
      <w:pPr>
        <w:jc w:val="both"/>
        <w:rPr>
          <w:rFonts w:cs="Times New Roman"/>
          <w:b/>
          <w:sz w:val="36"/>
          <w:szCs w:val="36"/>
        </w:rPr>
      </w:pPr>
      <w:r>
        <w:rPr>
          <w:rFonts w:cs="Times New Roman"/>
          <w:b/>
          <w:sz w:val="36"/>
          <w:szCs w:val="36"/>
        </w:rPr>
        <w:br w:type="page"/>
      </w:r>
    </w:p>
    <w:p w:rsidR="00FA6F99" w:rsidRDefault="00FA6F99" w:rsidP="004F3C22">
      <w:pPr>
        <w:jc w:val="both"/>
        <w:rPr>
          <w:rFonts w:cs="Times New Roman"/>
          <w:b/>
          <w:sz w:val="36"/>
          <w:szCs w:val="36"/>
        </w:rPr>
      </w:pPr>
      <w:r>
        <w:rPr>
          <w:rFonts w:cs="Times New Roman"/>
          <w:b/>
          <w:sz w:val="36"/>
          <w:szCs w:val="36"/>
        </w:rPr>
        <w:lastRenderedPageBreak/>
        <w:t>List of Figur</w:t>
      </w:r>
      <w:r w:rsidRPr="00D93995">
        <w:rPr>
          <w:rFonts w:cs="Times New Roman"/>
          <w:b/>
          <w:sz w:val="36"/>
          <w:szCs w:val="36"/>
        </w:rPr>
        <w:t>es</w:t>
      </w:r>
    </w:p>
    <w:p w:rsidR="006A581F" w:rsidRDefault="006A581F" w:rsidP="004F3C22">
      <w:pPr>
        <w:jc w:val="both"/>
        <w:rPr>
          <w:rFonts w:cs="Times New Roman"/>
          <w:b/>
          <w:sz w:val="36"/>
          <w:szCs w:val="36"/>
        </w:rPr>
      </w:pPr>
    </w:p>
    <w:p w:rsidR="006A581F" w:rsidRDefault="006A581F" w:rsidP="006A581F">
      <w:pPr>
        <w:jc w:val="both"/>
      </w:pPr>
      <w:r w:rsidRPr="002F0039">
        <w:t>Fig.1 The classification of flavonoids</w:t>
      </w:r>
      <w:r w:rsidR="00EB6EED">
        <w:t>……..…………………………………………………………………………………………</w:t>
      </w:r>
      <w:r w:rsidR="00817864">
        <w:t>10</w:t>
      </w:r>
    </w:p>
    <w:p w:rsidR="006A581F" w:rsidRDefault="006A581F" w:rsidP="006A581F">
      <w:pPr>
        <w:jc w:val="both"/>
      </w:pPr>
      <w:r>
        <w:t xml:space="preserve">Fig.2 Flavonoid A, C, </w:t>
      </w:r>
      <w:r w:rsidR="00EB6EED">
        <w:t>B three ring structure C6–C3–C6……………………………………………………………………..</w:t>
      </w:r>
      <w:r w:rsidR="00817864">
        <w:t>11</w:t>
      </w:r>
    </w:p>
    <w:p w:rsidR="006A581F" w:rsidRDefault="006A581F" w:rsidP="006A581F">
      <w:pPr>
        <w:jc w:val="both"/>
      </w:pPr>
      <w:r>
        <w:t xml:space="preserve">Fig.3 </w:t>
      </w:r>
      <w:proofErr w:type="spellStart"/>
      <w:r w:rsidR="001C18A8">
        <w:t>H</w:t>
      </w:r>
      <w:r>
        <w:t>ydroxybenzoic</w:t>
      </w:r>
      <w:proofErr w:type="spellEnd"/>
      <w:r>
        <w:t xml:space="preserve"> acid</w:t>
      </w:r>
      <w:r w:rsidR="00EB6EED">
        <w:t>………………………………………………………………………………………………………………..</w:t>
      </w:r>
      <w:r w:rsidR="00817864">
        <w:t>12</w:t>
      </w:r>
    </w:p>
    <w:p w:rsidR="006A581F" w:rsidRDefault="006A581F" w:rsidP="006A581F">
      <w:pPr>
        <w:jc w:val="both"/>
      </w:pPr>
      <w:r>
        <w:t xml:space="preserve">Fig.4 </w:t>
      </w:r>
      <w:proofErr w:type="spellStart"/>
      <w:r w:rsidR="001C18A8">
        <w:t>H</w:t>
      </w:r>
      <w:r>
        <w:t>ydroxycinnamic</w:t>
      </w:r>
      <w:proofErr w:type="spellEnd"/>
      <w:r>
        <w:t xml:space="preserve"> acid</w:t>
      </w:r>
      <w:r w:rsidR="00EB6EED">
        <w:t>………………………………………………………………………………………………………………</w:t>
      </w:r>
      <w:r w:rsidR="00817864">
        <w:t>12</w:t>
      </w:r>
    </w:p>
    <w:p w:rsidR="006A581F" w:rsidRDefault="00C94AA8" w:rsidP="006A581F">
      <w:pPr>
        <w:jc w:val="both"/>
      </w:pPr>
      <w:r>
        <w:t>Fig.5 M</w:t>
      </w:r>
      <w:r w:rsidR="006A581F">
        <w:t>olecular structures of (a) tannins</w:t>
      </w:r>
      <w:r w:rsidR="00EB6EED">
        <w:t>, (b) lignans and (c) stilbenes.………………………</w:t>
      </w:r>
      <w:r>
        <w:t>……..</w:t>
      </w:r>
      <w:r w:rsidR="00EB6EED">
        <w:t>………………</w:t>
      </w:r>
      <w:r w:rsidR="00817864">
        <w:t>12</w:t>
      </w:r>
    </w:p>
    <w:p w:rsidR="006A581F" w:rsidRDefault="00EB6EED" w:rsidP="006A581F">
      <w:pPr>
        <w:jc w:val="both"/>
      </w:pPr>
      <w:r>
        <w:t xml:space="preserve">Fig.6 </w:t>
      </w:r>
      <w:r w:rsidR="006A581F">
        <w:t xml:space="preserve">MS spectrum of epicatechin in negative mode by direct infusion on the LCQ </w:t>
      </w:r>
      <w:proofErr w:type="spellStart"/>
      <w:r w:rsidR="006A581F">
        <w:t>Deca</w:t>
      </w:r>
      <w:proofErr w:type="spellEnd"/>
      <w:r>
        <w:t>………………….</w:t>
      </w:r>
      <w:r w:rsidR="00817864">
        <w:t>15</w:t>
      </w:r>
    </w:p>
    <w:p w:rsidR="006A581F" w:rsidRDefault="00EB6EED" w:rsidP="006A581F">
      <w:pPr>
        <w:jc w:val="both"/>
      </w:pPr>
      <w:r>
        <w:t xml:space="preserve">Fig.7 </w:t>
      </w:r>
      <w:r w:rsidR="006A581F">
        <w:t xml:space="preserve">MS-MS spectrum of epicatechin in negative mode by direct infusion on the LCQ </w:t>
      </w:r>
      <w:proofErr w:type="spellStart"/>
      <w:r w:rsidR="006A581F">
        <w:t>Deca</w:t>
      </w:r>
      <w:proofErr w:type="spellEnd"/>
      <w:r>
        <w:t>…………...</w:t>
      </w:r>
      <w:r w:rsidR="00817864">
        <w:t>16</w:t>
      </w:r>
    </w:p>
    <w:p w:rsidR="006A581F" w:rsidRDefault="00EB6EED" w:rsidP="006A581F">
      <w:pPr>
        <w:jc w:val="both"/>
      </w:pPr>
      <w:r>
        <w:t xml:space="preserve">Fig.8 </w:t>
      </w:r>
      <w:r w:rsidR="00C94AA8">
        <w:t xml:space="preserve">Screening of </w:t>
      </w:r>
      <w:r w:rsidR="006A581F">
        <w:t xml:space="preserve">mobile phase modifiers for tea analysis using ESI with an Agilent </w:t>
      </w:r>
      <w:r>
        <w:t>Poroshell-</w:t>
      </w:r>
      <w:r w:rsidR="006A581F">
        <w:t>120 SB-C18</w:t>
      </w:r>
      <w:r w:rsidR="00817864">
        <w:tab/>
        <w:t>……………..…………………………………………………………………………………………………………………………….17</w:t>
      </w:r>
    </w:p>
    <w:p w:rsidR="006A581F" w:rsidRDefault="00C94AA8" w:rsidP="006A581F">
      <w:pPr>
        <w:jc w:val="both"/>
      </w:pPr>
      <w:r>
        <w:t>Fig.9 D</w:t>
      </w:r>
      <w:r w:rsidR="006A581F">
        <w:t>ata processing workflow followed in Progenesis QI</w:t>
      </w:r>
      <w:r w:rsidR="00EB6EED">
        <w:t>……………………………………</w:t>
      </w:r>
      <w:r>
        <w:t>……..</w:t>
      </w:r>
      <w:r w:rsidR="00EB6EED">
        <w:t>……………………</w:t>
      </w:r>
      <w:r w:rsidR="006B1874">
        <w:t>21</w:t>
      </w:r>
    </w:p>
    <w:p w:rsidR="006A581F" w:rsidRDefault="006A581F" w:rsidP="006A581F">
      <w:pPr>
        <w:jc w:val="both"/>
      </w:pPr>
      <w:r>
        <w:t>Fig.10 Schematic of the Xevo-TQXS</w:t>
      </w:r>
      <w:r w:rsidR="00EB6EED">
        <w:t>…………………………………………………………………………………………………..</w:t>
      </w:r>
      <w:r w:rsidR="00C8289C">
        <w:t>22</w:t>
      </w:r>
    </w:p>
    <w:p w:rsidR="006A581F" w:rsidRDefault="006A581F" w:rsidP="006A581F">
      <w:pPr>
        <w:jc w:val="both"/>
      </w:pPr>
      <w:r>
        <w:t>Fig.11 Schematic of the Synapt G2-Si</w:t>
      </w:r>
      <w:r w:rsidR="00EB6EED">
        <w:t>………………………………………………………………………………………………..</w:t>
      </w:r>
      <w:r w:rsidR="00C8289C">
        <w:t>26</w:t>
      </w:r>
    </w:p>
    <w:p w:rsidR="006A581F" w:rsidRDefault="006A581F" w:rsidP="006A581F">
      <w:pPr>
        <w:jc w:val="both"/>
      </w:pPr>
      <w:r>
        <w:t>Fig.12 Waters Z-SprayTM API interface for LC-MS using ESI</w:t>
      </w:r>
      <w:r w:rsidR="00EB6EED">
        <w:t>……………………………………………………………..</w:t>
      </w:r>
      <w:r w:rsidR="00C8289C">
        <w:t>27</w:t>
      </w:r>
    </w:p>
    <w:p w:rsidR="006A581F" w:rsidRDefault="006A581F" w:rsidP="006A581F">
      <w:pPr>
        <w:jc w:val="both"/>
      </w:pPr>
      <w:r>
        <w:t>Fig.13 Molecular structure of Paeonol (2’-hydroxy-4’-methoxyacetophenone)</w:t>
      </w:r>
      <w:r w:rsidR="00EB6EED">
        <w:t>………………………………..</w:t>
      </w:r>
      <w:r w:rsidR="00C8289C">
        <w:t>28</w:t>
      </w:r>
    </w:p>
    <w:p w:rsidR="006A581F" w:rsidRDefault="006A581F" w:rsidP="006A581F">
      <w:pPr>
        <w:jc w:val="both"/>
      </w:pPr>
      <w:r>
        <w:t>Fig.14 Molecular structure of S-Equol</w:t>
      </w:r>
      <w:r w:rsidR="00EB6EED">
        <w:t>……………………………………………………………………………………………….</w:t>
      </w:r>
      <w:r w:rsidR="00C8289C">
        <w:t>29</w:t>
      </w:r>
    </w:p>
    <w:p w:rsidR="006A581F" w:rsidRDefault="006A581F" w:rsidP="006A581F">
      <w:pPr>
        <w:jc w:val="both"/>
      </w:pPr>
      <w:r>
        <w:t>Fig.15 Molecular structure of (-)-Epigallocatechin-3-gallate (EGCG)</w:t>
      </w:r>
      <w:r w:rsidR="00EB6EED">
        <w:t>………………………………………………….</w:t>
      </w:r>
      <w:r w:rsidR="00C8289C">
        <w:t>30</w:t>
      </w:r>
    </w:p>
    <w:p w:rsidR="006A581F" w:rsidRDefault="006A581F" w:rsidP="006A581F">
      <w:pPr>
        <w:jc w:val="both"/>
      </w:pPr>
      <w:r>
        <w:t>Fig.16 Molecular structure of Rutin</w:t>
      </w:r>
      <w:r w:rsidR="00EB6EED">
        <w:t>…………………………………………………………………………………………………..</w:t>
      </w:r>
      <w:r w:rsidR="00C8289C">
        <w:t>30</w:t>
      </w:r>
    </w:p>
    <w:p w:rsidR="006A581F" w:rsidRDefault="006A581F" w:rsidP="006A581F">
      <w:pPr>
        <w:jc w:val="both"/>
      </w:pPr>
      <w:r>
        <w:t>Fig.17 Schematic of the Q Exactive Plus MS</w:t>
      </w:r>
      <w:r w:rsidR="00EB6EED">
        <w:t>………………………………………………………………………………………</w:t>
      </w:r>
      <w:r w:rsidR="00C8289C">
        <w:t>32</w:t>
      </w:r>
    </w:p>
    <w:p w:rsidR="006A581F" w:rsidRDefault="006A581F" w:rsidP="006A581F">
      <w:pPr>
        <w:jc w:val="both"/>
      </w:pPr>
      <w:r>
        <w:t>Fig 18. Sample chromatograms acquired during HDMS</w:t>
      </w:r>
      <w:r w:rsidRPr="00A00C0B">
        <w:rPr>
          <w:vertAlign w:val="superscript"/>
        </w:rPr>
        <w:t>e</w:t>
      </w:r>
      <w:r>
        <w:t>. From top to bottom; Py</w:t>
      </w:r>
      <w:r w:rsidR="00291367">
        <w:t>c</w:t>
      </w:r>
      <w:r>
        <w:t>nogenol, Scots Pine, Oak and Lodge pole pine</w:t>
      </w:r>
      <w:r w:rsidR="00EB6EED">
        <w:t>…………………………………………………………………………………………………………………..</w:t>
      </w:r>
      <w:r w:rsidR="00C8289C">
        <w:t>3</w:t>
      </w:r>
      <w:r w:rsidR="008F102C">
        <w:t>8</w:t>
      </w:r>
    </w:p>
    <w:p w:rsidR="006A581F" w:rsidRDefault="006A581F" w:rsidP="006A581F">
      <w:pPr>
        <w:jc w:val="both"/>
      </w:pPr>
      <w:r>
        <w:t xml:space="preserve">Fig.19 Standard of 7 analytes </w:t>
      </w:r>
      <w:r w:rsidR="00C94AA8">
        <w:t>(Bark extracts MRM)</w:t>
      </w:r>
      <w:r w:rsidR="00AB17C3">
        <w:t>…………………………………………</w:t>
      </w:r>
      <w:r w:rsidR="00C94AA8">
        <w:t>……………………..</w:t>
      </w:r>
      <w:r w:rsidR="00AB17C3">
        <w:t>…………</w:t>
      </w:r>
      <w:r w:rsidR="008F102C">
        <w:t>39</w:t>
      </w:r>
    </w:p>
    <w:p w:rsidR="006A581F" w:rsidRDefault="006A581F" w:rsidP="006A581F">
      <w:pPr>
        <w:jc w:val="both"/>
      </w:pPr>
      <w:r>
        <w:t>Fig.20 Standard showing signal to noise ratio of all 7 analytes</w:t>
      </w:r>
      <w:r w:rsidR="00C94AA8">
        <w:t xml:space="preserve"> </w:t>
      </w:r>
      <w:r w:rsidR="00C94AA8" w:rsidRPr="00C94AA8">
        <w:t>(Bark extracts MRM)</w:t>
      </w:r>
      <w:r w:rsidR="00C94AA8">
        <w:t xml:space="preserve"> </w:t>
      </w:r>
      <w:r w:rsidR="00AB17C3">
        <w:t>…………</w:t>
      </w:r>
      <w:r w:rsidR="00C94AA8">
        <w:t>………</w:t>
      </w:r>
      <w:r w:rsidR="00AB17C3">
        <w:t>……..</w:t>
      </w:r>
      <w:r>
        <w:t>4</w:t>
      </w:r>
      <w:r w:rsidR="008F102C">
        <w:t>0</w:t>
      </w:r>
    </w:p>
    <w:p w:rsidR="006A581F" w:rsidRDefault="006A581F" w:rsidP="006A581F">
      <w:pPr>
        <w:jc w:val="both"/>
      </w:pPr>
      <w:r>
        <w:t>Fig.21 E</w:t>
      </w:r>
      <w:r w:rsidR="00AB17C3">
        <w:t>xtracted ion chromatogram of</w:t>
      </w:r>
      <w:r w:rsidR="00C94AA8">
        <w:t xml:space="preserve"> 7 targeted analytes in</w:t>
      </w:r>
      <w:r>
        <w:t xml:space="preserve"> extract of Lodge pole pine bark</w:t>
      </w:r>
      <w:r w:rsidR="00AB17C3">
        <w:t>……</w:t>
      </w:r>
      <w:r w:rsidR="00C94AA8">
        <w:t>….</w:t>
      </w:r>
      <w:r w:rsidR="00AB17C3">
        <w:t>..</w:t>
      </w:r>
      <w:r>
        <w:t>4</w:t>
      </w:r>
      <w:r w:rsidR="008F102C">
        <w:t>1</w:t>
      </w:r>
    </w:p>
    <w:p w:rsidR="006A581F" w:rsidRDefault="006A581F" w:rsidP="006A581F">
      <w:pPr>
        <w:jc w:val="both"/>
      </w:pPr>
      <w:r>
        <w:t>Fig.22 Extracted ion chromatogram o</w:t>
      </w:r>
      <w:r w:rsidR="00C94AA8">
        <w:t xml:space="preserve">f the 7 targeted analytes in </w:t>
      </w:r>
      <w:r>
        <w:t>extract of Oak bark</w:t>
      </w:r>
      <w:r w:rsidR="00AB17C3">
        <w:t>……………</w:t>
      </w:r>
      <w:r w:rsidR="00C94AA8">
        <w:t>…..</w:t>
      </w:r>
      <w:r w:rsidR="00AB17C3">
        <w:t>…….</w:t>
      </w:r>
      <w:r>
        <w:t>4</w:t>
      </w:r>
      <w:r w:rsidR="008F102C">
        <w:t>2</w:t>
      </w:r>
    </w:p>
    <w:p w:rsidR="006A581F" w:rsidRDefault="006A581F" w:rsidP="006A581F">
      <w:pPr>
        <w:jc w:val="both"/>
      </w:pPr>
      <w:r>
        <w:t>Fig.23 Extracted ion chromatogram o</w:t>
      </w:r>
      <w:r w:rsidR="00C94AA8">
        <w:t xml:space="preserve">f the 7 targeted analytes in </w:t>
      </w:r>
      <w:r>
        <w:t>extract of Scots pine bark</w:t>
      </w:r>
      <w:proofErr w:type="gramStart"/>
      <w:r w:rsidR="00AB17C3">
        <w:t>……</w:t>
      </w:r>
      <w:r w:rsidR="00C94AA8">
        <w:t>…..</w:t>
      </w:r>
      <w:r w:rsidR="00AB17C3">
        <w:t>…</w:t>
      </w:r>
      <w:proofErr w:type="gramEnd"/>
      <w:r w:rsidR="00AB17C3">
        <w:t>..</w:t>
      </w:r>
      <w:r>
        <w:t>4</w:t>
      </w:r>
      <w:r w:rsidR="008F102C">
        <w:t>3</w:t>
      </w:r>
    </w:p>
    <w:p w:rsidR="006A581F" w:rsidRDefault="00C94AA8" w:rsidP="006A581F">
      <w:pPr>
        <w:jc w:val="both"/>
      </w:pPr>
      <w:r>
        <w:t xml:space="preserve">Fig.24 </w:t>
      </w:r>
      <w:r w:rsidR="006A581F">
        <w:t>Extracted ion chromatogram o</w:t>
      </w:r>
      <w:r>
        <w:t xml:space="preserve">f the 7 targeted analytes in </w:t>
      </w:r>
      <w:r w:rsidR="006A581F">
        <w:t xml:space="preserve">extract of Pycnogenol </w:t>
      </w:r>
      <w:r>
        <w:t>…………….</w:t>
      </w:r>
      <w:r w:rsidR="00AB17C3">
        <w:t>……</w:t>
      </w:r>
      <w:r w:rsidR="006A581F">
        <w:t>4</w:t>
      </w:r>
      <w:r w:rsidR="008F102C">
        <w:t>4</w:t>
      </w:r>
    </w:p>
    <w:p w:rsidR="006A581F" w:rsidRDefault="00C94AA8" w:rsidP="006A581F">
      <w:pPr>
        <w:jc w:val="both"/>
      </w:pPr>
      <w:r>
        <w:t>Fig.25 Q</w:t>
      </w:r>
      <w:r w:rsidR="006A581F">
        <w:t>uercetin calibration standards run at 4 different concentrations</w:t>
      </w:r>
      <w:r w:rsidR="00AB17C3">
        <w:t>……………………………</w:t>
      </w:r>
      <w:r>
        <w:t>……….</w:t>
      </w:r>
      <w:r w:rsidR="00AB17C3">
        <w:t>……</w:t>
      </w:r>
      <w:r w:rsidR="00D842A6">
        <w:t>49</w:t>
      </w:r>
    </w:p>
    <w:p w:rsidR="006A581F" w:rsidRDefault="006A581F" w:rsidP="006A581F">
      <w:pPr>
        <w:jc w:val="both"/>
      </w:pPr>
      <w:r>
        <w:t>Fig.26 Signal to noise measurement of quercetin at 0.20mg/l</w:t>
      </w:r>
      <w:r w:rsidR="00AB17C3">
        <w:t>…………………………………………………………..</w:t>
      </w:r>
      <w:r>
        <w:t>5</w:t>
      </w:r>
      <w:r w:rsidR="00D842A6">
        <w:t>0</w:t>
      </w:r>
    </w:p>
    <w:p w:rsidR="006A581F" w:rsidRDefault="006A581F" w:rsidP="006A581F">
      <w:pPr>
        <w:jc w:val="both"/>
      </w:pPr>
      <w:r>
        <w:t>Fig.27 Lodge pole pine extract targeted analysis for quercetin</w:t>
      </w:r>
      <w:r w:rsidR="002043BF">
        <w:t>………………………………………………………….</w:t>
      </w:r>
      <w:r>
        <w:t>5</w:t>
      </w:r>
      <w:r w:rsidR="00D842A6">
        <w:t>1</w:t>
      </w:r>
    </w:p>
    <w:p w:rsidR="006A581F" w:rsidRDefault="00C94AA8" w:rsidP="006A581F">
      <w:pPr>
        <w:jc w:val="both"/>
      </w:pPr>
      <w:r>
        <w:lastRenderedPageBreak/>
        <w:t xml:space="preserve">Fig.28 </w:t>
      </w:r>
      <w:r w:rsidR="006A581F">
        <w:t>100 x dilut</w:t>
      </w:r>
      <w:r>
        <w:t>ion of</w:t>
      </w:r>
      <w:r w:rsidR="006A581F">
        <w:t xml:space="preserve"> lodge pole pine extract targeted analysis for quercetin</w:t>
      </w:r>
      <w:r w:rsidR="002043BF">
        <w:t>……………</w:t>
      </w:r>
      <w:r>
        <w:t>…</w:t>
      </w:r>
      <w:r w:rsidR="002043BF">
        <w:t>…………………</w:t>
      </w:r>
      <w:r w:rsidR="006A581F">
        <w:t>5</w:t>
      </w:r>
      <w:r w:rsidR="00D842A6">
        <w:t>2</w:t>
      </w:r>
    </w:p>
    <w:p w:rsidR="006A581F" w:rsidRDefault="00C94AA8" w:rsidP="006A581F">
      <w:pPr>
        <w:jc w:val="both"/>
      </w:pPr>
      <w:r>
        <w:t>Fig.29 T</w:t>
      </w:r>
      <w:r w:rsidR="006A581F">
        <w:t>op 2 chromatograms here show the analysis of the Oak bark extract</w:t>
      </w:r>
      <w:r w:rsidR="002043BF">
        <w:t>………</w:t>
      </w:r>
      <w:r>
        <w:t>……</w:t>
      </w:r>
      <w:r w:rsidR="002043BF">
        <w:t>……………………..</w:t>
      </w:r>
      <w:r w:rsidR="006A581F">
        <w:t>5</w:t>
      </w:r>
      <w:r w:rsidR="00D842A6">
        <w:t>3</w:t>
      </w:r>
    </w:p>
    <w:p w:rsidR="006A581F" w:rsidRDefault="006A581F" w:rsidP="006A581F">
      <w:pPr>
        <w:jc w:val="both"/>
      </w:pPr>
      <w:r>
        <w:t>Fig.30 Scots pine extract targeted analysis for quercetin</w:t>
      </w:r>
      <w:r w:rsidR="002043BF">
        <w:t>…………………………………………………………………..</w:t>
      </w:r>
      <w:r>
        <w:t>5</w:t>
      </w:r>
      <w:r w:rsidR="00D842A6">
        <w:t>4</w:t>
      </w:r>
    </w:p>
    <w:p w:rsidR="006A581F" w:rsidRDefault="006A581F" w:rsidP="006A581F">
      <w:pPr>
        <w:jc w:val="both"/>
      </w:pPr>
      <w:r>
        <w:t>Fig.31 Pycnogenol extract targeted analysis for quercetin</w:t>
      </w:r>
      <w:r w:rsidR="002043BF">
        <w:t>………………………………………………………………..</w:t>
      </w:r>
      <w:r>
        <w:t>5</w:t>
      </w:r>
      <w:r w:rsidR="00D842A6">
        <w:t>5</w:t>
      </w:r>
    </w:p>
    <w:p w:rsidR="006A581F" w:rsidRDefault="006A581F" w:rsidP="006A581F">
      <w:pPr>
        <w:jc w:val="both"/>
      </w:pPr>
      <w:r>
        <w:t>Fig.32 Sample chromatogram of a 7.1mg/l standard of Paeonol</w:t>
      </w:r>
      <w:r w:rsidR="00D02238">
        <w:t>……………………………………………………….</w:t>
      </w:r>
      <w:r w:rsidR="00C8289C">
        <w:t>59</w:t>
      </w:r>
    </w:p>
    <w:p w:rsidR="006A581F" w:rsidRDefault="006A581F" w:rsidP="006A581F">
      <w:pPr>
        <w:jc w:val="both"/>
      </w:pPr>
      <w:r>
        <w:t>Fig.33 Chromatogram of a 3.8mg/l standard of S-Equol</w:t>
      </w:r>
      <w:r w:rsidR="00D02238">
        <w:t>…………………………………………………………………….</w:t>
      </w:r>
      <w:r>
        <w:t>6</w:t>
      </w:r>
      <w:r w:rsidR="00C8289C">
        <w:t>0</w:t>
      </w:r>
    </w:p>
    <w:p w:rsidR="006A581F" w:rsidRDefault="006A581F" w:rsidP="006A581F">
      <w:pPr>
        <w:jc w:val="both"/>
      </w:pPr>
      <w:r>
        <w:t>Fig.34 Chromatogram of a 1.3mg/l standard of EGCG</w:t>
      </w:r>
      <w:r w:rsidR="00D02238">
        <w:t>……………………………………………………………………….</w:t>
      </w:r>
      <w:r>
        <w:t>6</w:t>
      </w:r>
      <w:r w:rsidR="00C8289C">
        <w:t>1</w:t>
      </w:r>
    </w:p>
    <w:p w:rsidR="006A581F" w:rsidRDefault="006A581F" w:rsidP="006A581F">
      <w:pPr>
        <w:jc w:val="both"/>
      </w:pPr>
      <w:r>
        <w:t>Fig.35 Chromatogram of a 4.5mg/l standard of Rutin</w:t>
      </w:r>
      <w:r w:rsidR="00D02238">
        <w:t>……………………………………………………………………….</w:t>
      </w:r>
      <w:r>
        <w:t>6</w:t>
      </w:r>
      <w:r w:rsidR="00C8289C">
        <w:t>2</w:t>
      </w:r>
    </w:p>
    <w:p w:rsidR="006A581F" w:rsidRDefault="006A581F" w:rsidP="006A581F">
      <w:pPr>
        <w:jc w:val="both"/>
      </w:pPr>
      <w:r>
        <w:t>Fig.36 Chromatogram of a Lodge Pole Pine extract analysed for Rutin</w:t>
      </w:r>
      <w:r w:rsidR="00D02238">
        <w:t>………………………………………………</w:t>
      </w:r>
      <w:r>
        <w:t>6</w:t>
      </w:r>
      <w:r w:rsidR="00C8289C">
        <w:t>3</w:t>
      </w:r>
    </w:p>
    <w:p w:rsidR="006A581F" w:rsidRDefault="006A581F" w:rsidP="006A581F">
      <w:pPr>
        <w:jc w:val="both"/>
      </w:pPr>
      <w:r>
        <w:t>Fig.37 Mass spectrum of Paeonol showing the deprotonated parent ion</w:t>
      </w:r>
      <w:r w:rsidR="00D02238">
        <w:t>…………………………………………..</w:t>
      </w:r>
      <w:r>
        <w:t>6</w:t>
      </w:r>
      <w:r w:rsidR="00C8289C">
        <w:t>4</w:t>
      </w:r>
    </w:p>
    <w:p w:rsidR="006A581F" w:rsidRDefault="006A581F" w:rsidP="006A581F">
      <w:pPr>
        <w:jc w:val="both"/>
      </w:pPr>
      <w:r>
        <w:t>Fig.38 Mass spectrum of S-Equol showing the deprotonated parent ion</w:t>
      </w:r>
      <w:r w:rsidR="00D02238">
        <w:t>……………………………………………</w:t>
      </w:r>
      <w:r>
        <w:t>6</w:t>
      </w:r>
      <w:r w:rsidR="00C8289C">
        <w:t>5</w:t>
      </w:r>
    </w:p>
    <w:p w:rsidR="006A581F" w:rsidRDefault="006A581F" w:rsidP="006A581F">
      <w:pPr>
        <w:jc w:val="both"/>
      </w:pPr>
      <w:r>
        <w:t>Fig.39 Mass spectrum of EGCG showing the deprotonated parent ion</w:t>
      </w:r>
      <w:r w:rsidR="00D02238">
        <w:t>………………………………………………</w:t>
      </w:r>
      <w:r>
        <w:t>6</w:t>
      </w:r>
      <w:r w:rsidR="00C8289C">
        <w:t>6</w:t>
      </w:r>
    </w:p>
    <w:p w:rsidR="006A581F" w:rsidRDefault="006A581F" w:rsidP="006A581F">
      <w:pPr>
        <w:jc w:val="both"/>
      </w:pPr>
      <w:r>
        <w:t>Fig.40 Mass spectrum of Rutin showing the deprotonated parent ion</w:t>
      </w:r>
      <w:r w:rsidR="00D02238">
        <w:t>………………………………………………</w:t>
      </w:r>
      <w:r>
        <w:t>6</w:t>
      </w:r>
      <w:r w:rsidR="00C8289C">
        <w:t>7</w:t>
      </w:r>
    </w:p>
    <w:p w:rsidR="006A581F" w:rsidRDefault="006A581F" w:rsidP="006A581F">
      <w:pPr>
        <w:jc w:val="both"/>
      </w:pPr>
      <w:r>
        <w:t>Fig.41 Chromatogram of a 2.6mg/l standard of EGCG</w:t>
      </w:r>
      <w:r w:rsidR="00D02238">
        <w:t>……………………………………………………………………….</w:t>
      </w:r>
      <w:r>
        <w:t>7</w:t>
      </w:r>
      <w:r w:rsidR="00C8289C">
        <w:t>2</w:t>
      </w:r>
    </w:p>
    <w:p w:rsidR="006A581F" w:rsidRDefault="00C94AA8" w:rsidP="006A581F">
      <w:pPr>
        <w:jc w:val="both"/>
      </w:pPr>
      <w:r>
        <w:t>Fig.42 E</w:t>
      </w:r>
      <w:r w:rsidR="006A581F">
        <w:t>xample 2D ion map created in Progenesis QI</w:t>
      </w:r>
      <w:r w:rsidR="00D02238">
        <w:t>…………………………………</w:t>
      </w:r>
      <w:r>
        <w:t>…..</w:t>
      </w:r>
      <w:r w:rsidR="00D02238">
        <w:t>…………………………………</w:t>
      </w:r>
      <w:r w:rsidR="006A581F">
        <w:t>7</w:t>
      </w:r>
      <w:r w:rsidR="00C8289C">
        <w:t>6</w:t>
      </w:r>
    </w:p>
    <w:p w:rsidR="006A581F" w:rsidRDefault="00C94AA8" w:rsidP="006A581F">
      <w:pPr>
        <w:jc w:val="both"/>
      </w:pPr>
      <w:r>
        <w:t xml:space="preserve">Fig.43 </w:t>
      </w:r>
      <w:r w:rsidR="006A581F">
        <w:t>RDA mechanism applied to polyphenolics</w:t>
      </w:r>
      <w:r w:rsidR="00D02238">
        <w:t>……………………………………………………………</w:t>
      </w:r>
      <w:r w:rsidR="007C2704">
        <w:t>…….</w:t>
      </w:r>
      <w:r w:rsidR="00D02238">
        <w:t>…………..</w:t>
      </w:r>
      <w:r w:rsidR="006A581F">
        <w:t>8</w:t>
      </w:r>
      <w:r w:rsidR="00835B23">
        <w:t>2</w:t>
      </w:r>
    </w:p>
    <w:p w:rsidR="006A581F" w:rsidRDefault="00C94AA8" w:rsidP="006A581F">
      <w:pPr>
        <w:jc w:val="both"/>
      </w:pPr>
      <w:r>
        <w:t xml:space="preserve">Fig.44 </w:t>
      </w:r>
      <w:r w:rsidR="006A581F">
        <w:t>RDA fragmentation mechanism of a proanthocyanidin is illustrated</w:t>
      </w:r>
      <w:r w:rsidR="00D02238">
        <w:t>……………………………</w:t>
      </w:r>
      <w:r w:rsidR="007C2704">
        <w:t>…….</w:t>
      </w:r>
      <w:r w:rsidR="00D02238">
        <w:t>…..</w:t>
      </w:r>
      <w:r w:rsidR="006A581F">
        <w:t>8</w:t>
      </w:r>
      <w:r w:rsidR="00835B23">
        <w:t>3</w:t>
      </w:r>
    </w:p>
    <w:p w:rsidR="006A581F" w:rsidRDefault="007C2704" w:rsidP="006A581F">
      <w:pPr>
        <w:jc w:val="both"/>
      </w:pPr>
      <w:r>
        <w:t xml:space="preserve">Fig.45 </w:t>
      </w:r>
      <w:r w:rsidR="00AF2E40" w:rsidRPr="00AF2E40">
        <w:t xml:space="preserve">Polyphenol sugar moiety </w:t>
      </w:r>
      <w:proofErr w:type="gramStart"/>
      <w:r w:rsidR="00AF2E40" w:rsidRPr="00AF2E40">
        <w:t>fragmentation.</w:t>
      </w:r>
      <w:r w:rsidR="00D02238">
        <w:t>…………………</w:t>
      </w:r>
      <w:r w:rsidR="00AF2E40">
        <w:t>……………………………………………..</w:t>
      </w:r>
      <w:r w:rsidR="00D02238">
        <w:t>…</w:t>
      </w:r>
      <w:r>
        <w:t>…….</w:t>
      </w:r>
      <w:r w:rsidR="00D02238">
        <w:t>…….</w:t>
      </w:r>
      <w:proofErr w:type="gramEnd"/>
      <w:r w:rsidR="006A581F">
        <w:t>8</w:t>
      </w:r>
      <w:r w:rsidR="00835B23">
        <w:t>3</w:t>
      </w:r>
    </w:p>
    <w:p w:rsidR="006A581F" w:rsidRDefault="006A581F" w:rsidP="006A581F">
      <w:pPr>
        <w:jc w:val="both"/>
      </w:pPr>
      <w:r>
        <w:t xml:space="preserve">Fig.46 Alexanders, </w:t>
      </w:r>
      <w:r w:rsidRPr="004D28E2">
        <w:rPr>
          <w:i/>
        </w:rPr>
        <w:t>Smyrnium olusatrum</w:t>
      </w:r>
      <w:r w:rsidR="00D02238">
        <w:t>…………………………………………………………………………………………..</w:t>
      </w:r>
      <w:r w:rsidR="00C8289C">
        <w:t>8</w:t>
      </w:r>
      <w:r w:rsidR="00835B23">
        <w:t>8</w:t>
      </w:r>
    </w:p>
    <w:p w:rsidR="006A581F" w:rsidRDefault="006A581F" w:rsidP="006A581F">
      <w:pPr>
        <w:jc w:val="both"/>
      </w:pPr>
      <w:r>
        <w:t xml:space="preserve">Fig.47 Stinging Nettle, </w:t>
      </w:r>
      <w:proofErr w:type="spellStart"/>
      <w:r w:rsidRPr="004D28E2">
        <w:rPr>
          <w:i/>
        </w:rPr>
        <w:t>Urtica</w:t>
      </w:r>
      <w:proofErr w:type="spellEnd"/>
      <w:r w:rsidRPr="004D28E2">
        <w:rPr>
          <w:i/>
        </w:rPr>
        <w:t xml:space="preserve"> </w:t>
      </w:r>
      <w:proofErr w:type="spellStart"/>
      <w:r w:rsidRPr="004D28E2">
        <w:rPr>
          <w:i/>
        </w:rPr>
        <w:t>dioica</w:t>
      </w:r>
      <w:proofErr w:type="spellEnd"/>
      <w:r w:rsidR="00D02238">
        <w:t>………………………………………………………………………………………………….</w:t>
      </w:r>
      <w:r w:rsidR="00C8289C">
        <w:t>8</w:t>
      </w:r>
      <w:r w:rsidR="00835B23">
        <w:t>8</w:t>
      </w:r>
    </w:p>
    <w:p w:rsidR="006A581F" w:rsidRDefault="006A581F" w:rsidP="006A581F">
      <w:pPr>
        <w:jc w:val="both"/>
      </w:pPr>
      <w:r>
        <w:t xml:space="preserve">Fig.48 Wild garlic, </w:t>
      </w:r>
      <w:r w:rsidRPr="004D28E2">
        <w:rPr>
          <w:i/>
        </w:rPr>
        <w:t xml:space="preserve">Allium </w:t>
      </w:r>
      <w:proofErr w:type="spellStart"/>
      <w:r w:rsidRPr="004D28E2">
        <w:rPr>
          <w:i/>
        </w:rPr>
        <w:t>ursinum</w:t>
      </w:r>
      <w:proofErr w:type="spellEnd"/>
      <w:r w:rsidR="00D02238">
        <w:t>…………………………………………………………………………………………………….</w:t>
      </w:r>
      <w:r w:rsidR="00835B23">
        <w:t>89</w:t>
      </w:r>
    </w:p>
    <w:p w:rsidR="006A581F" w:rsidRDefault="006A581F" w:rsidP="006A581F">
      <w:pPr>
        <w:jc w:val="both"/>
      </w:pPr>
      <w:r>
        <w:t xml:space="preserve">Fig.49 Gorse, </w:t>
      </w:r>
      <w:proofErr w:type="spellStart"/>
      <w:r w:rsidRPr="004D28E2">
        <w:rPr>
          <w:i/>
        </w:rPr>
        <w:t>Ulex</w:t>
      </w:r>
      <w:proofErr w:type="spellEnd"/>
      <w:r w:rsidRPr="004D28E2">
        <w:rPr>
          <w:i/>
        </w:rPr>
        <w:t xml:space="preserve"> </w:t>
      </w:r>
      <w:proofErr w:type="spellStart"/>
      <w:r w:rsidRPr="004D28E2">
        <w:rPr>
          <w:i/>
        </w:rPr>
        <w:t>europaeus</w:t>
      </w:r>
      <w:proofErr w:type="spellEnd"/>
      <w:r w:rsidR="00D02238">
        <w:t>……………………………………………………………………………………………………………</w:t>
      </w:r>
      <w:r>
        <w:t>9</w:t>
      </w:r>
      <w:r w:rsidR="00835B23">
        <w:t>0</w:t>
      </w:r>
    </w:p>
    <w:p w:rsidR="006A581F" w:rsidRDefault="006A581F" w:rsidP="006A581F">
      <w:pPr>
        <w:jc w:val="both"/>
      </w:pPr>
      <w:r>
        <w:t xml:space="preserve">Fig.50 Pepper Dulse, </w:t>
      </w:r>
      <w:r w:rsidRPr="004D28E2">
        <w:rPr>
          <w:i/>
        </w:rPr>
        <w:t>Osmundea pinnatifida</w:t>
      </w:r>
      <w:r w:rsidR="00D02238">
        <w:t>……………………………………………………</w:t>
      </w:r>
      <w:r w:rsidR="00835B23">
        <w:t>……………………</w:t>
      </w:r>
      <w:r w:rsidR="00D02238">
        <w:t>…………..</w:t>
      </w:r>
      <w:r>
        <w:t>9</w:t>
      </w:r>
      <w:r w:rsidR="00835B23">
        <w:t>2</w:t>
      </w:r>
    </w:p>
    <w:p w:rsidR="006A581F" w:rsidRDefault="006A581F" w:rsidP="006A581F">
      <w:pPr>
        <w:jc w:val="both"/>
      </w:pPr>
      <w:r>
        <w:t xml:space="preserve">Fig.51 Gut Weed, </w:t>
      </w:r>
      <w:r w:rsidRPr="00166BD9">
        <w:rPr>
          <w:i/>
        </w:rPr>
        <w:t>Ulva intestinalis</w:t>
      </w:r>
      <w:r w:rsidR="00D02238">
        <w:t>………………………………………</w:t>
      </w:r>
      <w:r w:rsidR="00835B23">
        <w:t>……………………</w:t>
      </w:r>
      <w:r w:rsidR="00D02238">
        <w:t>……………………………………….</w:t>
      </w:r>
      <w:r>
        <w:t>9</w:t>
      </w:r>
      <w:r w:rsidR="00835B23">
        <w:t>3</w:t>
      </w:r>
    </w:p>
    <w:p w:rsidR="006A581F" w:rsidRDefault="006A581F" w:rsidP="006A581F">
      <w:pPr>
        <w:jc w:val="both"/>
      </w:pPr>
      <w:r>
        <w:t>Fig.52 Example chromatograms acquired in HDMS</w:t>
      </w:r>
      <w:r w:rsidRPr="00A00C0B">
        <w:rPr>
          <w:vertAlign w:val="superscript"/>
        </w:rPr>
        <w:t>e</w:t>
      </w:r>
      <w:r>
        <w:t xml:space="preserve"> mode. From top to bottom they are Wild Garlic leaf, Nettle, Gorse stem, Gorse flower and Alexanders</w:t>
      </w:r>
      <w:r w:rsidR="00D02238">
        <w:t>……………………………………………………………………</w:t>
      </w:r>
      <w:r>
        <w:t>10</w:t>
      </w:r>
      <w:r w:rsidR="00835B23">
        <w:t>2</w:t>
      </w:r>
    </w:p>
    <w:p w:rsidR="006A581F" w:rsidRDefault="006A581F" w:rsidP="006A581F">
      <w:pPr>
        <w:jc w:val="both"/>
      </w:pPr>
      <w:r>
        <w:t>Fig.53 Example chromatograms acquired in HDMS</w:t>
      </w:r>
      <w:r w:rsidRPr="00A00C0B">
        <w:rPr>
          <w:vertAlign w:val="superscript"/>
        </w:rPr>
        <w:t>e</w:t>
      </w:r>
      <w:r>
        <w:t xml:space="preserve"> mode. From top to bottom they are Green Tea (benchmark), Pepper Dulse, </w:t>
      </w:r>
      <w:proofErr w:type="spellStart"/>
      <w:r>
        <w:t>Gutweed</w:t>
      </w:r>
      <w:proofErr w:type="spellEnd"/>
      <w:r>
        <w:t xml:space="preserve"> and a blank</w:t>
      </w:r>
      <w:r w:rsidR="00D02238">
        <w:t>………………………………………………………………………….</w:t>
      </w:r>
      <w:r>
        <w:t>10</w:t>
      </w:r>
      <w:r w:rsidR="00835B23">
        <w:t>3</w:t>
      </w:r>
    </w:p>
    <w:p w:rsidR="00B456E0" w:rsidRDefault="00B456E0" w:rsidP="00B456E0">
      <w:pPr>
        <w:jc w:val="both"/>
      </w:pPr>
      <w:r>
        <w:t>Fig.54 Chromatogram of Gorse flower extract………………………………………………………………………………..1</w:t>
      </w:r>
      <w:r>
        <w:t>13</w:t>
      </w:r>
    </w:p>
    <w:p w:rsidR="00B456E0" w:rsidRDefault="00B456E0" w:rsidP="006A581F">
      <w:pPr>
        <w:jc w:val="both"/>
      </w:pPr>
      <w:r>
        <w:t>Fig.55 Mass spectra of Gorse flower extract……………………………………………………………………………………1</w:t>
      </w:r>
      <w:r>
        <w:t>14</w:t>
      </w:r>
    </w:p>
    <w:p w:rsidR="006A581F" w:rsidRDefault="006A581F" w:rsidP="006A581F">
      <w:pPr>
        <w:jc w:val="both"/>
      </w:pPr>
      <w:r>
        <w:t xml:space="preserve">Fig.56 </w:t>
      </w:r>
      <w:r w:rsidR="00B6657B">
        <w:t>N</w:t>
      </w:r>
      <w:r w:rsidRPr="006D0321">
        <w:t>ormalised abundance profile of Rutin in the plant sample extracts</w:t>
      </w:r>
      <w:r w:rsidR="00D02238">
        <w:t>…………………</w:t>
      </w:r>
      <w:r w:rsidR="00B6657B">
        <w:t>…….</w:t>
      </w:r>
      <w:r w:rsidR="00D02238">
        <w:t>……………</w:t>
      </w:r>
      <w:r w:rsidR="0089397D">
        <w:t>105</w:t>
      </w:r>
    </w:p>
    <w:p w:rsidR="006A581F" w:rsidRDefault="006A581F" w:rsidP="006A581F">
      <w:pPr>
        <w:jc w:val="both"/>
      </w:pPr>
      <w:r>
        <w:t xml:space="preserve">Fig.57 </w:t>
      </w:r>
      <w:r w:rsidR="00835B23">
        <w:t>N</w:t>
      </w:r>
      <w:r w:rsidRPr="006D0321">
        <w:t>ormalised abundance profile of Matairesinol in the plant sample extracts</w:t>
      </w:r>
      <w:r w:rsidR="00BF7FE3">
        <w:t>……………</w:t>
      </w:r>
      <w:r w:rsidR="00835B23">
        <w:t>…….</w:t>
      </w:r>
      <w:r w:rsidR="00BF7FE3">
        <w:t>……..</w:t>
      </w:r>
      <w:r w:rsidR="0089397D">
        <w:t>106</w:t>
      </w:r>
    </w:p>
    <w:p w:rsidR="006A581F" w:rsidRDefault="006A581F" w:rsidP="006A581F">
      <w:pPr>
        <w:jc w:val="both"/>
      </w:pPr>
      <w:r>
        <w:lastRenderedPageBreak/>
        <w:t xml:space="preserve">Fig.58 </w:t>
      </w:r>
      <w:r w:rsidR="00835B23">
        <w:t>N</w:t>
      </w:r>
      <w:r w:rsidRPr="006D0321">
        <w:t xml:space="preserve">ormalised abundance profile </w:t>
      </w:r>
      <w:r w:rsidR="00BF7FE3">
        <w:t>of Caffeic acid 3-O-glucuronide………………………………</w:t>
      </w:r>
      <w:r w:rsidR="00835B23">
        <w:t>…….</w:t>
      </w:r>
      <w:r w:rsidR="00BF7FE3">
        <w:t>………</w:t>
      </w:r>
      <w:r w:rsidR="0089397D">
        <w:t>107</w:t>
      </w:r>
    </w:p>
    <w:p w:rsidR="006A581F" w:rsidRDefault="006A581F" w:rsidP="006A581F">
      <w:pPr>
        <w:jc w:val="both"/>
      </w:pPr>
      <w:r>
        <w:t>Fig.</w:t>
      </w:r>
      <w:r w:rsidRPr="0000242C">
        <w:t xml:space="preserve">59 </w:t>
      </w:r>
      <w:r w:rsidR="00835B23">
        <w:t>N</w:t>
      </w:r>
      <w:r w:rsidRPr="0000242C">
        <w:t xml:space="preserve">ormalised abundance profile of Chlorogenic </w:t>
      </w:r>
      <w:r>
        <w:t>acid</w:t>
      </w:r>
      <w:r w:rsidR="00BF7FE3">
        <w:t>………………………………………………</w:t>
      </w:r>
      <w:r w:rsidR="00835B23">
        <w:t>…….</w:t>
      </w:r>
      <w:r w:rsidR="00BF7FE3">
        <w:t>…………</w:t>
      </w:r>
      <w:r w:rsidR="0089397D">
        <w:t>108</w:t>
      </w:r>
    </w:p>
    <w:p w:rsidR="006A581F" w:rsidRDefault="006A581F" w:rsidP="006A581F">
      <w:pPr>
        <w:jc w:val="both"/>
      </w:pPr>
      <w:r w:rsidRPr="0000242C">
        <w:t xml:space="preserve">Fig.60 </w:t>
      </w:r>
      <w:r w:rsidR="00835B23">
        <w:t>N</w:t>
      </w:r>
      <w:r w:rsidRPr="0000242C">
        <w:t>ormalised abundance profile of 3-Feruloylquinic acid</w:t>
      </w:r>
      <w:r w:rsidR="00BF7FE3">
        <w:t>…………………………………………</w:t>
      </w:r>
      <w:r w:rsidR="00835B23">
        <w:t>…….</w:t>
      </w:r>
      <w:r w:rsidR="00BF7FE3">
        <w:t>……….</w:t>
      </w:r>
      <w:r w:rsidR="0089397D">
        <w:t>109</w:t>
      </w:r>
    </w:p>
    <w:p w:rsidR="006A581F" w:rsidRDefault="006A581F" w:rsidP="006A581F">
      <w:pPr>
        <w:jc w:val="both"/>
      </w:pPr>
      <w:r>
        <w:t xml:space="preserve">Fig.61 </w:t>
      </w:r>
      <w:r w:rsidR="00835B23">
        <w:t>N</w:t>
      </w:r>
      <w:r w:rsidRPr="00897267">
        <w:t>ormalised abundance profile of Naringin</w:t>
      </w:r>
      <w:r w:rsidR="00BF7FE3">
        <w:t>………………………………………………………………</w:t>
      </w:r>
      <w:r w:rsidR="00835B23">
        <w:t>…….</w:t>
      </w:r>
      <w:r w:rsidR="00BF7FE3">
        <w:t>……..</w:t>
      </w:r>
      <w:r>
        <w:t>11</w:t>
      </w:r>
      <w:r w:rsidR="0089397D">
        <w:t>0</w:t>
      </w:r>
    </w:p>
    <w:p w:rsidR="006A581F" w:rsidRDefault="006A581F" w:rsidP="006A581F">
      <w:pPr>
        <w:jc w:val="both"/>
      </w:pPr>
      <w:r>
        <w:t>Fig.62 Scores plot</w:t>
      </w:r>
      <w:r w:rsidRPr="006A2A6D">
        <w:t xml:space="preserve"> created with EZinfo</w:t>
      </w:r>
      <w:r w:rsidR="00BF7FE3">
        <w:t>…………………………………………………………………………………………….</w:t>
      </w:r>
      <w:r>
        <w:t>11</w:t>
      </w:r>
      <w:r w:rsidR="0089397D">
        <w:t>1</w:t>
      </w:r>
    </w:p>
    <w:p w:rsidR="006A581F" w:rsidRDefault="006A581F" w:rsidP="006A581F">
      <w:pPr>
        <w:jc w:val="both"/>
      </w:pPr>
      <w:r>
        <w:t>Fig.63 S-Plot of Gorse Flower and Gorse Stem</w:t>
      </w:r>
      <w:r w:rsidR="00BF7FE3">
        <w:t>………………………………………………………………………………..</w:t>
      </w:r>
      <w:r>
        <w:t>1</w:t>
      </w:r>
      <w:r w:rsidR="00E24B48">
        <w:t>1</w:t>
      </w:r>
      <w:r w:rsidR="0089397D">
        <w:t>2</w:t>
      </w:r>
    </w:p>
    <w:p w:rsidR="006A581F" w:rsidRDefault="006A581F" w:rsidP="006A581F">
      <w:pPr>
        <w:jc w:val="both"/>
      </w:pPr>
      <w:r>
        <w:t>Fig.64 World tea exports in 2013 by percentage contribution</w:t>
      </w:r>
      <w:r w:rsidR="00BF7FE3">
        <w:t>…………………………………………………………</w:t>
      </w:r>
      <w:r>
        <w:t>1</w:t>
      </w:r>
      <w:r w:rsidR="0079002D">
        <w:t>2</w:t>
      </w:r>
      <w:r w:rsidR="00A87575">
        <w:t>6</w:t>
      </w:r>
    </w:p>
    <w:p w:rsidR="006A581F" w:rsidRDefault="00893D0F" w:rsidP="006A581F">
      <w:pPr>
        <w:jc w:val="both"/>
      </w:pPr>
      <w:r>
        <w:t>Fig.65</w:t>
      </w:r>
      <w:r w:rsidR="006A581F">
        <w:t xml:space="preserve"> </w:t>
      </w:r>
      <w:proofErr w:type="gramStart"/>
      <w:r w:rsidR="006A581F">
        <w:t>A</w:t>
      </w:r>
      <w:proofErr w:type="gramEnd"/>
      <w:r w:rsidR="006A581F">
        <w:t xml:space="preserve"> Kericho tea plantation, Kenya</w:t>
      </w:r>
      <w:r w:rsidR="00BF7FE3">
        <w:t>………………………………</w:t>
      </w:r>
      <w:r>
        <w:t>.</w:t>
      </w:r>
      <w:r w:rsidR="00BF7FE3">
        <w:t>…………………………………………………………..</w:t>
      </w:r>
      <w:r w:rsidR="006A581F">
        <w:t>1</w:t>
      </w:r>
      <w:r w:rsidR="0079002D">
        <w:t>2</w:t>
      </w:r>
      <w:r w:rsidR="00A87575">
        <w:t>8</w:t>
      </w:r>
    </w:p>
    <w:p w:rsidR="006A581F" w:rsidRDefault="00893D0F" w:rsidP="006A581F">
      <w:pPr>
        <w:jc w:val="both"/>
      </w:pPr>
      <w:r>
        <w:t xml:space="preserve">Fig.66 </w:t>
      </w:r>
      <w:proofErr w:type="gramStart"/>
      <w:r w:rsidR="006A581F">
        <w:t>A</w:t>
      </w:r>
      <w:proofErr w:type="gramEnd"/>
      <w:r w:rsidR="006A581F">
        <w:t xml:space="preserve"> Nuwara Eliya medium altitude tea plantation, Sri Lanka</w:t>
      </w:r>
      <w:r w:rsidR="00BF7FE3">
        <w:t>……………………………</w:t>
      </w:r>
      <w:r>
        <w:t>..</w:t>
      </w:r>
      <w:r w:rsidR="00BF7FE3">
        <w:t>…………………….</w:t>
      </w:r>
      <w:r w:rsidR="006A581F">
        <w:t>1</w:t>
      </w:r>
      <w:r w:rsidR="00A87575">
        <w:t>29</w:t>
      </w:r>
    </w:p>
    <w:p w:rsidR="006A581F" w:rsidRDefault="006A581F" w:rsidP="006A581F">
      <w:pPr>
        <w:jc w:val="both"/>
      </w:pPr>
      <w:r>
        <w:t>Fig.67 Purple tea grown next to green tea in Kenya</w:t>
      </w:r>
      <w:r w:rsidR="00BF7FE3">
        <w:t>……………………………………………………</w:t>
      </w:r>
      <w:r w:rsidR="00893D0F">
        <w:t>.</w:t>
      </w:r>
      <w:r w:rsidR="00BF7FE3">
        <w:t>…………………..</w:t>
      </w:r>
      <w:r>
        <w:t>13</w:t>
      </w:r>
      <w:r w:rsidR="00A87575">
        <w:t>1</w:t>
      </w:r>
    </w:p>
    <w:p w:rsidR="006A581F" w:rsidRDefault="006A581F" w:rsidP="006A581F">
      <w:pPr>
        <w:jc w:val="both"/>
      </w:pPr>
      <w:r>
        <w:t>Fig.68 Leaf tissue structure</w:t>
      </w:r>
      <w:r w:rsidR="00BF7FE3">
        <w:t>…………………………………………………………………………………………………………….</w:t>
      </w:r>
      <w:r>
        <w:t>13</w:t>
      </w:r>
      <w:r w:rsidR="00A87575">
        <w:t>3</w:t>
      </w:r>
    </w:p>
    <w:p w:rsidR="006A581F" w:rsidRDefault="006A581F" w:rsidP="006A581F">
      <w:pPr>
        <w:jc w:val="both"/>
      </w:pPr>
      <w:r>
        <w:t>Fig.69 Tea processing Infographic</w:t>
      </w:r>
      <w:r w:rsidR="00BF7FE3">
        <w:t>…………………………………………………………………………………………………..</w:t>
      </w:r>
      <w:r>
        <w:t>13</w:t>
      </w:r>
      <w:r w:rsidR="00A87575">
        <w:t>5</w:t>
      </w:r>
    </w:p>
    <w:p w:rsidR="006A581F" w:rsidRDefault="006A581F" w:rsidP="006A581F">
      <w:pPr>
        <w:jc w:val="both"/>
      </w:pPr>
      <w:r>
        <w:t>Fig.70 Theasinensin C, an example of a bis-flavanol</w:t>
      </w:r>
      <w:r w:rsidR="00BF7FE3">
        <w:t>………………………………………………………………………..</w:t>
      </w:r>
      <w:r>
        <w:t>1</w:t>
      </w:r>
      <w:r w:rsidR="0079002D">
        <w:t>3</w:t>
      </w:r>
      <w:r w:rsidR="00A87575">
        <w:t>6</w:t>
      </w:r>
    </w:p>
    <w:p w:rsidR="006A581F" w:rsidRDefault="006A581F" w:rsidP="006A581F">
      <w:pPr>
        <w:jc w:val="both"/>
      </w:pPr>
      <w:r>
        <w:t xml:space="preserve">Fig.71 </w:t>
      </w:r>
      <w:r w:rsidR="00E2387D">
        <w:t xml:space="preserve">Molecular structure of </w:t>
      </w:r>
      <w:r>
        <w:t>Xanthine</w:t>
      </w:r>
      <w:r w:rsidR="00BF7FE3">
        <w:t>………………………………………………………</w:t>
      </w:r>
      <w:r w:rsidR="00E2387D">
        <w:t>……………..</w:t>
      </w:r>
      <w:r w:rsidR="00BF7FE3">
        <w:t>……………………</w:t>
      </w:r>
      <w:r>
        <w:t>1</w:t>
      </w:r>
      <w:r w:rsidR="00E2387D">
        <w:t>3</w:t>
      </w:r>
      <w:r w:rsidR="00A87575">
        <w:t>7</w:t>
      </w:r>
    </w:p>
    <w:p w:rsidR="006A581F" w:rsidRDefault="006A581F" w:rsidP="006A581F">
      <w:pPr>
        <w:jc w:val="both"/>
      </w:pPr>
      <w:r>
        <w:t>Fig.72 Molecular structures of (a) hotrienol, (b) geraniol, (c) linalool and (d) alpha-terpineol</w:t>
      </w:r>
      <w:r w:rsidR="00BF7FE3">
        <w:t>…………</w:t>
      </w:r>
      <w:r>
        <w:t>1</w:t>
      </w:r>
      <w:r w:rsidR="00E2387D">
        <w:t>3</w:t>
      </w:r>
      <w:r w:rsidR="005D50AE">
        <w:t>7</w:t>
      </w:r>
    </w:p>
    <w:p w:rsidR="006A581F" w:rsidRDefault="006A581F" w:rsidP="006A581F">
      <w:pPr>
        <w:jc w:val="both"/>
      </w:pPr>
      <w:r>
        <w:t>Fig.73 The benzotropolone moiety</w:t>
      </w:r>
      <w:r w:rsidR="00BF7FE3">
        <w:t>…………………………………………………………………………………………………</w:t>
      </w:r>
      <w:r>
        <w:t>14</w:t>
      </w:r>
      <w:r w:rsidR="005D50AE">
        <w:t>0</w:t>
      </w:r>
    </w:p>
    <w:p w:rsidR="006A581F" w:rsidRDefault="006A581F" w:rsidP="006A581F">
      <w:pPr>
        <w:jc w:val="both"/>
      </w:pPr>
      <w:r>
        <w:t xml:space="preserve">Fig.74 </w:t>
      </w:r>
      <w:r w:rsidR="00E55591">
        <w:t>Molecular structures of t</w:t>
      </w:r>
      <w:r>
        <w:t>he theaflavins</w:t>
      </w:r>
      <w:r w:rsidR="00BF7FE3">
        <w:t>……………………</w:t>
      </w:r>
      <w:r w:rsidR="00E55591">
        <w:t>…………….</w:t>
      </w:r>
      <w:r w:rsidR="00BF7FE3">
        <w:t>…………………………………………….</w:t>
      </w:r>
      <w:r>
        <w:t>14</w:t>
      </w:r>
      <w:r w:rsidR="005D50AE">
        <w:t>0</w:t>
      </w:r>
    </w:p>
    <w:p w:rsidR="006A581F" w:rsidRDefault="006A581F" w:rsidP="006A581F">
      <w:pPr>
        <w:jc w:val="both"/>
      </w:pPr>
      <w:r>
        <w:t xml:space="preserve">Fig.75 </w:t>
      </w:r>
      <w:r w:rsidR="00E55591">
        <w:t>TF r</w:t>
      </w:r>
      <w:r>
        <w:t>eaction mechanism 1. (</w:t>
      </w:r>
      <w:proofErr w:type="spellStart"/>
      <w:r>
        <w:t>Takino</w:t>
      </w:r>
      <w:proofErr w:type="spellEnd"/>
      <w:r>
        <w:t xml:space="preserve">, </w:t>
      </w:r>
      <w:proofErr w:type="spellStart"/>
      <w:r>
        <w:t>Imagawa</w:t>
      </w:r>
      <w:proofErr w:type="spellEnd"/>
      <w:r>
        <w:t xml:space="preserve">, </w:t>
      </w:r>
      <w:proofErr w:type="spellStart"/>
      <w:r>
        <w:t>Horikawa</w:t>
      </w:r>
      <w:proofErr w:type="spellEnd"/>
      <w:r>
        <w:t>, &amp; Tanaka, 1964)</w:t>
      </w:r>
      <w:r w:rsidR="00BF7FE3">
        <w:t>……</w:t>
      </w:r>
      <w:r w:rsidR="00E55591">
        <w:t>………………………</w:t>
      </w:r>
      <w:r>
        <w:t>14</w:t>
      </w:r>
      <w:r w:rsidR="005D50AE">
        <w:t>1</w:t>
      </w:r>
    </w:p>
    <w:p w:rsidR="006A581F" w:rsidRDefault="00E55591" w:rsidP="006A581F">
      <w:pPr>
        <w:jc w:val="both"/>
      </w:pPr>
      <w:r>
        <w:t>Fig.76 TF r</w:t>
      </w:r>
      <w:r w:rsidR="006A581F">
        <w:t>eaction mechanism 2. (Bajaj &amp; Anan, 1987)</w:t>
      </w:r>
      <w:r w:rsidR="00BF7FE3">
        <w:t>…………………………………</w:t>
      </w:r>
      <w:r>
        <w:t>……………….</w:t>
      </w:r>
      <w:r w:rsidR="00BF7FE3">
        <w:t>………………..</w:t>
      </w:r>
      <w:r w:rsidR="006A581F">
        <w:t>14</w:t>
      </w:r>
      <w:r w:rsidR="005D50AE">
        <w:t>1</w:t>
      </w:r>
    </w:p>
    <w:p w:rsidR="006A581F" w:rsidRDefault="006A581F" w:rsidP="006A581F">
      <w:pPr>
        <w:jc w:val="both"/>
      </w:pPr>
      <w:r>
        <w:t>Fig.77 Illustration of equivalence with colour coded structural features</w:t>
      </w:r>
      <w:r w:rsidR="00BF7FE3">
        <w:t>…………………………………………</w:t>
      </w:r>
      <w:r>
        <w:t>14</w:t>
      </w:r>
      <w:r w:rsidR="005D50AE">
        <w:t>2</w:t>
      </w:r>
    </w:p>
    <w:p w:rsidR="006A581F" w:rsidRDefault="006A581F" w:rsidP="006A581F">
      <w:pPr>
        <w:jc w:val="both"/>
      </w:pPr>
      <w:r>
        <w:t xml:space="preserve">Fig.78 Molecular structures of (a) </w:t>
      </w:r>
      <w:proofErr w:type="spellStart"/>
      <w:r>
        <w:t>Isotheaflavin</w:t>
      </w:r>
      <w:proofErr w:type="spellEnd"/>
      <w:r>
        <w:t xml:space="preserve">, (b) </w:t>
      </w:r>
      <w:proofErr w:type="spellStart"/>
      <w:r>
        <w:t>epitheaflagallin</w:t>
      </w:r>
      <w:proofErr w:type="spellEnd"/>
      <w:r>
        <w:t xml:space="preserve">, (c) </w:t>
      </w:r>
      <w:proofErr w:type="spellStart"/>
      <w:r>
        <w:t>theaflavate</w:t>
      </w:r>
      <w:proofErr w:type="spellEnd"/>
      <w:r>
        <w:t xml:space="preserve"> and (d) </w:t>
      </w:r>
      <w:proofErr w:type="spellStart"/>
      <w:r>
        <w:t>theaflavic</w:t>
      </w:r>
      <w:proofErr w:type="spellEnd"/>
      <w:r>
        <w:t xml:space="preserve"> acid</w:t>
      </w:r>
      <w:r w:rsidR="00BF7FE3">
        <w:t>………………………………………………………………………………………………………………………………………………..</w:t>
      </w:r>
      <w:r>
        <w:t>14</w:t>
      </w:r>
      <w:r w:rsidR="005D50AE">
        <w:t>2</w:t>
      </w:r>
    </w:p>
    <w:p w:rsidR="006A581F" w:rsidRDefault="006A581F" w:rsidP="006A581F">
      <w:pPr>
        <w:jc w:val="both"/>
      </w:pPr>
      <w:r>
        <w:t xml:space="preserve">Fig.79. Molecular structures of (a) </w:t>
      </w:r>
      <w:proofErr w:type="spellStart"/>
      <w:r>
        <w:t>Theadibenzotropolone</w:t>
      </w:r>
      <w:proofErr w:type="spellEnd"/>
      <w:r>
        <w:t xml:space="preserve"> A, (b) </w:t>
      </w:r>
      <w:proofErr w:type="spellStart"/>
      <w:r>
        <w:t>Theanaphthoquinone</w:t>
      </w:r>
      <w:proofErr w:type="spellEnd"/>
      <w:r>
        <w:t xml:space="preserve">, (c) </w:t>
      </w:r>
      <w:proofErr w:type="spellStart"/>
      <w:r>
        <w:t>Bistheaflavin</w:t>
      </w:r>
      <w:proofErr w:type="spellEnd"/>
      <w:r>
        <w:t xml:space="preserve"> A and (d) </w:t>
      </w:r>
      <w:proofErr w:type="spellStart"/>
      <w:r>
        <w:t>Dehydrotheaflavin</w:t>
      </w:r>
      <w:proofErr w:type="spellEnd"/>
      <w:r w:rsidR="00FD3E3C">
        <w:t>………………………………………………………………………………………</w:t>
      </w:r>
      <w:r>
        <w:t>14</w:t>
      </w:r>
      <w:r w:rsidR="005D50AE">
        <w:t>3</w:t>
      </w:r>
    </w:p>
    <w:p w:rsidR="006A581F" w:rsidRDefault="006A581F" w:rsidP="006A581F">
      <w:pPr>
        <w:jc w:val="both"/>
      </w:pPr>
      <w:r>
        <w:t>Fig.</w:t>
      </w:r>
      <w:r w:rsidR="00FD3E3C">
        <w:t xml:space="preserve">80 Molecular structures of (a) </w:t>
      </w:r>
      <w:r>
        <w:t xml:space="preserve">(-)-Epigallocatechin gallate dimer, (b) theasinensins A, (c) </w:t>
      </w:r>
      <w:proofErr w:type="spellStart"/>
      <w:r>
        <w:t>Tricetanidin</w:t>
      </w:r>
      <w:proofErr w:type="spellEnd"/>
      <w:r>
        <w:t xml:space="preserve"> and (d) </w:t>
      </w:r>
      <w:proofErr w:type="spellStart"/>
      <w:r>
        <w:t>Theacitrin</w:t>
      </w:r>
      <w:proofErr w:type="spellEnd"/>
      <w:r>
        <w:t xml:space="preserve"> A</w:t>
      </w:r>
      <w:r w:rsidR="00FD3E3C">
        <w:t>…………………………………………………………………………………………………….</w:t>
      </w:r>
      <w:r>
        <w:t>14</w:t>
      </w:r>
      <w:r w:rsidR="005D50AE">
        <w:t>3</w:t>
      </w:r>
    </w:p>
    <w:p w:rsidR="006A581F" w:rsidRDefault="006A581F" w:rsidP="006A581F">
      <w:pPr>
        <w:jc w:val="both"/>
      </w:pPr>
      <w:r>
        <w:t>Fig.81 Molecular structures of (a) 1</w:t>
      </w:r>
      <w:proofErr w:type="gramStart"/>
      <w:r>
        <w:t>,4,6</w:t>
      </w:r>
      <w:proofErr w:type="gramEnd"/>
      <w:r>
        <w:t xml:space="preserve">-tri-O-galloyl-b-D-glucose, (b) </w:t>
      </w:r>
      <w:proofErr w:type="spellStart"/>
      <w:r>
        <w:t>theogallin</w:t>
      </w:r>
      <w:proofErr w:type="spellEnd"/>
      <w:r>
        <w:t xml:space="preserve"> (a </w:t>
      </w:r>
      <w:proofErr w:type="spellStart"/>
      <w:r>
        <w:t>galloylquinic</w:t>
      </w:r>
      <w:proofErr w:type="spellEnd"/>
      <w:r>
        <w:t xml:space="preserve"> acid) and (c) </w:t>
      </w:r>
      <w:proofErr w:type="spellStart"/>
      <w:r>
        <w:t>strictinin</w:t>
      </w:r>
      <w:proofErr w:type="spellEnd"/>
      <w:r w:rsidR="00FD3E3C">
        <w:t>……………………………………………………………………………………………………………………………..</w:t>
      </w:r>
      <w:r>
        <w:t>14</w:t>
      </w:r>
      <w:r w:rsidR="005D50AE">
        <w:t>4</w:t>
      </w:r>
    </w:p>
    <w:p w:rsidR="006A581F" w:rsidRDefault="006A581F" w:rsidP="006A581F">
      <w:pPr>
        <w:jc w:val="both"/>
      </w:pPr>
      <w:r>
        <w:t>Fig.82 Molecular structures of (a) Kaempferol, (b) Quercetin and (c) Myricetin</w:t>
      </w:r>
      <w:r w:rsidR="00FD3E3C">
        <w:t>……………………………..</w:t>
      </w:r>
      <w:r>
        <w:t>14</w:t>
      </w:r>
      <w:r w:rsidR="005D50AE">
        <w:t>4</w:t>
      </w:r>
    </w:p>
    <w:p w:rsidR="006A581F" w:rsidRDefault="00D556FA" w:rsidP="006A581F">
      <w:pPr>
        <w:jc w:val="both"/>
      </w:pPr>
      <w:r>
        <w:t>Fig.83 Molecular structures of (a) 8-C-isovitexin (</w:t>
      </w:r>
      <w:r w:rsidR="006A581F">
        <w:t>flavone-C-glycoside example) plus (b) Prodepphinidin B4 and (c) Procyanidin B5</w:t>
      </w:r>
      <w:r w:rsidR="00FD3E3C">
        <w:t>……………………………</w:t>
      </w:r>
      <w:r>
        <w:t>……………………….</w:t>
      </w:r>
      <w:r w:rsidR="00FD3E3C">
        <w:t>…………………………………………………………</w:t>
      </w:r>
      <w:r w:rsidR="006A581F">
        <w:t>14</w:t>
      </w:r>
      <w:r w:rsidR="005D50AE">
        <w:t>4</w:t>
      </w:r>
    </w:p>
    <w:p w:rsidR="006A581F" w:rsidRDefault="006A581F" w:rsidP="006A581F">
      <w:pPr>
        <w:jc w:val="both"/>
      </w:pPr>
      <w:r>
        <w:t>Fig.84 Kenyan purple tea anthocyanidins: cyanidin (a), peonidin (b), pelargonidin (c), delphinidin (d), and malvidin (e)</w:t>
      </w:r>
      <w:r w:rsidR="005F6E72">
        <w:t>……………………………………………………………………………………………………………………………..</w:t>
      </w:r>
      <w:r w:rsidR="00E2387D">
        <w:t>14</w:t>
      </w:r>
      <w:r w:rsidR="003A26AA">
        <w:t>7</w:t>
      </w:r>
    </w:p>
    <w:p w:rsidR="006A581F" w:rsidRDefault="006A581F" w:rsidP="006A581F">
      <w:pPr>
        <w:jc w:val="both"/>
      </w:pPr>
      <w:r>
        <w:lastRenderedPageBreak/>
        <w:t>Fig.85 Characteristic aroma molecules of oolong tea (a) indole, (b) jasmine lactone and (c) trans-nerolidol</w:t>
      </w:r>
      <w:r w:rsidR="00D556FA">
        <w:t>……………………………………………</w:t>
      </w:r>
      <w:r w:rsidR="005F6E72">
        <w:t>…………………………………………………………………………………………..</w:t>
      </w:r>
      <w:r w:rsidR="00C47A7B">
        <w:t>1</w:t>
      </w:r>
      <w:r w:rsidR="003A26AA">
        <w:t>48</w:t>
      </w:r>
    </w:p>
    <w:p w:rsidR="006A581F" w:rsidRDefault="006A581F" w:rsidP="006A581F">
      <w:pPr>
        <w:jc w:val="both"/>
      </w:pPr>
      <w:r>
        <w:t>Fig.86 Lovastatin. An example of a statin molecule</w:t>
      </w:r>
      <w:r w:rsidR="005F6E72">
        <w:t>…………………………………………………………………………</w:t>
      </w:r>
      <w:r>
        <w:t>15</w:t>
      </w:r>
      <w:r w:rsidR="00FA4830">
        <w:t>0</w:t>
      </w:r>
    </w:p>
    <w:p w:rsidR="006A581F" w:rsidRDefault="00D556FA" w:rsidP="006A581F">
      <w:pPr>
        <w:jc w:val="both"/>
      </w:pPr>
      <w:r>
        <w:t xml:space="preserve">Fig.87 </w:t>
      </w:r>
      <w:r w:rsidR="006A581F">
        <w:t>UHPLC mobile phase gradient</w:t>
      </w:r>
      <w:r>
        <w:t xml:space="preserve"> (</w:t>
      </w:r>
      <w:r w:rsidR="006E73B5">
        <w:t xml:space="preserve">Tea extracts, Vanquish-Q Exactive </w:t>
      </w:r>
      <w:proofErr w:type="gramStart"/>
      <w:r w:rsidR="006E73B5">
        <w:t>Plus</w:t>
      </w:r>
      <w:proofErr w:type="gramEnd"/>
      <w:r w:rsidR="006E73B5">
        <w:t xml:space="preserve"> DDA) </w:t>
      </w:r>
      <w:r w:rsidR="005F6E72">
        <w:t>………</w:t>
      </w:r>
      <w:r w:rsidR="006E73B5">
        <w:t>….</w:t>
      </w:r>
      <w:r w:rsidR="005F6E72">
        <w:t>…</w:t>
      </w:r>
      <w:r w:rsidR="006E73B5">
        <w:t>….</w:t>
      </w:r>
      <w:r w:rsidR="005F6E72">
        <w:t>…….</w:t>
      </w:r>
      <w:r w:rsidR="006A581F">
        <w:t>1</w:t>
      </w:r>
      <w:r w:rsidR="00C47A7B">
        <w:t>5</w:t>
      </w:r>
      <w:r w:rsidR="00FA4830">
        <w:t>6</w:t>
      </w:r>
    </w:p>
    <w:p w:rsidR="006A581F" w:rsidRDefault="006A581F" w:rsidP="006A581F">
      <w:pPr>
        <w:jc w:val="both"/>
      </w:pPr>
      <w:r>
        <w:t>Fig.88 Properties of Full MS / dd-MS</w:t>
      </w:r>
      <w:r w:rsidRPr="00A00C0B">
        <w:rPr>
          <w:vertAlign w:val="superscript"/>
        </w:rPr>
        <w:t>2</w:t>
      </w:r>
      <w:r>
        <w:t xml:space="preserve"> (Top N)</w:t>
      </w:r>
      <w:r w:rsidR="005F6E72">
        <w:t>………………………………………………………………………………..</w:t>
      </w:r>
      <w:r>
        <w:t>1</w:t>
      </w:r>
      <w:r w:rsidR="00FA4830">
        <w:t>57</w:t>
      </w:r>
    </w:p>
    <w:p w:rsidR="006A581F" w:rsidRDefault="006E73B5" w:rsidP="006A581F">
      <w:pPr>
        <w:jc w:val="both"/>
      </w:pPr>
      <w:r>
        <w:t>Fig.89 Tea s</w:t>
      </w:r>
      <w:r w:rsidR="006A581F">
        <w:t>amples during preparation before sonication</w:t>
      </w:r>
      <w:proofErr w:type="gramStart"/>
      <w:r w:rsidR="005F6E72">
        <w:t>……</w:t>
      </w:r>
      <w:r w:rsidR="003950AA">
        <w:t>………………………</w:t>
      </w:r>
      <w:r w:rsidR="005F6E72">
        <w:t>……</w:t>
      </w:r>
      <w:r>
        <w:t>………..</w:t>
      </w:r>
      <w:r w:rsidR="005F6E72">
        <w:t>…………………</w:t>
      </w:r>
      <w:proofErr w:type="gramEnd"/>
      <w:r w:rsidR="005F6E72">
        <w:t>..</w:t>
      </w:r>
      <w:r w:rsidR="006A581F">
        <w:t>1</w:t>
      </w:r>
      <w:r w:rsidR="00FA4830">
        <w:t>58</w:t>
      </w:r>
    </w:p>
    <w:p w:rsidR="006A581F" w:rsidRDefault="006E73B5" w:rsidP="006A581F">
      <w:pPr>
        <w:jc w:val="both"/>
      </w:pPr>
      <w:r>
        <w:t>Fig.90 Tea s</w:t>
      </w:r>
      <w:r w:rsidR="006A581F">
        <w:t>amples after sonication showing a considerable increase in depth of colour</w:t>
      </w:r>
      <w:r w:rsidR="005F6E72">
        <w:t>………</w:t>
      </w:r>
      <w:r>
        <w:t>….</w:t>
      </w:r>
      <w:r w:rsidR="005F6E72">
        <w:t>…….</w:t>
      </w:r>
      <w:r w:rsidR="006A581F">
        <w:t>1</w:t>
      </w:r>
      <w:r w:rsidR="00FA4830">
        <w:t>59</w:t>
      </w:r>
    </w:p>
    <w:p w:rsidR="006A581F" w:rsidRDefault="006A581F" w:rsidP="006A581F">
      <w:pPr>
        <w:jc w:val="both"/>
      </w:pPr>
      <w:r>
        <w:t>Fig.91 T</w:t>
      </w:r>
      <w:r w:rsidR="003950AA">
        <w:t xml:space="preserve">ags </w:t>
      </w:r>
      <w:r>
        <w:t>applied to filter data in stage 3</w:t>
      </w:r>
      <w:r w:rsidR="005F6E72">
        <w:t>………………</w:t>
      </w:r>
      <w:r w:rsidR="003950AA">
        <w:t>……………………………………</w:t>
      </w:r>
      <w:r w:rsidR="005F6E72">
        <w:t>…………………………………</w:t>
      </w:r>
      <w:r>
        <w:t>16</w:t>
      </w:r>
      <w:r w:rsidR="00FA4830">
        <w:t>1</w:t>
      </w:r>
    </w:p>
    <w:p w:rsidR="006A581F" w:rsidRDefault="006A581F" w:rsidP="006A581F">
      <w:pPr>
        <w:jc w:val="both"/>
      </w:pPr>
      <w:r>
        <w:t>Fig.92 Mass spectrum for (-)-Epicatechin</w:t>
      </w:r>
      <w:r w:rsidR="005F6E72">
        <w:t>………………………………………………………………………………………..</w:t>
      </w:r>
      <w:r>
        <w:t>16</w:t>
      </w:r>
      <w:r w:rsidR="00FA4830">
        <w:t>3</w:t>
      </w:r>
    </w:p>
    <w:p w:rsidR="006A581F" w:rsidRDefault="006A581F" w:rsidP="006A581F">
      <w:pPr>
        <w:jc w:val="both"/>
      </w:pPr>
      <w:r>
        <w:t>Fig.93 Mass spectrum for (-)-Epigallocatechin</w:t>
      </w:r>
      <w:r w:rsidR="005F6E72">
        <w:t>…………………………………………………………………………………</w:t>
      </w:r>
      <w:r>
        <w:t>1</w:t>
      </w:r>
      <w:r w:rsidR="00C47A7B">
        <w:t>6</w:t>
      </w:r>
      <w:r w:rsidR="00FA4830">
        <w:t>4</w:t>
      </w:r>
    </w:p>
    <w:p w:rsidR="006A581F" w:rsidRDefault="006A581F" w:rsidP="006A581F">
      <w:pPr>
        <w:jc w:val="both"/>
      </w:pPr>
      <w:r>
        <w:t>Fig.94 Mass spectrum for Rutin</w:t>
      </w:r>
      <w:r w:rsidR="005F6E72">
        <w:t>………………………………………………………………………………………………………</w:t>
      </w:r>
      <w:r>
        <w:t>1</w:t>
      </w:r>
      <w:r w:rsidR="00C47A7B">
        <w:t>6</w:t>
      </w:r>
      <w:r w:rsidR="00FA4830">
        <w:t>4</w:t>
      </w:r>
    </w:p>
    <w:p w:rsidR="006A581F" w:rsidRDefault="006A581F" w:rsidP="006A581F">
      <w:pPr>
        <w:jc w:val="both"/>
      </w:pPr>
      <w:r w:rsidRPr="00B51C44">
        <w:t>Fig.95 Mass spectrum for (+)-Procyanidin B2</w:t>
      </w:r>
      <w:r w:rsidR="005F6E72">
        <w:t>………………………………………………………………………………….</w:t>
      </w:r>
      <w:r>
        <w:t>1</w:t>
      </w:r>
      <w:r w:rsidR="00C47A7B">
        <w:t>6</w:t>
      </w:r>
      <w:r w:rsidR="00FA4830">
        <w:t>5</w:t>
      </w:r>
    </w:p>
    <w:p w:rsidR="006A581F" w:rsidRDefault="006A581F" w:rsidP="006A581F">
      <w:pPr>
        <w:jc w:val="both"/>
      </w:pPr>
      <w:r w:rsidRPr="00B51C44">
        <w:t>Fig.96 Mass spectrum for Theaflavin</w:t>
      </w:r>
      <w:r w:rsidR="005F6E72">
        <w:t>………………………………………………………………………………………………</w:t>
      </w:r>
      <w:r>
        <w:t>1</w:t>
      </w:r>
      <w:r w:rsidR="00C47A7B">
        <w:t>6</w:t>
      </w:r>
      <w:r w:rsidR="00FA4830">
        <w:t>6</w:t>
      </w:r>
    </w:p>
    <w:p w:rsidR="006A581F" w:rsidRDefault="006A581F" w:rsidP="006A581F">
      <w:pPr>
        <w:jc w:val="both"/>
      </w:pPr>
      <w:r w:rsidRPr="00B51C44">
        <w:t>Fig.97 Mass spectrum for (-)-Epicatechin-3-O-gallate</w:t>
      </w:r>
      <w:r w:rsidR="005F6E72">
        <w:t>……………………………………………………………………..</w:t>
      </w:r>
      <w:r>
        <w:t>1</w:t>
      </w:r>
      <w:r w:rsidR="00FA4830">
        <w:t>67</w:t>
      </w:r>
    </w:p>
    <w:p w:rsidR="006A581F" w:rsidRDefault="006A581F" w:rsidP="006A581F">
      <w:pPr>
        <w:jc w:val="both"/>
      </w:pPr>
      <w:r w:rsidRPr="00B51C44">
        <w:t>Fig.98 Mass spectrum for (-)-Epigallocatechin gallate</w:t>
      </w:r>
      <w:r w:rsidR="005F6E72">
        <w:t>……………………………………………………………………..</w:t>
      </w:r>
      <w:r>
        <w:t>1</w:t>
      </w:r>
      <w:r w:rsidR="00FA4830">
        <w:t>68</w:t>
      </w:r>
    </w:p>
    <w:p w:rsidR="006A581F" w:rsidRDefault="003950AA" w:rsidP="006A581F">
      <w:pPr>
        <w:jc w:val="both"/>
      </w:pPr>
      <w:r>
        <w:t>Fig.99 A</w:t>
      </w:r>
      <w:r w:rsidR="006A581F">
        <w:t xml:space="preserve">dduct abundance graph </w:t>
      </w:r>
      <w:r>
        <w:t>from Progenesis QI processing of tea extract data</w:t>
      </w:r>
      <w:r w:rsidR="005F6E72">
        <w:t>………</w:t>
      </w:r>
      <w:r>
        <w:t>……………</w:t>
      </w:r>
      <w:r w:rsidR="005F6E72">
        <w:t>…..</w:t>
      </w:r>
      <w:r w:rsidR="006A581F">
        <w:t>1</w:t>
      </w:r>
      <w:r w:rsidR="00FA4830">
        <w:t>69</w:t>
      </w:r>
    </w:p>
    <w:p w:rsidR="006A581F" w:rsidRDefault="006A581F" w:rsidP="006A581F">
      <w:pPr>
        <w:jc w:val="both"/>
      </w:pPr>
      <w:r>
        <w:t>Fig.100 Power analysis graph</w:t>
      </w:r>
      <w:r w:rsidR="003950AA" w:rsidRPr="003950AA">
        <w:t xml:space="preserve"> from Progenesis QI processing of tea extract data</w:t>
      </w:r>
      <w:r w:rsidR="003950AA">
        <w:t xml:space="preserve"> </w:t>
      </w:r>
      <w:r w:rsidR="005F6E72">
        <w:t>……………</w:t>
      </w:r>
      <w:r w:rsidR="003950AA">
        <w:t>…..</w:t>
      </w:r>
      <w:r w:rsidR="005F6E72">
        <w:t>………….</w:t>
      </w:r>
      <w:r>
        <w:t>17</w:t>
      </w:r>
      <w:r w:rsidR="00FA4830">
        <w:t>0</w:t>
      </w:r>
    </w:p>
    <w:p w:rsidR="006A581F" w:rsidRDefault="006A581F" w:rsidP="006A581F">
      <w:pPr>
        <w:jc w:val="both"/>
      </w:pPr>
      <w:r w:rsidRPr="00483027">
        <w:t>Fig.101 Abundance profiles labelled with compound identifications (stage 1)</w:t>
      </w:r>
      <w:r w:rsidR="005F6E72">
        <w:t>………………………………..</w:t>
      </w:r>
      <w:r>
        <w:t>17</w:t>
      </w:r>
      <w:r w:rsidR="00FA4830">
        <w:t>1</w:t>
      </w:r>
    </w:p>
    <w:p w:rsidR="006A581F" w:rsidRDefault="006A581F" w:rsidP="006A581F">
      <w:pPr>
        <w:jc w:val="both"/>
      </w:pPr>
      <w:r w:rsidRPr="00483027">
        <w:t>Fig.102 Theaflavin abundance profile across the</w:t>
      </w:r>
      <w:r>
        <w:t xml:space="preserve"> 9 teas</w:t>
      </w:r>
      <w:r w:rsidR="005F6E72">
        <w:t>…………………………………………………………………..</w:t>
      </w:r>
      <w:r>
        <w:t>17</w:t>
      </w:r>
      <w:r w:rsidR="00FA4830">
        <w:t>3</w:t>
      </w:r>
    </w:p>
    <w:p w:rsidR="006A581F" w:rsidRDefault="006A581F" w:rsidP="006A581F">
      <w:pPr>
        <w:jc w:val="both"/>
      </w:pPr>
      <w:r>
        <w:t>Fig.103 Dendrogram showing the stages of clustering for the top 7 components</w:t>
      </w:r>
      <w:r w:rsidR="005F6E72">
        <w:t>…………………………..</w:t>
      </w:r>
      <w:r>
        <w:t>1</w:t>
      </w:r>
      <w:r w:rsidR="00C47A7B">
        <w:t>7</w:t>
      </w:r>
      <w:r w:rsidR="00FA4830">
        <w:t>4</w:t>
      </w:r>
    </w:p>
    <w:p w:rsidR="006A581F" w:rsidRDefault="006A581F" w:rsidP="006A581F">
      <w:pPr>
        <w:jc w:val="both"/>
      </w:pPr>
      <w:r w:rsidRPr="00143CA9">
        <w:t>Fig.104 2D Scores plot of the 7 top identifications in all 9 teas</w:t>
      </w:r>
      <w:r w:rsidR="005F6E72">
        <w:t>……………………………………………………….</w:t>
      </w:r>
      <w:r>
        <w:t>1</w:t>
      </w:r>
      <w:r w:rsidR="00C47A7B">
        <w:t>7</w:t>
      </w:r>
      <w:r w:rsidR="00FA4830">
        <w:t>6</w:t>
      </w:r>
    </w:p>
    <w:p w:rsidR="006A581F" w:rsidRDefault="006A581F" w:rsidP="006A581F">
      <w:pPr>
        <w:jc w:val="both"/>
      </w:pPr>
      <w:r>
        <w:t>Fig.105 3D Scores plot of the 7 top identifications in all 9 teas studied</w:t>
      </w:r>
      <w:r w:rsidR="005F6E72">
        <w:t>…………………………………………..</w:t>
      </w:r>
      <w:r>
        <w:t>1</w:t>
      </w:r>
      <w:r w:rsidR="00FA4830">
        <w:t>77</w:t>
      </w:r>
    </w:p>
    <w:p w:rsidR="006A581F" w:rsidRDefault="006A581F" w:rsidP="006A581F">
      <w:pPr>
        <w:jc w:val="both"/>
      </w:pPr>
      <w:r>
        <w:t>Fig.</w:t>
      </w:r>
      <w:r w:rsidRPr="00F172A7">
        <w:t>106 Loadings Bi-plot of the 7 top identifications in all 9 teas</w:t>
      </w:r>
      <w:r w:rsidR="005F6E72">
        <w:t>……………………………………………………..</w:t>
      </w:r>
      <w:r>
        <w:t>1</w:t>
      </w:r>
      <w:r w:rsidR="00FA4830">
        <w:t>78</w:t>
      </w:r>
    </w:p>
    <w:p w:rsidR="006A581F" w:rsidRDefault="006A581F" w:rsidP="006A581F">
      <w:pPr>
        <w:jc w:val="both"/>
      </w:pPr>
      <w:r>
        <w:t>Fig.</w:t>
      </w:r>
      <w:r w:rsidRPr="00F172A7">
        <w:t>107</w:t>
      </w:r>
      <w:r>
        <w:t xml:space="preserve"> </w:t>
      </w:r>
      <w:r w:rsidRPr="00F172A7">
        <w:t>Goodness of fit plot showing the first 2 principal components</w:t>
      </w:r>
      <w:r w:rsidR="003950AA">
        <w:t xml:space="preserve"> (stage 2)</w:t>
      </w:r>
      <w:r w:rsidR="005F6E72">
        <w:t>……………</w:t>
      </w:r>
      <w:r w:rsidR="003950AA">
        <w:t>…..</w:t>
      </w:r>
      <w:r w:rsidR="005F6E72">
        <w:t>……………</w:t>
      </w:r>
      <w:r>
        <w:t>18</w:t>
      </w:r>
      <w:r w:rsidR="00FA4830">
        <w:t>0</w:t>
      </w:r>
    </w:p>
    <w:p w:rsidR="006A581F" w:rsidRDefault="006A581F" w:rsidP="006A581F">
      <w:pPr>
        <w:jc w:val="both"/>
      </w:pPr>
      <w:r>
        <w:t>Fig.108</w:t>
      </w:r>
      <w:r w:rsidRPr="00F172A7">
        <w:t xml:space="preserve"> S-Plot of Chomogonday White v Extracts 652</w:t>
      </w:r>
      <w:r w:rsidR="005F6E72">
        <w:t>……………………………………………………………………..</w:t>
      </w:r>
      <w:r>
        <w:t>18</w:t>
      </w:r>
      <w:r w:rsidR="00FA4830">
        <w:t>2</w:t>
      </w:r>
    </w:p>
    <w:p w:rsidR="006A581F" w:rsidRDefault="006A581F" w:rsidP="006A581F">
      <w:pPr>
        <w:jc w:val="both"/>
      </w:pPr>
      <w:r>
        <w:t>Fig.109</w:t>
      </w:r>
      <w:r w:rsidRPr="00794E9E">
        <w:t xml:space="preserve"> S-Plot of Chomogonday White v Purple CTC</w:t>
      </w:r>
      <w:r w:rsidR="005F6E72">
        <w:t>……………………………………………………………………….</w:t>
      </w:r>
      <w:r>
        <w:t>18</w:t>
      </w:r>
      <w:r w:rsidR="00FA4830">
        <w:t>3</w:t>
      </w:r>
    </w:p>
    <w:p w:rsidR="006A581F" w:rsidRDefault="006A581F" w:rsidP="006A581F">
      <w:pPr>
        <w:jc w:val="both"/>
      </w:pPr>
      <w:r>
        <w:t>Fig.110</w:t>
      </w:r>
      <w:r w:rsidRPr="00794E9E">
        <w:t xml:space="preserve"> S-Plot of Tiluet HP v Tiluet MTH</w:t>
      </w:r>
      <w:r w:rsidR="005F6E72">
        <w:t>………………………………………………………………………………………….</w:t>
      </w:r>
      <w:r>
        <w:t>1</w:t>
      </w:r>
      <w:r w:rsidR="000A0D3F">
        <w:t>8</w:t>
      </w:r>
      <w:r w:rsidR="00FA4830">
        <w:t>4</w:t>
      </w:r>
    </w:p>
    <w:p w:rsidR="006A581F" w:rsidRDefault="006A581F" w:rsidP="006A581F">
      <w:pPr>
        <w:jc w:val="both"/>
      </w:pPr>
      <w:r>
        <w:t>Fig.111</w:t>
      </w:r>
      <w:r w:rsidRPr="00794E9E">
        <w:t xml:space="preserve"> S-Plot Extracts 652 v Tiluet MTH</w:t>
      </w:r>
      <w:r w:rsidR="005F6E72">
        <w:t>…………………………………………………………………………………………</w:t>
      </w:r>
      <w:r>
        <w:t>1</w:t>
      </w:r>
      <w:r w:rsidR="000A0D3F">
        <w:t>8</w:t>
      </w:r>
      <w:r w:rsidR="00FA4830">
        <w:t>5</w:t>
      </w:r>
    </w:p>
    <w:p w:rsidR="006A581F" w:rsidRDefault="006A581F" w:rsidP="006A581F">
      <w:pPr>
        <w:jc w:val="both"/>
      </w:pPr>
      <w:r w:rsidRPr="00794E9E">
        <w:t>Fig</w:t>
      </w:r>
      <w:r>
        <w:t>.112</w:t>
      </w:r>
      <w:r w:rsidRPr="00794E9E">
        <w:t xml:space="preserve"> Coefficients plot of Chomogonday White and Extract 652</w:t>
      </w:r>
      <w:r w:rsidR="005F6E72">
        <w:t>………………………………………………….</w:t>
      </w:r>
      <w:r>
        <w:t>1</w:t>
      </w:r>
      <w:r w:rsidR="00FA4830">
        <w:t>87</w:t>
      </w:r>
    </w:p>
    <w:p w:rsidR="006A581F" w:rsidRDefault="006A581F" w:rsidP="006A581F">
      <w:pPr>
        <w:jc w:val="both"/>
      </w:pPr>
      <w:r>
        <w:t>Fig.113</w:t>
      </w:r>
      <w:r w:rsidRPr="00794E9E">
        <w:t xml:space="preserve"> Variable trends plot of Chomogonday White compared to Extracts 652</w:t>
      </w:r>
      <w:r w:rsidR="005F6E72">
        <w:t>……………………………..</w:t>
      </w:r>
      <w:r>
        <w:t>1</w:t>
      </w:r>
      <w:r w:rsidR="00FA4830">
        <w:t>88</w:t>
      </w:r>
    </w:p>
    <w:p w:rsidR="006A581F" w:rsidRDefault="006A581F" w:rsidP="006A581F">
      <w:pPr>
        <w:jc w:val="both"/>
      </w:pPr>
      <w:r>
        <w:t>Fig.</w:t>
      </w:r>
      <w:r w:rsidRPr="00794E9E">
        <w:t>114. A variable importance plot (VIP) of Newburgh Hyson and Milima GFBOP1</w:t>
      </w:r>
      <w:r w:rsidR="00BD6282">
        <w:t>………………………..</w:t>
      </w:r>
      <w:r>
        <w:t>1</w:t>
      </w:r>
      <w:r w:rsidR="00FA4830">
        <w:t>89</w:t>
      </w:r>
    </w:p>
    <w:p w:rsidR="006A581F" w:rsidRDefault="006A581F" w:rsidP="006A581F">
      <w:pPr>
        <w:jc w:val="both"/>
      </w:pPr>
      <w:r>
        <w:lastRenderedPageBreak/>
        <w:t>Fig.115</w:t>
      </w:r>
      <w:r w:rsidRPr="00794E9E">
        <w:t xml:space="preserve"> MS spectrum of Theasinensin A</w:t>
      </w:r>
      <w:r w:rsidR="00BD6282">
        <w:t>………………………………………………………………………………………….</w:t>
      </w:r>
      <w:r>
        <w:t>19</w:t>
      </w:r>
      <w:r w:rsidR="00FA4830">
        <w:t>1</w:t>
      </w:r>
    </w:p>
    <w:p w:rsidR="006A581F" w:rsidRDefault="006A581F" w:rsidP="006A581F">
      <w:pPr>
        <w:jc w:val="both"/>
      </w:pPr>
      <w:r w:rsidRPr="00794E9E">
        <w:t>Fig</w:t>
      </w:r>
      <w:r>
        <w:t>.116</w:t>
      </w:r>
      <w:r w:rsidRPr="00794E9E">
        <w:t xml:space="preserve"> MS spectrum of Theaflavin-3</w:t>
      </w:r>
      <w:proofErr w:type="gramStart"/>
      <w:r w:rsidRPr="00794E9E">
        <w:t>,3</w:t>
      </w:r>
      <w:proofErr w:type="gramEnd"/>
      <w:r w:rsidRPr="00794E9E">
        <w:t>- digallate</w:t>
      </w:r>
      <w:r w:rsidR="00BD6282">
        <w:t>.…………………………………………………………………………..</w:t>
      </w:r>
      <w:r>
        <w:t>19</w:t>
      </w:r>
      <w:r w:rsidR="00FA4830">
        <w:t>2</w:t>
      </w:r>
    </w:p>
    <w:p w:rsidR="006A581F" w:rsidRDefault="006A581F" w:rsidP="006A581F">
      <w:pPr>
        <w:jc w:val="both"/>
      </w:pPr>
      <w:r>
        <w:t>Fig.117</w:t>
      </w:r>
      <w:r w:rsidRPr="00794E9E">
        <w:t xml:space="preserve"> 2D scores plot of 9 teas using the extended data</w:t>
      </w:r>
      <w:r w:rsidR="003950AA">
        <w:t xml:space="preserve"> (stage 3)</w:t>
      </w:r>
      <w:proofErr w:type="gramStart"/>
      <w:r w:rsidR="00BD6282">
        <w:t>…………………………………</w:t>
      </w:r>
      <w:r w:rsidR="003950AA">
        <w:t>……..</w:t>
      </w:r>
      <w:r w:rsidR="00BD6282">
        <w:t>………</w:t>
      </w:r>
      <w:proofErr w:type="gramEnd"/>
      <w:r w:rsidR="00BD6282">
        <w:t>..</w:t>
      </w:r>
      <w:r w:rsidR="00F80B98">
        <w:t>19</w:t>
      </w:r>
      <w:r w:rsidR="00FA4830">
        <w:t>4</w:t>
      </w:r>
    </w:p>
    <w:p w:rsidR="006A581F" w:rsidRDefault="006A581F" w:rsidP="006A581F">
      <w:pPr>
        <w:jc w:val="both"/>
      </w:pPr>
      <w:r>
        <w:t>Fig.118 3D Scores plot of the 9 teas using the extended data</w:t>
      </w:r>
      <w:r w:rsidR="003950AA">
        <w:t xml:space="preserve"> (stage 3)</w:t>
      </w:r>
      <w:r w:rsidR="00BD6282">
        <w:t>……………………</w:t>
      </w:r>
      <w:r w:rsidR="003950AA">
        <w:t>………………………</w:t>
      </w:r>
      <w:r w:rsidR="00F80B98">
        <w:t>19</w:t>
      </w:r>
      <w:r w:rsidR="00FA4830">
        <w:t>5</w:t>
      </w:r>
    </w:p>
    <w:p w:rsidR="006A581F" w:rsidRDefault="006A581F" w:rsidP="006A581F">
      <w:pPr>
        <w:jc w:val="both"/>
      </w:pPr>
      <w:r>
        <w:t xml:space="preserve">Fig.119 </w:t>
      </w:r>
      <w:r w:rsidRPr="00DF07B3">
        <w:t>Loadings Bi-plot of the 9 teas using the extended data</w:t>
      </w:r>
      <w:r w:rsidR="003950AA">
        <w:t xml:space="preserve"> (stage 3)</w:t>
      </w:r>
      <w:r w:rsidR="00BD6282">
        <w:t>………………………</w:t>
      </w:r>
      <w:r w:rsidR="003950AA">
        <w:t>……………..</w:t>
      </w:r>
      <w:r w:rsidR="00BD6282">
        <w:t>…</w:t>
      </w:r>
      <w:r w:rsidR="003950AA">
        <w:t xml:space="preserve"> </w:t>
      </w:r>
      <w:r w:rsidR="00F80B98">
        <w:t>19</w:t>
      </w:r>
      <w:r w:rsidR="00FA4830">
        <w:t>6</w:t>
      </w:r>
    </w:p>
    <w:p w:rsidR="006A581F" w:rsidRDefault="006A581F" w:rsidP="006A581F">
      <w:pPr>
        <w:jc w:val="both"/>
      </w:pPr>
      <w:r>
        <w:t>Fig.120 Goodness of fit plot of the 9 teas using the extended data</w:t>
      </w:r>
      <w:r w:rsidR="003950AA">
        <w:t xml:space="preserve"> (stage 3)</w:t>
      </w:r>
      <w:r w:rsidR="00BD6282">
        <w:t>………………</w:t>
      </w:r>
      <w:r w:rsidR="003950AA">
        <w:t>……………</w:t>
      </w:r>
      <w:r w:rsidR="00BD6282">
        <w:t>………</w:t>
      </w:r>
      <w:r w:rsidR="00FA4830">
        <w:t>197</w:t>
      </w:r>
    </w:p>
    <w:p w:rsidR="006A581F" w:rsidRDefault="006A581F" w:rsidP="006A581F">
      <w:pPr>
        <w:jc w:val="both"/>
      </w:pPr>
      <w:r>
        <w:t xml:space="preserve">Fig.121 </w:t>
      </w:r>
      <w:r w:rsidRPr="00DF07B3">
        <w:t>S-Plot of Extracts 652 v Chomogonday White</w:t>
      </w:r>
      <w:r w:rsidR="00BD6282">
        <w:t>……………………………………………………………………..</w:t>
      </w:r>
      <w:r w:rsidR="00FA4830">
        <w:t>198</w:t>
      </w:r>
    </w:p>
    <w:p w:rsidR="006A581F" w:rsidRDefault="006A581F" w:rsidP="006A581F">
      <w:pPr>
        <w:jc w:val="both"/>
      </w:pPr>
      <w:r>
        <w:t xml:space="preserve">Fig.122 </w:t>
      </w:r>
      <w:r w:rsidRPr="00DF07B3">
        <w:t>S-Plot highlighting 210.0740 m/z (red square) for Extracts 652 v Chomogonday White including a variable trend plot</w:t>
      </w:r>
      <w:r w:rsidR="00BD6282">
        <w:t>……………………………………………………………………………………………………………………….</w:t>
      </w:r>
      <w:r w:rsidR="00FA4830">
        <w:t>199</w:t>
      </w:r>
    </w:p>
    <w:p w:rsidR="006A581F" w:rsidRDefault="006A581F" w:rsidP="006A581F">
      <w:pPr>
        <w:jc w:val="both"/>
      </w:pPr>
      <w:r>
        <w:t xml:space="preserve">Fig.123 </w:t>
      </w:r>
      <w:r w:rsidRPr="00DF07B3">
        <w:t>S-Plot highlighting 192.0269 m/z (red square) for Extracts 652 v Chomogonday White including a variable trend plot</w:t>
      </w:r>
      <w:r w:rsidR="00BD6282">
        <w:t>……………………………………………………………………………………………………………………….</w:t>
      </w:r>
      <w:r w:rsidR="00F80B98">
        <w:t>20</w:t>
      </w:r>
      <w:r w:rsidR="00FA4830">
        <w:t>0</w:t>
      </w:r>
    </w:p>
    <w:p w:rsidR="006A581F" w:rsidRDefault="006A581F" w:rsidP="006A581F">
      <w:pPr>
        <w:jc w:val="both"/>
      </w:pPr>
      <w:r>
        <w:t xml:space="preserve">Fig.124 </w:t>
      </w:r>
      <w:r w:rsidRPr="00EB636E">
        <w:t>S-Plot highlighting 344.0744 m/z for Extracts 652 v Chomogonday White including a variable trend plot</w:t>
      </w:r>
      <w:r w:rsidR="00BD6282">
        <w:t>……………………………………………………………………………………………………………………………………….</w:t>
      </w:r>
      <w:r w:rsidR="00F80B98">
        <w:t>20</w:t>
      </w:r>
      <w:r w:rsidR="00FA4830">
        <w:t>1</w:t>
      </w:r>
    </w:p>
    <w:p w:rsidR="006A581F" w:rsidRDefault="006A581F" w:rsidP="006A581F">
      <w:pPr>
        <w:jc w:val="both"/>
      </w:pPr>
      <w:r>
        <w:t>Fig.125 Mass spectrum of 344.0744 m/z, tentatively identified as Theogallin</w:t>
      </w:r>
      <w:r w:rsidR="00BD6282">
        <w:t>…………………………………</w:t>
      </w:r>
      <w:r>
        <w:t>20</w:t>
      </w:r>
      <w:r w:rsidR="00FA4830">
        <w:t>2</w:t>
      </w:r>
    </w:p>
    <w:p w:rsidR="006A581F" w:rsidRDefault="006A581F" w:rsidP="006A581F">
      <w:pPr>
        <w:jc w:val="both"/>
      </w:pPr>
      <w:r>
        <w:t>Fig.126 Molecular structure of Theogallin</w:t>
      </w:r>
      <w:r w:rsidR="00BD6282">
        <w:t>………………………………………………………………………………………</w:t>
      </w:r>
      <w:r>
        <w:t>20</w:t>
      </w:r>
      <w:r w:rsidR="00FA4830">
        <w:t>2</w:t>
      </w:r>
    </w:p>
    <w:p w:rsidR="006A581F" w:rsidRDefault="006A581F" w:rsidP="006A581F">
      <w:pPr>
        <w:jc w:val="both"/>
      </w:pPr>
      <w:r>
        <w:t xml:space="preserve">Fig.127 </w:t>
      </w:r>
      <w:r w:rsidRPr="00EB636E">
        <w:t xml:space="preserve">S-Plot highlighting 344.0744 m/z for Kijani DM v Purple CTC </w:t>
      </w:r>
      <w:r w:rsidR="000B3853">
        <w:t>with</w:t>
      </w:r>
      <w:r w:rsidRPr="00EB636E">
        <w:t xml:space="preserve"> a variable trend plot</w:t>
      </w:r>
      <w:r w:rsidR="000B3853">
        <w:t>……..</w:t>
      </w:r>
      <w:r>
        <w:t>20</w:t>
      </w:r>
      <w:r w:rsidR="00FA4830">
        <w:t>3</w:t>
      </w:r>
    </w:p>
    <w:p w:rsidR="006A581F" w:rsidRDefault="006A581F" w:rsidP="006A581F">
      <w:pPr>
        <w:jc w:val="both"/>
      </w:pPr>
      <w:r>
        <w:t xml:space="preserve">Fig.128 </w:t>
      </w:r>
      <w:r w:rsidRPr="00735142">
        <w:t>S-Plot of Kijani DM v Purple CTC</w:t>
      </w:r>
      <w:r w:rsidR="000B3853">
        <w:t>………………………………………………………………………………………….</w:t>
      </w:r>
      <w:r>
        <w:t>2</w:t>
      </w:r>
      <w:r w:rsidR="00F80B98">
        <w:t>0</w:t>
      </w:r>
      <w:r w:rsidR="00FA4830">
        <w:t>4</w:t>
      </w:r>
    </w:p>
    <w:p w:rsidR="006A581F" w:rsidRDefault="006A581F" w:rsidP="006A581F">
      <w:pPr>
        <w:jc w:val="both"/>
      </w:pPr>
      <w:r>
        <w:t xml:space="preserve">Fig.129 </w:t>
      </w:r>
      <w:r w:rsidRPr="00735142">
        <w:t>S-Plot of Tiluet HP v Extracts 652</w:t>
      </w:r>
      <w:r w:rsidR="000B3853">
        <w:t>………………………………………………………………………………………..</w:t>
      </w:r>
      <w:r>
        <w:t>2</w:t>
      </w:r>
      <w:r w:rsidR="00F80B98">
        <w:t>0</w:t>
      </w:r>
      <w:r w:rsidR="00FA4830">
        <w:t>5</w:t>
      </w:r>
    </w:p>
    <w:p w:rsidR="006A581F" w:rsidRDefault="006A581F" w:rsidP="006A581F">
      <w:pPr>
        <w:jc w:val="both"/>
      </w:pPr>
      <w:r>
        <w:t xml:space="preserve">Fig.130 </w:t>
      </w:r>
      <w:r w:rsidRPr="00735142">
        <w:t>S-Plot of Tiluet HP v Extracts 652 showi</w:t>
      </w:r>
      <w:r w:rsidR="003950AA">
        <w:t>ng all</w:t>
      </w:r>
      <w:r w:rsidRPr="00735142">
        <w:t xml:space="preserve"> ions</w:t>
      </w:r>
      <w:r w:rsidR="000B3853">
        <w:t>…………………………………………</w:t>
      </w:r>
      <w:r w:rsidR="003950AA">
        <w:t>…….</w:t>
      </w:r>
      <w:r w:rsidR="000B3853">
        <w:t>……………..</w:t>
      </w:r>
      <w:r>
        <w:t>2</w:t>
      </w:r>
      <w:r w:rsidR="00F80B98">
        <w:t>0</w:t>
      </w:r>
      <w:r w:rsidR="00FA4830">
        <w:t>6</w:t>
      </w:r>
    </w:p>
    <w:p w:rsidR="006A581F" w:rsidRDefault="006A581F" w:rsidP="006A581F">
      <w:pPr>
        <w:jc w:val="both"/>
      </w:pPr>
      <w:r>
        <w:t xml:space="preserve">Fig.131 </w:t>
      </w:r>
      <w:r w:rsidRPr="00735142">
        <w:t>S-Plot of Tiluet MTH v Extracts 652</w:t>
      </w:r>
      <w:r w:rsidR="000B3853">
        <w:t>……………………………………………………………………………………..</w:t>
      </w:r>
      <w:r w:rsidR="00F80B98">
        <w:t>2</w:t>
      </w:r>
      <w:r w:rsidR="00FA4830">
        <w:t>07</w:t>
      </w:r>
    </w:p>
    <w:p w:rsidR="006A581F" w:rsidRDefault="006A581F" w:rsidP="006A581F">
      <w:pPr>
        <w:jc w:val="both"/>
      </w:pPr>
      <w:r>
        <w:t xml:space="preserve">Fig.132 </w:t>
      </w:r>
      <w:r w:rsidRPr="00735142">
        <w:t>S-Plot of Tiluet MT</w:t>
      </w:r>
      <w:r w:rsidR="003950AA">
        <w:t>H v Extracts 652 showing all</w:t>
      </w:r>
      <w:r w:rsidRPr="00735142">
        <w:t xml:space="preserve"> ions</w:t>
      </w:r>
      <w:r w:rsidR="000B3853">
        <w:t>…………………………………</w:t>
      </w:r>
      <w:r w:rsidR="003950AA">
        <w:t>…….</w:t>
      </w:r>
      <w:r w:rsidR="000B3853">
        <w:t>…………………..</w:t>
      </w:r>
      <w:r w:rsidR="00F80B98">
        <w:t>2</w:t>
      </w:r>
      <w:r w:rsidR="00FA4830">
        <w:t>08</w:t>
      </w:r>
    </w:p>
    <w:p w:rsidR="006A581F" w:rsidRDefault="006A581F" w:rsidP="006A581F">
      <w:pPr>
        <w:jc w:val="both"/>
      </w:pPr>
      <w:r>
        <w:t xml:space="preserve">Fig.133 </w:t>
      </w:r>
      <w:r w:rsidRPr="00735142">
        <w:t>S-Plot of Tiluet HP v Tiluet MTH</w:t>
      </w:r>
      <w:r w:rsidR="000B3853">
        <w:t>………………………………………………………………………………………….</w:t>
      </w:r>
      <w:r w:rsidR="00F80B98">
        <w:t>2</w:t>
      </w:r>
      <w:r w:rsidR="00FA4830">
        <w:t>09</w:t>
      </w:r>
    </w:p>
    <w:p w:rsidR="006A581F" w:rsidRDefault="006A581F" w:rsidP="006A581F">
      <w:pPr>
        <w:jc w:val="both"/>
      </w:pPr>
      <w:r>
        <w:t xml:space="preserve">Fig.134 </w:t>
      </w:r>
      <w:r w:rsidRPr="00735142">
        <w:t>S-Plot of Tiluet HP v Tiluet MTH showing all the ions</w:t>
      </w:r>
      <w:r w:rsidR="000B3853">
        <w:t>………………………………………………………….</w:t>
      </w:r>
      <w:r w:rsidR="00F80B98">
        <w:t>21</w:t>
      </w:r>
      <w:r w:rsidR="00FA4830">
        <w:t>0</w:t>
      </w:r>
    </w:p>
    <w:p w:rsidR="006A581F" w:rsidRDefault="006A581F" w:rsidP="006A581F">
      <w:pPr>
        <w:jc w:val="both"/>
      </w:pPr>
      <w:r>
        <w:t xml:space="preserve">Fig.135 </w:t>
      </w:r>
      <w:r w:rsidRPr="00735142">
        <w:t>Enlargement of highlighted region from previous S-Plot of Tiluet HP v Tiluet MTH</w:t>
      </w:r>
      <w:r w:rsidR="000B3853">
        <w:t>…………….</w:t>
      </w:r>
      <w:r w:rsidR="00F80B98">
        <w:t>21</w:t>
      </w:r>
      <w:r w:rsidR="00FA4830">
        <w:t>1</w:t>
      </w:r>
    </w:p>
    <w:p w:rsidR="006A581F" w:rsidRDefault="006A581F" w:rsidP="006A581F">
      <w:pPr>
        <w:jc w:val="both"/>
      </w:pPr>
      <w:r>
        <w:t xml:space="preserve">Fig.136 </w:t>
      </w:r>
      <w:r w:rsidRPr="00735142">
        <w:t>Variable trend plot showing EGCG, ECG, EGC, EC and Procyanidin B2</w:t>
      </w:r>
      <w:r w:rsidR="000B3853">
        <w:t>…………………………………</w:t>
      </w:r>
      <w:r w:rsidR="00F80B98">
        <w:t>21</w:t>
      </w:r>
      <w:r w:rsidR="00FA4830">
        <w:t>2</w:t>
      </w:r>
    </w:p>
    <w:p w:rsidR="006A581F" w:rsidRDefault="006A581F" w:rsidP="006A581F">
      <w:pPr>
        <w:jc w:val="both"/>
      </w:pPr>
      <w:r>
        <w:t xml:space="preserve">Fig.137 </w:t>
      </w:r>
      <w:r w:rsidRPr="005521D0">
        <w:t>Variable trend plot showing TF digallate, TF and TF monogallate</w:t>
      </w:r>
      <w:r w:rsidR="000B3853">
        <w:t>……………………………………….</w:t>
      </w:r>
      <w:r w:rsidR="00F80B98">
        <w:t>21</w:t>
      </w:r>
      <w:r w:rsidR="00FA4830">
        <w:t>3</w:t>
      </w:r>
    </w:p>
    <w:p w:rsidR="006A581F" w:rsidRDefault="006A581F" w:rsidP="006A581F">
      <w:pPr>
        <w:jc w:val="both"/>
      </w:pPr>
      <w:r>
        <w:t xml:space="preserve">Fig.138 </w:t>
      </w:r>
      <w:r w:rsidRPr="005521D0">
        <w:t>Variable trend plot showing TS B, TS C and TS A</w:t>
      </w:r>
      <w:r w:rsidR="000B3853">
        <w:t>…………………………………………………………………</w:t>
      </w:r>
      <w:r w:rsidR="00F80B98">
        <w:t>21</w:t>
      </w:r>
      <w:r w:rsidR="00FA4830">
        <w:t>4</w:t>
      </w:r>
    </w:p>
    <w:p w:rsidR="006A581F" w:rsidRDefault="006A581F" w:rsidP="006A581F">
      <w:pPr>
        <w:jc w:val="both"/>
      </w:pPr>
      <w:r>
        <w:t>Fig.139 Mass spectrum of the positive cyanidin ion</w:t>
      </w:r>
      <w:r w:rsidR="000B3853">
        <w:t>………………………………………………………………………..</w:t>
      </w:r>
      <w:r w:rsidR="00F80B98">
        <w:t>21</w:t>
      </w:r>
      <w:r w:rsidR="00FA4830">
        <w:t>5</w:t>
      </w:r>
    </w:p>
    <w:p w:rsidR="006A581F" w:rsidRDefault="006A581F" w:rsidP="006A581F">
      <w:pPr>
        <w:jc w:val="both"/>
      </w:pPr>
      <w:r>
        <w:t>Fig.140 Abundance profile of the positively charged cyanidin ion across the 9 tea samples</w:t>
      </w:r>
      <w:r w:rsidR="000B3853">
        <w:t>……………</w:t>
      </w:r>
      <w:r w:rsidR="00F80B98">
        <w:t>21</w:t>
      </w:r>
      <w:r w:rsidR="00FA4830">
        <w:t>5</w:t>
      </w:r>
    </w:p>
    <w:p w:rsidR="000B752E" w:rsidRDefault="006A581F" w:rsidP="004F3C22">
      <w:pPr>
        <w:jc w:val="both"/>
      </w:pPr>
      <w:r>
        <w:t>Fig.141 Abundance profile of Theogallin across the 9 tea samples supplied</w:t>
      </w:r>
      <w:r w:rsidR="000B3853">
        <w:t>……………………………………</w:t>
      </w:r>
      <w:r w:rsidR="00F80B98">
        <w:t>2</w:t>
      </w:r>
      <w:r w:rsidR="00FA4830">
        <w:t>19</w:t>
      </w:r>
    </w:p>
    <w:p w:rsidR="00311A77" w:rsidRPr="006834C9" w:rsidRDefault="00311A77" w:rsidP="00311A77">
      <w:r>
        <w:br w:type="page"/>
      </w:r>
    </w:p>
    <w:p w:rsidR="00D6758A" w:rsidRDefault="00D6758A" w:rsidP="00D6758A">
      <w:pPr>
        <w:jc w:val="both"/>
        <w:rPr>
          <w:rFonts w:cs="Times New Roman"/>
          <w:b/>
          <w:sz w:val="36"/>
          <w:szCs w:val="36"/>
        </w:rPr>
      </w:pPr>
      <w:r>
        <w:rPr>
          <w:rFonts w:cs="Times New Roman"/>
          <w:b/>
          <w:sz w:val="36"/>
          <w:szCs w:val="36"/>
        </w:rPr>
        <w:lastRenderedPageBreak/>
        <w:t>List of Tables in Appendices</w:t>
      </w:r>
    </w:p>
    <w:p w:rsidR="00D6758A" w:rsidRDefault="00D6758A" w:rsidP="00D6758A">
      <w:pPr>
        <w:jc w:val="both"/>
        <w:rPr>
          <w:rFonts w:cs="Times New Roman"/>
          <w:b/>
          <w:sz w:val="36"/>
          <w:szCs w:val="36"/>
        </w:rPr>
      </w:pPr>
    </w:p>
    <w:p w:rsidR="00D6758A" w:rsidRDefault="00D6758A" w:rsidP="00D6758A">
      <w:pPr>
        <w:jc w:val="both"/>
      </w:pPr>
      <w:r w:rsidRPr="00961D29">
        <w:t>Tab.A1-001</w:t>
      </w:r>
      <w:r>
        <w:t xml:space="preserve"> H</w:t>
      </w:r>
      <w:r w:rsidRPr="00961D29">
        <w:t>ighest scoring results after processing HDMS</w:t>
      </w:r>
      <w:r w:rsidRPr="00A00C0B">
        <w:rPr>
          <w:vertAlign w:val="superscript"/>
        </w:rPr>
        <w:t>e</w:t>
      </w:r>
      <w:r w:rsidRPr="00961D29">
        <w:t xml:space="preserve"> data through Progenesis QI</w:t>
      </w:r>
      <w:r>
        <w:t>.</w:t>
      </w:r>
      <w:r w:rsidRPr="00E40140">
        <w:rPr>
          <w:sz w:val="20"/>
          <w:szCs w:val="20"/>
        </w:rPr>
        <w:t xml:space="preserve"> </w:t>
      </w:r>
      <w:r w:rsidRPr="00E40140">
        <w:t>This data relates to the 4 replicates of the lodge pole pine extract compared to blank</w:t>
      </w:r>
      <w:r>
        <w:t>s……………………….…….….25</w:t>
      </w:r>
      <w:r w:rsidR="00E76B34">
        <w:t>4</w:t>
      </w:r>
    </w:p>
    <w:p w:rsidR="00D6758A" w:rsidRDefault="00D6758A" w:rsidP="00D6758A">
      <w:pPr>
        <w:jc w:val="both"/>
      </w:pPr>
      <w:r w:rsidRPr="00961D29">
        <w:t xml:space="preserve">Tab.A1-002 </w:t>
      </w:r>
      <w:r>
        <w:t>H</w:t>
      </w:r>
      <w:r w:rsidRPr="00961D29">
        <w:t>ighest scoring results after processing HDMS</w:t>
      </w:r>
      <w:r w:rsidRPr="00A00C0B">
        <w:rPr>
          <w:vertAlign w:val="superscript"/>
        </w:rPr>
        <w:t>e</w:t>
      </w:r>
      <w:r w:rsidRPr="00961D29">
        <w:t xml:space="preserve"> data through Progenesis QI</w:t>
      </w:r>
      <w:r>
        <w:t>.</w:t>
      </w:r>
      <w:r w:rsidRPr="00E40140">
        <w:rPr>
          <w:sz w:val="20"/>
          <w:szCs w:val="20"/>
        </w:rPr>
        <w:t xml:space="preserve"> </w:t>
      </w:r>
      <w:r w:rsidRPr="00E40140">
        <w:t>This data relates to the 4 rep</w:t>
      </w:r>
      <w:r w:rsidR="002D1549">
        <w:t>licates</w:t>
      </w:r>
      <w:r w:rsidRPr="00E40140">
        <w:t xml:space="preserve"> of the oak extract compared to blanks</w:t>
      </w:r>
      <w:r>
        <w:t>……………………………</w:t>
      </w:r>
      <w:r w:rsidR="002D1549">
        <w:t>……………</w:t>
      </w:r>
      <w:r>
        <w:t>…………25</w:t>
      </w:r>
      <w:r w:rsidR="00E76B34">
        <w:t>6</w:t>
      </w:r>
    </w:p>
    <w:p w:rsidR="00D6758A" w:rsidRDefault="00D6758A" w:rsidP="00D6758A">
      <w:pPr>
        <w:jc w:val="both"/>
      </w:pPr>
      <w:r w:rsidRPr="00961D29">
        <w:t xml:space="preserve">Tab.A1-003 </w:t>
      </w:r>
      <w:r>
        <w:t>H</w:t>
      </w:r>
      <w:r w:rsidRPr="00961D29">
        <w:t>ighest scoring results after processing HDMS</w:t>
      </w:r>
      <w:r w:rsidRPr="00A00C0B">
        <w:rPr>
          <w:vertAlign w:val="superscript"/>
        </w:rPr>
        <w:t>e</w:t>
      </w:r>
      <w:r w:rsidRPr="00961D29">
        <w:t xml:space="preserve"> data through Progenesis QI</w:t>
      </w:r>
      <w:r>
        <w:t>.</w:t>
      </w:r>
      <w:r w:rsidRPr="008E779B">
        <w:rPr>
          <w:rFonts w:cs="Times New Roman"/>
          <w:color w:val="000000"/>
          <w:sz w:val="20"/>
          <w:szCs w:val="20"/>
        </w:rPr>
        <w:t xml:space="preserve"> </w:t>
      </w:r>
      <w:r w:rsidRPr="008E779B">
        <w:t xml:space="preserve">This data relates to the 4 replicates of the Scots </w:t>
      </w:r>
      <w:r>
        <w:t xml:space="preserve">pine extract compared to </w:t>
      </w:r>
      <w:proofErr w:type="gramStart"/>
      <w:r>
        <w:t>blanks.…………………………………...….</w:t>
      </w:r>
      <w:proofErr w:type="gramEnd"/>
      <w:r>
        <w:t>25</w:t>
      </w:r>
      <w:r w:rsidR="00E76B34">
        <w:t>8</w:t>
      </w:r>
    </w:p>
    <w:p w:rsidR="00D6758A" w:rsidRDefault="00D6758A" w:rsidP="00D6758A">
      <w:pPr>
        <w:jc w:val="both"/>
      </w:pPr>
      <w:r w:rsidRPr="008E779B">
        <w:t xml:space="preserve">Tab.A1-004 </w:t>
      </w:r>
      <w:r>
        <w:t>H</w:t>
      </w:r>
      <w:r w:rsidRPr="008E779B">
        <w:t>ighest scoring results after processing HDMS</w:t>
      </w:r>
      <w:r w:rsidRPr="00A00C0B">
        <w:rPr>
          <w:vertAlign w:val="superscript"/>
        </w:rPr>
        <w:t>e</w:t>
      </w:r>
      <w:r w:rsidRPr="008E779B">
        <w:t xml:space="preserve"> data through Progenesis QI. This data relates to the 4 replicates of Pycnogenol extract compared to blanks</w:t>
      </w:r>
      <w:r>
        <w:t>…………………………………………….2</w:t>
      </w:r>
      <w:r w:rsidR="00E76B34">
        <w:t>60</w:t>
      </w:r>
    </w:p>
    <w:p w:rsidR="00D6758A" w:rsidRDefault="00D6758A" w:rsidP="00D6758A">
      <w:pPr>
        <w:jc w:val="both"/>
      </w:pPr>
      <w:r w:rsidRPr="005B61D2">
        <w:t xml:space="preserve">Tab.A2-001 </w:t>
      </w:r>
      <w:r>
        <w:t>H</w:t>
      </w:r>
      <w:r w:rsidRPr="005B61D2">
        <w:t>ighest scoring results from processing HDMS</w:t>
      </w:r>
      <w:r w:rsidRPr="00A00C0B">
        <w:rPr>
          <w:vertAlign w:val="superscript"/>
        </w:rPr>
        <w:t>e</w:t>
      </w:r>
      <w:r w:rsidRPr="005B61D2">
        <w:t xml:space="preserve"> data through Progenesis QI. This data relates to the 4 </w:t>
      </w:r>
      <w:r w:rsidR="002D1549" w:rsidRPr="00E40140">
        <w:t>replicates</w:t>
      </w:r>
      <w:r w:rsidRPr="005B61D2">
        <w:t xml:space="preserve"> of the Alexa</w:t>
      </w:r>
      <w:r>
        <w:t>nder extract compared to blanks…………………………</w:t>
      </w:r>
      <w:r w:rsidR="002D1549">
        <w:t>………</w:t>
      </w:r>
      <w:r>
        <w:t>….…..26</w:t>
      </w:r>
      <w:r w:rsidR="00E76B34">
        <w:t>4</w:t>
      </w:r>
    </w:p>
    <w:p w:rsidR="00D6758A" w:rsidRDefault="00D6758A" w:rsidP="00D6758A">
      <w:pPr>
        <w:jc w:val="both"/>
      </w:pPr>
      <w:r w:rsidRPr="005B61D2">
        <w:t>Tab.A2-0</w:t>
      </w:r>
      <w:r>
        <w:t>02 H</w:t>
      </w:r>
      <w:r w:rsidRPr="005B61D2">
        <w:t>ighest scoring results from processing HDMS</w:t>
      </w:r>
      <w:r w:rsidRPr="005B61D2">
        <w:rPr>
          <w:vertAlign w:val="superscript"/>
        </w:rPr>
        <w:t>e</w:t>
      </w:r>
      <w:r w:rsidRPr="005B61D2">
        <w:t xml:space="preserve"> data through Progenesis QI. This data relates to the 4 </w:t>
      </w:r>
      <w:r w:rsidR="002D1549" w:rsidRPr="00E40140">
        <w:t>replicates</w:t>
      </w:r>
      <w:r w:rsidRPr="005B61D2">
        <w:t xml:space="preserve"> of the Nettle extract compared to blanks</w:t>
      </w:r>
      <w:r>
        <w:t>………………………………</w:t>
      </w:r>
      <w:r w:rsidR="002D1549">
        <w:t>………</w:t>
      </w:r>
      <w:r>
        <w:t>……….26</w:t>
      </w:r>
      <w:r w:rsidR="00E76B34">
        <w:t>7</w:t>
      </w:r>
    </w:p>
    <w:p w:rsidR="00D6758A" w:rsidRDefault="00D6758A" w:rsidP="00D6758A">
      <w:pPr>
        <w:jc w:val="both"/>
      </w:pPr>
      <w:r w:rsidRPr="005B61D2">
        <w:t xml:space="preserve">Tab.A2-003 </w:t>
      </w:r>
      <w:r>
        <w:t>H</w:t>
      </w:r>
      <w:r w:rsidRPr="005B61D2">
        <w:t>ighest scoring results from processing HDMS</w:t>
      </w:r>
      <w:r w:rsidRPr="005B61D2">
        <w:rPr>
          <w:vertAlign w:val="superscript"/>
        </w:rPr>
        <w:t>e</w:t>
      </w:r>
      <w:r w:rsidRPr="005B61D2">
        <w:t xml:space="preserve"> data through Progenesis QI. This data relates to the 4 </w:t>
      </w:r>
      <w:r w:rsidR="002D1549" w:rsidRPr="00E40140">
        <w:t>replicates</w:t>
      </w:r>
      <w:r w:rsidRPr="005B61D2">
        <w:t xml:space="preserve"> of the Wild Garlic leaf extract compared to blanks</w:t>
      </w:r>
      <w:r>
        <w:t>……………………</w:t>
      </w:r>
      <w:r w:rsidR="002D1549">
        <w:t>…….</w:t>
      </w:r>
      <w:r>
        <w:t>….…2</w:t>
      </w:r>
      <w:r w:rsidR="00E76B34">
        <w:t>70</w:t>
      </w:r>
    </w:p>
    <w:p w:rsidR="00D6758A" w:rsidRDefault="00D6758A" w:rsidP="00D6758A">
      <w:pPr>
        <w:jc w:val="both"/>
      </w:pPr>
      <w:r w:rsidRPr="005B61D2">
        <w:t xml:space="preserve">Tab.A2-004 </w:t>
      </w:r>
      <w:r>
        <w:t>H</w:t>
      </w:r>
      <w:r w:rsidRPr="005B61D2">
        <w:t>ighest scoring results from processing HDMS</w:t>
      </w:r>
      <w:r w:rsidRPr="005B61D2">
        <w:rPr>
          <w:vertAlign w:val="superscript"/>
        </w:rPr>
        <w:t>e</w:t>
      </w:r>
      <w:r>
        <w:t xml:space="preserve"> data through </w:t>
      </w:r>
      <w:r w:rsidRPr="005B61D2">
        <w:t xml:space="preserve">Progenesis QI. This data relates to the 4 </w:t>
      </w:r>
      <w:r w:rsidR="002D1549" w:rsidRPr="00E40140">
        <w:t>replicates</w:t>
      </w:r>
      <w:r w:rsidRPr="005B61D2">
        <w:t xml:space="preserve"> of the Gorse Flower extract compared to blanks</w:t>
      </w:r>
      <w:r>
        <w:t>…………………………</w:t>
      </w:r>
      <w:r w:rsidR="002D1549">
        <w:t>……..</w:t>
      </w:r>
      <w:r>
        <w:t>....27</w:t>
      </w:r>
      <w:r w:rsidR="00E76B34">
        <w:t>3</w:t>
      </w:r>
    </w:p>
    <w:p w:rsidR="00D6758A" w:rsidRDefault="00D6758A" w:rsidP="00D6758A">
      <w:pPr>
        <w:jc w:val="both"/>
      </w:pPr>
      <w:r w:rsidRPr="00F81DAB">
        <w:t xml:space="preserve">Tab.A2-005 </w:t>
      </w:r>
      <w:r>
        <w:t>H</w:t>
      </w:r>
      <w:r w:rsidRPr="00F81DAB">
        <w:t>ighest scoring results from processing HDMS</w:t>
      </w:r>
      <w:r w:rsidRPr="00F81DAB">
        <w:rPr>
          <w:vertAlign w:val="superscript"/>
        </w:rPr>
        <w:t>e</w:t>
      </w:r>
      <w:r>
        <w:t xml:space="preserve"> data through </w:t>
      </w:r>
      <w:r w:rsidRPr="00F81DAB">
        <w:t xml:space="preserve">Progenesis QI. This data relates to the 4 </w:t>
      </w:r>
      <w:r w:rsidR="002D1549" w:rsidRPr="00E40140">
        <w:t>replicates</w:t>
      </w:r>
      <w:r w:rsidR="002D1549" w:rsidRPr="00F81DAB">
        <w:t xml:space="preserve"> </w:t>
      </w:r>
      <w:r w:rsidRPr="00F81DAB">
        <w:t>s of the Gorse Stem extract compared to blanks</w:t>
      </w:r>
      <w:r>
        <w:t>……………………</w:t>
      </w:r>
      <w:r w:rsidR="002D1549">
        <w:t>…………</w:t>
      </w:r>
      <w:r>
        <w:t>…….27</w:t>
      </w:r>
      <w:r w:rsidR="00E76B34">
        <w:t>6</w:t>
      </w:r>
    </w:p>
    <w:p w:rsidR="00D6758A" w:rsidRPr="00F81DAB" w:rsidRDefault="00D6758A" w:rsidP="00D6758A">
      <w:pPr>
        <w:jc w:val="both"/>
      </w:pPr>
      <w:r w:rsidRPr="00465376">
        <w:t>Tab.</w:t>
      </w:r>
      <w:r>
        <w:t>A2-006 H</w:t>
      </w:r>
      <w:r w:rsidRPr="00465376">
        <w:t>ighest scoring results from processing HDMS</w:t>
      </w:r>
      <w:r w:rsidRPr="00465376">
        <w:rPr>
          <w:vertAlign w:val="superscript"/>
        </w:rPr>
        <w:t>e</w:t>
      </w:r>
      <w:r w:rsidRPr="00465376">
        <w:t xml:space="preserve"> data through Progenesis QI. This data relates to the 4 </w:t>
      </w:r>
      <w:r w:rsidR="002D1549" w:rsidRPr="00E40140">
        <w:t>replicates</w:t>
      </w:r>
      <w:r w:rsidRPr="00465376">
        <w:t xml:space="preserve"> of the Pepper Dulse extract compared to blanks</w:t>
      </w:r>
      <w:r>
        <w:t>……………………</w:t>
      </w:r>
      <w:r w:rsidR="002D1549">
        <w:t>……..</w:t>
      </w:r>
      <w:r>
        <w:t>……….2</w:t>
      </w:r>
      <w:r w:rsidR="00EF7637">
        <w:t>7</w:t>
      </w:r>
      <w:r w:rsidR="00E76B34">
        <w:t>9</w:t>
      </w:r>
    </w:p>
    <w:p w:rsidR="00D6758A" w:rsidRDefault="00D6758A" w:rsidP="00D6758A">
      <w:pPr>
        <w:jc w:val="both"/>
      </w:pPr>
      <w:r w:rsidRPr="005C6E12">
        <w:t>Tab.</w:t>
      </w:r>
      <w:r>
        <w:t>A2-007 H</w:t>
      </w:r>
      <w:r w:rsidRPr="005C6E12">
        <w:t>ighest scoring results from processing HDMS</w:t>
      </w:r>
      <w:r w:rsidRPr="005C6E12">
        <w:rPr>
          <w:vertAlign w:val="superscript"/>
        </w:rPr>
        <w:t>e</w:t>
      </w:r>
      <w:r w:rsidRPr="005C6E12">
        <w:t xml:space="preserve"> data through Progenesis QI. This data relates to the 4 </w:t>
      </w:r>
      <w:r w:rsidR="002D1549" w:rsidRPr="00E40140">
        <w:t>replicates</w:t>
      </w:r>
      <w:r w:rsidRPr="005C6E12">
        <w:t xml:space="preserve"> of the Gut Weed extract compared to blanks</w:t>
      </w:r>
      <w:r>
        <w:t>…………………………</w:t>
      </w:r>
      <w:r w:rsidR="002D1549">
        <w:t>…………</w:t>
      </w:r>
      <w:r>
        <w:t>……28</w:t>
      </w:r>
      <w:r w:rsidR="00E76B34">
        <w:t>2</w:t>
      </w:r>
    </w:p>
    <w:p w:rsidR="00D6758A" w:rsidRPr="005C6E12" w:rsidRDefault="00D6758A" w:rsidP="00D6758A">
      <w:pPr>
        <w:jc w:val="both"/>
      </w:pPr>
      <w:r w:rsidRPr="005C6E12">
        <w:t>Tab.</w:t>
      </w:r>
      <w:r>
        <w:t>A2-008 H</w:t>
      </w:r>
      <w:r w:rsidRPr="005C6E12">
        <w:t>ighest scoring results from processing HDMS</w:t>
      </w:r>
      <w:r w:rsidRPr="005C6E12">
        <w:rPr>
          <w:vertAlign w:val="superscript"/>
        </w:rPr>
        <w:t>e</w:t>
      </w:r>
      <w:r w:rsidRPr="005C6E12">
        <w:t xml:space="preserve"> data through Progenesis QI. This data relates to the 4 </w:t>
      </w:r>
      <w:r w:rsidR="002D1549" w:rsidRPr="00E40140">
        <w:t>replicates</w:t>
      </w:r>
      <w:r w:rsidRPr="005C6E12">
        <w:t xml:space="preserve"> of Green Tea extract compared to blanks</w:t>
      </w:r>
      <w:r>
        <w:t>…………………</w:t>
      </w:r>
      <w:r w:rsidR="002D1549">
        <w:t>…………………………..</w:t>
      </w:r>
      <w:r w:rsidRPr="005C6E12">
        <w:t>.</w:t>
      </w:r>
      <w:r>
        <w:t>28</w:t>
      </w:r>
      <w:r w:rsidR="00E76B34">
        <w:t>5</w:t>
      </w:r>
    </w:p>
    <w:p w:rsidR="00D6758A" w:rsidRPr="005B61D2" w:rsidRDefault="00D6758A" w:rsidP="00D6758A">
      <w:pPr>
        <w:jc w:val="both"/>
      </w:pPr>
    </w:p>
    <w:p w:rsidR="00D6758A" w:rsidRDefault="00D6758A" w:rsidP="00D6758A">
      <w:pPr>
        <w:jc w:val="both"/>
      </w:pPr>
    </w:p>
    <w:p w:rsidR="00D6758A" w:rsidRPr="005B61D2" w:rsidRDefault="00D6758A" w:rsidP="00D6758A">
      <w:pPr>
        <w:jc w:val="both"/>
      </w:pPr>
    </w:p>
    <w:p w:rsidR="00D6758A" w:rsidRPr="00961D29" w:rsidRDefault="00D6758A" w:rsidP="00D6758A">
      <w:pPr>
        <w:jc w:val="both"/>
      </w:pPr>
    </w:p>
    <w:p w:rsidR="00D6758A" w:rsidRDefault="00D6758A" w:rsidP="00D6758A">
      <w:pPr>
        <w:jc w:val="both"/>
      </w:pPr>
    </w:p>
    <w:p w:rsidR="00D6758A" w:rsidRDefault="00D6758A" w:rsidP="00D6758A"/>
    <w:p w:rsidR="00D6758A" w:rsidRDefault="00D6758A" w:rsidP="00D6758A">
      <w:r>
        <w:br w:type="page"/>
      </w:r>
    </w:p>
    <w:p w:rsidR="00D6758A" w:rsidRDefault="00D6758A" w:rsidP="00D6758A">
      <w:pPr>
        <w:jc w:val="both"/>
        <w:rPr>
          <w:rFonts w:cs="Times New Roman"/>
          <w:b/>
          <w:sz w:val="36"/>
          <w:szCs w:val="36"/>
        </w:rPr>
      </w:pPr>
      <w:r>
        <w:rPr>
          <w:rFonts w:cs="Times New Roman"/>
          <w:b/>
          <w:sz w:val="36"/>
          <w:szCs w:val="36"/>
        </w:rPr>
        <w:lastRenderedPageBreak/>
        <w:t>List of Figures in Appendices</w:t>
      </w:r>
    </w:p>
    <w:p w:rsidR="00D6758A" w:rsidRDefault="00D6758A" w:rsidP="00D6758A">
      <w:pPr>
        <w:jc w:val="both"/>
      </w:pPr>
    </w:p>
    <w:p w:rsidR="006739E5" w:rsidRPr="006739E5" w:rsidRDefault="006739E5" w:rsidP="006739E5">
      <w:pPr>
        <w:jc w:val="both"/>
      </w:pPr>
      <w:r w:rsidRPr="006739E5">
        <w:t>Fig.A1-001 Power analysis graph of bark extract data</w:t>
      </w:r>
      <w:r>
        <w:t>…………………………………………………………..…………26</w:t>
      </w:r>
      <w:r w:rsidR="0092071A">
        <w:t>1</w:t>
      </w:r>
    </w:p>
    <w:p w:rsidR="00D6758A" w:rsidRDefault="00D6758A" w:rsidP="00D6758A">
      <w:pPr>
        <w:jc w:val="both"/>
        <w:rPr>
          <w:bCs/>
        </w:rPr>
      </w:pPr>
      <w:r w:rsidRPr="004F40AE">
        <w:rPr>
          <w:bCs/>
        </w:rPr>
        <w:t>Fig.A3-001 Coefficients plot for Chomogonday White and Extracts 652</w:t>
      </w:r>
      <w:r>
        <w:rPr>
          <w:bCs/>
        </w:rPr>
        <w:t>………………………….………………28</w:t>
      </w:r>
      <w:r w:rsidR="0092071A">
        <w:rPr>
          <w:bCs/>
        </w:rPr>
        <w:t>6</w:t>
      </w:r>
    </w:p>
    <w:p w:rsidR="00D6758A" w:rsidRDefault="00D6758A" w:rsidP="00D6758A">
      <w:pPr>
        <w:jc w:val="both"/>
        <w:rPr>
          <w:bCs/>
        </w:rPr>
      </w:pPr>
      <w:r w:rsidRPr="00CE3F8B">
        <w:rPr>
          <w:bCs/>
        </w:rPr>
        <w:t>Fig.A3-002 Coefficients plot for Chomogonday White and Kijani DM</w:t>
      </w:r>
      <w:r>
        <w:rPr>
          <w:bCs/>
        </w:rPr>
        <w:t>……………………………………………...28</w:t>
      </w:r>
      <w:r w:rsidR="0092071A">
        <w:rPr>
          <w:bCs/>
        </w:rPr>
        <w:t>6</w:t>
      </w:r>
    </w:p>
    <w:p w:rsidR="00D6758A" w:rsidRDefault="00D6758A" w:rsidP="00D6758A">
      <w:pPr>
        <w:jc w:val="both"/>
        <w:rPr>
          <w:bCs/>
        </w:rPr>
      </w:pPr>
      <w:r w:rsidRPr="00CE3F8B">
        <w:rPr>
          <w:bCs/>
        </w:rPr>
        <w:t>Fig.A3-003 Coefficients plot for Chomogonday White and Milima GFBOP1</w:t>
      </w:r>
      <w:r>
        <w:rPr>
          <w:bCs/>
        </w:rPr>
        <w:t>…………………………………….28</w:t>
      </w:r>
      <w:r w:rsidR="0092071A">
        <w:rPr>
          <w:bCs/>
        </w:rPr>
        <w:t>7</w:t>
      </w:r>
    </w:p>
    <w:p w:rsidR="00D6758A" w:rsidRDefault="00D6758A" w:rsidP="00D6758A">
      <w:pPr>
        <w:jc w:val="both"/>
        <w:rPr>
          <w:bCs/>
        </w:rPr>
      </w:pPr>
      <w:r w:rsidRPr="00CE3F8B">
        <w:rPr>
          <w:bCs/>
        </w:rPr>
        <w:t>Fig.A3-004 Coefficients plot for Chomogonday White and Newburgh Hyson</w:t>
      </w:r>
      <w:r>
        <w:rPr>
          <w:bCs/>
        </w:rPr>
        <w:t>………………………………….28</w:t>
      </w:r>
      <w:r w:rsidR="0092071A">
        <w:rPr>
          <w:bCs/>
        </w:rPr>
        <w:t>7</w:t>
      </w:r>
    </w:p>
    <w:p w:rsidR="00D6758A" w:rsidRDefault="00D6758A" w:rsidP="00D6758A">
      <w:pPr>
        <w:jc w:val="both"/>
        <w:rPr>
          <w:bCs/>
        </w:rPr>
      </w:pPr>
      <w:r w:rsidRPr="00CE3F8B">
        <w:rPr>
          <w:bCs/>
        </w:rPr>
        <w:t>Fig.A3-005 Coefficients plot for Chomogonday White and Purple CTC</w:t>
      </w:r>
      <w:r>
        <w:rPr>
          <w:bCs/>
        </w:rPr>
        <w:t>……………………………………………28</w:t>
      </w:r>
      <w:r w:rsidR="0092071A">
        <w:rPr>
          <w:bCs/>
        </w:rPr>
        <w:t>8</w:t>
      </w:r>
    </w:p>
    <w:p w:rsidR="00D6758A" w:rsidRDefault="00D6758A" w:rsidP="00D6758A">
      <w:pPr>
        <w:jc w:val="both"/>
        <w:rPr>
          <w:bCs/>
        </w:rPr>
      </w:pPr>
      <w:r w:rsidRPr="00CE3F8B">
        <w:rPr>
          <w:bCs/>
        </w:rPr>
        <w:t>Fig.A3-006 Coefficients plot for Chomogonday White and Tiluet HP</w:t>
      </w:r>
      <w:r>
        <w:rPr>
          <w:bCs/>
        </w:rPr>
        <w:t>………………………………………….……28</w:t>
      </w:r>
      <w:r w:rsidR="0092071A">
        <w:rPr>
          <w:bCs/>
        </w:rPr>
        <w:t>8</w:t>
      </w:r>
    </w:p>
    <w:p w:rsidR="00D6758A" w:rsidRDefault="00D6758A" w:rsidP="00D6758A">
      <w:pPr>
        <w:jc w:val="both"/>
        <w:rPr>
          <w:bCs/>
        </w:rPr>
      </w:pPr>
      <w:r w:rsidRPr="007A7355">
        <w:rPr>
          <w:bCs/>
        </w:rPr>
        <w:t>Fig.A3-007 Coefficients plot for Chomogonday White and Tiluet MTH</w:t>
      </w:r>
      <w:r>
        <w:rPr>
          <w:bCs/>
        </w:rPr>
        <w:t>………………………………………..….2</w:t>
      </w:r>
      <w:r w:rsidR="002E3657">
        <w:rPr>
          <w:bCs/>
        </w:rPr>
        <w:t>8</w:t>
      </w:r>
      <w:r w:rsidR="0092071A">
        <w:rPr>
          <w:bCs/>
        </w:rPr>
        <w:t>9</w:t>
      </w:r>
    </w:p>
    <w:p w:rsidR="00D6758A" w:rsidRDefault="00D6758A" w:rsidP="00D6758A">
      <w:pPr>
        <w:jc w:val="both"/>
        <w:rPr>
          <w:bCs/>
        </w:rPr>
      </w:pPr>
      <w:r w:rsidRPr="007A7355">
        <w:rPr>
          <w:bCs/>
        </w:rPr>
        <w:t>Fig.A3-008 Coefficients plot for Chomogonday White and Waldemar Oolong</w:t>
      </w:r>
      <w:r>
        <w:rPr>
          <w:bCs/>
        </w:rPr>
        <w:t>………………………..………2</w:t>
      </w:r>
      <w:r w:rsidR="002E3657">
        <w:rPr>
          <w:bCs/>
        </w:rPr>
        <w:t>8</w:t>
      </w:r>
      <w:r w:rsidR="0092071A">
        <w:rPr>
          <w:bCs/>
        </w:rPr>
        <w:t>9</w:t>
      </w:r>
    </w:p>
    <w:p w:rsidR="00D6758A" w:rsidRDefault="00D6758A" w:rsidP="00D6758A">
      <w:pPr>
        <w:jc w:val="both"/>
        <w:rPr>
          <w:bCs/>
        </w:rPr>
      </w:pPr>
      <w:r w:rsidRPr="007A7355">
        <w:rPr>
          <w:bCs/>
        </w:rPr>
        <w:t>Fig.A3-009 Coefficients plot for Extracts 652 and Kijani DM</w:t>
      </w:r>
      <w:r>
        <w:rPr>
          <w:bCs/>
        </w:rPr>
        <w:t>……………………………………….…………………..2</w:t>
      </w:r>
      <w:r w:rsidR="0092071A">
        <w:rPr>
          <w:bCs/>
        </w:rPr>
        <w:t>90</w:t>
      </w:r>
    </w:p>
    <w:p w:rsidR="00D6758A" w:rsidRDefault="00D6758A" w:rsidP="00D6758A">
      <w:pPr>
        <w:jc w:val="both"/>
        <w:rPr>
          <w:bCs/>
        </w:rPr>
      </w:pPr>
      <w:r w:rsidRPr="007A7355">
        <w:rPr>
          <w:bCs/>
        </w:rPr>
        <w:t>Fig.A3-010 Coefficients plot for Extracts 652 and Purple CTC</w:t>
      </w:r>
      <w:r>
        <w:rPr>
          <w:bCs/>
        </w:rPr>
        <w:t>………………………………………….………………2</w:t>
      </w:r>
      <w:r w:rsidR="0092071A">
        <w:rPr>
          <w:bCs/>
        </w:rPr>
        <w:t>90</w:t>
      </w:r>
    </w:p>
    <w:p w:rsidR="00D6758A" w:rsidRDefault="00D6758A" w:rsidP="00D6758A">
      <w:pPr>
        <w:jc w:val="both"/>
        <w:rPr>
          <w:bCs/>
        </w:rPr>
      </w:pPr>
      <w:r w:rsidRPr="00E52D03">
        <w:rPr>
          <w:bCs/>
        </w:rPr>
        <w:t>Fig.A3-011 Coefficients plot for Extracts 652 and Tiluet HP</w:t>
      </w:r>
      <w:r>
        <w:rPr>
          <w:bCs/>
        </w:rPr>
        <w:t>…………………………………………………………….29</w:t>
      </w:r>
      <w:r w:rsidR="0092071A">
        <w:rPr>
          <w:bCs/>
        </w:rPr>
        <w:t>1</w:t>
      </w:r>
    </w:p>
    <w:p w:rsidR="00D6758A" w:rsidRDefault="00D6758A" w:rsidP="00D6758A">
      <w:pPr>
        <w:jc w:val="both"/>
        <w:rPr>
          <w:bCs/>
        </w:rPr>
      </w:pPr>
      <w:r w:rsidRPr="00E52D03">
        <w:rPr>
          <w:bCs/>
        </w:rPr>
        <w:t>Fig.A3-012 Coefficients plot for Extracts 652 and Tiluet MTH</w:t>
      </w:r>
      <w:proofErr w:type="gramStart"/>
      <w:r>
        <w:rPr>
          <w:bCs/>
        </w:rPr>
        <w:t>……………………………………………………..…</w:t>
      </w:r>
      <w:proofErr w:type="gramEnd"/>
      <w:r>
        <w:rPr>
          <w:bCs/>
        </w:rPr>
        <w:t>..29</w:t>
      </w:r>
      <w:r w:rsidR="0092071A">
        <w:rPr>
          <w:bCs/>
        </w:rPr>
        <w:t>1</w:t>
      </w:r>
    </w:p>
    <w:p w:rsidR="00D6758A" w:rsidRDefault="00D6758A" w:rsidP="00D6758A">
      <w:pPr>
        <w:jc w:val="both"/>
        <w:rPr>
          <w:bCs/>
        </w:rPr>
      </w:pPr>
      <w:r w:rsidRPr="000E4C3C">
        <w:rPr>
          <w:bCs/>
        </w:rPr>
        <w:t>Fig.A3-013 Coefficients plot for Milima GFBOP1 and Kijani DM</w:t>
      </w:r>
      <w:r>
        <w:rPr>
          <w:bCs/>
        </w:rPr>
        <w:t>…………………………………………………..….29</w:t>
      </w:r>
      <w:r w:rsidR="0092071A">
        <w:rPr>
          <w:bCs/>
        </w:rPr>
        <w:t>2</w:t>
      </w:r>
    </w:p>
    <w:p w:rsidR="00D6758A" w:rsidRDefault="00D6758A" w:rsidP="00D6758A">
      <w:pPr>
        <w:jc w:val="both"/>
        <w:rPr>
          <w:bCs/>
        </w:rPr>
      </w:pPr>
      <w:r w:rsidRPr="000E4C3C">
        <w:rPr>
          <w:bCs/>
        </w:rPr>
        <w:t>Fig.A3-014 Coefficients plot for Milima GFBOP1 and Purple CTC</w:t>
      </w:r>
      <w:proofErr w:type="gramStart"/>
      <w:r>
        <w:rPr>
          <w:bCs/>
        </w:rPr>
        <w:t>………………………………………………..…</w:t>
      </w:r>
      <w:proofErr w:type="gramEnd"/>
      <w:r>
        <w:rPr>
          <w:bCs/>
        </w:rPr>
        <w:t>..29</w:t>
      </w:r>
      <w:r w:rsidR="0092071A">
        <w:rPr>
          <w:bCs/>
        </w:rPr>
        <w:t>2</w:t>
      </w:r>
    </w:p>
    <w:p w:rsidR="00D6758A" w:rsidRDefault="00D6758A" w:rsidP="00D6758A">
      <w:pPr>
        <w:jc w:val="both"/>
        <w:rPr>
          <w:bCs/>
        </w:rPr>
      </w:pPr>
      <w:r w:rsidRPr="000E4C3C">
        <w:rPr>
          <w:bCs/>
        </w:rPr>
        <w:t>Fig.A3-015 Coefficients plot for Milima GFBOP1 and Tiluet MTH</w:t>
      </w:r>
      <w:r>
        <w:rPr>
          <w:bCs/>
        </w:rPr>
        <w:t>…………………………………………………..</w:t>
      </w:r>
      <w:r w:rsidRPr="000E4C3C">
        <w:rPr>
          <w:bCs/>
        </w:rPr>
        <w:t>.</w:t>
      </w:r>
      <w:r>
        <w:rPr>
          <w:bCs/>
        </w:rPr>
        <w:t>29</w:t>
      </w:r>
      <w:r w:rsidR="0092071A">
        <w:rPr>
          <w:bCs/>
        </w:rPr>
        <w:t>3</w:t>
      </w:r>
    </w:p>
    <w:p w:rsidR="00D6758A" w:rsidRDefault="00D6758A" w:rsidP="00D6758A">
      <w:pPr>
        <w:jc w:val="both"/>
        <w:rPr>
          <w:bCs/>
        </w:rPr>
      </w:pPr>
      <w:r w:rsidRPr="000E4C3C">
        <w:rPr>
          <w:bCs/>
        </w:rPr>
        <w:t>Fig.A3-016 Coefficients plot for</w:t>
      </w:r>
      <w:r>
        <w:rPr>
          <w:bCs/>
        </w:rPr>
        <w:t xml:space="preserve"> Newburgh Hyson and Extracts 652……………………………………..…………29</w:t>
      </w:r>
      <w:r w:rsidR="0092071A">
        <w:rPr>
          <w:bCs/>
        </w:rPr>
        <w:t>3</w:t>
      </w:r>
    </w:p>
    <w:p w:rsidR="00D6758A" w:rsidRDefault="00D6758A" w:rsidP="00D6758A">
      <w:pPr>
        <w:jc w:val="both"/>
        <w:rPr>
          <w:bCs/>
        </w:rPr>
      </w:pPr>
      <w:r w:rsidRPr="000E4C3C">
        <w:rPr>
          <w:bCs/>
        </w:rPr>
        <w:t>Fig.A3-017 Coefficients plot for Newburgh Hyson and Kijani DM</w:t>
      </w:r>
      <w:r>
        <w:rPr>
          <w:bCs/>
        </w:rPr>
        <w:t>………………………………………………….…29</w:t>
      </w:r>
      <w:r w:rsidR="0092071A">
        <w:rPr>
          <w:bCs/>
        </w:rPr>
        <w:t>4</w:t>
      </w:r>
    </w:p>
    <w:p w:rsidR="00D6758A" w:rsidRDefault="00D6758A" w:rsidP="00D6758A">
      <w:pPr>
        <w:jc w:val="both"/>
        <w:rPr>
          <w:bCs/>
        </w:rPr>
      </w:pPr>
      <w:r w:rsidRPr="000E4C3C">
        <w:rPr>
          <w:bCs/>
        </w:rPr>
        <w:t>Fig.A3-018 Coefficients plot for Newburgh Hyson and Milima GFBOP1</w:t>
      </w:r>
      <w:r>
        <w:rPr>
          <w:bCs/>
        </w:rPr>
        <w:t>……………………………………….….29</w:t>
      </w:r>
      <w:r w:rsidR="0092071A">
        <w:rPr>
          <w:bCs/>
        </w:rPr>
        <w:t>4</w:t>
      </w:r>
    </w:p>
    <w:p w:rsidR="00D6758A" w:rsidRDefault="00D6758A" w:rsidP="00D6758A">
      <w:pPr>
        <w:jc w:val="both"/>
        <w:rPr>
          <w:bCs/>
        </w:rPr>
      </w:pPr>
      <w:r w:rsidRPr="000E4C3C">
        <w:rPr>
          <w:bCs/>
        </w:rPr>
        <w:t>Fig.A3-019 Coefficients plot for Newburgh Hyson and Purple CTC</w:t>
      </w:r>
      <w:r>
        <w:rPr>
          <w:bCs/>
        </w:rPr>
        <w:t>………………………………………………...</w:t>
      </w:r>
      <w:r w:rsidRPr="000E4C3C">
        <w:rPr>
          <w:bCs/>
        </w:rPr>
        <w:t>.</w:t>
      </w:r>
      <w:r>
        <w:rPr>
          <w:bCs/>
        </w:rPr>
        <w:t>29</w:t>
      </w:r>
      <w:r w:rsidR="0092071A">
        <w:rPr>
          <w:bCs/>
        </w:rPr>
        <w:t>5</w:t>
      </w:r>
    </w:p>
    <w:p w:rsidR="00D6758A" w:rsidRDefault="00D6758A" w:rsidP="00D6758A">
      <w:pPr>
        <w:jc w:val="both"/>
        <w:rPr>
          <w:bCs/>
        </w:rPr>
      </w:pPr>
      <w:r w:rsidRPr="000E4C3C">
        <w:rPr>
          <w:bCs/>
        </w:rPr>
        <w:t>Fig.A3-020 Coefficients plot for Newburgh Hyson and Tiluet HP</w:t>
      </w:r>
      <w:r>
        <w:rPr>
          <w:bCs/>
        </w:rPr>
        <w:t>………………………………………………..……29</w:t>
      </w:r>
      <w:r w:rsidR="0092071A">
        <w:rPr>
          <w:bCs/>
        </w:rPr>
        <w:t>5</w:t>
      </w:r>
    </w:p>
    <w:p w:rsidR="00D6758A" w:rsidRDefault="00D6758A" w:rsidP="00D6758A">
      <w:pPr>
        <w:jc w:val="both"/>
        <w:rPr>
          <w:bCs/>
        </w:rPr>
      </w:pPr>
      <w:r w:rsidRPr="000E4C3C">
        <w:rPr>
          <w:bCs/>
        </w:rPr>
        <w:t>Fig.A3-021 Coefficients plot for Newburgh Hyson and Tiluet MTH</w:t>
      </w:r>
      <w:r>
        <w:rPr>
          <w:bCs/>
        </w:rPr>
        <w:t>………………………………………………….29</w:t>
      </w:r>
      <w:r w:rsidR="0092071A">
        <w:rPr>
          <w:bCs/>
        </w:rPr>
        <w:t>6</w:t>
      </w:r>
    </w:p>
    <w:p w:rsidR="00D6758A" w:rsidRDefault="00D6758A" w:rsidP="00D6758A">
      <w:pPr>
        <w:jc w:val="both"/>
        <w:rPr>
          <w:bCs/>
        </w:rPr>
      </w:pPr>
      <w:r w:rsidRPr="000E4C3C">
        <w:rPr>
          <w:bCs/>
        </w:rPr>
        <w:t>Fig.A3-022 Coefficients plot for Purple CTC and Milima Kijani DM</w:t>
      </w:r>
      <w:r>
        <w:rPr>
          <w:bCs/>
        </w:rPr>
        <w:t>………………………………………………..…29</w:t>
      </w:r>
      <w:r w:rsidR="0092071A">
        <w:rPr>
          <w:bCs/>
        </w:rPr>
        <w:t>6</w:t>
      </w:r>
    </w:p>
    <w:p w:rsidR="00D6758A" w:rsidRDefault="00D6758A" w:rsidP="00D6758A">
      <w:pPr>
        <w:jc w:val="both"/>
        <w:rPr>
          <w:bCs/>
        </w:rPr>
      </w:pPr>
      <w:r w:rsidRPr="00AA3DD0">
        <w:rPr>
          <w:bCs/>
        </w:rPr>
        <w:t>Fig.A3-023 Coefficients plo</w:t>
      </w:r>
      <w:r>
        <w:rPr>
          <w:bCs/>
        </w:rPr>
        <w:t>t for Purple CTC and Tiluet MTH………………………………………………………..….29</w:t>
      </w:r>
      <w:r w:rsidR="0092071A">
        <w:rPr>
          <w:bCs/>
        </w:rPr>
        <w:t>7</w:t>
      </w:r>
    </w:p>
    <w:p w:rsidR="00D6758A" w:rsidRDefault="00D6758A" w:rsidP="00D6758A">
      <w:pPr>
        <w:jc w:val="both"/>
        <w:rPr>
          <w:bCs/>
        </w:rPr>
      </w:pPr>
      <w:r w:rsidRPr="00AA3DD0">
        <w:rPr>
          <w:bCs/>
        </w:rPr>
        <w:t>Fig.A3-024 Coefficients plot for Tiluet HP and Kijani DM</w:t>
      </w:r>
      <w:r>
        <w:rPr>
          <w:bCs/>
        </w:rPr>
        <w:t>…………………………………………………………………29</w:t>
      </w:r>
      <w:r w:rsidR="0092071A">
        <w:rPr>
          <w:bCs/>
        </w:rPr>
        <w:t>7</w:t>
      </w:r>
    </w:p>
    <w:p w:rsidR="00D6758A" w:rsidRDefault="00D6758A" w:rsidP="00D6758A">
      <w:pPr>
        <w:jc w:val="both"/>
        <w:rPr>
          <w:bCs/>
        </w:rPr>
      </w:pPr>
      <w:r w:rsidRPr="00AA3DD0">
        <w:rPr>
          <w:bCs/>
        </w:rPr>
        <w:t>Fig.A3-025 Coefficients plot for Tiluet HP and Milima GFBOP1</w:t>
      </w:r>
      <w:r>
        <w:rPr>
          <w:bCs/>
        </w:rPr>
        <w:t>…………………………………………………….…29</w:t>
      </w:r>
      <w:r w:rsidR="0092071A">
        <w:rPr>
          <w:bCs/>
        </w:rPr>
        <w:t>8</w:t>
      </w:r>
    </w:p>
    <w:p w:rsidR="00D6758A" w:rsidRDefault="00D6758A" w:rsidP="00D6758A">
      <w:pPr>
        <w:jc w:val="both"/>
        <w:rPr>
          <w:bCs/>
        </w:rPr>
      </w:pPr>
      <w:r w:rsidRPr="00AA3DD0">
        <w:rPr>
          <w:bCs/>
        </w:rPr>
        <w:t>Fig.A3-026 Coefficients plot for Tiluet HP and Purple CTC</w:t>
      </w:r>
      <w:proofErr w:type="gramStart"/>
      <w:r>
        <w:rPr>
          <w:bCs/>
        </w:rPr>
        <w:t>………………………………………………..……………</w:t>
      </w:r>
      <w:proofErr w:type="gramEnd"/>
      <w:r>
        <w:rPr>
          <w:bCs/>
        </w:rPr>
        <w:t>..29</w:t>
      </w:r>
      <w:r w:rsidR="0092071A">
        <w:rPr>
          <w:bCs/>
        </w:rPr>
        <w:t>8</w:t>
      </w:r>
    </w:p>
    <w:p w:rsidR="00D6758A" w:rsidRDefault="00D6758A" w:rsidP="00D6758A">
      <w:pPr>
        <w:jc w:val="both"/>
        <w:rPr>
          <w:bCs/>
        </w:rPr>
      </w:pPr>
      <w:r w:rsidRPr="00AA3DD0">
        <w:rPr>
          <w:bCs/>
        </w:rPr>
        <w:t>Fig.A3-027 Coefficients plot for Tiluet HP and Tiluet MTH</w:t>
      </w:r>
      <w:r>
        <w:rPr>
          <w:bCs/>
        </w:rPr>
        <w:t>…………………………………………………..………….</w:t>
      </w:r>
      <w:r w:rsidR="002E3657">
        <w:rPr>
          <w:bCs/>
        </w:rPr>
        <w:t>29</w:t>
      </w:r>
      <w:r w:rsidR="0092071A">
        <w:rPr>
          <w:bCs/>
        </w:rPr>
        <w:t>9</w:t>
      </w:r>
    </w:p>
    <w:p w:rsidR="00D6758A" w:rsidRDefault="00D6758A" w:rsidP="00D6758A">
      <w:pPr>
        <w:jc w:val="both"/>
        <w:rPr>
          <w:bCs/>
        </w:rPr>
      </w:pPr>
      <w:r w:rsidRPr="00AA3DD0">
        <w:rPr>
          <w:bCs/>
        </w:rPr>
        <w:t>Fig.A3-028 Coefficients plot for Tiluet MTH and Kijani DM</w:t>
      </w:r>
      <w:r>
        <w:rPr>
          <w:bCs/>
        </w:rPr>
        <w:t>……………………………………………………………..</w:t>
      </w:r>
      <w:r w:rsidR="002E3657">
        <w:rPr>
          <w:bCs/>
        </w:rPr>
        <w:t>29</w:t>
      </w:r>
      <w:r w:rsidR="0092071A">
        <w:rPr>
          <w:bCs/>
        </w:rPr>
        <w:t>9</w:t>
      </w:r>
    </w:p>
    <w:p w:rsidR="00D6758A" w:rsidRDefault="00D6758A" w:rsidP="00D6758A">
      <w:pPr>
        <w:jc w:val="both"/>
        <w:rPr>
          <w:bCs/>
        </w:rPr>
      </w:pPr>
      <w:r w:rsidRPr="00AA3DD0">
        <w:rPr>
          <w:bCs/>
        </w:rPr>
        <w:lastRenderedPageBreak/>
        <w:t>Fig.A3-029 Coefficients plot for Waldemar Oolong and Extracts 652</w:t>
      </w:r>
      <w:r>
        <w:rPr>
          <w:bCs/>
        </w:rPr>
        <w:t>…………………………………..…………</w:t>
      </w:r>
      <w:r w:rsidRPr="00AA3DD0">
        <w:rPr>
          <w:bCs/>
        </w:rPr>
        <w:t>.</w:t>
      </w:r>
      <w:r w:rsidR="0092071A">
        <w:rPr>
          <w:bCs/>
        </w:rPr>
        <w:t>300</w:t>
      </w:r>
    </w:p>
    <w:p w:rsidR="00D6758A" w:rsidRDefault="00D6758A" w:rsidP="00D6758A">
      <w:pPr>
        <w:jc w:val="both"/>
        <w:rPr>
          <w:bCs/>
        </w:rPr>
      </w:pPr>
      <w:r w:rsidRPr="00AC7284">
        <w:rPr>
          <w:bCs/>
        </w:rPr>
        <w:t>Fig.A3-030 Coefficients plot for Waldemar Oolong and Kijani DM</w:t>
      </w:r>
      <w:r>
        <w:rPr>
          <w:bCs/>
        </w:rPr>
        <w:t xml:space="preserve"> …………………………………………….……</w:t>
      </w:r>
      <w:r w:rsidR="0092071A">
        <w:rPr>
          <w:bCs/>
        </w:rPr>
        <w:t>300</w:t>
      </w:r>
    </w:p>
    <w:p w:rsidR="00D6758A" w:rsidRDefault="00D6758A" w:rsidP="00D6758A">
      <w:pPr>
        <w:jc w:val="both"/>
        <w:rPr>
          <w:bCs/>
        </w:rPr>
      </w:pPr>
      <w:r w:rsidRPr="00FE6280">
        <w:rPr>
          <w:bCs/>
        </w:rPr>
        <w:t>Fig.A3-031 Coefficients plot for Waldemar Oolong and Milima GFBOP1</w:t>
      </w:r>
      <w:r>
        <w:rPr>
          <w:bCs/>
        </w:rPr>
        <w:t>…………………………………………30</w:t>
      </w:r>
      <w:r w:rsidR="0092071A">
        <w:rPr>
          <w:bCs/>
        </w:rPr>
        <w:t>1</w:t>
      </w:r>
    </w:p>
    <w:p w:rsidR="00D6758A" w:rsidRDefault="00D6758A" w:rsidP="00D6758A">
      <w:pPr>
        <w:jc w:val="both"/>
        <w:rPr>
          <w:bCs/>
        </w:rPr>
      </w:pPr>
      <w:r w:rsidRPr="00FE6280">
        <w:rPr>
          <w:bCs/>
        </w:rPr>
        <w:t>Fig.A3-032 Coefficients plot for Wal</w:t>
      </w:r>
      <w:r>
        <w:rPr>
          <w:bCs/>
        </w:rPr>
        <w:t>demar Oolong and Newburgh Hyson………………………………….…..30</w:t>
      </w:r>
      <w:r w:rsidR="0092071A">
        <w:rPr>
          <w:bCs/>
        </w:rPr>
        <w:t>1</w:t>
      </w:r>
    </w:p>
    <w:p w:rsidR="00D6758A" w:rsidRDefault="00D6758A" w:rsidP="00D6758A">
      <w:pPr>
        <w:jc w:val="both"/>
        <w:rPr>
          <w:bCs/>
        </w:rPr>
      </w:pPr>
      <w:r w:rsidRPr="00FE6280">
        <w:rPr>
          <w:bCs/>
        </w:rPr>
        <w:t>Fig.A3-033 Coefficients plot for Waldemar Oolong and Purple CTC</w:t>
      </w:r>
      <w:r>
        <w:rPr>
          <w:bCs/>
        </w:rPr>
        <w:t xml:space="preserve"> ……………………………………..…………30</w:t>
      </w:r>
      <w:r w:rsidR="0092071A">
        <w:rPr>
          <w:bCs/>
        </w:rPr>
        <w:t>2</w:t>
      </w:r>
    </w:p>
    <w:p w:rsidR="00D6758A" w:rsidRDefault="00D6758A" w:rsidP="00D6758A">
      <w:pPr>
        <w:jc w:val="both"/>
        <w:rPr>
          <w:bCs/>
        </w:rPr>
      </w:pPr>
      <w:r w:rsidRPr="00FE6280">
        <w:rPr>
          <w:bCs/>
        </w:rPr>
        <w:t>Fig.A3-034 Coefficients plot for Waldemar Oolong and Tiluet HP</w:t>
      </w:r>
      <w:r>
        <w:rPr>
          <w:bCs/>
        </w:rPr>
        <w:t>……………………………………………………30</w:t>
      </w:r>
      <w:r w:rsidR="0092071A">
        <w:rPr>
          <w:bCs/>
        </w:rPr>
        <w:t>2</w:t>
      </w:r>
    </w:p>
    <w:p w:rsidR="00D6758A" w:rsidRDefault="00D6758A" w:rsidP="00D6758A">
      <w:pPr>
        <w:jc w:val="both"/>
        <w:rPr>
          <w:bCs/>
        </w:rPr>
      </w:pPr>
      <w:r w:rsidRPr="00FE6280">
        <w:rPr>
          <w:bCs/>
        </w:rPr>
        <w:t>Fig.A3-035 Coefficients plot for Waldemar Oolong and Kijani MTH</w:t>
      </w:r>
      <w:r>
        <w:rPr>
          <w:bCs/>
        </w:rPr>
        <w:t>………………………………………………...30</w:t>
      </w:r>
      <w:r w:rsidR="0092071A">
        <w:rPr>
          <w:bCs/>
        </w:rPr>
        <w:t>3</w:t>
      </w:r>
    </w:p>
    <w:p w:rsidR="00D6758A" w:rsidRDefault="00D6758A" w:rsidP="00D6758A">
      <w:pPr>
        <w:jc w:val="both"/>
        <w:rPr>
          <w:bCs/>
        </w:rPr>
      </w:pPr>
      <w:r w:rsidRPr="00FE6280">
        <w:rPr>
          <w:bCs/>
        </w:rPr>
        <w:t>Fig.A3-036 Hotelling’s T</w:t>
      </w:r>
      <w:r w:rsidRPr="00141067">
        <w:rPr>
          <w:bCs/>
          <w:vertAlign w:val="superscript"/>
        </w:rPr>
        <w:t>2</w:t>
      </w:r>
      <w:r w:rsidRPr="00FE6280">
        <w:rPr>
          <w:bCs/>
        </w:rPr>
        <w:t xml:space="preserve"> plot of all 9 teas including coloured legend</w:t>
      </w:r>
      <w:r>
        <w:rPr>
          <w:bCs/>
        </w:rPr>
        <w:t>……………………………………………..30</w:t>
      </w:r>
      <w:r w:rsidR="0092071A">
        <w:rPr>
          <w:bCs/>
        </w:rPr>
        <w:t>3</w:t>
      </w:r>
    </w:p>
    <w:p w:rsidR="00D6758A" w:rsidRDefault="00D6758A" w:rsidP="00D6758A">
      <w:pPr>
        <w:jc w:val="both"/>
        <w:rPr>
          <w:bCs/>
        </w:rPr>
      </w:pPr>
      <w:r w:rsidRPr="00FE6280">
        <w:rPr>
          <w:bCs/>
        </w:rPr>
        <w:t>Fig.A3-037 S-Plot of Chomogonday White v Extracts 652</w:t>
      </w:r>
      <w:r>
        <w:rPr>
          <w:bCs/>
        </w:rPr>
        <w:t>……………………………………………………….……….30</w:t>
      </w:r>
      <w:r w:rsidR="0092071A">
        <w:rPr>
          <w:bCs/>
        </w:rPr>
        <w:t>4</w:t>
      </w:r>
    </w:p>
    <w:p w:rsidR="00D6758A" w:rsidRDefault="00D6758A" w:rsidP="00D6758A">
      <w:pPr>
        <w:jc w:val="both"/>
        <w:rPr>
          <w:bCs/>
        </w:rPr>
      </w:pPr>
      <w:r w:rsidRPr="00FE6280">
        <w:rPr>
          <w:bCs/>
        </w:rPr>
        <w:t>Fig.A3-038 S-Plot of Chomogonday White v Kijani DM</w:t>
      </w:r>
      <w:r>
        <w:rPr>
          <w:bCs/>
        </w:rPr>
        <w:t>………………………………………………………………..….30</w:t>
      </w:r>
      <w:r w:rsidR="0092071A">
        <w:rPr>
          <w:bCs/>
        </w:rPr>
        <w:t>4</w:t>
      </w:r>
    </w:p>
    <w:p w:rsidR="00D6758A" w:rsidRDefault="00D6758A" w:rsidP="00D6758A">
      <w:pPr>
        <w:jc w:val="both"/>
        <w:rPr>
          <w:bCs/>
        </w:rPr>
      </w:pPr>
      <w:r w:rsidRPr="00FE6280">
        <w:rPr>
          <w:bCs/>
        </w:rPr>
        <w:t>Fig.A3-039 S-Plot of Chomogonday White v Milima GFBOP1</w:t>
      </w:r>
      <w:r>
        <w:rPr>
          <w:bCs/>
        </w:rPr>
        <w:t>…………………………………………………………..30</w:t>
      </w:r>
      <w:r w:rsidR="0092071A">
        <w:rPr>
          <w:bCs/>
        </w:rPr>
        <w:t>5</w:t>
      </w:r>
    </w:p>
    <w:p w:rsidR="00D6758A" w:rsidRDefault="00D6758A" w:rsidP="00D6758A">
      <w:pPr>
        <w:jc w:val="both"/>
        <w:rPr>
          <w:bCs/>
        </w:rPr>
      </w:pPr>
      <w:r w:rsidRPr="00FE6280">
        <w:rPr>
          <w:bCs/>
        </w:rPr>
        <w:t>Fig.A3-040 S-Plot of Chomogonday White v Newburgh Hyson</w:t>
      </w:r>
      <w:r>
        <w:rPr>
          <w:bCs/>
        </w:rPr>
        <w:t>………………………………………………………..30</w:t>
      </w:r>
      <w:r w:rsidR="0092071A">
        <w:rPr>
          <w:bCs/>
        </w:rPr>
        <w:t>5</w:t>
      </w:r>
    </w:p>
    <w:p w:rsidR="00D6758A" w:rsidRDefault="00D6758A" w:rsidP="00D6758A">
      <w:pPr>
        <w:jc w:val="both"/>
        <w:rPr>
          <w:bCs/>
        </w:rPr>
      </w:pPr>
      <w:r w:rsidRPr="00FE6280">
        <w:rPr>
          <w:bCs/>
        </w:rPr>
        <w:t>Fig.A3-041 S-Plot of Chomogonday White v Purple CTC</w:t>
      </w:r>
      <w:r>
        <w:rPr>
          <w:bCs/>
        </w:rPr>
        <w:t>………………………………………………………………....30</w:t>
      </w:r>
      <w:r w:rsidR="0092071A">
        <w:rPr>
          <w:bCs/>
        </w:rPr>
        <w:t>6</w:t>
      </w:r>
    </w:p>
    <w:p w:rsidR="00D6758A" w:rsidRDefault="00D6758A" w:rsidP="00D6758A">
      <w:pPr>
        <w:jc w:val="both"/>
        <w:rPr>
          <w:bCs/>
        </w:rPr>
      </w:pPr>
      <w:r w:rsidRPr="00FE6280">
        <w:rPr>
          <w:bCs/>
        </w:rPr>
        <w:t>Fig.A3-042 S-Plot of Chomogonday White v Tiluet HP</w:t>
      </w:r>
      <w:r>
        <w:rPr>
          <w:bCs/>
        </w:rPr>
        <w:t>……………………………………………………………………..30</w:t>
      </w:r>
      <w:r w:rsidR="0092071A">
        <w:rPr>
          <w:bCs/>
        </w:rPr>
        <w:t>6</w:t>
      </w:r>
    </w:p>
    <w:p w:rsidR="00D6758A" w:rsidRDefault="00D6758A" w:rsidP="00D6758A">
      <w:pPr>
        <w:jc w:val="both"/>
        <w:rPr>
          <w:bCs/>
        </w:rPr>
      </w:pPr>
      <w:r w:rsidRPr="00FE6280">
        <w:rPr>
          <w:bCs/>
        </w:rPr>
        <w:t>Fig.A3-043 S-Plot of Chomogonday White v Tiluet MTH</w:t>
      </w:r>
      <w:proofErr w:type="gramStart"/>
      <w:r>
        <w:rPr>
          <w:bCs/>
        </w:rPr>
        <w:t>……………………………………………..…………………</w:t>
      </w:r>
      <w:proofErr w:type="gramEnd"/>
      <w:r>
        <w:rPr>
          <w:bCs/>
        </w:rPr>
        <w:t>..30</w:t>
      </w:r>
      <w:r w:rsidR="0092071A">
        <w:rPr>
          <w:bCs/>
        </w:rPr>
        <w:t>7</w:t>
      </w:r>
    </w:p>
    <w:p w:rsidR="00D6758A" w:rsidRDefault="00D6758A" w:rsidP="00D6758A">
      <w:pPr>
        <w:jc w:val="both"/>
        <w:rPr>
          <w:bCs/>
        </w:rPr>
      </w:pPr>
      <w:r w:rsidRPr="00FE6280">
        <w:rPr>
          <w:bCs/>
        </w:rPr>
        <w:t>Fig.A3-044 S-Plot of Chomogonday White v Waldemar Oolong</w:t>
      </w:r>
      <w:r>
        <w:rPr>
          <w:bCs/>
        </w:rPr>
        <w:t>………………………………………………………30</w:t>
      </w:r>
      <w:r w:rsidR="0092071A">
        <w:rPr>
          <w:bCs/>
        </w:rPr>
        <w:t>7</w:t>
      </w:r>
    </w:p>
    <w:p w:rsidR="00D6758A" w:rsidRDefault="00D6758A" w:rsidP="00D6758A">
      <w:pPr>
        <w:jc w:val="both"/>
        <w:rPr>
          <w:bCs/>
        </w:rPr>
      </w:pPr>
      <w:r w:rsidRPr="00C46D0C">
        <w:rPr>
          <w:bCs/>
        </w:rPr>
        <w:t>Fig.A3-045 S-Plot of Extracts 652 v Kijani DM</w:t>
      </w:r>
      <w:proofErr w:type="gramStart"/>
      <w:r>
        <w:rPr>
          <w:bCs/>
        </w:rPr>
        <w:t>………………………………………………………………..………………</w:t>
      </w:r>
      <w:proofErr w:type="gramEnd"/>
      <w:r>
        <w:rPr>
          <w:bCs/>
        </w:rPr>
        <w:t>..30</w:t>
      </w:r>
      <w:r w:rsidR="0092071A">
        <w:rPr>
          <w:bCs/>
        </w:rPr>
        <w:t>8</w:t>
      </w:r>
    </w:p>
    <w:p w:rsidR="00D6758A" w:rsidRDefault="00D6758A" w:rsidP="00D6758A">
      <w:pPr>
        <w:jc w:val="both"/>
        <w:rPr>
          <w:bCs/>
        </w:rPr>
      </w:pPr>
      <w:r w:rsidRPr="00C46D0C">
        <w:rPr>
          <w:bCs/>
        </w:rPr>
        <w:t>Fig.A3-046 S-Plot of Extracts 652 v Milima GFBOP1</w:t>
      </w:r>
      <w:r>
        <w:rPr>
          <w:bCs/>
        </w:rPr>
        <w:t>………………………………………………..……………………….30</w:t>
      </w:r>
      <w:r w:rsidR="0092071A">
        <w:rPr>
          <w:bCs/>
        </w:rPr>
        <w:t>8</w:t>
      </w:r>
    </w:p>
    <w:p w:rsidR="00D6758A" w:rsidRDefault="00D6758A" w:rsidP="00D6758A">
      <w:pPr>
        <w:jc w:val="both"/>
        <w:rPr>
          <w:bCs/>
        </w:rPr>
      </w:pPr>
      <w:r w:rsidRPr="007F3CEE">
        <w:rPr>
          <w:bCs/>
        </w:rPr>
        <w:t>Fig.A3-047 S-Plot of Extracts 652 v Purple CTC</w:t>
      </w:r>
      <w:r>
        <w:rPr>
          <w:bCs/>
        </w:rPr>
        <w:t>………………………………………………………………………………..3</w:t>
      </w:r>
      <w:r w:rsidR="0092071A">
        <w:rPr>
          <w:bCs/>
        </w:rPr>
        <w:t>09</w:t>
      </w:r>
    </w:p>
    <w:p w:rsidR="00D6758A" w:rsidRPr="00FE6280" w:rsidRDefault="00D6758A" w:rsidP="00D6758A">
      <w:pPr>
        <w:jc w:val="both"/>
        <w:rPr>
          <w:bCs/>
        </w:rPr>
      </w:pPr>
      <w:r w:rsidRPr="007F3CEE">
        <w:rPr>
          <w:bCs/>
        </w:rPr>
        <w:t>Fig.A3-048 S-Plot of Extracts 652 v Tiluet HP</w:t>
      </w:r>
      <w:r>
        <w:rPr>
          <w:bCs/>
        </w:rPr>
        <w:t>………………………………….……………………………………….….….3</w:t>
      </w:r>
      <w:r w:rsidR="0092071A">
        <w:rPr>
          <w:bCs/>
        </w:rPr>
        <w:t>09</w:t>
      </w:r>
    </w:p>
    <w:p w:rsidR="00D6758A" w:rsidRDefault="00D6758A" w:rsidP="00D6758A">
      <w:pPr>
        <w:jc w:val="both"/>
        <w:rPr>
          <w:bCs/>
        </w:rPr>
      </w:pPr>
      <w:r w:rsidRPr="00981E4F">
        <w:rPr>
          <w:bCs/>
        </w:rPr>
        <w:t>Fig.A3-049 S-Plot of Extracts 652 v Tiluet MTH</w:t>
      </w:r>
      <w:r>
        <w:rPr>
          <w:bCs/>
        </w:rPr>
        <w:t>……………………………………………………………..…………………3</w:t>
      </w:r>
      <w:r w:rsidR="0092071A">
        <w:rPr>
          <w:bCs/>
        </w:rPr>
        <w:t>10</w:t>
      </w:r>
    </w:p>
    <w:p w:rsidR="00D6758A" w:rsidRDefault="00D6758A" w:rsidP="00D6758A">
      <w:pPr>
        <w:jc w:val="both"/>
        <w:rPr>
          <w:bCs/>
        </w:rPr>
      </w:pPr>
      <w:r w:rsidRPr="00981E4F">
        <w:rPr>
          <w:bCs/>
        </w:rPr>
        <w:t>Fig.A3-050 S-Plot of GFBOP1 v Kijani DM</w:t>
      </w:r>
      <w:r>
        <w:rPr>
          <w:bCs/>
        </w:rPr>
        <w:t>……………………………………………………………………………..…………3</w:t>
      </w:r>
      <w:r w:rsidR="0092071A">
        <w:rPr>
          <w:bCs/>
        </w:rPr>
        <w:t>10</w:t>
      </w:r>
    </w:p>
    <w:p w:rsidR="00D6758A" w:rsidRDefault="00D6758A" w:rsidP="00D6758A">
      <w:pPr>
        <w:jc w:val="both"/>
        <w:rPr>
          <w:bCs/>
        </w:rPr>
      </w:pPr>
      <w:r w:rsidRPr="00981E4F">
        <w:rPr>
          <w:bCs/>
        </w:rPr>
        <w:t>Fig.A3-051 S-Plot of GFBOP1 v Purple CTC</w:t>
      </w:r>
      <w:r>
        <w:rPr>
          <w:bCs/>
        </w:rPr>
        <w:t>…………………………………………………………………..………………….31</w:t>
      </w:r>
      <w:r w:rsidR="0092071A">
        <w:rPr>
          <w:bCs/>
        </w:rPr>
        <w:t>1</w:t>
      </w:r>
    </w:p>
    <w:p w:rsidR="00D6758A" w:rsidRDefault="00D6758A" w:rsidP="00D6758A">
      <w:pPr>
        <w:jc w:val="both"/>
        <w:rPr>
          <w:bCs/>
        </w:rPr>
      </w:pPr>
      <w:r w:rsidRPr="00981E4F">
        <w:rPr>
          <w:bCs/>
        </w:rPr>
        <w:t>Fig.A3-052 S-Plot of GFBOP1 v Tiluet MTH</w:t>
      </w:r>
      <w:r>
        <w:rPr>
          <w:bCs/>
        </w:rPr>
        <w:t>………………………………………………………………………………..…….31</w:t>
      </w:r>
      <w:r w:rsidR="0092071A">
        <w:rPr>
          <w:bCs/>
        </w:rPr>
        <w:t>1</w:t>
      </w:r>
    </w:p>
    <w:p w:rsidR="00D6758A" w:rsidRDefault="00D6758A" w:rsidP="00D6758A">
      <w:pPr>
        <w:jc w:val="both"/>
        <w:rPr>
          <w:bCs/>
        </w:rPr>
      </w:pPr>
      <w:r w:rsidRPr="00981E4F">
        <w:rPr>
          <w:bCs/>
        </w:rPr>
        <w:t>Fig.A3-053 S-Plot of Newburgh Hyson v Extracts 652</w:t>
      </w:r>
      <w:r>
        <w:rPr>
          <w:bCs/>
        </w:rPr>
        <w:t>………………………………………………………………………31</w:t>
      </w:r>
      <w:r w:rsidR="0092071A">
        <w:rPr>
          <w:bCs/>
        </w:rPr>
        <w:t>2</w:t>
      </w:r>
    </w:p>
    <w:p w:rsidR="00D6758A" w:rsidRDefault="00D6758A" w:rsidP="00D6758A">
      <w:pPr>
        <w:jc w:val="both"/>
        <w:rPr>
          <w:bCs/>
        </w:rPr>
      </w:pPr>
      <w:r w:rsidRPr="00981E4F">
        <w:rPr>
          <w:bCs/>
        </w:rPr>
        <w:t>Fig.A3-054 S-Plot of Newburgh Hyson v Kijani DM</w:t>
      </w:r>
      <w:r>
        <w:rPr>
          <w:bCs/>
        </w:rPr>
        <w:t>…………………………………………………………..………………31</w:t>
      </w:r>
      <w:r w:rsidR="0092071A">
        <w:rPr>
          <w:bCs/>
        </w:rPr>
        <w:t>2</w:t>
      </w:r>
    </w:p>
    <w:p w:rsidR="00D6758A" w:rsidRDefault="00D6758A" w:rsidP="00D6758A">
      <w:pPr>
        <w:jc w:val="both"/>
        <w:rPr>
          <w:bCs/>
        </w:rPr>
      </w:pPr>
      <w:r w:rsidRPr="00981E4F">
        <w:rPr>
          <w:bCs/>
        </w:rPr>
        <w:t>Fig.A3-055 S-Plot of Newburgh Hyson v Milima GFBOP1</w:t>
      </w:r>
      <w:r>
        <w:rPr>
          <w:bCs/>
        </w:rPr>
        <w:t>…………………………………………………………………31</w:t>
      </w:r>
      <w:r w:rsidR="0092071A">
        <w:rPr>
          <w:bCs/>
        </w:rPr>
        <w:t>3</w:t>
      </w:r>
    </w:p>
    <w:p w:rsidR="00D6758A" w:rsidRDefault="00D6758A" w:rsidP="00D6758A">
      <w:pPr>
        <w:jc w:val="both"/>
        <w:rPr>
          <w:bCs/>
        </w:rPr>
      </w:pPr>
      <w:r w:rsidRPr="00981E4F">
        <w:rPr>
          <w:bCs/>
        </w:rPr>
        <w:t>Fig.A3-056 S-Plot of Newburgh Hyson v Purple CTC</w:t>
      </w:r>
      <w:r>
        <w:rPr>
          <w:bCs/>
        </w:rPr>
        <w:t>………………………………………………………………………..31</w:t>
      </w:r>
      <w:r w:rsidR="0092071A">
        <w:rPr>
          <w:bCs/>
        </w:rPr>
        <w:t>3</w:t>
      </w:r>
    </w:p>
    <w:p w:rsidR="00D6758A" w:rsidRDefault="00D6758A" w:rsidP="00D6758A">
      <w:pPr>
        <w:jc w:val="both"/>
        <w:rPr>
          <w:bCs/>
        </w:rPr>
      </w:pPr>
      <w:r w:rsidRPr="00DB4C47">
        <w:rPr>
          <w:bCs/>
        </w:rPr>
        <w:t>Fig.A3-057 S-Plot of Newburgh Hyson v Tiluet HP</w:t>
      </w:r>
      <w:r>
        <w:rPr>
          <w:bCs/>
        </w:rPr>
        <w:t>…………………………………………………………………………..31</w:t>
      </w:r>
      <w:r w:rsidR="0092071A">
        <w:rPr>
          <w:bCs/>
        </w:rPr>
        <w:t>4</w:t>
      </w:r>
    </w:p>
    <w:p w:rsidR="00D6758A" w:rsidRDefault="00D6758A" w:rsidP="00D6758A">
      <w:pPr>
        <w:jc w:val="both"/>
        <w:rPr>
          <w:bCs/>
        </w:rPr>
      </w:pPr>
      <w:r w:rsidRPr="00DB4C47">
        <w:rPr>
          <w:bCs/>
        </w:rPr>
        <w:t>Fig.A3-058 S-Plot of Newburgh Hyson v Tiluet MTH</w:t>
      </w:r>
      <w:r>
        <w:rPr>
          <w:bCs/>
        </w:rPr>
        <w:t>………………………………………………………………………..31</w:t>
      </w:r>
      <w:r w:rsidR="0092071A">
        <w:rPr>
          <w:bCs/>
        </w:rPr>
        <w:t>4</w:t>
      </w:r>
    </w:p>
    <w:p w:rsidR="00D6758A" w:rsidRDefault="00D6758A" w:rsidP="00D6758A">
      <w:pPr>
        <w:jc w:val="both"/>
        <w:rPr>
          <w:bCs/>
        </w:rPr>
      </w:pPr>
      <w:r w:rsidRPr="007105B8">
        <w:rPr>
          <w:bCs/>
        </w:rPr>
        <w:t>Fig.A3-059 S-Plot of Purple CTC v Kijani DM</w:t>
      </w:r>
      <w:r>
        <w:rPr>
          <w:bCs/>
        </w:rPr>
        <w:t>……………………………………………………………………….……………31</w:t>
      </w:r>
      <w:r w:rsidR="0092071A">
        <w:rPr>
          <w:bCs/>
        </w:rPr>
        <w:t>5</w:t>
      </w:r>
    </w:p>
    <w:p w:rsidR="00D6758A" w:rsidRDefault="00D6758A" w:rsidP="00D6758A">
      <w:pPr>
        <w:jc w:val="both"/>
        <w:rPr>
          <w:bCs/>
        </w:rPr>
      </w:pPr>
      <w:r w:rsidRPr="007105B8">
        <w:rPr>
          <w:bCs/>
        </w:rPr>
        <w:lastRenderedPageBreak/>
        <w:t xml:space="preserve">Fig.A3-060 S-Plot of Purple CTC v </w:t>
      </w:r>
      <w:r>
        <w:rPr>
          <w:bCs/>
        </w:rPr>
        <w:t>Tiluet MTH………………………………………………………………………………….31</w:t>
      </w:r>
      <w:r w:rsidR="0092071A">
        <w:rPr>
          <w:bCs/>
        </w:rPr>
        <w:t>5</w:t>
      </w:r>
    </w:p>
    <w:p w:rsidR="00D6758A" w:rsidRDefault="00D6758A" w:rsidP="00D6758A">
      <w:pPr>
        <w:jc w:val="both"/>
        <w:rPr>
          <w:bCs/>
        </w:rPr>
      </w:pPr>
      <w:r w:rsidRPr="007503A5">
        <w:rPr>
          <w:bCs/>
        </w:rPr>
        <w:t>Fig.A3-061 S-Plot of Tiluet HP v Kijani DM</w:t>
      </w:r>
      <w:proofErr w:type="gramStart"/>
      <w:r>
        <w:rPr>
          <w:bCs/>
        </w:rPr>
        <w:t>…………………………………………………………………………………..…</w:t>
      </w:r>
      <w:proofErr w:type="gramEnd"/>
      <w:r>
        <w:rPr>
          <w:bCs/>
        </w:rPr>
        <w:t>..31</w:t>
      </w:r>
      <w:r w:rsidR="0092071A">
        <w:rPr>
          <w:bCs/>
        </w:rPr>
        <w:t>6</w:t>
      </w:r>
    </w:p>
    <w:p w:rsidR="00D6758A" w:rsidRDefault="00D6758A" w:rsidP="00D6758A">
      <w:pPr>
        <w:jc w:val="both"/>
        <w:rPr>
          <w:bCs/>
        </w:rPr>
      </w:pPr>
      <w:r w:rsidRPr="007503A5">
        <w:rPr>
          <w:bCs/>
        </w:rPr>
        <w:t>Fig.A3-062 S-Plot of Tiluet HP v Milima GFBOP1</w:t>
      </w:r>
      <w:r>
        <w:rPr>
          <w:bCs/>
        </w:rPr>
        <w:t>……………………………………………………………………….…….31</w:t>
      </w:r>
      <w:r w:rsidR="0092071A">
        <w:rPr>
          <w:bCs/>
        </w:rPr>
        <w:t>6</w:t>
      </w:r>
    </w:p>
    <w:p w:rsidR="00D6758A" w:rsidRDefault="00D6758A" w:rsidP="00D6758A">
      <w:pPr>
        <w:jc w:val="both"/>
        <w:rPr>
          <w:bCs/>
        </w:rPr>
      </w:pPr>
      <w:r w:rsidRPr="00444292">
        <w:rPr>
          <w:bCs/>
        </w:rPr>
        <w:t>Fig.A3-063 S-Plot of Tiluet HP v Purple CTC</w:t>
      </w:r>
      <w:r>
        <w:rPr>
          <w:bCs/>
        </w:rPr>
        <w:t>……………………………………………………………………………………..31</w:t>
      </w:r>
      <w:r w:rsidR="0092071A">
        <w:rPr>
          <w:bCs/>
        </w:rPr>
        <w:t>7</w:t>
      </w:r>
    </w:p>
    <w:p w:rsidR="00D6758A" w:rsidRDefault="00D6758A" w:rsidP="00D6758A">
      <w:pPr>
        <w:jc w:val="both"/>
        <w:rPr>
          <w:bCs/>
        </w:rPr>
      </w:pPr>
      <w:r w:rsidRPr="00444292">
        <w:rPr>
          <w:bCs/>
        </w:rPr>
        <w:t>Fig.A3-064 S-Plot of Tiluet HP v Tiluet MTH</w:t>
      </w:r>
      <w:r>
        <w:rPr>
          <w:bCs/>
        </w:rPr>
        <w:t>……………………………………………………………………………………..31</w:t>
      </w:r>
      <w:r w:rsidR="0092071A">
        <w:rPr>
          <w:bCs/>
        </w:rPr>
        <w:t>7</w:t>
      </w:r>
    </w:p>
    <w:p w:rsidR="00D6758A" w:rsidRDefault="00D6758A" w:rsidP="00D6758A">
      <w:pPr>
        <w:jc w:val="both"/>
        <w:rPr>
          <w:bCs/>
        </w:rPr>
      </w:pPr>
      <w:r w:rsidRPr="00444292">
        <w:rPr>
          <w:bCs/>
        </w:rPr>
        <w:t>Fig.A3-065 S-Plot of Tiluet MTH v Kijani DM</w:t>
      </w:r>
      <w:r>
        <w:rPr>
          <w:bCs/>
        </w:rPr>
        <w:t>…………………………………………………………….……………………..31</w:t>
      </w:r>
      <w:r w:rsidR="0092071A">
        <w:rPr>
          <w:bCs/>
        </w:rPr>
        <w:t>8</w:t>
      </w:r>
    </w:p>
    <w:p w:rsidR="00D6758A" w:rsidRDefault="00D6758A" w:rsidP="00D6758A">
      <w:pPr>
        <w:jc w:val="both"/>
        <w:rPr>
          <w:bCs/>
        </w:rPr>
      </w:pPr>
      <w:r w:rsidRPr="00444292">
        <w:rPr>
          <w:bCs/>
        </w:rPr>
        <w:t>Fig.A3-066 S-Plot of Waldemar Oolong v Extracts 652</w:t>
      </w:r>
      <w:r>
        <w:rPr>
          <w:bCs/>
        </w:rPr>
        <w:t>…………………………………………………………………….31</w:t>
      </w:r>
      <w:r w:rsidR="0092071A">
        <w:rPr>
          <w:bCs/>
        </w:rPr>
        <w:t>8</w:t>
      </w:r>
    </w:p>
    <w:p w:rsidR="00D6758A" w:rsidRDefault="00D6758A" w:rsidP="00D6758A">
      <w:pPr>
        <w:jc w:val="both"/>
        <w:rPr>
          <w:bCs/>
        </w:rPr>
      </w:pPr>
      <w:r w:rsidRPr="00444292">
        <w:rPr>
          <w:bCs/>
        </w:rPr>
        <w:t>Fig.A3-067 S-Plot of Waldemar Oolong v Kijani DM</w:t>
      </w:r>
      <w:r>
        <w:rPr>
          <w:bCs/>
        </w:rPr>
        <w:t>…………………………………………………………….………….3</w:t>
      </w:r>
      <w:r w:rsidR="00380DFC">
        <w:rPr>
          <w:bCs/>
        </w:rPr>
        <w:t>1</w:t>
      </w:r>
      <w:r w:rsidR="0092071A">
        <w:rPr>
          <w:bCs/>
        </w:rPr>
        <w:t>9</w:t>
      </w:r>
    </w:p>
    <w:p w:rsidR="00D6758A" w:rsidRDefault="00D6758A" w:rsidP="00D6758A">
      <w:pPr>
        <w:jc w:val="both"/>
        <w:rPr>
          <w:bCs/>
        </w:rPr>
      </w:pPr>
      <w:r w:rsidRPr="00444292">
        <w:rPr>
          <w:bCs/>
        </w:rPr>
        <w:t>Fig.A3-068 S-Plot of Waldemar Oolong v Milima GFBOP1</w:t>
      </w:r>
      <w:r>
        <w:rPr>
          <w:bCs/>
        </w:rPr>
        <w:t>……………………………………………………………….3</w:t>
      </w:r>
      <w:r w:rsidR="00380DFC">
        <w:rPr>
          <w:bCs/>
        </w:rPr>
        <w:t>1</w:t>
      </w:r>
      <w:r w:rsidR="0092071A">
        <w:rPr>
          <w:bCs/>
        </w:rPr>
        <w:t>9</w:t>
      </w:r>
    </w:p>
    <w:p w:rsidR="00D6758A" w:rsidRDefault="00D6758A" w:rsidP="00D6758A">
      <w:pPr>
        <w:jc w:val="both"/>
        <w:rPr>
          <w:bCs/>
        </w:rPr>
      </w:pPr>
      <w:r w:rsidRPr="00444292">
        <w:rPr>
          <w:bCs/>
        </w:rPr>
        <w:t>Fig.A3-069 S-Plot of Waldemar Oolong v Newburgh Hyson</w:t>
      </w:r>
      <w:proofErr w:type="gramStart"/>
      <w:r>
        <w:rPr>
          <w:bCs/>
        </w:rPr>
        <w:t>………………………………………………………..…</w:t>
      </w:r>
      <w:proofErr w:type="gramEnd"/>
      <w:r>
        <w:rPr>
          <w:bCs/>
        </w:rPr>
        <w:t>..3</w:t>
      </w:r>
      <w:r w:rsidR="0092071A">
        <w:rPr>
          <w:bCs/>
        </w:rPr>
        <w:t>20</w:t>
      </w:r>
    </w:p>
    <w:p w:rsidR="00D6758A" w:rsidRDefault="00D6758A" w:rsidP="00D6758A">
      <w:pPr>
        <w:jc w:val="both"/>
        <w:rPr>
          <w:bCs/>
        </w:rPr>
      </w:pPr>
      <w:r w:rsidRPr="00444292">
        <w:rPr>
          <w:bCs/>
        </w:rPr>
        <w:t>Fig.A3-070 S-Plot of Waldemar Oolong v Purple CTC</w:t>
      </w:r>
      <w:r>
        <w:rPr>
          <w:bCs/>
        </w:rPr>
        <w:t>…………………………………………………………….………..3</w:t>
      </w:r>
      <w:r w:rsidR="0092071A">
        <w:rPr>
          <w:bCs/>
        </w:rPr>
        <w:t>20</w:t>
      </w:r>
    </w:p>
    <w:p w:rsidR="00D6758A" w:rsidRDefault="00D6758A" w:rsidP="00D6758A">
      <w:pPr>
        <w:jc w:val="both"/>
        <w:rPr>
          <w:bCs/>
        </w:rPr>
      </w:pPr>
      <w:r w:rsidRPr="00E21907">
        <w:rPr>
          <w:bCs/>
        </w:rPr>
        <w:t>Fig.A3-071 S-Plot</w:t>
      </w:r>
      <w:r>
        <w:rPr>
          <w:bCs/>
        </w:rPr>
        <w:t xml:space="preserve"> of Waldemar Oolong v Tiluet HP……………………………………………………………….…………32</w:t>
      </w:r>
      <w:r w:rsidR="0092071A">
        <w:rPr>
          <w:bCs/>
        </w:rPr>
        <w:t>1</w:t>
      </w:r>
    </w:p>
    <w:p w:rsidR="00D6758A" w:rsidRDefault="00D6758A" w:rsidP="00D6758A">
      <w:pPr>
        <w:jc w:val="both"/>
        <w:rPr>
          <w:bCs/>
        </w:rPr>
      </w:pPr>
      <w:r w:rsidRPr="00E21907">
        <w:rPr>
          <w:bCs/>
        </w:rPr>
        <w:t>Fig.A3-072 S-Plot of Waldemar Oolong v Tiluet MTH</w:t>
      </w:r>
      <w:r>
        <w:rPr>
          <w:bCs/>
        </w:rPr>
        <w:t>………………………………………………………….…………..32</w:t>
      </w:r>
      <w:r w:rsidR="0092071A">
        <w:rPr>
          <w:bCs/>
        </w:rPr>
        <w:t>1</w:t>
      </w:r>
    </w:p>
    <w:p w:rsidR="00D6758A" w:rsidRDefault="00D6758A" w:rsidP="00D6758A">
      <w:pPr>
        <w:jc w:val="both"/>
        <w:rPr>
          <w:bCs/>
        </w:rPr>
      </w:pPr>
      <w:r w:rsidRPr="00E21907">
        <w:rPr>
          <w:bCs/>
        </w:rPr>
        <w:t>Fig.A3-073 VIP Chomogonday White and Extracts 652</w:t>
      </w:r>
      <w:r>
        <w:rPr>
          <w:bCs/>
        </w:rPr>
        <w:t>……………………………………………………………..…….32</w:t>
      </w:r>
      <w:r w:rsidR="0092071A">
        <w:rPr>
          <w:bCs/>
        </w:rPr>
        <w:t>2</w:t>
      </w:r>
    </w:p>
    <w:p w:rsidR="00D6758A" w:rsidRDefault="00D6758A" w:rsidP="00D6758A">
      <w:pPr>
        <w:jc w:val="both"/>
        <w:rPr>
          <w:bCs/>
        </w:rPr>
      </w:pPr>
      <w:r w:rsidRPr="00E21907">
        <w:rPr>
          <w:bCs/>
        </w:rPr>
        <w:t>Fig.A3-074 VIP Chomogonday White and Kijani DM</w:t>
      </w:r>
      <w:r>
        <w:rPr>
          <w:bCs/>
        </w:rPr>
        <w:t>………………………………………………………………………..32</w:t>
      </w:r>
      <w:r w:rsidR="0092071A">
        <w:rPr>
          <w:bCs/>
        </w:rPr>
        <w:t>2</w:t>
      </w:r>
    </w:p>
    <w:p w:rsidR="00D6758A" w:rsidRDefault="00D6758A" w:rsidP="00D6758A">
      <w:pPr>
        <w:jc w:val="both"/>
        <w:rPr>
          <w:bCs/>
        </w:rPr>
      </w:pPr>
      <w:r w:rsidRPr="00995DFA">
        <w:rPr>
          <w:bCs/>
        </w:rPr>
        <w:t>Fig.A3-075 VIP Chomogonday White and Milima GFBOP1</w:t>
      </w:r>
      <w:r>
        <w:rPr>
          <w:bCs/>
        </w:rPr>
        <w:t>…………………………………………………..………….32</w:t>
      </w:r>
      <w:r w:rsidR="0092071A">
        <w:rPr>
          <w:bCs/>
        </w:rPr>
        <w:t>3</w:t>
      </w:r>
    </w:p>
    <w:p w:rsidR="00D6758A" w:rsidRDefault="00D6758A" w:rsidP="00D6758A">
      <w:pPr>
        <w:jc w:val="both"/>
        <w:rPr>
          <w:bCs/>
        </w:rPr>
      </w:pPr>
      <w:r w:rsidRPr="00995DFA">
        <w:rPr>
          <w:bCs/>
        </w:rPr>
        <w:t>Fig.A3-076 VIP Chomogonday White and Newburgh Hyson</w:t>
      </w:r>
      <w:r>
        <w:rPr>
          <w:bCs/>
        </w:rPr>
        <w:t>……………………………………………………….……32</w:t>
      </w:r>
      <w:r w:rsidR="0092071A">
        <w:rPr>
          <w:bCs/>
        </w:rPr>
        <w:t>3</w:t>
      </w:r>
    </w:p>
    <w:p w:rsidR="00D6758A" w:rsidRDefault="00D6758A" w:rsidP="00D6758A">
      <w:pPr>
        <w:jc w:val="both"/>
        <w:rPr>
          <w:bCs/>
        </w:rPr>
      </w:pPr>
      <w:r w:rsidRPr="00995DFA">
        <w:rPr>
          <w:bCs/>
        </w:rPr>
        <w:t>Fig.A3-077 VIP Chomogonday White and Purple CTC</w:t>
      </w:r>
      <w:r>
        <w:rPr>
          <w:bCs/>
        </w:rPr>
        <w:t>……………………………………………………………………..32</w:t>
      </w:r>
      <w:r w:rsidR="0092071A">
        <w:rPr>
          <w:bCs/>
        </w:rPr>
        <w:t>4</w:t>
      </w:r>
    </w:p>
    <w:p w:rsidR="00D6758A" w:rsidRDefault="00D6758A" w:rsidP="00D6758A">
      <w:pPr>
        <w:jc w:val="both"/>
        <w:rPr>
          <w:bCs/>
        </w:rPr>
      </w:pPr>
      <w:r w:rsidRPr="00995DFA">
        <w:rPr>
          <w:bCs/>
        </w:rPr>
        <w:t>Fig.A3-078 VIP Chomogonday White and Tiluet HP</w:t>
      </w:r>
      <w:r>
        <w:rPr>
          <w:bCs/>
        </w:rPr>
        <w:t>…………………………………………………………………………32</w:t>
      </w:r>
      <w:r w:rsidR="0092071A">
        <w:rPr>
          <w:bCs/>
        </w:rPr>
        <w:t>4</w:t>
      </w:r>
    </w:p>
    <w:p w:rsidR="00D6758A" w:rsidRDefault="00D6758A" w:rsidP="00D6758A">
      <w:pPr>
        <w:jc w:val="both"/>
        <w:rPr>
          <w:bCs/>
        </w:rPr>
      </w:pPr>
      <w:r w:rsidRPr="00995DFA">
        <w:rPr>
          <w:bCs/>
        </w:rPr>
        <w:t>Fig.A3-078 VIP Chomogonday White and Tiluet MTH</w:t>
      </w:r>
      <w:r>
        <w:rPr>
          <w:bCs/>
        </w:rPr>
        <w:t>……………………………………………………………………..32</w:t>
      </w:r>
      <w:r w:rsidR="0092071A">
        <w:rPr>
          <w:bCs/>
        </w:rPr>
        <w:t>5</w:t>
      </w:r>
    </w:p>
    <w:p w:rsidR="00D6758A" w:rsidRDefault="00D6758A" w:rsidP="00D6758A">
      <w:pPr>
        <w:jc w:val="both"/>
        <w:rPr>
          <w:bCs/>
        </w:rPr>
      </w:pPr>
      <w:r w:rsidRPr="00995DFA">
        <w:rPr>
          <w:bCs/>
        </w:rPr>
        <w:t>Fig.A3-079 VIP Chomogonday White and Waldemar Oolong</w:t>
      </w:r>
      <w:proofErr w:type="gramStart"/>
      <w:r>
        <w:rPr>
          <w:bCs/>
        </w:rPr>
        <w:t>……………………………………..…………………</w:t>
      </w:r>
      <w:proofErr w:type="gramEnd"/>
      <w:r>
        <w:rPr>
          <w:bCs/>
        </w:rPr>
        <w:t>..32</w:t>
      </w:r>
      <w:r w:rsidR="0092071A">
        <w:rPr>
          <w:bCs/>
        </w:rPr>
        <w:t>5</w:t>
      </w:r>
    </w:p>
    <w:p w:rsidR="00D6758A" w:rsidRDefault="00D6758A" w:rsidP="00D6758A">
      <w:pPr>
        <w:jc w:val="both"/>
        <w:rPr>
          <w:bCs/>
        </w:rPr>
      </w:pPr>
      <w:r w:rsidRPr="00995DFA">
        <w:rPr>
          <w:bCs/>
        </w:rPr>
        <w:t>Fig.A3-080 VIP Extracts 652 and Purple CTC</w:t>
      </w:r>
      <w:r>
        <w:rPr>
          <w:bCs/>
        </w:rPr>
        <w:t>……………………………………………………………….…………………..32</w:t>
      </w:r>
      <w:r w:rsidR="0092071A">
        <w:rPr>
          <w:bCs/>
        </w:rPr>
        <w:t>6</w:t>
      </w:r>
    </w:p>
    <w:p w:rsidR="00D6758A" w:rsidRDefault="00D6758A" w:rsidP="00D6758A">
      <w:pPr>
        <w:jc w:val="both"/>
        <w:rPr>
          <w:bCs/>
        </w:rPr>
      </w:pPr>
      <w:r w:rsidRPr="00995DFA">
        <w:rPr>
          <w:bCs/>
        </w:rPr>
        <w:t>Fig.A3-081 VIP Extracts 652 and Tiluet HP</w:t>
      </w:r>
      <w:r>
        <w:rPr>
          <w:bCs/>
        </w:rPr>
        <w:t>……………………………………………………………………………………….32</w:t>
      </w:r>
      <w:r w:rsidR="0092071A">
        <w:rPr>
          <w:bCs/>
        </w:rPr>
        <w:t>6</w:t>
      </w:r>
    </w:p>
    <w:p w:rsidR="00D6758A" w:rsidRDefault="00D6758A" w:rsidP="00D6758A">
      <w:pPr>
        <w:jc w:val="both"/>
        <w:rPr>
          <w:bCs/>
        </w:rPr>
      </w:pPr>
      <w:r w:rsidRPr="00995DFA">
        <w:rPr>
          <w:bCs/>
        </w:rPr>
        <w:t>Fig.A3-082 VIP Extracts 652 and Tiluet MTH</w:t>
      </w:r>
      <w:r>
        <w:rPr>
          <w:bCs/>
        </w:rPr>
        <w:t>…………………………………………………………………………….……..32</w:t>
      </w:r>
      <w:r w:rsidR="0092071A">
        <w:rPr>
          <w:bCs/>
        </w:rPr>
        <w:t>7</w:t>
      </w:r>
    </w:p>
    <w:p w:rsidR="00D6758A" w:rsidRDefault="00D6758A" w:rsidP="00D6758A">
      <w:pPr>
        <w:jc w:val="both"/>
        <w:rPr>
          <w:bCs/>
        </w:rPr>
      </w:pPr>
      <w:r w:rsidRPr="00995DFA">
        <w:rPr>
          <w:bCs/>
        </w:rPr>
        <w:t>Fig.A3-083 VIP Extracts 652 and Kijani DM</w:t>
      </w:r>
      <w:r>
        <w:rPr>
          <w:bCs/>
        </w:rPr>
        <w:t>……………………………………………………………………….…………….32</w:t>
      </w:r>
      <w:r w:rsidR="0092071A">
        <w:rPr>
          <w:bCs/>
        </w:rPr>
        <w:t>7</w:t>
      </w:r>
    </w:p>
    <w:p w:rsidR="00D6758A" w:rsidRDefault="00D6758A" w:rsidP="00D6758A">
      <w:pPr>
        <w:jc w:val="both"/>
        <w:rPr>
          <w:bCs/>
        </w:rPr>
      </w:pPr>
      <w:r w:rsidRPr="00AA160D">
        <w:rPr>
          <w:bCs/>
        </w:rPr>
        <w:t>Fig.A3-084 VIP Extracts 652 and Milima GFBOP1</w:t>
      </w:r>
      <w:r>
        <w:rPr>
          <w:bCs/>
        </w:rPr>
        <w:t>…………………………………………………………………….………32</w:t>
      </w:r>
      <w:r w:rsidR="0092071A">
        <w:rPr>
          <w:bCs/>
        </w:rPr>
        <w:t>8</w:t>
      </w:r>
    </w:p>
    <w:p w:rsidR="00D6758A" w:rsidRDefault="00D6758A" w:rsidP="00D6758A">
      <w:pPr>
        <w:jc w:val="both"/>
        <w:rPr>
          <w:bCs/>
        </w:rPr>
      </w:pPr>
      <w:r w:rsidRPr="00AA160D">
        <w:rPr>
          <w:bCs/>
        </w:rPr>
        <w:t>Fig.A3-085 VIP Milima GFBOP1 and Kijani DM</w:t>
      </w:r>
      <w:r>
        <w:rPr>
          <w:bCs/>
        </w:rPr>
        <w:t>………………………………………………………….…………………….32</w:t>
      </w:r>
      <w:r w:rsidR="0092071A">
        <w:rPr>
          <w:bCs/>
        </w:rPr>
        <w:t>8</w:t>
      </w:r>
    </w:p>
    <w:p w:rsidR="00D6758A" w:rsidRDefault="00D6758A" w:rsidP="00D6758A">
      <w:pPr>
        <w:jc w:val="both"/>
        <w:rPr>
          <w:bCs/>
        </w:rPr>
      </w:pPr>
      <w:r w:rsidRPr="00AA160D">
        <w:rPr>
          <w:bCs/>
        </w:rPr>
        <w:t>Fig.A3-086 VIP Milima GFBOP1 and Purple CTC</w:t>
      </w:r>
      <w:r>
        <w:rPr>
          <w:bCs/>
        </w:rPr>
        <w:t>…………………………………………………………….………………..3</w:t>
      </w:r>
      <w:r w:rsidR="00380DFC">
        <w:rPr>
          <w:bCs/>
        </w:rPr>
        <w:t>2</w:t>
      </w:r>
      <w:r w:rsidR="0092071A">
        <w:rPr>
          <w:bCs/>
        </w:rPr>
        <w:t>9</w:t>
      </w:r>
    </w:p>
    <w:p w:rsidR="00D6758A" w:rsidRDefault="00D6758A" w:rsidP="00D6758A">
      <w:pPr>
        <w:jc w:val="both"/>
        <w:rPr>
          <w:bCs/>
        </w:rPr>
      </w:pPr>
      <w:r w:rsidRPr="00AA160D">
        <w:rPr>
          <w:bCs/>
        </w:rPr>
        <w:t>Fig.A3-087 VIP Milima GFBOP1 and Tiluet MTH</w:t>
      </w:r>
      <w:r>
        <w:rPr>
          <w:bCs/>
        </w:rPr>
        <w:t>………………………………………………………………………………3</w:t>
      </w:r>
      <w:r w:rsidR="00380DFC">
        <w:rPr>
          <w:bCs/>
        </w:rPr>
        <w:t>2</w:t>
      </w:r>
      <w:r w:rsidR="0092071A">
        <w:rPr>
          <w:bCs/>
        </w:rPr>
        <w:t>9</w:t>
      </w:r>
    </w:p>
    <w:p w:rsidR="00D6758A" w:rsidRDefault="00D6758A" w:rsidP="00D6758A">
      <w:pPr>
        <w:jc w:val="both"/>
        <w:rPr>
          <w:bCs/>
        </w:rPr>
      </w:pPr>
      <w:r w:rsidRPr="00AA160D">
        <w:rPr>
          <w:bCs/>
        </w:rPr>
        <w:t>Fig.A3-088 VIP Newburgh Hyson and Tiluet HP</w:t>
      </w:r>
      <w:r>
        <w:rPr>
          <w:bCs/>
        </w:rPr>
        <w:t>……………………………………………………………………….………3</w:t>
      </w:r>
      <w:r w:rsidR="0092071A">
        <w:rPr>
          <w:bCs/>
        </w:rPr>
        <w:t>30</w:t>
      </w:r>
    </w:p>
    <w:p w:rsidR="00D6758A" w:rsidRDefault="00D6758A" w:rsidP="00D6758A">
      <w:pPr>
        <w:jc w:val="both"/>
        <w:rPr>
          <w:bCs/>
        </w:rPr>
      </w:pPr>
      <w:r w:rsidRPr="00A00B32">
        <w:rPr>
          <w:bCs/>
        </w:rPr>
        <w:t>Fig.A3-089 VIP Newburgh Hyson and Extracts 652</w:t>
      </w:r>
      <w:r>
        <w:rPr>
          <w:bCs/>
        </w:rPr>
        <w:t>………………………………………………………….………………3</w:t>
      </w:r>
      <w:r w:rsidR="0092071A">
        <w:rPr>
          <w:bCs/>
        </w:rPr>
        <w:t>30</w:t>
      </w:r>
    </w:p>
    <w:p w:rsidR="00D6758A" w:rsidRDefault="00D6758A" w:rsidP="00D6758A">
      <w:pPr>
        <w:jc w:val="both"/>
        <w:rPr>
          <w:bCs/>
        </w:rPr>
      </w:pPr>
      <w:r w:rsidRPr="00A00B32">
        <w:rPr>
          <w:bCs/>
        </w:rPr>
        <w:lastRenderedPageBreak/>
        <w:t>Fig.A3-090 VIP Newburgh Hyson and Kijani DM</w:t>
      </w:r>
      <w:r>
        <w:rPr>
          <w:bCs/>
        </w:rPr>
        <w:t>…</w:t>
      </w:r>
      <w:r w:rsidR="00380DFC">
        <w:rPr>
          <w:bCs/>
        </w:rPr>
        <w:t>……………………………………………………………………………33</w:t>
      </w:r>
      <w:r w:rsidR="0092071A">
        <w:rPr>
          <w:bCs/>
        </w:rPr>
        <w:t>1</w:t>
      </w:r>
    </w:p>
    <w:p w:rsidR="00D6758A" w:rsidRDefault="00D6758A" w:rsidP="00D6758A">
      <w:pPr>
        <w:jc w:val="both"/>
        <w:rPr>
          <w:bCs/>
        </w:rPr>
      </w:pPr>
      <w:r w:rsidRPr="00A00B32">
        <w:rPr>
          <w:bCs/>
        </w:rPr>
        <w:t>Fig.A3-091 VIP Newburgh Hyson and Milima GFBOP1</w:t>
      </w:r>
      <w:proofErr w:type="gramStart"/>
      <w:r>
        <w:rPr>
          <w:bCs/>
        </w:rPr>
        <w:t>……………………………………………………………..……</w:t>
      </w:r>
      <w:proofErr w:type="gramEnd"/>
      <w:r>
        <w:rPr>
          <w:bCs/>
        </w:rPr>
        <w:t>..33</w:t>
      </w:r>
      <w:r w:rsidR="0092071A">
        <w:rPr>
          <w:bCs/>
        </w:rPr>
        <w:t>1</w:t>
      </w:r>
    </w:p>
    <w:p w:rsidR="00D6758A" w:rsidRDefault="00D6758A" w:rsidP="00D6758A">
      <w:pPr>
        <w:jc w:val="both"/>
        <w:rPr>
          <w:bCs/>
        </w:rPr>
      </w:pPr>
      <w:r w:rsidRPr="00A00B32">
        <w:rPr>
          <w:bCs/>
        </w:rPr>
        <w:t>Fig.A3-092 VIP Newburgh Hyson and Purple CTC</w:t>
      </w:r>
      <w:r>
        <w:rPr>
          <w:bCs/>
        </w:rPr>
        <w:t>………………………………………………………………….………..33</w:t>
      </w:r>
      <w:r w:rsidR="0092071A">
        <w:rPr>
          <w:bCs/>
        </w:rPr>
        <w:t>2</w:t>
      </w:r>
    </w:p>
    <w:p w:rsidR="00D6758A" w:rsidRPr="00A00B32" w:rsidRDefault="00D6758A" w:rsidP="00D6758A">
      <w:pPr>
        <w:jc w:val="both"/>
        <w:rPr>
          <w:bCs/>
        </w:rPr>
      </w:pPr>
      <w:r w:rsidRPr="00A00B32">
        <w:rPr>
          <w:bCs/>
        </w:rPr>
        <w:t>Fig.A3-093 VIP Newburgh Hyson and Tiluet MTH</w:t>
      </w:r>
      <w:r>
        <w:rPr>
          <w:bCs/>
        </w:rPr>
        <w:t>……………………………………………………………………………33</w:t>
      </w:r>
      <w:r w:rsidR="0092071A">
        <w:rPr>
          <w:bCs/>
        </w:rPr>
        <w:t>2</w:t>
      </w:r>
    </w:p>
    <w:p w:rsidR="00D6758A" w:rsidRDefault="00D6758A" w:rsidP="00D6758A">
      <w:pPr>
        <w:jc w:val="both"/>
        <w:rPr>
          <w:bCs/>
        </w:rPr>
      </w:pPr>
      <w:r w:rsidRPr="001B180D">
        <w:rPr>
          <w:bCs/>
        </w:rPr>
        <w:t>Fig.A3-094 VIP Purple CTC and Kijani DM</w:t>
      </w:r>
      <w:r>
        <w:rPr>
          <w:bCs/>
        </w:rPr>
        <w:t>………………………………………………………………………….…………….33</w:t>
      </w:r>
      <w:r w:rsidR="0092071A">
        <w:rPr>
          <w:bCs/>
        </w:rPr>
        <w:t>3</w:t>
      </w:r>
    </w:p>
    <w:p w:rsidR="00D6758A" w:rsidRDefault="00D6758A" w:rsidP="00D6758A">
      <w:pPr>
        <w:jc w:val="both"/>
        <w:rPr>
          <w:bCs/>
        </w:rPr>
      </w:pPr>
      <w:r w:rsidRPr="001B180D">
        <w:rPr>
          <w:bCs/>
        </w:rPr>
        <w:t>Fig.A3-095 VIP Purple CTC and Tiluet MTH</w:t>
      </w:r>
      <w:r>
        <w:rPr>
          <w:bCs/>
        </w:rPr>
        <w:t>………………………………………………………………………………………33</w:t>
      </w:r>
      <w:r w:rsidR="0092071A">
        <w:rPr>
          <w:bCs/>
        </w:rPr>
        <w:t>3</w:t>
      </w:r>
    </w:p>
    <w:p w:rsidR="00D6758A" w:rsidRDefault="00D6758A" w:rsidP="00D6758A">
      <w:pPr>
        <w:jc w:val="both"/>
        <w:rPr>
          <w:bCs/>
        </w:rPr>
      </w:pPr>
      <w:r w:rsidRPr="001B2B98">
        <w:rPr>
          <w:bCs/>
        </w:rPr>
        <w:t>Fig.A3-096 VIP Tiluet HP and Kijani DM</w:t>
      </w:r>
      <w:r>
        <w:rPr>
          <w:bCs/>
        </w:rPr>
        <w:t>………………………………………………………………………….……………….33</w:t>
      </w:r>
      <w:r w:rsidR="0092071A">
        <w:rPr>
          <w:bCs/>
        </w:rPr>
        <w:t>4</w:t>
      </w:r>
    </w:p>
    <w:p w:rsidR="00D6758A" w:rsidRDefault="00D6758A" w:rsidP="00D6758A">
      <w:pPr>
        <w:jc w:val="both"/>
        <w:rPr>
          <w:bCs/>
        </w:rPr>
      </w:pPr>
      <w:r w:rsidRPr="001B2B98">
        <w:rPr>
          <w:bCs/>
        </w:rPr>
        <w:t>Fig.A3-097 VIP Tiluet HP and Tiluet MTH</w:t>
      </w:r>
      <w:r>
        <w:rPr>
          <w:bCs/>
        </w:rPr>
        <w:t>……………………………………………………………………………….………..33</w:t>
      </w:r>
      <w:r w:rsidR="0092071A">
        <w:rPr>
          <w:bCs/>
        </w:rPr>
        <w:t>4</w:t>
      </w:r>
    </w:p>
    <w:p w:rsidR="00D6758A" w:rsidRDefault="00D6758A" w:rsidP="00D6758A">
      <w:pPr>
        <w:jc w:val="both"/>
        <w:rPr>
          <w:bCs/>
        </w:rPr>
      </w:pPr>
      <w:r w:rsidRPr="001B2B98">
        <w:rPr>
          <w:bCs/>
        </w:rPr>
        <w:t>Fig.A3-098 VIP Tiluet HP and Milima GFBOP1</w:t>
      </w:r>
      <w:r>
        <w:rPr>
          <w:bCs/>
        </w:rPr>
        <w:t>……………………………………………………………….………………..33</w:t>
      </w:r>
      <w:r w:rsidR="0092071A">
        <w:rPr>
          <w:bCs/>
        </w:rPr>
        <w:t>5</w:t>
      </w:r>
    </w:p>
    <w:p w:rsidR="00D6758A" w:rsidRDefault="00D6758A" w:rsidP="00D6758A">
      <w:pPr>
        <w:jc w:val="both"/>
        <w:rPr>
          <w:bCs/>
        </w:rPr>
      </w:pPr>
      <w:r w:rsidRPr="001B2B98">
        <w:rPr>
          <w:bCs/>
        </w:rPr>
        <w:t>Fig.A3-099 VIP Tiluet HP and Purple CTC</w:t>
      </w:r>
      <w:r>
        <w:rPr>
          <w:bCs/>
        </w:rPr>
        <w:t>…………………………………………………………………….…………………..33</w:t>
      </w:r>
      <w:r w:rsidR="0092071A">
        <w:rPr>
          <w:bCs/>
        </w:rPr>
        <w:t>5</w:t>
      </w:r>
    </w:p>
    <w:p w:rsidR="00D6758A" w:rsidRDefault="00D6758A" w:rsidP="00D6758A">
      <w:pPr>
        <w:jc w:val="both"/>
        <w:rPr>
          <w:bCs/>
        </w:rPr>
      </w:pPr>
      <w:r w:rsidRPr="001B2B98">
        <w:rPr>
          <w:bCs/>
        </w:rPr>
        <w:t>Fig.A3-100 VIP Tiluet HP and Kijani DM</w:t>
      </w:r>
      <w:r>
        <w:rPr>
          <w:bCs/>
        </w:rPr>
        <w:t>……………………………………………………………………………………….….33</w:t>
      </w:r>
      <w:r w:rsidR="0092071A">
        <w:rPr>
          <w:bCs/>
        </w:rPr>
        <w:t>6</w:t>
      </w:r>
    </w:p>
    <w:p w:rsidR="00D6758A" w:rsidRDefault="00D6758A" w:rsidP="00D6758A">
      <w:pPr>
        <w:jc w:val="both"/>
        <w:rPr>
          <w:bCs/>
        </w:rPr>
      </w:pPr>
      <w:r w:rsidRPr="001B2B98">
        <w:rPr>
          <w:bCs/>
        </w:rPr>
        <w:t>Fig.A3-101 VIP Waldemar Oolong and Tiluet MTH</w:t>
      </w:r>
      <w:proofErr w:type="gramStart"/>
      <w:r>
        <w:rPr>
          <w:bCs/>
        </w:rPr>
        <w:t>……………………………………………………………………..…</w:t>
      </w:r>
      <w:proofErr w:type="gramEnd"/>
      <w:r>
        <w:rPr>
          <w:bCs/>
        </w:rPr>
        <w:t>..33</w:t>
      </w:r>
      <w:r w:rsidR="0092071A">
        <w:rPr>
          <w:bCs/>
        </w:rPr>
        <w:t>6</w:t>
      </w:r>
    </w:p>
    <w:p w:rsidR="00D6758A" w:rsidRDefault="00D6758A" w:rsidP="00D6758A">
      <w:pPr>
        <w:jc w:val="both"/>
        <w:rPr>
          <w:bCs/>
        </w:rPr>
      </w:pPr>
      <w:r w:rsidRPr="002D1394">
        <w:rPr>
          <w:bCs/>
        </w:rPr>
        <w:t>Fig.A3-102 VIP Waldemar Oolong and Extracts 652</w:t>
      </w:r>
      <w:r>
        <w:rPr>
          <w:bCs/>
        </w:rPr>
        <w:t>………………………………………………………………………..33</w:t>
      </w:r>
      <w:r w:rsidR="000F5018">
        <w:rPr>
          <w:bCs/>
        </w:rPr>
        <w:t>7</w:t>
      </w:r>
    </w:p>
    <w:p w:rsidR="00D6758A" w:rsidRDefault="00D6758A" w:rsidP="00D6758A">
      <w:pPr>
        <w:jc w:val="both"/>
        <w:rPr>
          <w:bCs/>
        </w:rPr>
      </w:pPr>
      <w:r w:rsidRPr="002D1394">
        <w:rPr>
          <w:bCs/>
        </w:rPr>
        <w:t>Fig.A3-103 VIP Waldemar Oolong and Kijani DM</w:t>
      </w:r>
      <w:r>
        <w:rPr>
          <w:bCs/>
        </w:rPr>
        <w:t>…………………………………………………………………………....33</w:t>
      </w:r>
      <w:r w:rsidR="000F5018">
        <w:rPr>
          <w:bCs/>
        </w:rPr>
        <w:t>7</w:t>
      </w:r>
    </w:p>
    <w:p w:rsidR="00D6758A" w:rsidRDefault="00D6758A" w:rsidP="00D6758A">
      <w:pPr>
        <w:jc w:val="both"/>
        <w:rPr>
          <w:bCs/>
        </w:rPr>
      </w:pPr>
      <w:r w:rsidRPr="002D1394">
        <w:rPr>
          <w:bCs/>
        </w:rPr>
        <w:t>Fig.A3-104 VIP Waldemar Oolong and Milima GFBOP1</w:t>
      </w:r>
      <w:r>
        <w:rPr>
          <w:bCs/>
        </w:rPr>
        <w:t>……………………………………………….………………….33</w:t>
      </w:r>
      <w:r w:rsidR="000F5018">
        <w:rPr>
          <w:bCs/>
        </w:rPr>
        <w:t>8</w:t>
      </w:r>
    </w:p>
    <w:p w:rsidR="00D6758A" w:rsidRDefault="00D6758A" w:rsidP="00D6758A">
      <w:pPr>
        <w:jc w:val="both"/>
        <w:rPr>
          <w:bCs/>
        </w:rPr>
      </w:pPr>
      <w:r w:rsidRPr="002D1394">
        <w:rPr>
          <w:bCs/>
        </w:rPr>
        <w:t>Fig.A3-105 VIP Waldemar Oolong and Newburgh Hyson</w:t>
      </w:r>
      <w:r>
        <w:rPr>
          <w:bCs/>
        </w:rPr>
        <w:t>………………………………………………………..……….33</w:t>
      </w:r>
      <w:r w:rsidR="000F5018">
        <w:rPr>
          <w:bCs/>
        </w:rPr>
        <w:t>8</w:t>
      </w:r>
    </w:p>
    <w:p w:rsidR="00D6758A" w:rsidRDefault="00D6758A" w:rsidP="00D6758A">
      <w:pPr>
        <w:jc w:val="both"/>
        <w:rPr>
          <w:bCs/>
        </w:rPr>
      </w:pPr>
      <w:r w:rsidRPr="002D1394">
        <w:rPr>
          <w:bCs/>
        </w:rPr>
        <w:t>Fig.A3-106 VIP Waldemar Oolong and Purple CTC</w:t>
      </w:r>
      <w:r>
        <w:rPr>
          <w:bCs/>
        </w:rPr>
        <w:t>………………………………………………………….……………….3</w:t>
      </w:r>
      <w:r w:rsidR="00380DFC">
        <w:rPr>
          <w:bCs/>
        </w:rPr>
        <w:t>3</w:t>
      </w:r>
      <w:r w:rsidR="000F5018">
        <w:rPr>
          <w:bCs/>
        </w:rPr>
        <w:t>9</w:t>
      </w:r>
    </w:p>
    <w:p w:rsidR="00D6758A" w:rsidRDefault="00D6758A" w:rsidP="00D6758A">
      <w:pPr>
        <w:jc w:val="both"/>
        <w:rPr>
          <w:bCs/>
        </w:rPr>
      </w:pPr>
      <w:r w:rsidRPr="002D1394">
        <w:rPr>
          <w:bCs/>
        </w:rPr>
        <w:t>Fig.A3-107 VIP Waldemar Oolong and Tiluet HP</w:t>
      </w:r>
      <w:r>
        <w:rPr>
          <w:bCs/>
        </w:rPr>
        <w:t>…………………………………………………………..…………………3</w:t>
      </w:r>
      <w:r w:rsidR="00380DFC">
        <w:rPr>
          <w:bCs/>
        </w:rPr>
        <w:t>3</w:t>
      </w:r>
      <w:r w:rsidR="000F5018">
        <w:rPr>
          <w:bCs/>
        </w:rPr>
        <w:t>9</w:t>
      </w:r>
    </w:p>
    <w:p w:rsidR="00D6758A" w:rsidRDefault="00D6758A" w:rsidP="00D6758A">
      <w:pPr>
        <w:jc w:val="both"/>
        <w:rPr>
          <w:bCs/>
        </w:rPr>
      </w:pPr>
      <w:r w:rsidRPr="002D1394">
        <w:rPr>
          <w:bCs/>
        </w:rPr>
        <w:t>Fig.A3-108 MS spectrum of Theaflavin</w:t>
      </w:r>
      <w:r>
        <w:rPr>
          <w:bCs/>
        </w:rPr>
        <w:t>……………………………………………………………………………………………3</w:t>
      </w:r>
      <w:r w:rsidR="000F5018">
        <w:rPr>
          <w:bCs/>
        </w:rPr>
        <w:t>40</w:t>
      </w:r>
    </w:p>
    <w:p w:rsidR="00D6758A" w:rsidRDefault="00D6758A" w:rsidP="00D6758A">
      <w:pPr>
        <w:jc w:val="both"/>
        <w:rPr>
          <w:bCs/>
        </w:rPr>
      </w:pPr>
      <w:r w:rsidRPr="002D1394">
        <w:rPr>
          <w:bCs/>
        </w:rPr>
        <w:t>Fig.A3-109 MS spectrum of Theaflavin mono gallate</w:t>
      </w:r>
      <w:r>
        <w:rPr>
          <w:bCs/>
        </w:rPr>
        <w:t>……………………………………………………………….……..3</w:t>
      </w:r>
      <w:r w:rsidR="000F5018">
        <w:rPr>
          <w:bCs/>
        </w:rPr>
        <w:t>40</w:t>
      </w:r>
    </w:p>
    <w:p w:rsidR="00D6758A" w:rsidRDefault="00D6758A" w:rsidP="00D6758A">
      <w:pPr>
        <w:jc w:val="both"/>
        <w:rPr>
          <w:bCs/>
        </w:rPr>
      </w:pPr>
      <w:r w:rsidRPr="002D1394">
        <w:rPr>
          <w:bCs/>
        </w:rPr>
        <w:t>Fig.A3-110 MS spectrum of Theasinensin B</w:t>
      </w:r>
      <w:proofErr w:type="gramStart"/>
      <w:r>
        <w:rPr>
          <w:bCs/>
        </w:rPr>
        <w:t>……………………………………………………………………………..……</w:t>
      </w:r>
      <w:proofErr w:type="gramEnd"/>
      <w:r>
        <w:rPr>
          <w:bCs/>
        </w:rPr>
        <w:t>..3</w:t>
      </w:r>
      <w:r w:rsidR="000F5018">
        <w:rPr>
          <w:bCs/>
        </w:rPr>
        <w:t>40</w:t>
      </w:r>
    </w:p>
    <w:p w:rsidR="00D6758A" w:rsidRDefault="00D6758A" w:rsidP="00D6758A">
      <w:pPr>
        <w:jc w:val="both"/>
        <w:rPr>
          <w:bCs/>
        </w:rPr>
      </w:pPr>
      <w:r w:rsidRPr="002D1394">
        <w:rPr>
          <w:bCs/>
        </w:rPr>
        <w:t>Fig.A3-111 MS spectrum of Theasinensin C</w:t>
      </w:r>
      <w:proofErr w:type="gramStart"/>
      <w:r>
        <w:rPr>
          <w:bCs/>
        </w:rPr>
        <w:t>………………………………………………………………………..…………</w:t>
      </w:r>
      <w:proofErr w:type="gramEnd"/>
      <w:r>
        <w:rPr>
          <w:bCs/>
        </w:rPr>
        <w:t>..3</w:t>
      </w:r>
      <w:r w:rsidR="000F5018">
        <w:rPr>
          <w:bCs/>
        </w:rPr>
        <w:t>40</w:t>
      </w:r>
    </w:p>
    <w:p w:rsidR="00D6758A" w:rsidRDefault="00D6758A" w:rsidP="00D6758A">
      <w:pPr>
        <w:jc w:val="both"/>
        <w:rPr>
          <w:bCs/>
          <w:lang w:val="en"/>
        </w:rPr>
      </w:pPr>
      <w:r w:rsidRPr="002D1394">
        <w:rPr>
          <w:bCs/>
          <w:lang w:val="en"/>
        </w:rPr>
        <w:t xml:space="preserve">Fig.A3-112 S-Plot highlighting 745.1420 m/z for Kijani DM v Purple CTC </w:t>
      </w:r>
      <w:r>
        <w:rPr>
          <w:bCs/>
          <w:lang w:val="en"/>
        </w:rPr>
        <w:t>&amp;</w:t>
      </w:r>
      <w:r w:rsidRPr="002D1394">
        <w:rPr>
          <w:bCs/>
          <w:lang w:val="en"/>
        </w:rPr>
        <w:t xml:space="preserve"> a variable trend plot</w:t>
      </w:r>
      <w:r>
        <w:rPr>
          <w:bCs/>
          <w:lang w:val="en"/>
        </w:rPr>
        <w:t>….....34</w:t>
      </w:r>
      <w:r w:rsidR="000F5018">
        <w:rPr>
          <w:bCs/>
          <w:lang w:val="en"/>
        </w:rPr>
        <w:t>1</w:t>
      </w:r>
    </w:p>
    <w:p w:rsidR="00D6758A" w:rsidRDefault="00D6758A" w:rsidP="00D6758A">
      <w:pPr>
        <w:jc w:val="both"/>
        <w:rPr>
          <w:bCs/>
          <w:lang w:val="en"/>
        </w:rPr>
      </w:pPr>
      <w:r w:rsidRPr="002D1394">
        <w:rPr>
          <w:bCs/>
          <w:lang w:val="en"/>
        </w:rPr>
        <w:t xml:space="preserve">Fig.A3-113 S-Plot highlighting 786.0923 m/z for Kijani DM v Purple CTC </w:t>
      </w:r>
      <w:r>
        <w:rPr>
          <w:bCs/>
          <w:lang w:val="en"/>
        </w:rPr>
        <w:t>&amp;</w:t>
      </w:r>
      <w:r w:rsidRPr="002D1394">
        <w:rPr>
          <w:bCs/>
          <w:lang w:val="en"/>
        </w:rPr>
        <w:t xml:space="preserve"> a variable trend plot</w:t>
      </w:r>
      <w:r>
        <w:rPr>
          <w:bCs/>
          <w:lang w:val="en"/>
        </w:rPr>
        <w:t>……..34</w:t>
      </w:r>
      <w:r w:rsidR="000F5018">
        <w:rPr>
          <w:bCs/>
          <w:lang w:val="en"/>
        </w:rPr>
        <w:t>1</w:t>
      </w:r>
    </w:p>
    <w:p w:rsidR="00D6758A" w:rsidRDefault="00D6758A" w:rsidP="00D6758A">
      <w:pPr>
        <w:jc w:val="both"/>
        <w:rPr>
          <w:bCs/>
          <w:lang w:val="en"/>
        </w:rPr>
      </w:pPr>
      <w:r w:rsidRPr="002D1394">
        <w:rPr>
          <w:bCs/>
          <w:lang w:val="en"/>
        </w:rPr>
        <w:t>Fig.A3-114 S-Plot highlighting 192.0269Da for Kijani DM v Newburgh Hyson</w:t>
      </w:r>
      <w:r>
        <w:rPr>
          <w:bCs/>
          <w:lang w:val="en"/>
        </w:rPr>
        <w:t xml:space="preserve"> &amp;</w:t>
      </w:r>
      <w:r w:rsidRPr="002D1394">
        <w:rPr>
          <w:bCs/>
          <w:lang w:val="en"/>
        </w:rPr>
        <w:t xml:space="preserve"> a </w:t>
      </w:r>
      <w:r>
        <w:rPr>
          <w:bCs/>
          <w:lang w:val="en"/>
        </w:rPr>
        <w:t>VT</w:t>
      </w:r>
      <w:r w:rsidRPr="002D1394">
        <w:rPr>
          <w:bCs/>
          <w:lang w:val="en"/>
        </w:rPr>
        <w:t xml:space="preserve"> plot</w:t>
      </w:r>
      <w:r>
        <w:rPr>
          <w:bCs/>
          <w:lang w:val="en"/>
        </w:rPr>
        <w:t>………………..34</w:t>
      </w:r>
      <w:r w:rsidR="000F5018">
        <w:rPr>
          <w:bCs/>
          <w:lang w:val="en"/>
        </w:rPr>
        <w:t>2</w:t>
      </w:r>
    </w:p>
    <w:p w:rsidR="00D6758A" w:rsidRDefault="00D6758A" w:rsidP="00D6758A">
      <w:pPr>
        <w:jc w:val="both"/>
        <w:rPr>
          <w:bCs/>
          <w:lang w:val="en"/>
        </w:rPr>
      </w:pPr>
      <w:r w:rsidRPr="001D0E54">
        <w:rPr>
          <w:bCs/>
          <w:lang w:val="en"/>
        </w:rPr>
        <w:t xml:space="preserve">Fig.A3-115 S-Plot highlighting 210.0740Da for Kijani DM v Newburgh Hyson </w:t>
      </w:r>
      <w:r>
        <w:rPr>
          <w:bCs/>
          <w:lang w:val="en"/>
        </w:rPr>
        <w:t>&amp;</w:t>
      </w:r>
      <w:r w:rsidRPr="001D0E54">
        <w:rPr>
          <w:bCs/>
          <w:lang w:val="en"/>
        </w:rPr>
        <w:t xml:space="preserve"> a </w:t>
      </w:r>
      <w:r>
        <w:rPr>
          <w:bCs/>
          <w:lang w:val="en"/>
        </w:rPr>
        <w:t>VT</w:t>
      </w:r>
      <w:r w:rsidRPr="001D0E54">
        <w:rPr>
          <w:bCs/>
          <w:lang w:val="en"/>
        </w:rPr>
        <w:t xml:space="preserve"> plot</w:t>
      </w:r>
      <w:r>
        <w:rPr>
          <w:bCs/>
          <w:lang w:val="en"/>
        </w:rPr>
        <w:t>………………..34</w:t>
      </w:r>
      <w:r w:rsidR="000F5018">
        <w:rPr>
          <w:bCs/>
          <w:lang w:val="en"/>
        </w:rPr>
        <w:t>2</w:t>
      </w:r>
    </w:p>
    <w:p w:rsidR="00D6758A" w:rsidRDefault="00D6758A" w:rsidP="00D6758A">
      <w:pPr>
        <w:jc w:val="both"/>
        <w:rPr>
          <w:bCs/>
          <w:lang w:val="en"/>
        </w:rPr>
      </w:pPr>
      <w:r w:rsidRPr="00511D3A">
        <w:rPr>
          <w:bCs/>
          <w:lang w:val="en"/>
        </w:rPr>
        <w:t>Fig.A3-116 S-Plot highlighting 344.0744Da for Kijani DM v Newburgh Hyson</w:t>
      </w:r>
      <w:r>
        <w:rPr>
          <w:bCs/>
          <w:lang w:val="en"/>
        </w:rPr>
        <w:t xml:space="preserve"> &amp; a VT</w:t>
      </w:r>
      <w:r w:rsidRPr="00511D3A">
        <w:rPr>
          <w:bCs/>
          <w:lang w:val="en"/>
        </w:rPr>
        <w:t xml:space="preserve"> plot</w:t>
      </w:r>
      <w:r>
        <w:rPr>
          <w:bCs/>
          <w:lang w:val="en"/>
        </w:rPr>
        <w:t>…………….….34</w:t>
      </w:r>
      <w:r w:rsidR="000F5018">
        <w:rPr>
          <w:bCs/>
          <w:lang w:val="en"/>
        </w:rPr>
        <w:t>3</w:t>
      </w:r>
    </w:p>
    <w:p w:rsidR="00D6758A" w:rsidRDefault="00D6758A" w:rsidP="00D6758A">
      <w:pPr>
        <w:jc w:val="both"/>
        <w:rPr>
          <w:bCs/>
          <w:lang w:val="en"/>
        </w:rPr>
      </w:pPr>
      <w:r w:rsidRPr="00511D3A">
        <w:rPr>
          <w:bCs/>
          <w:lang w:val="en"/>
        </w:rPr>
        <w:t xml:space="preserve">Fig.A3-117 S-Plot </w:t>
      </w:r>
      <w:r>
        <w:rPr>
          <w:bCs/>
          <w:lang w:val="en"/>
        </w:rPr>
        <w:t>of</w:t>
      </w:r>
      <w:r w:rsidRPr="00511D3A">
        <w:rPr>
          <w:bCs/>
          <w:lang w:val="en"/>
        </w:rPr>
        <w:t xml:space="preserve"> </w:t>
      </w:r>
      <w:r>
        <w:rPr>
          <w:bCs/>
          <w:lang w:val="en"/>
        </w:rPr>
        <w:t>all available</w:t>
      </w:r>
      <w:r w:rsidRPr="00511D3A">
        <w:rPr>
          <w:bCs/>
          <w:lang w:val="en"/>
        </w:rPr>
        <w:t xml:space="preserve"> ions to distinguish between Kijani DM and Newburgh Hyson</w:t>
      </w:r>
      <w:r>
        <w:rPr>
          <w:bCs/>
          <w:lang w:val="en"/>
        </w:rPr>
        <w:t>……….34</w:t>
      </w:r>
      <w:r w:rsidR="000F5018">
        <w:rPr>
          <w:bCs/>
          <w:lang w:val="en"/>
        </w:rPr>
        <w:t>3</w:t>
      </w:r>
    </w:p>
    <w:p w:rsidR="00D6758A" w:rsidRDefault="00D6758A" w:rsidP="00D6758A">
      <w:pPr>
        <w:jc w:val="both"/>
        <w:rPr>
          <w:bCs/>
          <w:lang w:val="en"/>
        </w:rPr>
      </w:pPr>
      <w:r w:rsidRPr="00511D3A">
        <w:rPr>
          <w:bCs/>
          <w:lang w:val="en"/>
        </w:rPr>
        <w:t>Fig.</w:t>
      </w:r>
      <w:r>
        <w:rPr>
          <w:bCs/>
          <w:lang w:val="en"/>
        </w:rPr>
        <w:t>A3-118</w:t>
      </w:r>
      <w:r w:rsidRPr="00511D3A">
        <w:rPr>
          <w:bCs/>
          <w:lang w:val="en"/>
        </w:rPr>
        <w:t xml:space="preserve"> Abundance profile of Theasinensin A across the 9 tea samples</w:t>
      </w:r>
      <w:r>
        <w:rPr>
          <w:bCs/>
          <w:lang w:val="en"/>
        </w:rPr>
        <w:t>………………………….………….34</w:t>
      </w:r>
      <w:r w:rsidR="000F5018">
        <w:rPr>
          <w:bCs/>
          <w:lang w:val="en"/>
        </w:rPr>
        <w:t>4</w:t>
      </w:r>
    </w:p>
    <w:p w:rsidR="00D6758A" w:rsidRDefault="00D6758A" w:rsidP="00D6758A">
      <w:pPr>
        <w:jc w:val="both"/>
        <w:rPr>
          <w:bCs/>
          <w:lang w:val="en"/>
        </w:rPr>
      </w:pPr>
      <w:r w:rsidRPr="00511D3A">
        <w:rPr>
          <w:bCs/>
          <w:lang w:val="en"/>
        </w:rPr>
        <w:t>Fig.A3-119 Abundance profile of Theasinensin B across the 9 tea samples</w:t>
      </w:r>
      <w:r>
        <w:rPr>
          <w:bCs/>
          <w:lang w:val="en"/>
        </w:rPr>
        <w:t>……………………………………..34</w:t>
      </w:r>
      <w:r w:rsidR="000F5018">
        <w:rPr>
          <w:bCs/>
          <w:lang w:val="en"/>
        </w:rPr>
        <w:t>4</w:t>
      </w:r>
    </w:p>
    <w:p w:rsidR="00D6758A" w:rsidRDefault="00D6758A" w:rsidP="00D6758A">
      <w:pPr>
        <w:jc w:val="both"/>
        <w:rPr>
          <w:bCs/>
          <w:lang w:val="en"/>
        </w:rPr>
      </w:pPr>
      <w:r w:rsidRPr="00511D3A">
        <w:rPr>
          <w:bCs/>
          <w:lang w:val="en"/>
        </w:rPr>
        <w:t>Fig.A3-120 Abundance profile of Theasinensin C across the 9 tea samples</w:t>
      </w:r>
      <w:r>
        <w:rPr>
          <w:bCs/>
          <w:lang w:val="en"/>
        </w:rPr>
        <w:t>………………………..…………….34</w:t>
      </w:r>
      <w:r w:rsidR="000F5018">
        <w:rPr>
          <w:bCs/>
          <w:lang w:val="en"/>
        </w:rPr>
        <w:t>4</w:t>
      </w:r>
    </w:p>
    <w:p w:rsidR="000B752E" w:rsidRDefault="00D6758A" w:rsidP="00720030">
      <w:pPr>
        <w:jc w:val="both"/>
        <w:rPr>
          <w:bCs/>
          <w:lang w:val="en"/>
        </w:rPr>
      </w:pPr>
      <w:r w:rsidRPr="00511D3A">
        <w:rPr>
          <w:bCs/>
          <w:lang w:val="en"/>
        </w:rPr>
        <w:lastRenderedPageBreak/>
        <w:t>Fig.A3-121 Abundance profile of EGCG across the 9 tea samples</w:t>
      </w:r>
      <w:r>
        <w:rPr>
          <w:bCs/>
          <w:lang w:val="en"/>
        </w:rPr>
        <w:t>…………………………………………………….34</w:t>
      </w:r>
      <w:r w:rsidR="000F5018">
        <w:rPr>
          <w:bCs/>
          <w:lang w:val="en"/>
        </w:rPr>
        <w:t>5</w:t>
      </w:r>
    </w:p>
    <w:p w:rsidR="0051322B" w:rsidRDefault="0051322B" w:rsidP="00720030">
      <w:pPr>
        <w:jc w:val="both"/>
        <w:rPr>
          <w:bCs/>
          <w:lang w:val="en"/>
        </w:rPr>
      </w:pPr>
    </w:p>
    <w:p w:rsidR="0051322B" w:rsidRPr="00720030" w:rsidRDefault="0051322B" w:rsidP="00720030">
      <w:pPr>
        <w:jc w:val="both"/>
        <w:rPr>
          <w:bCs/>
        </w:rPr>
      </w:pPr>
    </w:p>
    <w:p w:rsidR="000B752E" w:rsidRDefault="000B752E" w:rsidP="000B752E">
      <w:pPr>
        <w:jc w:val="both"/>
        <w:rPr>
          <w:rFonts w:cs="Times New Roman"/>
          <w:b/>
          <w:sz w:val="36"/>
          <w:szCs w:val="36"/>
        </w:rPr>
      </w:pPr>
      <w:r w:rsidRPr="00FA6F99">
        <w:rPr>
          <w:rFonts w:cs="Times New Roman"/>
          <w:b/>
          <w:sz w:val="36"/>
          <w:szCs w:val="36"/>
        </w:rPr>
        <w:t xml:space="preserve">List of </w:t>
      </w:r>
      <w:r>
        <w:rPr>
          <w:rFonts w:cs="Times New Roman"/>
          <w:b/>
          <w:sz w:val="36"/>
          <w:szCs w:val="36"/>
        </w:rPr>
        <w:t>Abbreviations</w:t>
      </w:r>
    </w:p>
    <w:p w:rsidR="00387FA2" w:rsidRDefault="00387FA2" w:rsidP="000B752E">
      <w:pPr>
        <w:jc w:val="both"/>
        <w:rPr>
          <w:rFonts w:cs="Times New Roman"/>
          <w:b/>
          <w:sz w:val="36"/>
          <w:szCs w:val="36"/>
        </w:rPr>
      </w:pPr>
    </w:p>
    <w:p w:rsidR="00387FA2" w:rsidRDefault="00387FA2" w:rsidP="00387FA2">
      <w:pPr>
        <w:rPr>
          <w:sz w:val="24"/>
          <w:szCs w:val="24"/>
          <w:lang w:val="en"/>
        </w:rPr>
      </w:pPr>
      <w:r>
        <w:rPr>
          <w:sz w:val="24"/>
          <w:szCs w:val="24"/>
          <w:lang w:val="en"/>
        </w:rPr>
        <w:t xml:space="preserve">AI - </w:t>
      </w:r>
      <w:r w:rsidR="00AC02E6">
        <w:rPr>
          <w:sz w:val="24"/>
          <w:szCs w:val="24"/>
          <w:lang w:val="en"/>
        </w:rPr>
        <w:t>A</w:t>
      </w:r>
      <w:r>
        <w:rPr>
          <w:sz w:val="24"/>
          <w:szCs w:val="24"/>
          <w:lang w:val="en"/>
        </w:rPr>
        <w:t xml:space="preserve">rtificial </w:t>
      </w:r>
      <w:r w:rsidR="00AC02E6">
        <w:rPr>
          <w:sz w:val="24"/>
          <w:szCs w:val="24"/>
          <w:lang w:val="en"/>
        </w:rPr>
        <w:t>I</w:t>
      </w:r>
      <w:r>
        <w:rPr>
          <w:sz w:val="24"/>
          <w:szCs w:val="24"/>
          <w:lang w:val="en"/>
        </w:rPr>
        <w:t>ntelligence</w:t>
      </w:r>
    </w:p>
    <w:p w:rsidR="00387FA2" w:rsidRDefault="00387FA2" w:rsidP="00387FA2">
      <w:pPr>
        <w:rPr>
          <w:sz w:val="24"/>
          <w:szCs w:val="24"/>
          <w:lang w:val="en"/>
        </w:rPr>
      </w:pPr>
      <w:r>
        <w:rPr>
          <w:sz w:val="24"/>
          <w:szCs w:val="24"/>
          <w:lang w:val="en"/>
        </w:rPr>
        <w:t xml:space="preserve">C - </w:t>
      </w:r>
      <w:r w:rsidRPr="0020727D">
        <w:rPr>
          <w:sz w:val="24"/>
          <w:szCs w:val="24"/>
          <w:lang w:val="en"/>
        </w:rPr>
        <w:t>(+</w:t>
      </w:r>
      <w:r>
        <w:rPr>
          <w:sz w:val="24"/>
          <w:szCs w:val="24"/>
          <w:lang w:val="en"/>
        </w:rPr>
        <w:t>)-</w:t>
      </w:r>
      <w:r w:rsidR="00AC02E6">
        <w:rPr>
          <w:sz w:val="24"/>
          <w:szCs w:val="24"/>
          <w:lang w:val="en"/>
        </w:rPr>
        <w:t>C</w:t>
      </w:r>
      <w:r>
        <w:rPr>
          <w:sz w:val="24"/>
          <w:szCs w:val="24"/>
          <w:lang w:val="en"/>
        </w:rPr>
        <w:t>atechin</w:t>
      </w:r>
    </w:p>
    <w:p w:rsidR="00387FA2" w:rsidRPr="00095425" w:rsidRDefault="00387FA2" w:rsidP="00387FA2">
      <w:pPr>
        <w:rPr>
          <w:sz w:val="24"/>
          <w:szCs w:val="24"/>
          <w:lang w:val="en"/>
        </w:rPr>
      </w:pPr>
      <w:r>
        <w:rPr>
          <w:sz w:val="24"/>
          <w:szCs w:val="24"/>
          <w:lang w:val="en"/>
        </w:rPr>
        <w:t xml:space="preserve">CCS – </w:t>
      </w:r>
      <w:r w:rsidR="00AC02E6">
        <w:rPr>
          <w:sz w:val="24"/>
          <w:szCs w:val="24"/>
          <w:lang w:val="en"/>
        </w:rPr>
        <w:t>C</w:t>
      </w:r>
      <w:r>
        <w:rPr>
          <w:sz w:val="24"/>
          <w:szCs w:val="24"/>
          <w:lang w:val="en"/>
        </w:rPr>
        <w:t xml:space="preserve">ollision </w:t>
      </w:r>
      <w:r w:rsidR="00AC02E6">
        <w:rPr>
          <w:sz w:val="24"/>
          <w:szCs w:val="24"/>
          <w:lang w:val="en"/>
        </w:rPr>
        <w:t>C</w:t>
      </w:r>
      <w:r>
        <w:rPr>
          <w:sz w:val="24"/>
          <w:szCs w:val="24"/>
          <w:lang w:val="en"/>
        </w:rPr>
        <w:t xml:space="preserve">ross </w:t>
      </w:r>
      <w:r w:rsidR="00AC02E6">
        <w:rPr>
          <w:sz w:val="24"/>
          <w:szCs w:val="24"/>
          <w:lang w:val="en"/>
        </w:rPr>
        <w:t>S</w:t>
      </w:r>
      <w:r>
        <w:rPr>
          <w:sz w:val="24"/>
          <w:szCs w:val="24"/>
          <w:lang w:val="en"/>
        </w:rPr>
        <w:t>ection</w:t>
      </w:r>
    </w:p>
    <w:p w:rsidR="00387FA2" w:rsidRDefault="00387FA2" w:rsidP="00387FA2">
      <w:pPr>
        <w:rPr>
          <w:sz w:val="24"/>
          <w:szCs w:val="24"/>
        </w:rPr>
      </w:pPr>
      <w:r w:rsidRPr="00095425">
        <w:rPr>
          <w:sz w:val="24"/>
          <w:szCs w:val="24"/>
        </w:rPr>
        <w:t xml:space="preserve">CTC – </w:t>
      </w:r>
      <w:r w:rsidR="00AC02E6">
        <w:rPr>
          <w:sz w:val="24"/>
          <w:szCs w:val="24"/>
        </w:rPr>
        <w:t>C</w:t>
      </w:r>
      <w:r w:rsidRPr="00095425">
        <w:rPr>
          <w:sz w:val="24"/>
          <w:szCs w:val="24"/>
        </w:rPr>
        <w:t xml:space="preserve">rush, </w:t>
      </w:r>
      <w:r w:rsidR="00AC02E6">
        <w:rPr>
          <w:sz w:val="24"/>
          <w:szCs w:val="24"/>
        </w:rPr>
        <w:t>T</w:t>
      </w:r>
      <w:r w:rsidRPr="00095425">
        <w:rPr>
          <w:sz w:val="24"/>
          <w:szCs w:val="24"/>
        </w:rPr>
        <w:t xml:space="preserve">ear, </w:t>
      </w:r>
      <w:r w:rsidR="00AC02E6">
        <w:rPr>
          <w:sz w:val="24"/>
          <w:szCs w:val="24"/>
        </w:rPr>
        <w:t>C</w:t>
      </w:r>
      <w:r w:rsidRPr="00095425">
        <w:rPr>
          <w:sz w:val="24"/>
          <w:szCs w:val="24"/>
        </w:rPr>
        <w:t>url</w:t>
      </w:r>
    </w:p>
    <w:p w:rsidR="00CB7B64" w:rsidRDefault="00CB7B64" w:rsidP="00387FA2">
      <w:pPr>
        <w:rPr>
          <w:sz w:val="24"/>
          <w:szCs w:val="24"/>
        </w:rPr>
      </w:pPr>
      <w:r>
        <w:rPr>
          <w:sz w:val="24"/>
          <w:szCs w:val="24"/>
        </w:rPr>
        <w:t>DDA – data dependent acquisition</w:t>
      </w:r>
    </w:p>
    <w:p w:rsidR="00A65A9F" w:rsidRDefault="00A65A9F" w:rsidP="00387FA2">
      <w:pPr>
        <w:rPr>
          <w:sz w:val="24"/>
          <w:szCs w:val="24"/>
        </w:rPr>
      </w:pPr>
      <w:r>
        <w:rPr>
          <w:sz w:val="24"/>
          <w:szCs w:val="24"/>
        </w:rPr>
        <w:t>DIA – data independent acquisition</w:t>
      </w:r>
    </w:p>
    <w:p w:rsidR="00387FA2" w:rsidRDefault="00387FA2" w:rsidP="00387FA2">
      <w:pPr>
        <w:rPr>
          <w:sz w:val="24"/>
          <w:szCs w:val="24"/>
        </w:rPr>
      </w:pPr>
      <w:r>
        <w:rPr>
          <w:sz w:val="24"/>
          <w:szCs w:val="24"/>
        </w:rPr>
        <w:t xml:space="preserve">DT – </w:t>
      </w:r>
      <w:r w:rsidR="00AC02E6">
        <w:rPr>
          <w:sz w:val="24"/>
          <w:szCs w:val="24"/>
        </w:rPr>
        <w:t>D</w:t>
      </w:r>
      <w:r>
        <w:rPr>
          <w:sz w:val="24"/>
          <w:szCs w:val="24"/>
        </w:rPr>
        <w:t xml:space="preserve">ecision </w:t>
      </w:r>
      <w:r w:rsidR="00AC02E6">
        <w:rPr>
          <w:sz w:val="24"/>
          <w:szCs w:val="24"/>
        </w:rPr>
        <w:t>T</w:t>
      </w:r>
      <w:r>
        <w:rPr>
          <w:sz w:val="24"/>
          <w:szCs w:val="24"/>
        </w:rPr>
        <w:t>ree</w:t>
      </w:r>
    </w:p>
    <w:p w:rsidR="00387FA2" w:rsidRPr="00F10688" w:rsidRDefault="00387FA2" w:rsidP="00387FA2">
      <w:pPr>
        <w:rPr>
          <w:sz w:val="24"/>
          <w:szCs w:val="24"/>
          <w:lang w:val="en"/>
        </w:rPr>
      </w:pPr>
      <w:r>
        <w:rPr>
          <w:sz w:val="24"/>
          <w:szCs w:val="24"/>
          <w:lang w:val="en"/>
        </w:rPr>
        <w:t xml:space="preserve">EC - </w:t>
      </w:r>
      <w:r w:rsidRPr="0020727D">
        <w:rPr>
          <w:sz w:val="24"/>
          <w:szCs w:val="24"/>
          <w:lang w:val="en"/>
        </w:rPr>
        <w:t>(-)-</w:t>
      </w:r>
      <w:r w:rsidR="00AC02E6">
        <w:rPr>
          <w:sz w:val="24"/>
          <w:szCs w:val="24"/>
          <w:lang w:val="en"/>
        </w:rPr>
        <w:t>E</w:t>
      </w:r>
      <w:r w:rsidRPr="0020727D">
        <w:rPr>
          <w:sz w:val="24"/>
          <w:szCs w:val="24"/>
          <w:lang w:val="en"/>
        </w:rPr>
        <w:t>picatec</w:t>
      </w:r>
      <w:r>
        <w:rPr>
          <w:sz w:val="24"/>
          <w:szCs w:val="24"/>
          <w:lang w:val="en"/>
        </w:rPr>
        <w:t xml:space="preserve">hin </w:t>
      </w:r>
    </w:p>
    <w:p w:rsidR="00387FA2" w:rsidRDefault="00387FA2" w:rsidP="00387FA2">
      <w:pPr>
        <w:rPr>
          <w:sz w:val="24"/>
          <w:szCs w:val="24"/>
          <w:lang w:val="en"/>
        </w:rPr>
      </w:pPr>
      <w:r>
        <w:rPr>
          <w:sz w:val="24"/>
          <w:szCs w:val="24"/>
          <w:lang w:val="en"/>
        </w:rPr>
        <w:t>ECG - (-)-</w:t>
      </w:r>
      <w:r w:rsidR="00AC02E6">
        <w:rPr>
          <w:sz w:val="24"/>
          <w:szCs w:val="24"/>
          <w:lang w:val="en"/>
        </w:rPr>
        <w:t>E</w:t>
      </w:r>
      <w:r>
        <w:rPr>
          <w:sz w:val="24"/>
          <w:szCs w:val="24"/>
          <w:lang w:val="en"/>
        </w:rPr>
        <w:t>picatechin-3-gallate</w:t>
      </w:r>
    </w:p>
    <w:p w:rsidR="00387FA2" w:rsidRPr="00F10688" w:rsidRDefault="00387FA2" w:rsidP="00387FA2">
      <w:pPr>
        <w:rPr>
          <w:sz w:val="24"/>
          <w:szCs w:val="24"/>
          <w:lang w:val="en"/>
        </w:rPr>
      </w:pPr>
      <w:r>
        <w:rPr>
          <w:sz w:val="24"/>
          <w:szCs w:val="24"/>
          <w:lang w:val="en"/>
        </w:rPr>
        <w:t>EGC - (-)-</w:t>
      </w:r>
      <w:r w:rsidR="00AC02E6">
        <w:rPr>
          <w:sz w:val="24"/>
          <w:szCs w:val="24"/>
          <w:lang w:val="en"/>
        </w:rPr>
        <w:t>E</w:t>
      </w:r>
      <w:r>
        <w:rPr>
          <w:sz w:val="24"/>
          <w:szCs w:val="24"/>
          <w:lang w:val="en"/>
        </w:rPr>
        <w:t xml:space="preserve">pigallocatechin </w:t>
      </w:r>
    </w:p>
    <w:p w:rsidR="00387FA2" w:rsidRDefault="00387FA2" w:rsidP="00387FA2">
      <w:pPr>
        <w:rPr>
          <w:sz w:val="24"/>
          <w:szCs w:val="24"/>
          <w:lang w:val="en"/>
        </w:rPr>
      </w:pPr>
      <w:r>
        <w:rPr>
          <w:sz w:val="24"/>
          <w:szCs w:val="24"/>
          <w:lang w:val="en"/>
        </w:rPr>
        <w:t xml:space="preserve">EGCG - </w:t>
      </w:r>
      <w:r w:rsidRPr="0020727D">
        <w:rPr>
          <w:sz w:val="24"/>
          <w:szCs w:val="24"/>
          <w:lang w:val="en"/>
        </w:rPr>
        <w:t>(-)-</w:t>
      </w:r>
      <w:r w:rsidR="00AC02E6">
        <w:rPr>
          <w:sz w:val="24"/>
          <w:szCs w:val="24"/>
          <w:lang w:val="en"/>
        </w:rPr>
        <w:t>E</w:t>
      </w:r>
      <w:r w:rsidRPr="0020727D">
        <w:rPr>
          <w:sz w:val="24"/>
          <w:szCs w:val="24"/>
          <w:lang w:val="en"/>
        </w:rPr>
        <w:t>pigallocat</w:t>
      </w:r>
      <w:r>
        <w:rPr>
          <w:sz w:val="24"/>
          <w:szCs w:val="24"/>
          <w:lang w:val="en"/>
        </w:rPr>
        <w:t>echin 3-gallate</w:t>
      </w:r>
    </w:p>
    <w:p w:rsidR="00387FA2" w:rsidRDefault="00387FA2" w:rsidP="00387FA2">
      <w:pPr>
        <w:rPr>
          <w:sz w:val="24"/>
          <w:szCs w:val="24"/>
          <w:lang w:val="en"/>
        </w:rPr>
      </w:pPr>
      <w:r>
        <w:rPr>
          <w:sz w:val="24"/>
          <w:szCs w:val="24"/>
          <w:lang w:val="en"/>
        </w:rPr>
        <w:t xml:space="preserve">FDA - </w:t>
      </w:r>
      <w:r w:rsidRPr="008B2CD2">
        <w:rPr>
          <w:sz w:val="24"/>
          <w:szCs w:val="24"/>
          <w:lang w:val="en"/>
        </w:rPr>
        <w:t>US Foo</w:t>
      </w:r>
      <w:r>
        <w:rPr>
          <w:sz w:val="24"/>
          <w:szCs w:val="24"/>
          <w:lang w:val="en"/>
        </w:rPr>
        <w:t>d and Drug Administration</w:t>
      </w:r>
    </w:p>
    <w:p w:rsidR="00387FA2" w:rsidRDefault="00387FA2" w:rsidP="00387FA2">
      <w:pPr>
        <w:rPr>
          <w:sz w:val="24"/>
          <w:szCs w:val="24"/>
          <w:lang w:val="en"/>
        </w:rPr>
      </w:pPr>
      <w:r>
        <w:rPr>
          <w:sz w:val="24"/>
          <w:szCs w:val="24"/>
          <w:lang w:val="en"/>
        </w:rPr>
        <w:t xml:space="preserve">FTIR - </w:t>
      </w:r>
      <w:r w:rsidRPr="009D487C">
        <w:rPr>
          <w:sz w:val="24"/>
          <w:szCs w:val="24"/>
          <w:lang w:val="en"/>
        </w:rPr>
        <w:t>Fourier-transform infrared spectroscopy</w:t>
      </w:r>
    </w:p>
    <w:p w:rsidR="00387FA2" w:rsidRDefault="00387FA2" w:rsidP="00387FA2">
      <w:pPr>
        <w:rPr>
          <w:sz w:val="24"/>
          <w:szCs w:val="24"/>
          <w:lang w:val="en"/>
        </w:rPr>
      </w:pPr>
      <w:r>
        <w:rPr>
          <w:sz w:val="24"/>
          <w:szCs w:val="24"/>
          <w:lang w:val="en"/>
        </w:rPr>
        <w:t xml:space="preserve">GC – </w:t>
      </w:r>
      <w:r w:rsidR="00AC02E6">
        <w:rPr>
          <w:sz w:val="24"/>
          <w:szCs w:val="24"/>
          <w:lang w:val="en"/>
        </w:rPr>
        <w:t>G</w:t>
      </w:r>
      <w:r>
        <w:rPr>
          <w:sz w:val="24"/>
          <w:szCs w:val="24"/>
          <w:lang w:val="en"/>
        </w:rPr>
        <w:t xml:space="preserve">as </w:t>
      </w:r>
      <w:r w:rsidR="00AC02E6">
        <w:rPr>
          <w:sz w:val="24"/>
          <w:szCs w:val="24"/>
          <w:lang w:val="en"/>
        </w:rPr>
        <w:t>C</w:t>
      </w:r>
      <w:r>
        <w:rPr>
          <w:sz w:val="24"/>
          <w:szCs w:val="24"/>
          <w:lang w:val="en"/>
        </w:rPr>
        <w:t>hromatograph</w:t>
      </w:r>
    </w:p>
    <w:p w:rsidR="00387FA2" w:rsidRDefault="00387FA2" w:rsidP="00387FA2">
      <w:pPr>
        <w:rPr>
          <w:sz w:val="24"/>
          <w:szCs w:val="24"/>
        </w:rPr>
      </w:pPr>
      <w:r>
        <w:rPr>
          <w:sz w:val="24"/>
          <w:szCs w:val="24"/>
        </w:rPr>
        <w:t xml:space="preserve">HRAM – </w:t>
      </w:r>
      <w:r w:rsidR="00AC02E6">
        <w:rPr>
          <w:sz w:val="24"/>
          <w:szCs w:val="24"/>
        </w:rPr>
        <w:t>H</w:t>
      </w:r>
      <w:r>
        <w:rPr>
          <w:sz w:val="24"/>
          <w:szCs w:val="24"/>
        </w:rPr>
        <w:t>igh resolution/accurate mass</w:t>
      </w:r>
    </w:p>
    <w:p w:rsidR="00387FA2" w:rsidRDefault="00387FA2" w:rsidP="00387FA2">
      <w:pPr>
        <w:rPr>
          <w:sz w:val="24"/>
          <w:szCs w:val="24"/>
        </w:rPr>
      </w:pPr>
      <w:r>
        <w:rPr>
          <w:sz w:val="24"/>
          <w:szCs w:val="24"/>
        </w:rPr>
        <w:t xml:space="preserve">HS - </w:t>
      </w:r>
      <w:r w:rsidR="000A4F19">
        <w:rPr>
          <w:sz w:val="24"/>
          <w:szCs w:val="24"/>
        </w:rPr>
        <w:t>H</w:t>
      </w:r>
      <w:r>
        <w:rPr>
          <w:sz w:val="24"/>
          <w:szCs w:val="24"/>
        </w:rPr>
        <w:t>umic substances</w:t>
      </w:r>
    </w:p>
    <w:p w:rsidR="00387FA2" w:rsidRDefault="00387FA2" w:rsidP="00387FA2">
      <w:pPr>
        <w:rPr>
          <w:sz w:val="24"/>
          <w:szCs w:val="24"/>
        </w:rPr>
      </w:pPr>
      <w:r>
        <w:rPr>
          <w:sz w:val="24"/>
          <w:szCs w:val="24"/>
        </w:rPr>
        <w:t xml:space="preserve">MVA – </w:t>
      </w:r>
      <w:r w:rsidR="000A4F19">
        <w:rPr>
          <w:sz w:val="24"/>
          <w:szCs w:val="24"/>
        </w:rPr>
        <w:t>M</w:t>
      </w:r>
      <w:r>
        <w:rPr>
          <w:sz w:val="24"/>
          <w:szCs w:val="24"/>
        </w:rPr>
        <w:t>ultivariate analysis</w:t>
      </w:r>
    </w:p>
    <w:p w:rsidR="00387FA2" w:rsidRDefault="00387FA2" w:rsidP="00387FA2">
      <w:pPr>
        <w:rPr>
          <w:sz w:val="24"/>
          <w:szCs w:val="24"/>
        </w:rPr>
      </w:pPr>
      <w:r>
        <w:rPr>
          <w:sz w:val="24"/>
          <w:szCs w:val="24"/>
        </w:rPr>
        <w:t xml:space="preserve">MS – </w:t>
      </w:r>
      <w:r w:rsidR="000A4F19">
        <w:rPr>
          <w:sz w:val="24"/>
          <w:szCs w:val="24"/>
        </w:rPr>
        <w:t>M</w:t>
      </w:r>
      <w:r>
        <w:rPr>
          <w:sz w:val="24"/>
          <w:szCs w:val="24"/>
        </w:rPr>
        <w:t>ass spectrometer</w:t>
      </w:r>
    </w:p>
    <w:p w:rsidR="00387FA2" w:rsidRDefault="00387FA2" w:rsidP="00387FA2">
      <w:pPr>
        <w:rPr>
          <w:sz w:val="24"/>
          <w:szCs w:val="24"/>
        </w:rPr>
      </w:pPr>
      <w:r>
        <w:rPr>
          <w:sz w:val="24"/>
          <w:szCs w:val="24"/>
        </w:rPr>
        <w:t>OPLS-DA – Orthogonal Projections to latent structures – discriminant analysis</w:t>
      </w:r>
    </w:p>
    <w:p w:rsidR="00387FA2" w:rsidRDefault="00387FA2" w:rsidP="00387FA2">
      <w:pPr>
        <w:rPr>
          <w:sz w:val="24"/>
          <w:szCs w:val="24"/>
        </w:rPr>
      </w:pPr>
      <w:r>
        <w:rPr>
          <w:sz w:val="24"/>
          <w:szCs w:val="24"/>
        </w:rPr>
        <w:t xml:space="preserve">PCA – </w:t>
      </w:r>
      <w:r w:rsidR="000A4F19">
        <w:rPr>
          <w:sz w:val="24"/>
          <w:szCs w:val="24"/>
        </w:rPr>
        <w:t>P</w:t>
      </w:r>
      <w:r>
        <w:rPr>
          <w:sz w:val="24"/>
          <w:szCs w:val="24"/>
        </w:rPr>
        <w:t xml:space="preserve">rincipal </w:t>
      </w:r>
      <w:r w:rsidR="000A4F19">
        <w:rPr>
          <w:sz w:val="24"/>
          <w:szCs w:val="24"/>
        </w:rPr>
        <w:t>C</w:t>
      </w:r>
      <w:r>
        <w:rPr>
          <w:sz w:val="24"/>
          <w:szCs w:val="24"/>
        </w:rPr>
        <w:t xml:space="preserve">omponent </w:t>
      </w:r>
      <w:r w:rsidR="000A4F19">
        <w:rPr>
          <w:sz w:val="24"/>
          <w:szCs w:val="24"/>
        </w:rPr>
        <w:t>A</w:t>
      </w:r>
      <w:r>
        <w:rPr>
          <w:sz w:val="24"/>
          <w:szCs w:val="24"/>
        </w:rPr>
        <w:t xml:space="preserve">nalysis </w:t>
      </w:r>
    </w:p>
    <w:p w:rsidR="00387FA2" w:rsidRDefault="00387FA2" w:rsidP="00387FA2">
      <w:pPr>
        <w:rPr>
          <w:sz w:val="24"/>
          <w:szCs w:val="24"/>
        </w:rPr>
      </w:pPr>
      <w:r>
        <w:rPr>
          <w:sz w:val="24"/>
          <w:szCs w:val="24"/>
        </w:rPr>
        <w:t xml:space="preserve">PPO - </w:t>
      </w:r>
      <w:r w:rsidR="000A4F19">
        <w:rPr>
          <w:sz w:val="24"/>
          <w:szCs w:val="24"/>
        </w:rPr>
        <w:t>P</w:t>
      </w:r>
      <w:r>
        <w:rPr>
          <w:sz w:val="24"/>
          <w:szCs w:val="24"/>
        </w:rPr>
        <w:t xml:space="preserve">olyphenol </w:t>
      </w:r>
      <w:r w:rsidR="000A4F19">
        <w:rPr>
          <w:sz w:val="24"/>
          <w:szCs w:val="24"/>
        </w:rPr>
        <w:t>O</w:t>
      </w:r>
      <w:r>
        <w:rPr>
          <w:sz w:val="24"/>
          <w:szCs w:val="24"/>
        </w:rPr>
        <w:t>xidase (PPO)</w:t>
      </w:r>
    </w:p>
    <w:p w:rsidR="00387FA2" w:rsidRDefault="00387FA2" w:rsidP="00387FA2">
      <w:pPr>
        <w:rPr>
          <w:sz w:val="24"/>
          <w:szCs w:val="24"/>
        </w:rPr>
      </w:pPr>
      <w:r>
        <w:rPr>
          <w:sz w:val="24"/>
          <w:szCs w:val="24"/>
        </w:rPr>
        <w:t>Procy B2 – Procyanidin B2</w:t>
      </w:r>
    </w:p>
    <w:p w:rsidR="00387FA2" w:rsidRDefault="00387FA2" w:rsidP="00387FA2">
      <w:pPr>
        <w:rPr>
          <w:sz w:val="24"/>
          <w:szCs w:val="24"/>
        </w:rPr>
      </w:pPr>
      <w:r>
        <w:rPr>
          <w:sz w:val="24"/>
          <w:szCs w:val="24"/>
        </w:rPr>
        <w:t xml:space="preserve">REIMS - </w:t>
      </w:r>
      <w:r w:rsidR="000A4F19">
        <w:rPr>
          <w:sz w:val="24"/>
          <w:szCs w:val="24"/>
        </w:rPr>
        <w:t>R</w:t>
      </w:r>
      <w:r w:rsidRPr="00EF2ED2">
        <w:rPr>
          <w:sz w:val="24"/>
          <w:szCs w:val="24"/>
        </w:rPr>
        <w:t xml:space="preserve">apid </w:t>
      </w:r>
      <w:r w:rsidR="000A4F19">
        <w:rPr>
          <w:sz w:val="24"/>
          <w:szCs w:val="24"/>
        </w:rPr>
        <w:t>E</w:t>
      </w:r>
      <w:r w:rsidRPr="00EF2ED2">
        <w:rPr>
          <w:sz w:val="24"/>
          <w:szCs w:val="24"/>
        </w:rPr>
        <w:t>vaporati</w:t>
      </w:r>
      <w:r>
        <w:rPr>
          <w:sz w:val="24"/>
          <w:szCs w:val="24"/>
        </w:rPr>
        <w:t xml:space="preserve">ve </w:t>
      </w:r>
      <w:r w:rsidR="000A4F19">
        <w:rPr>
          <w:sz w:val="24"/>
          <w:szCs w:val="24"/>
        </w:rPr>
        <w:t>I</w:t>
      </w:r>
      <w:r>
        <w:rPr>
          <w:sz w:val="24"/>
          <w:szCs w:val="24"/>
        </w:rPr>
        <w:t xml:space="preserve">onisation </w:t>
      </w:r>
      <w:r w:rsidR="000A4F19">
        <w:rPr>
          <w:sz w:val="24"/>
          <w:szCs w:val="24"/>
        </w:rPr>
        <w:t>M</w:t>
      </w:r>
      <w:r>
        <w:rPr>
          <w:sz w:val="24"/>
          <w:szCs w:val="24"/>
        </w:rPr>
        <w:t xml:space="preserve">ass </w:t>
      </w:r>
      <w:r w:rsidR="000A4F19">
        <w:rPr>
          <w:sz w:val="24"/>
          <w:szCs w:val="24"/>
        </w:rPr>
        <w:t>S</w:t>
      </w:r>
      <w:r>
        <w:rPr>
          <w:sz w:val="24"/>
          <w:szCs w:val="24"/>
        </w:rPr>
        <w:t>pectrometry</w:t>
      </w:r>
    </w:p>
    <w:p w:rsidR="00387FA2" w:rsidRPr="00F10688" w:rsidRDefault="00387FA2" w:rsidP="00387FA2">
      <w:pPr>
        <w:rPr>
          <w:sz w:val="24"/>
          <w:szCs w:val="24"/>
        </w:rPr>
      </w:pPr>
      <w:r>
        <w:rPr>
          <w:sz w:val="24"/>
          <w:szCs w:val="24"/>
        </w:rPr>
        <w:t xml:space="preserve">RF - </w:t>
      </w:r>
      <w:r w:rsidR="000A4F19">
        <w:rPr>
          <w:sz w:val="24"/>
          <w:szCs w:val="24"/>
        </w:rPr>
        <w:t>R</w:t>
      </w:r>
      <w:r>
        <w:rPr>
          <w:sz w:val="24"/>
          <w:szCs w:val="24"/>
        </w:rPr>
        <w:t xml:space="preserve">andom </w:t>
      </w:r>
      <w:r w:rsidR="000A4F19">
        <w:rPr>
          <w:sz w:val="24"/>
          <w:szCs w:val="24"/>
        </w:rPr>
        <w:t>F</w:t>
      </w:r>
      <w:r>
        <w:rPr>
          <w:sz w:val="24"/>
          <w:szCs w:val="24"/>
        </w:rPr>
        <w:t>orest</w:t>
      </w:r>
    </w:p>
    <w:p w:rsidR="00387FA2" w:rsidRDefault="00387FA2" w:rsidP="00387FA2">
      <w:pPr>
        <w:rPr>
          <w:sz w:val="24"/>
          <w:szCs w:val="24"/>
        </w:rPr>
      </w:pPr>
      <w:r>
        <w:rPr>
          <w:sz w:val="24"/>
          <w:szCs w:val="24"/>
        </w:rPr>
        <w:lastRenderedPageBreak/>
        <w:t xml:space="preserve">ROS - Reactive </w:t>
      </w:r>
      <w:r w:rsidR="000A4F19">
        <w:rPr>
          <w:sz w:val="24"/>
          <w:szCs w:val="24"/>
        </w:rPr>
        <w:t>O</w:t>
      </w:r>
      <w:r>
        <w:rPr>
          <w:sz w:val="24"/>
          <w:szCs w:val="24"/>
        </w:rPr>
        <w:t xml:space="preserve">xygen </w:t>
      </w:r>
      <w:r w:rsidR="000A4F19">
        <w:rPr>
          <w:sz w:val="24"/>
          <w:szCs w:val="24"/>
        </w:rPr>
        <w:t>S</w:t>
      </w:r>
      <w:r>
        <w:rPr>
          <w:sz w:val="24"/>
          <w:szCs w:val="24"/>
        </w:rPr>
        <w:t>pecies</w:t>
      </w:r>
    </w:p>
    <w:p w:rsidR="00387FA2" w:rsidRDefault="00387FA2" w:rsidP="00387FA2">
      <w:pPr>
        <w:rPr>
          <w:sz w:val="24"/>
          <w:szCs w:val="24"/>
        </w:rPr>
      </w:pPr>
      <w:r>
        <w:rPr>
          <w:sz w:val="24"/>
          <w:szCs w:val="24"/>
        </w:rPr>
        <w:t>TB - Theabrownins</w:t>
      </w:r>
    </w:p>
    <w:p w:rsidR="00387FA2" w:rsidRDefault="00387FA2" w:rsidP="00387FA2">
      <w:pPr>
        <w:rPr>
          <w:sz w:val="24"/>
          <w:szCs w:val="24"/>
        </w:rPr>
      </w:pPr>
      <w:r>
        <w:rPr>
          <w:sz w:val="24"/>
          <w:szCs w:val="24"/>
        </w:rPr>
        <w:t xml:space="preserve">TF - Theaflavin </w:t>
      </w:r>
    </w:p>
    <w:p w:rsidR="00387FA2" w:rsidRDefault="00387FA2" w:rsidP="00387FA2">
      <w:pPr>
        <w:rPr>
          <w:sz w:val="24"/>
          <w:szCs w:val="24"/>
        </w:rPr>
      </w:pPr>
      <w:r>
        <w:rPr>
          <w:sz w:val="24"/>
          <w:szCs w:val="24"/>
        </w:rPr>
        <w:t>TR - Thearubigins</w:t>
      </w:r>
    </w:p>
    <w:p w:rsidR="00387FA2" w:rsidRDefault="00387FA2" w:rsidP="00387FA2">
      <w:pPr>
        <w:rPr>
          <w:sz w:val="24"/>
          <w:szCs w:val="24"/>
        </w:rPr>
      </w:pPr>
      <w:r>
        <w:rPr>
          <w:sz w:val="24"/>
          <w:szCs w:val="24"/>
        </w:rPr>
        <w:t xml:space="preserve">TS - Theasinensin </w:t>
      </w:r>
    </w:p>
    <w:p w:rsidR="00387FA2" w:rsidRDefault="00387FA2" w:rsidP="00387FA2">
      <w:pPr>
        <w:rPr>
          <w:noProof/>
          <w:sz w:val="24"/>
          <w:szCs w:val="24"/>
        </w:rPr>
      </w:pPr>
      <w:r>
        <w:rPr>
          <w:sz w:val="24"/>
          <w:szCs w:val="24"/>
        </w:rPr>
        <w:t xml:space="preserve">SVM - </w:t>
      </w:r>
      <w:r w:rsidR="00AC02E6">
        <w:rPr>
          <w:noProof/>
          <w:sz w:val="24"/>
          <w:szCs w:val="24"/>
        </w:rPr>
        <w:t>S</w:t>
      </w:r>
      <w:r>
        <w:rPr>
          <w:noProof/>
          <w:sz w:val="24"/>
          <w:szCs w:val="24"/>
        </w:rPr>
        <w:t xml:space="preserve">upport </w:t>
      </w:r>
      <w:r w:rsidR="00AC02E6">
        <w:rPr>
          <w:noProof/>
          <w:sz w:val="24"/>
          <w:szCs w:val="24"/>
        </w:rPr>
        <w:t>V</w:t>
      </w:r>
      <w:r>
        <w:rPr>
          <w:noProof/>
          <w:sz w:val="24"/>
          <w:szCs w:val="24"/>
        </w:rPr>
        <w:t xml:space="preserve">ector </w:t>
      </w:r>
      <w:r w:rsidR="00AC02E6">
        <w:rPr>
          <w:noProof/>
          <w:sz w:val="24"/>
          <w:szCs w:val="24"/>
        </w:rPr>
        <w:t>M</w:t>
      </w:r>
      <w:r>
        <w:rPr>
          <w:noProof/>
          <w:sz w:val="24"/>
          <w:szCs w:val="24"/>
        </w:rPr>
        <w:t>achine</w:t>
      </w:r>
    </w:p>
    <w:p w:rsidR="00387FA2" w:rsidRPr="000C68EC" w:rsidRDefault="00387FA2" w:rsidP="00387FA2">
      <w:pPr>
        <w:rPr>
          <w:noProof/>
          <w:sz w:val="24"/>
          <w:szCs w:val="24"/>
        </w:rPr>
      </w:pPr>
      <w:r>
        <w:rPr>
          <w:noProof/>
          <w:sz w:val="24"/>
          <w:szCs w:val="24"/>
        </w:rPr>
        <w:t>UPLC</w:t>
      </w:r>
      <w:r w:rsidR="00743565">
        <w:rPr>
          <w:noProof/>
          <w:sz w:val="24"/>
          <w:szCs w:val="24"/>
        </w:rPr>
        <w:t xml:space="preserve"> / UHPLC</w:t>
      </w:r>
      <w:r>
        <w:rPr>
          <w:noProof/>
          <w:sz w:val="24"/>
          <w:szCs w:val="24"/>
        </w:rPr>
        <w:t xml:space="preserve"> </w:t>
      </w:r>
      <w:r w:rsidR="00743565">
        <w:rPr>
          <w:noProof/>
          <w:sz w:val="24"/>
          <w:szCs w:val="24"/>
        </w:rPr>
        <w:t>–</w:t>
      </w:r>
      <w:r>
        <w:rPr>
          <w:noProof/>
          <w:sz w:val="24"/>
          <w:szCs w:val="24"/>
        </w:rPr>
        <w:t xml:space="preserve"> </w:t>
      </w:r>
      <w:r w:rsidR="00743565">
        <w:rPr>
          <w:noProof/>
          <w:sz w:val="24"/>
          <w:szCs w:val="24"/>
        </w:rPr>
        <w:t xml:space="preserve">Ultra (High) </w:t>
      </w:r>
      <w:r w:rsidRPr="000C68EC">
        <w:rPr>
          <w:noProof/>
          <w:sz w:val="24"/>
          <w:szCs w:val="24"/>
        </w:rPr>
        <w:t>Performance Liquid Chromatography</w:t>
      </w:r>
    </w:p>
    <w:p w:rsidR="00387FA2" w:rsidRDefault="00387FA2" w:rsidP="00387FA2">
      <w:pPr>
        <w:rPr>
          <w:sz w:val="24"/>
          <w:szCs w:val="24"/>
        </w:rPr>
      </w:pPr>
      <w:r w:rsidRPr="007528C0">
        <w:rPr>
          <w:sz w:val="24"/>
          <w:szCs w:val="24"/>
        </w:rPr>
        <w:t>UV-Vis</w:t>
      </w:r>
      <w:r>
        <w:rPr>
          <w:sz w:val="24"/>
          <w:szCs w:val="24"/>
        </w:rPr>
        <w:t xml:space="preserve"> – Ultra violet / visual spectroscopy</w:t>
      </w:r>
    </w:p>
    <w:p w:rsidR="00387FA2" w:rsidRDefault="00387FA2" w:rsidP="00387FA2">
      <w:pPr>
        <w:rPr>
          <w:sz w:val="24"/>
          <w:szCs w:val="24"/>
        </w:rPr>
      </w:pPr>
      <w:r w:rsidRPr="00975102">
        <w:rPr>
          <w:sz w:val="24"/>
          <w:szCs w:val="24"/>
        </w:rPr>
        <w:t>VIP – Variable importance plot</w:t>
      </w:r>
    </w:p>
    <w:p w:rsidR="00387FA2" w:rsidRPr="00975102" w:rsidRDefault="00387FA2" w:rsidP="00387FA2">
      <w:pPr>
        <w:rPr>
          <w:sz w:val="24"/>
          <w:szCs w:val="24"/>
        </w:rPr>
      </w:pPr>
    </w:p>
    <w:p w:rsidR="00FA6F99" w:rsidRDefault="00387FA2">
      <w:pPr>
        <w:rPr>
          <w:rFonts w:cs="Times New Roman"/>
          <w:b/>
          <w:sz w:val="36"/>
          <w:szCs w:val="36"/>
        </w:rPr>
      </w:pPr>
      <w:r>
        <w:rPr>
          <w:rFonts w:ascii="Cambria-Bold" w:hAnsi="Cambria-Bold" w:cs="Cambria-Bold"/>
          <w:b/>
          <w:bCs/>
          <w:sz w:val="36"/>
          <w:szCs w:val="36"/>
        </w:rPr>
        <w:br w:type="page"/>
      </w:r>
      <w:r w:rsidR="00B26F86">
        <w:rPr>
          <w:rFonts w:cs="Times New Roman"/>
          <w:b/>
          <w:sz w:val="36"/>
          <w:szCs w:val="36"/>
        </w:rPr>
        <w:lastRenderedPageBreak/>
        <w:t>Abstract</w:t>
      </w:r>
    </w:p>
    <w:p w:rsidR="003373E4" w:rsidRDefault="003373E4">
      <w:pPr>
        <w:rPr>
          <w:rFonts w:cs="Times New Roman"/>
          <w:b/>
          <w:sz w:val="36"/>
          <w:szCs w:val="36"/>
        </w:rPr>
      </w:pPr>
    </w:p>
    <w:p w:rsidR="00421881" w:rsidRDefault="00AD17EB" w:rsidP="00421881">
      <w:pPr>
        <w:spacing w:line="360" w:lineRule="auto"/>
        <w:jc w:val="both"/>
        <w:rPr>
          <w:rFonts w:cs="Times New Roman"/>
          <w:sz w:val="24"/>
          <w:szCs w:val="24"/>
        </w:rPr>
      </w:pPr>
      <w:r>
        <w:rPr>
          <w:rFonts w:cs="Times New Roman"/>
          <w:b/>
          <w:sz w:val="24"/>
          <w:szCs w:val="24"/>
        </w:rPr>
        <w:tab/>
      </w:r>
      <w:r w:rsidR="00421881">
        <w:rPr>
          <w:rFonts w:cs="Times New Roman"/>
          <w:sz w:val="24"/>
          <w:szCs w:val="24"/>
        </w:rPr>
        <w:t xml:space="preserve">A study was undertaken to research the polyphenolic composition of various plant materials by the use of UPLC and HRAM mass spectrometry. This was done in the context of proof-of-principle projects with the intention of attracting new funding. </w:t>
      </w:r>
    </w:p>
    <w:p w:rsidR="00421881" w:rsidRDefault="00421881" w:rsidP="00421881">
      <w:pPr>
        <w:spacing w:line="360" w:lineRule="auto"/>
        <w:jc w:val="both"/>
        <w:rPr>
          <w:rFonts w:cs="Times New Roman"/>
          <w:sz w:val="24"/>
          <w:szCs w:val="24"/>
        </w:rPr>
      </w:pPr>
      <w:r>
        <w:rPr>
          <w:rFonts w:cs="Times New Roman"/>
          <w:sz w:val="24"/>
          <w:szCs w:val="24"/>
        </w:rPr>
        <w:tab/>
        <w:t>Polyphenols are natural products present in all plant material. They are of benefit to animals as they play a role in the prevention of disease though the main focus of published research has been that of human health. The analytical challenge here is the characterisation of the polyphenols present within a complex biochemical background matrix. Also this will be applied to plant materials that have not yet been characterised in this manner or detail.</w:t>
      </w:r>
    </w:p>
    <w:p w:rsidR="00421881" w:rsidRDefault="00421881" w:rsidP="00421881">
      <w:pPr>
        <w:spacing w:line="360" w:lineRule="auto"/>
        <w:jc w:val="both"/>
        <w:rPr>
          <w:rFonts w:cs="Times New Roman"/>
          <w:sz w:val="24"/>
          <w:szCs w:val="24"/>
        </w:rPr>
      </w:pPr>
      <w:r>
        <w:rPr>
          <w:rFonts w:cs="Times New Roman"/>
          <w:sz w:val="24"/>
          <w:szCs w:val="24"/>
        </w:rPr>
        <w:tab/>
        <w:t>The aim of this study is to address these challenges by using cutting edge instrumentation, namely UPLC to provide efficient chromatographic separation followed by detection using high resolution/accurate mass, mass spectrometry. Furthermore it is hoped that this new information will provide a route for adding value to industrial waste and also provide a way of satisfying consumer needs and demands within the tea industry by gaining a better understanding of the phytochemistry involved. An example of this is the profound effect of tea processing methods on the flavours and odours of the finished product, which is so far poorly understood.</w:t>
      </w:r>
    </w:p>
    <w:p w:rsidR="00421881" w:rsidRDefault="00421881" w:rsidP="00421881">
      <w:pPr>
        <w:spacing w:line="360" w:lineRule="auto"/>
        <w:jc w:val="both"/>
        <w:rPr>
          <w:rFonts w:cs="Times New Roman"/>
          <w:sz w:val="24"/>
          <w:szCs w:val="24"/>
        </w:rPr>
      </w:pPr>
      <w:r>
        <w:rPr>
          <w:rFonts w:cs="Times New Roman"/>
          <w:sz w:val="24"/>
          <w:szCs w:val="24"/>
        </w:rPr>
        <w:tab/>
        <w:t>The focus included 3 areas of study: firstly the study of forestry waste, secondly the study of agricultural and aquacultural waste and thirdly the study of various types of tea. The techniques used were discovery metabolomics (untargeted) and external standard analysis for quantification (targeted). Also multivariate statistics were used for data interpretation including supervised and unsupervised models.</w:t>
      </w:r>
    </w:p>
    <w:p w:rsidR="00421881" w:rsidRDefault="00421881" w:rsidP="00421881">
      <w:pPr>
        <w:spacing w:line="360" w:lineRule="auto"/>
        <w:jc w:val="both"/>
        <w:rPr>
          <w:rFonts w:cs="Times New Roman"/>
          <w:sz w:val="24"/>
          <w:szCs w:val="24"/>
        </w:rPr>
      </w:pPr>
      <w:r>
        <w:rPr>
          <w:rFonts w:cs="Times New Roman"/>
          <w:sz w:val="24"/>
          <w:szCs w:val="24"/>
        </w:rPr>
        <w:tab/>
        <w:t xml:space="preserve">The results provide a path for each of the industries involved to gain a commercial advantage or a competitive edge. In terms of the waste from the forestry, agriculture and aquaculture industries, profit could be made from this </w:t>
      </w:r>
      <w:r w:rsidR="000F0053">
        <w:rPr>
          <w:rFonts w:cs="Times New Roman"/>
          <w:sz w:val="24"/>
          <w:szCs w:val="24"/>
        </w:rPr>
        <w:t xml:space="preserve">waste </w:t>
      </w:r>
      <w:r>
        <w:rPr>
          <w:rFonts w:cs="Times New Roman"/>
          <w:sz w:val="24"/>
          <w:szCs w:val="24"/>
        </w:rPr>
        <w:t xml:space="preserve">plant material and hence this can add to their financial viability. A wide array of polyphenolic compounds were shown to be present here including Rutin, </w:t>
      </w:r>
      <w:r w:rsidRPr="004E7A67">
        <w:rPr>
          <w:rFonts w:cs="Times New Roman"/>
          <w:sz w:val="24"/>
          <w:szCs w:val="24"/>
        </w:rPr>
        <w:t>Epigallocatechin gallate</w:t>
      </w:r>
      <w:r>
        <w:rPr>
          <w:rFonts w:cs="Times New Roman"/>
          <w:sz w:val="24"/>
          <w:szCs w:val="24"/>
        </w:rPr>
        <w:t xml:space="preserve"> and </w:t>
      </w:r>
      <w:r w:rsidRPr="00300891">
        <w:rPr>
          <w:rFonts w:cs="Times New Roman"/>
          <w:sz w:val="24"/>
          <w:szCs w:val="24"/>
        </w:rPr>
        <w:t>Matairesinol</w:t>
      </w:r>
      <w:r>
        <w:rPr>
          <w:rFonts w:cs="Times New Roman"/>
          <w:sz w:val="24"/>
          <w:szCs w:val="24"/>
        </w:rPr>
        <w:t xml:space="preserve">. In the case of the tea industry, this analytical approach gave detail on the phytochemistry of teas which had </w:t>
      </w:r>
      <w:r>
        <w:rPr>
          <w:rFonts w:cs="Times New Roman"/>
          <w:sz w:val="24"/>
          <w:szCs w:val="24"/>
        </w:rPr>
        <w:lastRenderedPageBreak/>
        <w:t xml:space="preserve">undergone </w:t>
      </w:r>
      <w:r w:rsidR="000F0053">
        <w:rPr>
          <w:rFonts w:cs="Times New Roman"/>
          <w:sz w:val="24"/>
          <w:szCs w:val="24"/>
        </w:rPr>
        <w:t>a variety of</w:t>
      </w:r>
      <w:r>
        <w:rPr>
          <w:rFonts w:cs="Times New Roman"/>
          <w:sz w:val="24"/>
          <w:szCs w:val="24"/>
        </w:rPr>
        <w:t xml:space="preserve"> harvesting and processing methods and also provided tentative identifications for many compounds of interest including , Theasinensins, Theaflavins, Cyanidin and  Theogallin.</w:t>
      </w:r>
    </w:p>
    <w:p w:rsidR="00421881" w:rsidRDefault="00421881" w:rsidP="00421881">
      <w:pPr>
        <w:spacing w:line="360" w:lineRule="auto"/>
        <w:jc w:val="both"/>
        <w:rPr>
          <w:rFonts w:cs="Times New Roman"/>
          <w:sz w:val="24"/>
          <w:szCs w:val="24"/>
        </w:rPr>
      </w:pPr>
      <w:r>
        <w:rPr>
          <w:rFonts w:cs="Times New Roman"/>
          <w:sz w:val="24"/>
          <w:szCs w:val="24"/>
        </w:rPr>
        <w:tab/>
        <w:t>From a wider perspective this approach can be readily applied to other plant materials to reveal metabolites of importance. Although polyphenols were the focus of this study, with minor adjustments, this workflow could be applied to the study of many other groups of compounds.</w:t>
      </w:r>
    </w:p>
    <w:p w:rsidR="00D970A7" w:rsidRDefault="00D970A7" w:rsidP="00421881">
      <w:pPr>
        <w:spacing w:line="360" w:lineRule="auto"/>
        <w:jc w:val="both"/>
        <w:rPr>
          <w:rFonts w:cs="Times New Roman"/>
          <w:sz w:val="24"/>
          <w:szCs w:val="24"/>
        </w:rPr>
      </w:pPr>
      <w:r>
        <w:rPr>
          <w:rFonts w:cs="Times New Roman"/>
          <w:sz w:val="24"/>
          <w:szCs w:val="24"/>
        </w:rPr>
        <w:tab/>
      </w:r>
    </w:p>
    <w:p w:rsidR="00AD17EB" w:rsidRDefault="00AD17EB">
      <w:pPr>
        <w:rPr>
          <w:rFonts w:cs="Times New Roman"/>
          <w:sz w:val="24"/>
          <w:szCs w:val="24"/>
        </w:rPr>
      </w:pPr>
    </w:p>
    <w:p w:rsidR="00AD17EB" w:rsidRPr="00AD17EB" w:rsidRDefault="00AD17EB">
      <w:pPr>
        <w:rPr>
          <w:rFonts w:cs="Times New Roman"/>
          <w:sz w:val="24"/>
          <w:szCs w:val="24"/>
        </w:rPr>
      </w:pPr>
    </w:p>
    <w:p w:rsidR="004D5D13" w:rsidRDefault="004D5D13">
      <w:pPr>
        <w:rPr>
          <w:rFonts w:cs="Times New Roman"/>
          <w:b/>
          <w:sz w:val="36"/>
          <w:szCs w:val="36"/>
        </w:rPr>
      </w:pPr>
    </w:p>
    <w:p w:rsidR="004D5D13" w:rsidRDefault="004D5D13">
      <w:pPr>
        <w:rPr>
          <w:rFonts w:ascii="Cambria-Bold" w:hAnsi="Cambria-Bold" w:cs="Cambria-Bold"/>
          <w:b/>
          <w:bCs/>
          <w:sz w:val="36"/>
          <w:szCs w:val="36"/>
        </w:rPr>
        <w:sectPr w:rsidR="004D5D13" w:rsidSect="00E62A92">
          <w:footerReference w:type="default" r:id="rId12"/>
          <w:pgSz w:w="11906" w:h="16838"/>
          <w:pgMar w:top="1440" w:right="1440" w:bottom="1440" w:left="1440" w:header="708" w:footer="708" w:gutter="0"/>
          <w:pgNumType w:fmt="lowerRoman"/>
          <w:cols w:space="708"/>
          <w:docGrid w:linePitch="360"/>
        </w:sectPr>
      </w:pPr>
    </w:p>
    <w:p w:rsidR="00CF1D1E" w:rsidRPr="00CF1D1E" w:rsidRDefault="00CF1D1E" w:rsidP="00CF1D1E">
      <w:pPr>
        <w:spacing w:line="360" w:lineRule="auto"/>
        <w:jc w:val="both"/>
        <w:rPr>
          <w:rFonts w:ascii="Calibri" w:eastAsia="Calibri" w:hAnsi="Calibri" w:cs="Times New Roman"/>
          <w:b/>
          <w:sz w:val="96"/>
          <w:szCs w:val="96"/>
        </w:rPr>
      </w:pPr>
      <w:r w:rsidRPr="00CF1D1E">
        <w:rPr>
          <w:rFonts w:ascii="Calibri" w:eastAsia="Calibri" w:hAnsi="Calibri" w:cs="Times New Roman"/>
          <w:sz w:val="96"/>
          <w:szCs w:val="96"/>
          <w:highlight w:val="lightGray"/>
        </w:rPr>
        <w:lastRenderedPageBreak/>
        <w:t>General Introduction</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field of mass spectrometry has developed dynamically over recent years providing great potential as a tool for metabolomics. The new generation of untargeted/discovery mode mass spectrometers introduce significant advances in resolving power, sensitivity, robustness and extended dynamic range, making them attractive to the developing metabolomics community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{"citationItems":[{"id":"ITEM-1","itemData":{"DOI":"10.1080/19440049.2015.1084539","ISSN":"19440057","abstract":"Food authenticity becomes a necessity for global food policies, since food placed in the market without fail has to be authentic. It has always been a challenge, since in the past minor components, called also markers, have been mainly monitored by chromatographic methods in order to authenticate the food. Nevertheless, nowadays, advanced analytical methods have allowed food fingerprints to be achieved. At the same time they have been also combined with chemometrics, which uses statistical methods in order to verify food and to provide maximum information by analysing chemical data. These sophisticated methods based on different separation techniques or stand alone have been recently coupled to high-resolution mass spectrometry (HRMS) in order to verify the authenticity of food. The new generation of HRMS detectors have experienced significant advances in resolving power, sensitivity, robustness, extended dynamic range, easier mass calibration and tandem mass capabilities, making HRMS more attractive and useful to the food metabolomics community, therefore becoming a reliable tool for food authenticity. The purpose of this review is to summarise and describe the most recent metabolomics approaches in the area of food metabolomics, and to discuss the strengths and drawbacks of the HRMS analytical platforms combined with chemometrics.","author":[{"dropping-particle":"","family":"Rubert","given":"Josep","non-dropping-particle":"","parse-names":false,"suffix":""},{"dropping-particle":"","family":"Zachariasova","given":"Milena","non-dropping-particle":"","parse-names":false,"suffix":""},{"dropping-particle":"","family":"Hajslova","given":"Jana","non-dropping-particle":"","parse-names":false,"suffix":""}],"container-title":"Food Additives and Contaminants - Part A Chemistry, Analysis, Control, Exposure and Risk Assessment","id":"ITEM-1","issue":"10","issued":{"date-parts":[["2015"]]},"page":"1685-1708","publisher":"Taylor &amp; Francis","title":"Advances in high-resolution mass spectrometry based on metabolomics studies for food – a review","type":"article-journal","volume":"32"},"uris":["http://www.mendeley.com/documents/?uuid=af5c6a37-e232-4e23-b18f-735e493903db"]}],"mendeley":{"formattedCitation":"(Rubert, Zachariasova, &amp; Hajslova, 2015)","plainTextFormattedCitation":"(Rubert, Zachariasova, &amp; Hajslova, 2015)","previouslyFormattedCitation":"(Rubert, Zachariasova, &amp; Hajslova,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(Rubert, Zachariasova, &amp; Hajslova,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High-resolution mass spectrometers are the instrument of choice for this type of investigation allowing the researcher to distinguish between compounds of the same nominal mass (isobars)</w:t>
      </w:r>
      <w:r w:rsidR="00E071D8">
        <w:rPr>
          <w:rFonts w:ascii="Calibri" w:eastAsia="Calibri" w:hAnsi="Calibri" w:cs="Times New Roman"/>
          <w:sz w:val="24"/>
          <w:szCs w:val="24"/>
        </w:rPr>
        <w:t xml:space="preserve"> but different accurate mass</w:t>
      </w:r>
      <w:r w:rsidRPr="00CF1D1E">
        <w:rPr>
          <w:rFonts w:ascii="Calibri" w:eastAsia="Calibri" w:hAnsi="Calibri" w:cs="Times New Roman"/>
          <w:sz w:val="24"/>
          <w:szCs w:val="24"/>
        </w:rPr>
        <w:t>.</w:t>
      </w:r>
      <w:r w:rsidR="00E071D8">
        <w:rPr>
          <w:rFonts w:ascii="Calibri" w:eastAsia="Calibri" w:hAnsi="Calibri" w:cs="Times New Roman"/>
          <w:sz w:val="24"/>
          <w:szCs w:val="24"/>
        </w:rPr>
        <w:t xml:space="preserve"> This is made possible by the extra detail provided by HRAM. Also, </w:t>
      </w:r>
      <w:r w:rsidRPr="00CF1D1E">
        <w:rPr>
          <w:rFonts w:ascii="Calibri" w:eastAsia="Calibri" w:hAnsi="Calibri" w:cs="Times New Roman"/>
          <w:sz w:val="24"/>
          <w:szCs w:val="24"/>
        </w:rPr>
        <w:t xml:space="preserve">accurate mass measurement </w:t>
      </w:r>
      <w:r w:rsidR="00E071D8">
        <w:rPr>
          <w:rFonts w:ascii="Calibri" w:eastAsia="Calibri" w:hAnsi="Calibri" w:cs="Times New Roman"/>
          <w:sz w:val="24"/>
          <w:szCs w:val="24"/>
        </w:rPr>
        <w:t>enables</w:t>
      </w:r>
      <w:r w:rsidRPr="00CF1D1E">
        <w:rPr>
          <w:rFonts w:ascii="Calibri" w:eastAsia="Calibri" w:hAnsi="Calibri" w:cs="Times New Roman"/>
          <w:sz w:val="24"/>
          <w:szCs w:val="24"/>
        </w:rPr>
        <w:t xml:space="preserve"> the calculation of empirical formulas.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Advancement in separation science has added to this progress by overcoming some of the disadvantages of the direct infusion approach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{"citationItems":[{"id":"ITEM-1","itemData":{"DOI":"10.1016/j.trac.2019.05.032","ISSN":"18793142","abstract":"The present review illustrates the state of the art in the field of liquid chromatography (LC) hyphenated to electron ionization mass spectrometry (EI MS). An overview of applications over the last decades is given, in order to demonstrate the benefits arisen from the use of EI for the characterization of typically LC-amenable samples. Key advantages are related to the extensive fragmentation pattern useful for structure elucidation and the absence of matrix effects, differently from the most commonly employed LC-MS interfaces (e.g., electrospray). Different interfaces which made the LC-EI MS coupling feasible are described, along with several approaches proposed to overcome well-known incompatibility issues.","author":[{"dropping-particle":"","family":"Rigano","given":"Francesca","non-dropping-particle":"","parse-names":false,"suffix":""},{"dropping-particle":"","family":"Tranchida","given":"Peter Q.","non-dropping-particle":"","parse-names":false,"suffix":""},{"dropping-particle":"","family":"Dugo","given":"Paola","non-dropping-particle":"","parse-names":false,"suffix":""},{"dropping-particle":"","family":"Mondello","given":"Luigi","non-dropping-particle":"","parse-names":false,"suffix":""}],"container-title":"TrAC - Trends in Analytical Chemistry","id":"ITEM-1","issued":{"date-parts":[["2019"]]},"page":"112-122","publisher":"Elsevier Ltd","title":"High-performance liquid chromatography combined with electron ionization mass spectrometry: A review","type":"article-journal","volume":"118"},"uris":["http://www.mendeley.com/documents/?uuid=9d73cb66-b146-4c86-a38a-624a63b2a95d"]}],"mendeley":{"formattedCitation":"(Rigano, Tranchida, Dugo, &amp; Mondello, 2019)","plainTextFormattedCitation":"(Rigano, Tranchida, Dugo, &amp; Mondello, 2019)","previouslyFormattedCitation":"(Rigano, Tranchida, Dugo, &amp; Mondello,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(Rigano, Tranchida, Dugo, &amp; Mondello,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Ultra-Performance Liquid Chromatography (UPLC) adds to this the separation, by retention time, of eluting components and subsequently reduces ion suppression. </w:t>
      </w:r>
      <w:r w:rsidR="00A04E5A" w:rsidRPr="00A04E5A">
        <w:rPr>
          <w:rFonts w:ascii="Calibri" w:eastAsia="Calibri" w:hAnsi="Calibri" w:cs="Times New Roman"/>
          <w:sz w:val="24"/>
          <w:szCs w:val="24"/>
        </w:rPr>
        <w:t>Ion suppression is caused by a reduction in the ionisation efficiency of the analyte caused by competition between the analyte and other components in the sample matrix.</w:t>
      </w:r>
      <w:r w:rsidR="00A04E5A">
        <w:rPr>
          <w:rFonts w:ascii="Calibri" w:eastAsia="Calibri" w:hAnsi="Calibri" w:cs="Times New Roman"/>
          <w:sz w:val="24"/>
          <w:szCs w:val="24"/>
        </w:rPr>
        <w:t xml:space="preserve"> </w:t>
      </w:r>
      <w:r w:rsidR="000C5F68">
        <w:rPr>
          <w:rFonts w:ascii="Calibri" w:eastAsia="Calibri" w:hAnsi="Calibri" w:cs="Times New Roman"/>
          <w:sz w:val="24"/>
          <w:szCs w:val="24"/>
        </w:rPr>
        <w:t>In addition</w:t>
      </w:r>
      <w:r w:rsidRPr="00CF1D1E">
        <w:rPr>
          <w:rFonts w:ascii="Calibri" w:eastAsia="Calibri" w:hAnsi="Calibri" w:cs="Times New Roman"/>
          <w:sz w:val="24"/>
          <w:szCs w:val="24"/>
        </w:rPr>
        <w:t xml:space="preserve">, the separation of isobaric species by their particular affinity for the UPLC column stationary phase or the mobile-phase, makes their differentiation more likely. Furthermore, a good chromatographic separation will lead to better detection limits and reduced background noise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{"citationItems":[{"id":"ITEM-1","itemData":{"DOI":"10.1002/mas","ISBN":"0019-5189","ISSN":"00195189","PMID":"20329703","abstract":"Metabolomics is one omics approach that can be used to acquire comprehensive information on the composition of a metabolite pool to provide a functional screen of the cellular state. Studies of the plant metabolome include analysis of a wide range of chemical species with diverse physical properties, from ionic inorganic compounds to biochemically derived hydrophilic carbohydrates, organic and amino acids, and a range of hydrophobic lipid-related compounds. This complexitiy brings huge challenges to the analytical technologies employed in current plant metabolomics programs, and powerful analytical tools are required for the separation and characterization of this extremely high compound diversity present in biological sample matrices. The use of mass spectrometry (MS)-based analytical platforms to profile stress-responsive metabolites that allow some plants to adapt to adverse environmental conditions is fundamental in current plant biotechnology research programs for the understanding and development of stress-tolerant plants. In this review, we describe recent applications of metabolomics and emphasize its increasing application to study plant responses to environmental (stress-) factors, including drought, salt, low oxygen caused by waterlogging or flooding of the soil, temperature, light and oxidative stress (or a combination of them). Advances in understanding the global changes occurring in plant metabolism under specific abiotic stress conditions are fundamental to enhance plant fitness and increase stress tolerance.","author":[{"dropping-particle":"","family":"Dettmer","given":"Katja","non-dropping-particle":"","parse-names":false,"suffix":""},{"dropping-particle":"","family":"Aronov","given":"Pavel","non-dropping-particle":"","parse-names":false,"suffix":""},{"dropping-particle":"","family":"Hammock","given":"Bruce","non-dropping-particle":"","parse-names":false,"suffix":""}],"container-title":"Mass Spectrometry Reviews","id":"ITEM-1","issue":"i","issued":{"date-parts":[["2006"]]},"page":"221-235","title":"MASS SPECTROMETRY-BASED METABOLOMICS","type":"article-journal"},"uris":["http://www.mendeley.com/documents/?uuid=89f83bcf-b1e6-46de-8361-61e5a47d3535"]}],"mendeley":{"formattedCitation":"(Dettmer, Aronov, &amp; Hammock, 2006)","plainTextFormattedCitation":"(Dettmer, Aronov, &amp; Hammock, 2006)","previouslyFormattedCitation":"(Dettmer, Aronov, &amp; Hammock, 2006)"},"properties":{"noteIndex":0},"schema":"https://github.com/citation-style-language/schema/raw/master/csl-citation.json"}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(Dettmer, Aronov, &amp; Hammock, 2006)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Over the past two decades, metabolomics has rapidly emerged as an area of post-genome research. The metabolome i.e. the set of all metabolites of an organism, represents the ultimate phenotype of cells due to gene expression and the </w:t>
      </w:r>
      <w:r w:rsidRPr="00E26EF2">
        <w:rPr>
          <w:rFonts w:ascii="Calibri" w:eastAsia="Calibri" w:hAnsi="Calibri" w:cs="Times New Roman"/>
          <w:i/>
          <w:sz w:val="24"/>
          <w:szCs w:val="24"/>
        </w:rPr>
        <w:t>regulation</w:t>
      </w:r>
      <w:r w:rsidRPr="00CF1D1E">
        <w:rPr>
          <w:rFonts w:ascii="Calibri" w:eastAsia="Calibri" w:hAnsi="Calibri" w:cs="Times New Roman"/>
          <w:sz w:val="24"/>
          <w:szCs w:val="24"/>
        </w:rPr>
        <w:t xml:space="preserve"> of protein functions caused by mutations and the environment. The metabolome can also </w:t>
      </w:r>
      <w:r w:rsidRPr="00E26EF2">
        <w:rPr>
          <w:rFonts w:ascii="Calibri" w:eastAsia="Calibri" w:hAnsi="Calibri" w:cs="Times New Roman"/>
          <w:i/>
          <w:sz w:val="24"/>
          <w:szCs w:val="24"/>
        </w:rPr>
        <w:t>influence</w:t>
      </w:r>
      <w:r w:rsidRPr="00CF1D1E">
        <w:rPr>
          <w:rFonts w:ascii="Calibri" w:eastAsia="Calibri" w:hAnsi="Calibri" w:cs="Times New Roman"/>
          <w:sz w:val="24"/>
          <w:szCs w:val="24"/>
        </w:rPr>
        <w:t xml:space="preserve"> gene expression and protein function. As a result, metabolomics plays a key role in understanding cellular systems. Metabolomics </w:t>
      </w:r>
      <w:r w:rsidR="005170EE">
        <w:rPr>
          <w:rFonts w:ascii="Calibri" w:eastAsia="Calibri" w:hAnsi="Calibri" w:cs="Times New Roman"/>
          <w:sz w:val="24"/>
          <w:szCs w:val="24"/>
        </w:rPr>
        <w:t>is</w:t>
      </w:r>
      <w:r w:rsidRPr="00CF1D1E">
        <w:rPr>
          <w:rFonts w:ascii="Calibri" w:eastAsia="Calibri" w:hAnsi="Calibri" w:cs="Times New Roman"/>
          <w:sz w:val="24"/>
          <w:szCs w:val="24"/>
        </w:rPr>
        <w:t xml:space="preserve"> applied in various ways from medical science to agriculture. As plants collectively produce far more compounds than animals or microorganisms, metabolomics becomes of particular importance here. Furthermore, in </w:t>
      </w:r>
      <w:r w:rsidRPr="00CF1D1E">
        <w:rPr>
          <w:rFonts w:ascii="Calibri" w:eastAsia="Calibri" w:hAnsi="Calibri" w:cs="Times New Roman"/>
          <w:sz w:val="24"/>
          <w:szCs w:val="24"/>
        </w:rPr>
        <w:lastRenderedPageBreak/>
        <w:t xml:space="preserve">terms of the properties of benefit to humans, most of these can be attributed to plant metabolites </w:t>
      </w:r>
      <w:r w:rsidRPr="00CF1D1E">
        <w:rPr>
          <w:rFonts w:ascii="Calibri" w:eastAsia="Calibri" w:hAnsi="Calibri" w:cs="Times New Roman"/>
          <w:sz w:val="24"/>
          <w:szCs w:val="24"/>
        </w:rPr>
        <w:fldChar w:fldCharType="begin" w:fldLock="1"/>
      </w:r>
      <w:r w:rsidR="00E001D1">
        <w:rPr>
          <w:rFonts w:ascii="Calibri" w:eastAsia="Calibri" w:hAnsi="Calibri" w:cs="Times New Roman"/>
          <w:sz w:val="24"/>
          <w:szCs w:val="24"/>
        </w:rPr>
        <w:instrText>ADDIN CSL_CITATION {"citationItems":[{"id":"ITEM-1","itemData":{"DOI":"10.1007/3-540-29782-0_3","ISBN":"9783540297819","ISSN":"0934943X","abstract":"The examples presented in this chapter clearly underline the versatility of hybrid TOF mass spectrometers, and their capabilities with regard to metabolic profiling, structure elucidation and compound identification, using accurate mass determinations and MS/MS fragmentation. The high sensitivity and mass resolution allows the rapid screening of complex plant extracts by DFI, suitable for semi quantitative high throughput (pre)screening. More detailed analysis is possible when MS detection is preceded by applying separation technologies such as LC. Data processing and efficient data handling are becoming more and more the bottleneck in the process, especially when high through put screening is required and the currently available bioinformatics tools are inadequate. Another bottleneck is the low number of available reference compounds needed for definitive identification of differentially accumulating components. Key developments for the near future will therefore have to be made in these areas if true plant metabolomics strategies are to become routine. With better software and more easily mined databases we will be best equipped for the identification of the large numbers of the highly chemically diverse components typically present in complex plant extracts.","author":[{"dropping-particle":"","family":"Verhoeven","given":"H. A.","non-dropping-particle":"","parse-names":false,"suffix":""},{"dropping-particle":"","family":"Ric de Vos","given":"C. H.","non-dropping-particle":"","parse-names":false,"suffix":""},{"dropping-particle":"","family":"Bino","given":"R. J.","non-dropping-particle":"","parse-names":false,"suffix":""},{"dropping-particle":"","family":"Hall","given":"R. D.","non-dropping-particle":"","parse-names":false,"suffix":""}],"container-title":"Biotechnology in Agriculture and Forestry","id":"ITEM-1","issued":{"date-parts":[["2006"]]},"number-of-pages":"33-48","title":"Plant metabolomics strategies based upon quadrupole time of flight mass spectrometry (QTOF-MS)","type":"book","volume":"57"},"uris":["http://www.mendeley.com/documents/?uuid=a3360f30-9a72-461f-a58e-4c144c736017"]}],"mendeley":{"formattedCitation":"(Verhoeven, Ric de Vos, Bino, &amp; Hall, 2006)","manualFormatting":"(Verhoeven, de Vos, Bino, &amp; Hall, 2006)","plainTextFormattedCitation":"(Verhoeven, Ric de Vos, Bino, &amp; Hall, 2006)","previouslyFormattedCitation":"(Verhoeven, Ric de Vos, Bino, &amp; Hall, 2006)"},"properties":{"noteIndex":0},"schema":"https://github.com/citation-style-language/schema/raw/master/csl-citation.json"}</w:instrText>
      </w:r>
      <w:r w:rsidRPr="00CF1D1E">
        <w:rPr>
          <w:rFonts w:ascii="Calibri" w:eastAsia="Calibri" w:hAnsi="Calibri" w:cs="Times New Roman"/>
          <w:sz w:val="24"/>
          <w:szCs w:val="24"/>
        </w:rPr>
        <w:fldChar w:fldCharType="separate"/>
      </w:r>
      <w:r w:rsidR="00A04E5A">
        <w:rPr>
          <w:rFonts w:ascii="Calibri" w:eastAsia="Calibri" w:hAnsi="Calibri" w:cs="Times New Roman"/>
          <w:noProof/>
          <w:sz w:val="24"/>
          <w:szCs w:val="24"/>
        </w:rPr>
        <w:t xml:space="preserve">(Verhoeven, </w:t>
      </w:r>
      <w:r w:rsidR="00941740" w:rsidRPr="00941740">
        <w:rPr>
          <w:rFonts w:ascii="Calibri" w:eastAsia="Calibri" w:hAnsi="Calibri" w:cs="Times New Roman"/>
          <w:noProof/>
          <w:sz w:val="24"/>
          <w:szCs w:val="24"/>
        </w:rPr>
        <w:t>de Vos, Bino, &amp; Hall, 2006)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This complex array of metabolites provides a huge analytical challenge which can be approached in many ways from high throughput direct infusion ESI MS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{"citationItems":[{"id":"ITEM-1","itemData":{"DOI":"10.1016/S0031-9422(02)00718-5","ISSN":"00319422","abstract":"Metabolic fingerprints were obtained from unfractionated Pharbitis nil leaf sap samples by direct infusion into an electrospray ionization mass spectrometer. Analyses took less than 30 s per sample and yielded complex mass spectra. Various chemometric methods, including discriminant function analysis and the machine-learning methods of artificial neural networks and genetic programming, could discriminate the metabolic fingerprints of plants subjected to different photoperiod treatments. This rapid automated analytical procedure could find use in a variety of phytochemical applications requiring high sample throughput. © 2003 Elsevier Science Ltd. All rights reserved.","author":[{"dropping-particle":"","family":"Goodacre","given":"Royston","non-dropping-particle":"","parse-names":false,"suffix":""},{"dropping-particle":"V.","family":"York","given":"Emma","non-dropping-particle":"","parse-names":false,"suffix":""},{"dropping-particle":"","family":"Heald","given":"James K.","non-dropping-particle":"","parse-names":false,"suffix":""},{"dropping-particle":"","family":"Scott","given":"Ian M.","non-dropping-particle":"","parse-names":false,"suffix":""}],"container-title":"Phytochemistry","id":"ITEM-1","issue":"6","issued":{"date-parts":[["2003"]]},"page":"859-863","title":"Chemometric discrimination of unfractionated plant extracts analyzed by electrospray mass spectrometry","type":"article-journal","volume":"62"},"uris":["http://www.mendeley.com/documents/?uuid=b1fd2916-528a-41df-a619-8a70b369eabb"]}],"mendeley":{"formattedCitation":"(Goodacre, York, Heald, &amp; Scott, 2003)","plainTextFormattedCitation":"(Goodacre, York, Heald, &amp; Scott, 2003)","previouslyFormattedCitation":"(Goodacre, York, Heald, &amp; Scott, 2003)"},"properties":{"noteIndex":0},"schema":"https://github.com/citation-style-language/schema/raw/master/csl-citation.json"}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(Goodacre, York, Heald, &amp; Scott, 2003)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to UPLC and GC-MS and NMR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{"citationItems":[{"id":"ITEM-1","itemData":{"DOI":"10.1038/nprot.2011.335","author":[{"dropping-particle":"","family":"Dunn","given":"Warwick B","non-dropping-particle":"","parse-names":false,"suffix":""},{"dropping-particle":"","family":"Broadhurst","given":"David","non-dropping-particle":"","parse-names":false,"suffix":""},{"dropping-particle":"","family":"Begley","given":"Paul","non-dropping-particle":"","parse-names":false,"suffix":""},{"dropping-particle":"","family":"Zelena","given":"Eva","non-dropping-particle":"","parse-names":false,"suffix":""},{"dropping-particle":"","family":"Francis-McIntyre","given":"Sue","non-dropping-particle":"","parse-names":false,"suffix":""},{"dropping-particle":"","family":"Anderson","given":"Nadine","non-dropping-particle":"","parse-names":false,"suffix":""},{"dropping-particle":"","family":"Brown","given":"Marie","non-dropping-particle":"","parse-names":false,"suffix":""},{"dropping-particle":"","family":"Knowles","given":"Joshau D","non-dropping-particle":"","parse-names":false,"suffix":""},{"dropping-particle":"","family":"Halsall","given":"Antony","non-dropping-particle":"","parse-names":false,"suffix":""},{"dropping-particle":"","family":"Haselden","given":"John N","non-dropping-particle":"","parse-names":false,"suffix":""},{"dropping-particle":"","family":"Nicholls","given":"Andrew W","non-dropping-particle":"","parse-names":false,"suffix":""},{"dropping-particle":"","family":"Wilson","given":"Ian D","non-dropping-particle":"","parse-names":false,"suffix":""},{"dropping-particle":"","family":"Kell","given":"Douglas B","non-dropping-particle":"","parse-names":false,"suffix":""},{"dropping-particle":"","family":"Goodacre","given":"Royston","non-dropping-particle":"","parse-names":false,"suffix":""}],"container-title":"Nature Protocols","id":"ITEM-1","issued":{"date-parts":[["2011"]]},"title":"Procedures for large-scale metabolic profiling of serum and plasma using gas chromatography and liquid chromatography coupled to mass spectrometry","type":"article-journal","volume":"6"},"uris":["http://www.mendeley.com/documents/?uuid=6b8505bb-4f45-3bec-96b8-22171f071aaf"]}],"mendeley":{"formattedCitation":"(Dunn et al., 2011)","plainTextFormattedCitation":"(Dunn et al., 2011)","previouslyFormattedCitation":"(Dunn et al., 2011)"},"properties":{"noteIndex":0},"schema":"https://github.com/citation-style-language/schema/raw/master/csl-citation.json"}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(Dunn </w:t>
      </w:r>
      <w:r w:rsidR="00941740" w:rsidRPr="00B81FA0">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focus of this thesis is LC-MS, starting with legacy instrumentation and progressing to take advantage of cutting edge UPLC with modern analytical columns and HRAM MS. A large class of secondary metabolites known as polyphenolics were the main components of interest due to their relevance to human health and disease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{"citationItems":[{"id":"ITEM-1","itemData":{"author":[{"dropping-particle":"","family":"Rizvi","given":"Kanti Bhooshan Pandey and Syed Ibrahim","non-dropping-particle":"","parse-names":false,"suffix":""}],"container-title":"Oxidative Medicine and Cellular Longevity","id":"ITEM-1","issued":{"date-parts":[["2009"]]},"page":"270-278","title":"Plant polyphenols as dietary antioxidants in human health and disease","type":"article-journal","volume":"25"},"uris":["http://www.mendeley.com/documents/?uuid=5e059057-03e4-3093-947d-df298f386d66"]}],"mendeley":{"formattedCitation":"(Rizvi, 2009)","plainTextFormattedCitation":"(Rizvi, 2009)","previouslyFormattedCitation":"(Rizvi,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(Rizvi,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i/>
          <w:sz w:val="24"/>
          <w:szCs w:val="24"/>
        </w:rPr>
      </w:pPr>
      <w:r w:rsidRPr="00CF1D1E">
        <w:rPr>
          <w:rFonts w:ascii="Calibri" w:eastAsia="Calibri" w:hAnsi="Calibri" w:cs="Times New Roman"/>
          <w:i/>
          <w:sz w:val="24"/>
          <w:szCs w:val="24"/>
        </w:rPr>
        <w:t>“Data does not equal information; information does not equal knowledge; and, most importantly of all, knowledge does not equal wisdom. We have oceans of data, rivers of information, small puddles of knowledge, and the odd drop of wisdom.”</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t>Henry Nix, Aurisa, 1990.</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data acquired was complex and remained as such until processed accordingly to convert this into usable information and finally knowledge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{"citationItems":[{"id":"ITEM-1","itemData":{"author":[{"dropping-particle":"","family":"Kopka, J., Walther, D., Allwood, J.W. and Goodacre","given":"R.","non-dropping-particle":"","parse-names":false,"suffix":""}],"container-title":"Annual Plant Reviews, Biology of Plant Metabolomics","editor":[{"dropping-particle":"","family":"Hall","given":"R.D.","non-dropping-particle":"","parse-names":false,"suffix":""}],"id":"ITEM-1","issued":{"date-parts":[["2011"]]},"page":"317–342","publisher":"Blackwell Publishing Ltd., Oxford, UK.","title":"Progress in chemometrics and biostatistics for plant applications: or a good red wine is a bad white wine.","type":"chapter"},"uris":["http://www.mendeley.com/documents/?uuid=c388ae6b-5987-4093-8b67-3ab792ab1609"]}],"mendeley":{"formattedCitation":"(Kopka, J., Walther, D., Allwood, J.W. and Goodacre, 2011)","plainTextFormattedCitation":"(Kopka, J., Walther, D., Allwood, J.W. and Goodacre, 2011)","previouslyFormattedCitation":"(Kopka, J., Walther, D., Allwood, J.W. and Goodacre, 2011)"},"properties":{"noteIndex":0},"schema":"https://github.com/citation-style-language/schema/raw/master/csl-citation.json"}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(Kopka, J., Walther, D., Allwood, J.W. and Goodacre, 2011)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Progress in the tools available for this have made multivariate statistics more accessible to laboratories in which access to informaticians is limited, allowing an individual to see the process through, all the way from hypothesis to new knowledge. Alongside the aforementioned metabolomic fingerprinting, metabolomic profiling was achieved using Progenesis QI with comparison to external databases to provide tentative identifications. A selection of polyphenols were also quantified by external standard analysis.</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i/>
          <w:sz w:val="24"/>
          <w:szCs w:val="24"/>
        </w:rPr>
      </w:pPr>
      <w:r w:rsidRPr="00CF1D1E">
        <w:rPr>
          <w:rFonts w:ascii="Calibri" w:eastAsia="Calibri" w:hAnsi="Calibri" w:cs="Times New Roman"/>
          <w:i/>
          <w:sz w:val="24"/>
          <w:szCs w:val="24"/>
        </w:rPr>
        <w:t>“The challenge is not data collection but in maximising information in data, knowledge and wisdom.”</w:t>
      </w:r>
    </w:p>
    <w:p w:rsidR="00CF1D1E" w:rsidRPr="00CF1D1E" w:rsidRDefault="00CF1D1E" w:rsidP="00CF1D1E">
      <w:pPr>
        <w:spacing w:line="360" w:lineRule="auto"/>
        <w:ind w:left="6480" w:firstLine="720"/>
        <w:jc w:val="both"/>
        <w:rPr>
          <w:rFonts w:ascii="Calibri" w:eastAsia="Calibri" w:hAnsi="Calibri" w:cs="Times New Roman"/>
          <w:sz w:val="24"/>
          <w:szCs w:val="24"/>
        </w:rPr>
      </w:pPr>
      <w:r w:rsidRPr="00CF1D1E">
        <w:rPr>
          <w:rFonts w:ascii="Calibri" w:eastAsia="Calibri" w:hAnsi="Calibri" w:cs="Times New Roman"/>
          <w:sz w:val="24"/>
          <w:szCs w:val="24"/>
        </w:rPr>
        <w:t>Johan Trygg, 2019.</w:t>
      </w:r>
    </w:p>
    <w:p w:rsidR="00CF1D1E" w:rsidRPr="00CF1D1E" w:rsidRDefault="00CF1D1E" w:rsidP="00CF1D1E">
      <w:pPr>
        <w:spacing w:line="360" w:lineRule="auto"/>
        <w:ind w:left="6480"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The research described in this </w:t>
      </w:r>
      <w:r w:rsidR="000C5F68">
        <w:rPr>
          <w:rFonts w:ascii="Calibri" w:eastAsia="Calibri" w:hAnsi="Calibri" w:cs="Times New Roman"/>
          <w:sz w:val="24"/>
          <w:szCs w:val="24"/>
        </w:rPr>
        <w:t>thesis</w:t>
      </w:r>
      <w:r w:rsidRPr="00CF1D1E">
        <w:rPr>
          <w:rFonts w:ascii="Calibri" w:eastAsia="Calibri" w:hAnsi="Calibri" w:cs="Times New Roman"/>
          <w:sz w:val="24"/>
          <w:szCs w:val="24"/>
        </w:rPr>
        <w:t xml:space="preserve"> demonstrates that metabolomic fingerprinting and profiling using HRAM MS can provide new information and knowledge which can be used to add value to plant waste from various industries. It is also shown that this approach provides a route for companies producing plant based products e.g. the tea industry, to gain a commercial edge through improved harvesting practices, production techniques, quality control and ultimately satisfying consumer demands.</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jc w:val="both"/>
        <w:rPr>
          <w:rFonts w:ascii="Calibri" w:eastAsia="Calibri" w:hAnsi="Calibri" w:cs="Times New Roman"/>
          <w:sz w:val="96"/>
          <w:szCs w:val="96"/>
        </w:rPr>
      </w:pPr>
      <w:r w:rsidRPr="00CF1D1E">
        <w:rPr>
          <w:rFonts w:ascii="Calibri" w:eastAsia="Calibri" w:hAnsi="Calibri" w:cs="Times New Roman"/>
          <w:sz w:val="96"/>
          <w:szCs w:val="96"/>
          <w:highlight w:val="lightGray"/>
        </w:rPr>
        <w:lastRenderedPageBreak/>
        <w:t>Chapter 1</w:t>
      </w:r>
      <w:r w:rsidRPr="00CF1D1E">
        <w:rPr>
          <w:rFonts w:ascii="Calibri" w:eastAsia="Calibri" w:hAnsi="Calibri" w:cs="Times New Roman"/>
          <w:sz w:val="96"/>
          <w:szCs w:val="96"/>
        </w:rPr>
        <w:t xml:space="preserve"> </w:t>
      </w:r>
    </w:p>
    <w:p w:rsidR="00CF1D1E" w:rsidRPr="00CF1D1E" w:rsidRDefault="00CF1D1E" w:rsidP="00CF1D1E">
      <w:pPr>
        <w:spacing w:line="360" w:lineRule="auto"/>
        <w:jc w:val="both"/>
        <w:rPr>
          <w:rFonts w:ascii="Calibri" w:eastAsia="Calibri" w:hAnsi="Calibri" w:cs="Times New Roman"/>
          <w:sz w:val="72"/>
          <w:szCs w:val="72"/>
        </w:rPr>
      </w:pPr>
    </w:p>
    <w:p w:rsidR="00CF1D1E" w:rsidRPr="00CF1D1E" w:rsidRDefault="00CF1D1E" w:rsidP="00CF1D1E">
      <w:pPr>
        <w:spacing w:line="360" w:lineRule="auto"/>
        <w:jc w:val="both"/>
        <w:rPr>
          <w:rFonts w:ascii="Calibri" w:eastAsia="Calibri" w:hAnsi="Calibri" w:cs="Times New Roman"/>
          <w:sz w:val="72"/>
          <w:szCs w:val="72"/>
        </w:rPr>
      </w:pPr>
      <w:r w:rsidRPr="00CF1D1E">
        <w:rPr>
          <w:rFonts w:ascii="Calibri" w:eastAsia="Calibri" w:hAnsi="Calibri" w:cs="Times New Roman"/>
          <w:sz w:val="72"/>
          <w:szCs w:val="72"/>
        </w:rPr>
        <w:t>A study of polyphenolic</w:t>
      </w:r>
    </w:p>
    <w:p w:rsidR="00CF1D1E" w:rsidRPr="00CF1D1E" w:rsidRDefault="00CF1D1E" w:rsidP="00CF1D1E">
      <w:pPr>
        <w:spacing w:line="360" w:lineRule="auto"/>
        <w:jc w:val="both"/>
        <w:rPr>
          <w:rFonts w:ascii="Calibri" w:eastAsia="Calibri" w:hAnsi="Calibri" w:cs="Times New Roman"/>
          <w:sz w:val="72"/>
          <w:szCs w:val="72"/>
        </w:rPr>
      </w:pPr>
      <w:proofErr w:type="gramStart"/>
      <w:r w:rsidRPr="00CF1D1E">
        <w:rPr>
          <w:rFonts w:ascii="Calibri" w:eastAsia="Calibri" w:hAnsi="Calibri" w:cs="Times New Roman"/>
          <w:sz w:val="72"/>
          <w:szCs w:val="72"/>
        </w:rPr>
        <w:t>compounds</w:t>
      </w:r>
      <w:proofErr w:type="gramEnd"/>
      <w:r w:rsidRPr="00CF1D1E">
        <w:rPr>
          <w:rFonts w:ascii="Calibri" w:eastAsia="Calibri" w:hAnsi="Calibri" w:cs="Times New Roman"/>
          <w:sz w:val="72"/>
          <w:szCs w:val="72"/>
        </w:rPr>
        <w:t xml:space="preserve"> in forestry waste, produced in North Wales, by the use of UPLC with HDMS</w:t>
      </w:r>
      <w:r w:rsidRPr="00CF1D1E">
        <w:rPr>
          <w:rFonts w:ascii="Calibri" w:eastAsia="Calibri" w:hAnsi="Calibri" w:cs="Times New Roman"/>
          <w:sz w:val="72"/>
          <w:szCs w:val="72"/>
          <w:vertAlign w:val="superscript"/>
        </w:rPr>
        <w:t>e</w:t>
      </w:r>
      <w:r w:rsidRPr="00CF1D1E">
        <w:rPr>
          <w:rFonts w:ascii="Calibri" w:eastAsia="Calibri" w:hAnsi="Calibri" w:cs="Times New Roman"/>
          <w:sz w:val="72"/>
          <w:szCs w:val="72"/>
        </w:rPr>
        <w:t xml:space="preserve">, </w:t>
      </w:r>
      <w:proofErr w:type="spellStart"/>
      <w:r w:rsidRPr="00CF1D1E">
        <w:rPr>
          <w:rFonts w:ascii="Calibri" w:eastAsia="Calibri" w:hAnsi="Calibri" w:cs="Times New Roman"/>
          <w:sz w:val="72"/>
          <w:szCs w:val="72"/>
        </w:rPr>
        <w:t>QqQ</w:t>
      </w:r>
      <w:proofErr w:type="spellEnd"/>
      <w:r w:rsidRPr="00CF1D1E">
        <w:rPr>
          <w:rFonts w:ascii="Calibri" w:eastAsia="Calibri" w:hAnsi="Calibri" w:cs="Times New Roman"/>
          <w:sz w:val="72"/>
          <w:szCs w:val="72"/>
        </w:rPr>
        <w:t>-MRM, Q-ToF-MRM and Orbitrap PRM.</w:t>
      </w:r>
      <w:r w:rsidRPr="00CF1D1E">
        <w:rPr>
          <w:rFonts w:ascii="Calibri" w:eastAsia="Calibri" w:hAnsi="Calibri" w:cs="Times New Roman"/>
          <w:sz w:val="23"/>
          <w:szCs w:val="23"/>
        </w:rPr>
        <w:br w:type="page"/>
      </w:r>
    </w:p>
    <w:p w:rsidR="00CF1D1E" w:rsidRPr="00CF1D1E" w:rsidRDefault="00CF1D1E" w:rsidP="00CF1D1E">
      <w:pPr>
        <w:numPr>
          <w:ilvl w:val="1"/>
          <w:numId w:val="2"/>
        </w:numPr>
        <w:autoSpaceDE w:val="0"/>
        <w:autoSpaceDN w:val="0"/>
        <w:adjustRightInd w:val="0"/>
        <w:spacing w:after="0" w:line="360" w:lineRule="auto"/>
        <w:rPr>
          <w:rFonts w:ascii="Calibri" w:eastAsia="Calibri" w:hAnsi="Calibri" w:cs="Times New Roman"/>
          <w:b/>
          <w:bCs/>
          <w:color w:val="000000"/>
          <w:sz w:val="44"/>
          <w:szCs w:val="44"/>
        </w:rPr>
      </w:pPr>
      <w:r w:rsidRPr="00CF1D1E">
        <w:rPr>
          <w:rFonts w:ascii="Calibri" w:eastAsia="Calibri" w:hAnsi="Calibri" w:cs="Times New Roman"/>
          <w:b/>
          <w:bCs/>
          <w:color w:val="000000"/>
          <w:sz w:val="44"/>
          <w:szCs w:val="44"/>
        </w:rPr>
        <w:lastRenderedPageBreak/>
        <w:t xml:space="preserve">Introduction </w:t>
      </w:r>
    </w:p>
    <w:p w:rsidR="00CF1D1E" w:rsidRPr="00CF1D1E" w:rsidRDefault="00CF1D1E" w:rsidP="00CF1D1E">
      <w:pPr>
        <w:autoSpaceDE w:val="0"/>
        <w:autoSpaceDN w:val="0"/>
        <w:adjustRightInd w:val="0"/>
        <w:spacing w:after="0" w:line="360" w:lineRule="auto"/>
        <w:ind w:left="660"/>
        <w:rPr>
          <w:rFonts w:ascii="Times New Roman" w:eastAsia="Calibri" w:hAnsi="Times New Roman" w:cs="Times New Roman"/>
          <w:color w:val="000000"/>
          <w:sz w:val="44"/>
          <w:szCs w:val="4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There has been much publicised about the health benefits of polyphenolic compounds over the past decades. Although strong evidence is scarce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{"citationItems":[{"id":"ITEM-1","itemData":{"DOI":"10.1016/j.fitote.2010.06.011","ISBN":"1873-6971 (Electronic)\\n0367-326X (Linking)","ISSN":"0367326X","PMID":"20598812","abstract":"Great interest is currently centred on the biologic activities of pycnogenol a standardized plant extract obtained from the bark of the French maritime pine Pinus pinaster (formerly known as Pinus maritima), Aiton, subspecies Atlantica des Villar (Pycnogenol®, Horphag Research Ltd., UK, Geneve, Switzerland), which grows in the coastal southwest France. The quality of this extract is specified in the United States Pharmacopeia (USP 28). Between 65% and 75% of Pycnogenol are procyanidins comprising of catechin and epicatechin subunits with varying chain lengths. Other constituents are polyphenolic monomers, phenolic or cinnamic acids and their glycosides. As many studies indicate, pycnogenol components are highly bioavailable. Uniquely, pycnogenol displays greater biologic effects as a mixture than its purified components do individually indicating that the components interact synergistically. Pycnogenol is now utilized throughout the world as a nutritional supplement and as a phytochemical remedy for various diseases ranging from chronic inflammation to circulatory dysfunction, including several impaired psycho-physiological functions. Owing to the basic chemical structure of its components, the most obvious feature of pycnogenol is its strong antioxidant activity. In fact, phenolic acids, polyphenols, and in particular flavonoids, are composed of one (or more) aromatic rings bearing one or more hydroxyl groups and are therefore potentially able to quench free radicals by forming resonance-stabilized phenoxyl radicals. In this review, emphasizing the molecular, cellular, and functional bases of therapy, data appearing in the peer-reviewed literature and focussing the main therapeutic applications of pycnogenol will be summarized and critically evaluated. © 2010 Elsevier B.V. All rights reserved.","author":[{"dropping-particle":"","family":"D'Andrea","given":"Gabriele","non-dropping-particle":"","parse-names":false,"suffix":""}],"container-title":"Fitoterapia","id":"ITEM-1","issue":"7","issued":{"date-parts":[["2010"]]},"page":"724-736","publisher":"Elsevier B.V.","title":"Pycnogenol: A blend of procyanidins with multifaceted therapeutic applications?","type":"article-journal","volume":"81"},"uris":["http://www.mendeley.com/documents/?uuid=408fcf35-85c9-404a-ba18-38ed6903e555"]}],"mendeley":{"formattedCitation":"(D’Andrea, 2010)","plainTextFormattedCitation":"(D’Andrea, 2010)","previouslyFormattedCitation":"(D’Andrea,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(D’Andrea,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there is a growing weight of evidence toward the health benefits of this large group of naturally occurring compounds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{"citationItems":[{"id":"ITEM-1","itemData":{"DOI":"10.1002/biof.79","ISBN":"1872-8081 (Electronic)\\r0951-6433 (Linking)","ISSN":"09516433","PMID":"20232344","abstract":"Proanthocyanidins, also named condensed tannins, are the result of flavanols condensation. Oligomers and polymers of proanthocyanidins can widely be found in the plant kingdom, as in fruits and berries, seeds, flowers, and leaves. They have a putative role as antioxidants, and they affect the inflammatory process via calcium-dependent release of nitric oxide and protect against H(2)O(2)-induced lipid peroxidation. They also demonstrated a role in cardiovascular diseases via vessel relaxation and LDL oxidation inhibition. These condensed tannins have also shown activities that improve diabetic complications, such as neuropathy, retinopathy, or nephropathy, including a decrease in serum glucose and advanced glycation end products. Furthermore, proanthocyanidins have evidenced anticancer properties by mitigating tumor development through induction of apoptosis or inhibition of cell proliferation. Finally, they are able to produce antiadhesive actions against bacteria in urinary and dental infections, including Escherichia coli and Streptococcus mutans. Hence, proanthocyanidins are considered as beneficial molecules in preventing or treating many diseases and pathological conditions. Therefore, finding out more about condensed tannins bioavailability, and understanding the regulatory genes and pathways involved in their effects should be aimed in future research.","author":[{"dropping-particle":"","family":"La Iglesia","given":"Rocío","non-dropping-particle":"De","parse-names":false,"suffix":""},{"dropping-particle":"","family":"Milagro","given":"Fermín I.","non-dropping-particle":"","parse-names":false,"suffix":""},{"dropping-particle":"","family":"Campión","given":"Javier","non-dropping-particle":"","parse-names":false,"suffix":""},{"dropping-particle":"","family":"Boqué","given":"Noemí","non-dropping-particle":"","parse-names":false,"suffix":""},{"dropping-particle":"","family":"Martínez","given":"J. Alfredo","non-dropping-particle":"","parse-names":false,"suffix":""}],"container-title":"BioFactors","id":"ITEM-1","issue":"3","issued":{"date-parts":[["2010"]]},"page":"159-168","title":"Healthy properties of proanthocyanidins","type":"article-journal","volume":"36"},"uris":["http://www.mendeley.com/documents/?uuid=186d1ab8-865b-4d2f-ab2e-ac8fad610526"]},{"id":"ITEM-2","itemData":{"DOI":"10.1016/j.jff.2019.103667","ISSN":"1756-4646","author":[{"dropping-particle":"","family":"Krikorian","given":"Robert","non-dropping-particle":"","parse-names":false,"suffix":""},{"dropping-particle":"","family":"Kalt","given":"Wilhelmina","non-dropping-particle":"","parse-names":false,"suffix":""},{"dropping-particle":"","family":"Mcdonald","given":"Jane E","non-dropping-particle":"","parse-names":false,"suffix":""},{"dropping-particle":"","family":"Shidler","given":"Marcelle D","non-dropping-particle":"","parse-names":false,"suffix":""},{"dropping-particle":"","family":"Summer","given":"Suzanne S","non-dropping-particle":"","parse-names":false,"suffix":""},{"dropping-particle":"","family":"Stein","given":"Amanda L","non-dropping-particle":"","parse-names":false,"suffix":""}],"container-title":"Journal of Functional Foods","id":"ITEM-2","issue":"October","issued":{"date-parts":[["2019"]]},"page":"103667","publisher":"Elsevier","title":"Cognitive performance in relation to urinary anthocyanins and their fl avonoid-based products following blueberry supplementation in older adults at risk for dementia","type":"article-journal"},"uris":["http://www.mendeley.com/documents/?uuid=730856b8-3d55-46e5-9d41-91ff4605cba0"]}],"mendeley":{"formattedCitation":"(De La Iglesia, Milagro, Campión, Boqué, &amp; Martínez, 2010; Krikorian et al., 2019)","plainTextFormattedCitation":"(De La Iglesia, Milagro, Campión, Boqué, &amp; Martínez, 2010; Krikorian et al., 2019)","previouslyFormattedCitation":"(De La Iglesia, Milagro, Campión, Boqué, &amp; Martínez, 2010; Krikorian et al.,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(De La Iglesia, Milagro, Campión, Boqué, &amp; Martínez, 2010; Krikorian </w:t>
      </w:r>
      <w:r w:rsidR="00941740" w:rsidRPr="00646B90">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list of claims is ever growing yet most focus </w:t>
      </w:r>
      <w:r w:rsidR="00E26EF2">
        <w:rPr>
          <w:rFonts w:ascii="Calibri" w:eastAsia="Calibri" w:hAnsi="Calibri" w:cs="Times New Roman"/>
          <w:sz w:val="24"/>
          <w:szCs w:val="24"/>
        </w:rPr>
        <w:t>is</w:t>
      </w:r>
      <w:r w:rsidRPr="00CF1D1E">
        <w:rPr>
          <w:rFonts w:ascii="Calibri" w:eastAsia="Calibri" w:hAnsi="Calibri" w:cs="Times New Roman"/>
          <w:sz w:val="24"/>
          <w:szCs w:val="24"/>
        </w:rPr>
        <w:t xml:space="preserve"> around the protective properties of polyphenolics which counteract disease, different forms of cancer and bacterial infections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{"citationItems":[{"id":"ITEM-1","itemData":{"ISBN":"9780123984562","author":[{"dropping-particle":"","family":"Watson, Preedy","given":"Sherma Zibadi","non-dropping-particle":"","parse-names":false,"suffix":""}],"id":"ITEM-1","issued":{"date-parts":[["2014"]]},"publisher":"Academic Press","title":"Polyphenols in Human Health and Disease","type":"book","volume":"1"},"uris":["http://www.mendeley.com/documents/?uuid=344b15f5-18bb-4e51-b3ed-0fe50d4c7a01"]}],"mendeley":{"formattedCitation":"(Watson, Preedy, 2014)","plainTextFormattedCitation":"(Watson, Preedy, 2014)","previouslyFormattedCitation":"(Watson, Preedy,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(Watson, Preedy,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Much of this is attributed to the antioxidant </w:t>
      </w:r>
      <w:r w:rsidR="00CC5203">
        <w:rPr>
          <w:rFonts w:ascii="Calibri" w:eastAsia="Calibri" w:hAnsi="Calibri" w:cs="Times New Roman"/>
          <w:sz w:val="24"/>
          <w:szCs w:val="24"/>
        </w:rPr>
        <w:t>properties</w:t>
      </w:r>
      <w:r w:rsidRPr="00CF1D1E">
        <w:rPr>
          <w:rFonts w:ascii="Calibri" w:eastAsia="Calibri" w:hAnsi="Calibri" w:cs="Times New Roman"/>
          <w:sz w:val="24"/>
          <w:szCs w:val="24"/>
        </w:rPr>
        <w:t xml:space="preserve"> of this group of compounds and hence their ability to deal with oxidative stress and free radicals. Oxidative stress has been associated with many conditions including cancer, cardiovascular disease, diabetes, obesity, cataracts and neurodegenerative diseases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{"citationItems":[{"id":"ITEM-1","itemData":{"ISBN":"9781405158374","author":[{"dropping-particle":"","family":"Lattanzio","given":"Vincenzo","non-dropping-particle":"","parse-names":false,"suffix":""},{"dropping-particle":"","family":"Kroon","given":"Paul A","non-dropping-particle":"","parse-names":false,"suffix":""},{"dropping-particle":"","family":"Ralph","given":"John","non-dropping-particle":"","parse-names":false,"suffix":""},{"dropping-particle":"","family":"Harris","given":"Philip","non-dropping-particle":"","parse-names":false,"suffix":""},{"dropping-particle":"","family":"Dixon","given":"Richard A","non-dropping-particle":"","parse-names":false,"suffix":""},{"dropping-particle":"","family":"Dangles","given":"Olivier","non-dropping-particle":"","parse-names":false,"suffix":""},{"dropping-particle":"","family":"Kozikowski","given":"Alan P","non-dropping-particle":"","parse-names":false,"suffix":""},{"dropping-particle":"V","family":"Modolo","given":"Luzia","non-dropping-particle":"","parse-names":false,"suffix":""},{"dropping-particle":"","family":"Pang","given":"Yongzhen","non-dropping-particle":"","parse-names":false,"suffix":""},{"dropping-particle":"","family":"Tian","given":"Li","non-dropping-particle":"","parse-names":false,"suffix":""},{"dropping-particle":"","family":"Davies","given":"Kevin M","non-dropping-particle":"","parse-names":false,"suffix":""},{"dropping-particle":"","family":"Zhang","given":"Huaibi","non-dropping-particle":"","parse-names":false,"suffix":""},{"dropping-particle":"","family":"Lamotte","given":"Olivier","non-dropping-particle":"","parse-names":false,"suffix":""}],"container-title":"Recent Advances in Polyphenol Research","id":"ITEM-1","issued":{"date-parts":[["2008"]]},"number-of-pages":"36-66","title":"Recent Advances in Polyphenol Research","type":"book","volume":"1"},"uris":["http://www.mendeley.com/documents/?uuid=72b1a6fb-9e26-490d-82d0-23ae0b6dc2ee"]}],"mendeley":{"formattedCitation":"(Lattanzio et al., 2008)","plainTextFormattedCitation":"(Lattanzio et al., 2008)","previouslyFormattedCitation":"(Lattanzio et al., 2008)"},"properties":{"noteIndex":0},"schema":"https://github.com/citation-style-language/schema/raw/master/csl-citation.json"}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(Lattanzio </w:t>
      </w:r>
      <w:r w:rsidR="00941740" w:rsidRPr="00646B90">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2008)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Other studies though focus on polyphenols as phytoestrogens and their preventative effect on hormone-dependent cancers such as breast</w:t>
      </w:r>
      <w:r w:rsidR="00CC5203">
        <w:rPr>
          <w:rFonts w:ascii="Calibri" w:eastAsia="Calibri" w:hAnsi="Calibri" w:cs="Times New Roman"/>
          <w:sz w:val="24"/>
          <w:szCs w:val="24"/>
        </w:rPr>
        <w:t xml:space="preserve"> </w:t>
      </w:r>
      <w:r w:rsidRPr="00CF1D1E">
        <w:rPr>
          <w:rFonts w:ascii="Calibri" w:eastAsia="Calibri" w:hAnsi="Calibri" w:cs="Times New Roman"/>
          <w:sz w:val="24"/>
          <w:szCs w:val="24"/>
        </w:rPr>
        <w:t>and ovarian</w:t>
      </w:r>
      <w:r w:rsidR="00CC5203">
        <w:rPr>
          <w:rFonts w:ascii="Calibri" w:eastAsia="Calibri" w:hAnsi="Calibri" w:cs="Times New Roman"/>
          <w:sz w:val="24"/>
          <w:szCs w:val="24"/>
        </w:rPr>
        <w:t xml:space="preserve"> cancer</w:t>
      </w:r>
      <w:r w:rsidRPr="00CF1D1E">
        <w:rPr>
          <w:rFonts w:ascii="Calibri" w:eastAsia="Calibri" w:hAnsi="Calibri" w:cs="Times New Roman"/>
          <w:sz w:val="24"/>
          <w:szCs w:val="24"/>
        </w:rPr>
        <w:t xml:space="preserve">. </w:t>
      </w:r>
      <w:proofErr w:type="spellStart"/>
      <w:r w:rsidRPr="00CF1D1E">
        <w:rPr>
          <w:rFonts w:ascii="Calibri" w:eastAsia="Calibri" w:hAnsi="Calibri" w:cs="Times New Roman"/>
          <w:sz w:val="24"/>
          <w:szCs w:val="24"/>
        </w:rPr>
        <w:t>Daidzein</w:t>
      </w:r>
      <w:proofErr w:type="spellEnd"/>
      <w:r w:rsidRPr="00CF1D1E">
        <w:rPr>
          <w:rFonts w:ascii="Calibri" w:eastAsia="Calibri" w:hAnsi="Calibri" w:cs="Times New Roman"/>
          <w:sz w:val="24"/>
          <w:szCs w:val="24"/>
        </w:rPr>
        <w:t xml:space="preserve">, equol and </w:t>
      </w:r>
      <w:proofErr w:type="spellStart"/>
      <w:r w:rsidRPr="00CF1D1E">
        <w:rPr>
          <w:rFonts w:ascii="Calibri" w:eastAsia="Calibri" w:hAnsi="Calibri" w:cs="Times New Roman"/>
          <w:sz w:val="24"/>
          <w:szCs w:val="24"/>
        </w:rPr>
        <w:t>genistein</w:t>
      </w:r>
      <w:proofErr w:type="spellEnd"/>
      <w:r w:rsidRPr="00CF1D1E">
        <w:rPr>
          <w:rFonts w:ascii="Calibri" w:eastAsia="Calibri" w:hAnsi="Calibri" w:cs="Times New Roman"/>
          <w:sz w:val="24"/>
          <w:szCs w:val="24"/>
        </w:rPr>
        <w:t xml:space="preserve"> have been studied and found to be higher in the urine of the Vietnamese, where these cancers are less prevalent compared to the USA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{"citationItems":[{"id":"ITEM-1","itemData":{"DOI":"10.1021/jf102253j","ISSN":"00218561","abstract":"Intake of a diet rich in phytoestrogens has been associated with a decreased risk for hormone-dependent cancers in humans. Biomonitoring of phytoestrogens in human urine has been used to assess the intake of phytoestrogens. Although studies have reported phytoestrogen levels in urine specimens from the United States and Japan, little is known of human intake of phytoestrogens in other Asian countries. In this study we determined the concentrations of seven phytoestrogens, namely, enterolactone, enterodiol, daidzein, equol, O-desmethylangolensin (O-DMA), genistein, and coumestrol, in 199 human urine samples from three Asian countries, Vietnam (Hanoi and Ho Chi Minh), Cambodia (Phnom Penh), and India (Chennai and Kolkata), using a simple, sensitive, and reliable liquid chromatography (LC)-tandem mass spectrometry (MS/MS) method. The residue levels of phytoestrogens in urine samples from the three Asian countries were compared with the concentrations in 26 urine samples from Japan (Ehime) and 16 urine samples from the United States (Albany), analyzed in this study. Among the phytoestrogens analyzed, isoflavones such as daidzein and genistein were predominant in urine samples from Vietnam; samples from Cambodia and India contained higher concentrations of enterolactone than isoflavones. Urinary concentrations of isoflavones in samples from Hanoi, Vietnam, were notably higher than the concentrations in samples from Cambodia, India, and the United States and similar to the concentrations in samples from Japan. The lowest concentrations of daidzein and the highest concentrations of enterolactone were found in urine samples from India. Concentrations of equol and O-DMA, which are microbial transformation products of daidzein (produced by gut microflora), were notably high in urine samples from Hanoi, Vietnam. The ratios of the concentration of equol or O-DMA to that of daidzein were significantly higher in samples from Hanoi than from Japan, indicating high biotransformation efficiency of daidzein by the population in Hanoi. High concentrations of equol, in addition to isoflavones, in urine have been linked to reduced breast cancer risk in previous studies, and, thus, the Vietnamese population may have potential protective effect against breast cancer. This study suggests that the dietary intake and profiles of phytoestrogens vary considerably, even among Asian countries.","author":[{"dropping-particle":"","family":"Kunisue","given":"Tatsuya","non-dropping-particle":"","parse-names":false,"suffix":""},{"dropping-particle":"","family":"Tanabe","given":"Shinsuke","non-dropping-particle":"","parse-names":false,"suffix":""},{"dropping-particle":"","family":"Isobe","given":"Tomohiko","non-dropping-particle":"","parse-names":false,"suffix":""},{"dropping-particle":"","family":"Aldous","given":"Kenneth M.","non-dropping-particle":"","parse-names":false,"suffix":""},{"dropping-particle":"","family":"Kannan","given":"Kurunthachalam","non-dropping-particle":"","parse-names":false,"suffix":""}],"container-title":"Journal of Agricultural and Food Chemistry","id":"ITEM-1","issue":"17","issued":{"date-parts":[["2010"]]},"page":"9838-9846","title":"Profiles of phytoestrogens in human urine from several Asian countries","type":"article-journal","volume":"58"},"uris":["http://www.mendeley.com/documents/?uuid=86fc7876-d68e-46fb-8826-502ac6942954"]}],"mendeley":{"formattedCitation":"(Kunisue, Tanabe, Isobe, Aldous, &amp; Kannan, 2010)","plainTextFormattedCitation":"(Kunisue, Tanabe, Isobe, Aldous, &amp; Kannan, 2010)","previouslyFormattedCitation":"(Kunisue, Tanabe, Isobe, Aldous, &amp; Kannan,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(Kunisue, Tanabe, Isobe, Aldous, &amp; Kannan,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Most of the research to date has been carried out </w:t>
      </w:r>
      <w:r w:rsidRPr="00CF1D1E">
        <w:rPr>
          <w:rFonts w:ascii="Calibri" w:eastAsia="Calibri" w:hAnsi="Calibri" w:cs="Times New Roman"/>
          <w:i/>
          <w:sz w:val="24"/>
          <w:szCs w:val="24"/>
        </w:rPr>
        <w:t>in vitro</w:t>
      </w:r>
      <w:r w:rsidRPr="00CF1D1E">
        <w:rPr>
          <w:rFonts w:ascii="Calibri" w:eastAsia="Calibri" w:hAnsi="Calibri" w:cs="Times New Roman"/>
          <w:sz w:val="24"/>
          <w:szCs w:val="24"/>
        </w:rPr>
        <w:t xml:space="preserve"> and it is suggested that this is the cause of the short fall in more definitive data in the human context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{"citationItems":[{"id":"ITEM-1","itemData":{"DOI":"10.1002/biof.79","ISBN":"1872-8081 (Electronic)\\r0951-6433 (Linking)","ISSN":"09516433","PMID":"20232344","abstract":"Proanthocyanidins, also named condensed tannins, are the result of flavanols condensation. Oligomers and polymers of proanthocyanidins can widely be found in the plant kingdom, as in fruits and berries, seeds, flowers, and leaves. They have a putative role as antioxidants, and they affect the inflammatory process via calcium-dependent release of nitric oxide and protect against H(2)O(2)-induced lipid peroxidation. They also demonstrated a role in cardiovascular diseases via vessel relaxation and LDL oxidation inhibition. These condensed tannins have also shown activities that improve diabetic complications, such as neuropathy, retinopathy, or nephropathy, including a decrease in serum glucose and advanced glycation end products. Furthermore, proanthocyanidins have evidenced anticancer properties by mitigating tumor development through induction of apoptosis or inhibition of cell proliferation. Finally, they are able to produce antiadhesive actions against bacteria in urinary and dental infections, including Escherichia coli and Streptococcus mutans. Hence, proanthocyanidins are considered as beneficial molecules in preventing or treating many diseases and pathological conditions. Therefore, finding out more about condensed tannins bioavailability, and understanding the regulatory genes and pathways involved in their effects should be aimed in future research.","author":[{"dropping-particle":"","family":"La Iglesia","given":"Rocío","non-dropping-particle":"De","parse-names":false,"suffix":""},{"dropping-particle":"","family":"Milagro","given":"Fermín I.","non-dropping-particle":"","parse-names":false,"suffix":""},{"dropping-particle":"","family":"Campión","given":"Javier","non-dropping-particle":"","parse-names":false,"suffix":""},{"dropping-particle":"","family":"Boqué","given":"Noemí","non-dropping-particle":"","parse-names":false,"suffix":""},{"dropping-particle":"","family":"Martínez","given":"J. Alfredo","non-dropping-particle":"","parse-names":false,"suffix":""}],"container-title":"BioFactors","id":"ITEM-1","issue":"3","issued":{"date-parts":[["2010"]]},"page":"159-168","title":"Healthy properties of proanthocyanidins","type":"article-journal","volume":"36"},"uris":["http://www.mendeley.com/documents/?uuid=186d1ab8-865b-4d2f-ab2e-ac8fad610526"]}],"mendeley":{"formattedCitation":"(De La Iglesia et al., 2010)","plainTextFormattedCitation":"(De La Iglesia et al., 2010)","previouslyFormattedCitation":"(De La Iglesia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(De La Iglesia </w:t>
      </w:r>
      <w:r w:rsidR="00941740" w:rsidRPr="00646B90">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Reviews of the evidence, with respect to Pycnogenol, seem to be polarised from the upbeat views expressed by the American Botanical Council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{"citationItems":[{"id":"ITEM-1","itemData":{"abstract":"In January 2010 the American Botanical Council published a proprietary botanical ingredient monograph summarizing the scientific and clinical studies of Pycnogenol®, a patented dietary ingredient from French maritime pine bark (Pinus pinaster). Studies of Pycnogenol reviewed in the monograph include clinical trials evaluating cardiovascular benefits, improvement in blood sugar control, ability to reduce difficulties associated with chronic venous insufficiency and problems related to thrombosis, decrease of edema, benefit to children with attention deficit hyperactivity disorder (ADHD), adjunct therapy for patients with asthma, reduction of menstrual pain, and improvement of subjective symptoms of osteoarthritis in the knee.","author":[{"dropping-particle":"","family":"Council","given":"American Botanical","non-dropping-particle":"","parse-names":false,"suffix":""}],"container-title":"American Botanical Council","id":"ITEM-1","issued":{"date-parts":[["2001"]]},"page":"8-9","title":"Scientific and clinical studies for Pycnogenol","type":"article-journal"},"uris":["http://www.mendeley.com/documents/?uuid=74ac657e-030c-4c3e-9cbc-40a9908736de"]}],"mendeley":{"formattedCitation":"(Council, 2001)","plainTextFormattedCitation":"(Council, 2001)","previouslyFormattedCitation":"(Council, 2001)"},"properties":{"noteIndex":0},"schema":"https://github.com/citation-style-language/schema/raw/master/csl-citation.json"}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(Council, 2001)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to a later one in the Cochrane Library of Systematic Reviews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{"citationItems":[{"id":"ITEM-1","itemData":{"DOI":"10.1002/14651858.CD008294.pub4","ISBN":"1469-493X (Electronic)\\r1361-6137 (Linking)","ISSN":"1469-493X","PMID":"22513958","abstract":"BACKGROUND: Oxidative stress has been implicated in the development of a number of conditions including cancer, arthritic disorders and cardiovascular disease. Pycnogenol(®), a herbal dietary supplement derived from French maritime pine bark extract, is standardised to contain 70% procyanidin which is a powerful antioxidant. Pycnogenol(®) is marketed as a supplement for preventing or treating a wide range of chronic conditions.\\n\\nOBJECTIVES: To assess the efficacy and safety of Pycnogenol(®) for the treatment of chronic disorders.\\n\\nSEARCH METHODS: We searched CENTRAL (until 18 September 2010), MEDLINE (until 18 September 2010) and EMBASE (until 13 October 2010) as well as three trial registries. We also contacted the manufacturer of Pycnogenol(®) and hand-searched bibliographies of included studies.\\n\\nSELECTION CRITERIA: Randomised controlled trials evaluating the effectiveness of Pycnogenol(®) in adults or children with any chronic disorder were included. We assessed clinical outcomes directly related to the disorder (stratified as participant- and investigator-reported) and all-cause mortality as primary outcomes. We also assessed adverse events and biomarkers of oxidative stress.\\n\\nDATA COLLECTION AND ANALYSIS: Two authors independently assessed trial eligibility, extracted all data and assessed risk of bias. A third author additionally extracted information on outcomes and results. With three exceptions, results for outcomes across studies could not be pooled.\\n\\nMAIN RESULTS: This review includes 15 trials with a total of 791 participants that have evaluated Pycnogenol(®) for the treatment of seven different chronic disorders. These included asthma (two studies; N = 86), attention deficit hyperactivity disorder (one study; N = 61), chronic venous insufficiency (two studies; N = 60), diabetes mellitus (four studies; N = 201), erectile dysfunction (one study; N = 21), hypertension (two studies; N = 69) and osteoarthritis (three studies; N = 293). Two of the studies were conducted exclusively in children; the others involved adults.Due to small sample size, limited numbers of trials per condition, variation in outcomes evaluated and outcome measures used, as well as the risk of bias in the included studies, no definitive conclusions regarding the efficacy or safety of Pycnogenol(®) are possible.\\n\\nAUTHORS' CONCLUSIONS: Current evidence is insufficient to support Pycnogenol(®) use for the treatment of any chronic disorder. Well-designed, adequate…","author":[{"dropping-particle":"","family":"Schoonees","given":"Anel","non-dropping-particle":"","parse-names":false,"suffix":""},{"dropping-particle":"","family":"Visser","given":"Janicke","non-dropping-particle":"","parse-names":false,"suffix":""},{"dropping-particle":"","family":"Musekiwa","given":"Alfred","non-dropping-particle":"","parse-names":false,"suffix":""},{"dropping-particle":"","family":"Volmink","given":"Jimmy","non-dropping-particle":"","parse-names":false,"suffix":""}],"container-title":"Cochrane Database of Systematic Reviews","id":"ITEM-1","issue":"4","issued":{"date-parts":[["2012"]]},"title":"Pycnogenol® (extract of French maritime pine bark) for the treatment of chronic disorders","type":"article-journal"},"uris":["http://www.mendeley.com/documents/?uuid=59760ddf-a7d1-45ef-9a70-c89da0504a8b"]}],"mendeley":{"formattedCitation":"(Schoonees, Visser, Musekiwa, &amp; Volmink, 2012)","plainTextFormattedCitation":"(Schoonees, Visser, Musekiwa, &amp; Volmink, 2012)","previouslyFormattedCitation":"(Schoonees, Visser, Musekiwa, &amp; Volmink, 2012)"},"properties":{"noteIndex":0},"schema":"https://github.com/citation-style-language/schema/raw/master/csl-citation.json"}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(Schoonees, Visser, Musekiwa, &amp; Volmink, 2012)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which says that “the currently available evidence is not sufficient to support claims regarding its benefit in any chronic condition”. Again this points to a lack of sufficient </w:t>
      </w:r>
      <w:r w:rsidRPr="00CF1D1E">
        <w:rPr>
          <w:rFonts w:ascii="Calibri" w:eastAsia="Calibri" w:hAnsi="Calibri" w:cs="Times New Roman"/>
          <w:i/>
          <w:sz w:val="24"/>
          <w:szCs w:val="24"/>
        </w:rPr>
        <w:t>in vivo</w:t>
      </w:r>
      <w:r w:rsidRPr="00CF1D1E">
        <w:rPr>
          <w:rFonts w:ascii="Calibri" w:eastAsia="Calibri" w:hAnsi="Calibri" w:cs="Times New Roman"/>
          <w:sz w:val="24"/>
          <w:szCs w:val="24"/>
        </w:rPr>
        <w:t xml:space="preserve"> research. </w:t>
      </w:r>
      <w:r w:rsidR="00FA30F0">
        <w:rPr>
          <w:rFonts w:ascii="Calibri" w:eastAsia="Calibri" w:hAnsi="Calibri" w:cs="Times New Roman"/>
          <w:sz w:val="24"/>
          <w:szCs w:val="24"/>
        </w:rPr>
        <w:t>The</w:t>
      </w:r>
      <w:r w:rsidRPr="00CF1D1E">
        <w:rPr>
          <w:rFonts w:ascii="Calibri" w:eastAsia="Calibri" w:hAnsi="Calibri" w:cs="Times New Roman"/>
          <w:sz w:val="24"/>
          <w:szCs w:val="24"/>
        </w:rPr>
        <w:t xml:space="preserve"> American Botanical Society review was funded by a major producer of Pycnogenol</w:t>
      </w:r>
      <w:r w:rsidR="00FA30F0">
        <w:rPr>
          <w:rFonts w:ascii="Calibri" w:eastAsia="Calibri" w:hAnsi="Calibri" w:cs="Times New Roman"/>
          <w:sz w:val="24"/>
          <w:szCs w:val="24"/>
        </w:rPr>
        <w:t xml:space="preserve"> yet</w:t>
      </w:r>
      <w:r w:rsidR="002437C3">
        <w:rPr>
          <w:rFonts w:ascii="Calibri" w:eastAsia="Calibri" w:hAnsi="Calibri" w:cs="Times New Roman"/>
          <w:sz w:val="24"/>
          <w:szCs w:val="24"/>
        </w:rPr>
        <w:t xml:space="preserve"> </w:t>
      </w:r>
      <w:r w:rsidR="002437C3" w:rsidRPr="00CF1D1E">
        <w:rPr>
          <w:rFonts w:ascii="Calibri" w:eastAsia="Calibri" w:hAnsi="Calibri" w:cs="Times New Roman"/>
          <w:sz w:val="24"/>
          <w:szCs w:val="24"/>
        </w:rPr>
        <w:t>on the other</w:t>
      </w:r>
      <w:r w:rsidR="00FA30F0">
        <w:rPr>
          <w:rFonts w:ascii="Calibri" w:eastAsia="Calibri" w:hAnsi="Calibri" w:cs="Times New Roman"/>
          <w:sz w:val="24"/>
          <w:szCs w:val="24"/>
        </w:rPr>
        <w:t xml:space="preserve"> </w:t>
      </w:r>
      <w:r w:rsidR="002437C3">
        <w:rPr>
          <w:rFonts w:ascii="Calibri" w:eastAsia="Calibri" w:hAnsi="Calibri" w:cs="Times New Roman"/>
          <w:sz w:val="24"/>
          <w:szCs w:val="24"/>
        </w:rPr>
        <w:t xml:space="preserve">hand </w:t>
      </w:r>
      <w:r w:rsidR="00FA30F0">
        <w:rPr>
          <w:rFonts w:ascii="Calibri" w:eastAsia="Calibri" w:hAnsi="Calibri" w:cs="Times New Roman"/>
          <w:sz w:val="24"/>
          <w:szCs w:val="24"/>
        </w:rPr>
        <w:t>t</w:t>
      </w:r>
      <w:r w:rsidRPr="00CF1D1E">
        <w:rPr>
          <w:rFonts w:ascii="Calibri" w:eastAsia="Calibri" w:hAnsi="Calibri" w:cs="Times New Roman"/>
          <w:sz w:val="24"/>
          <w:szCs w:val="24"/>
        </w:rPr>
        <w:t>he Cochrane</w:t>
      </w:r>
      <w:r w:rsidR="002437C3">
        <w:rPr>
          <w:rFonts w:ascii="Calibri" w:eastAsia="Calibri" w:hAnsi="Calibri" w:cs="Times New Roman"/>
          <w:sz w:val="24"/>
          <w:szCs w:val="24"/>
        </w:rPr>
        <w:t xml:space="preserve"> Library</w:t>
      </w:r>
      <w:r w:rsidRPr="00CF1D1E">
        <w:rPr>
          <w:rFonts w:ascii="Calibri" w:eastAsia="Calibri" w:hAnsi="Calibri" w:cs="Times New Roman"/>
          <w:sz w:val="24"/>
          <w:szCs w:val="24"/>
        </w:rPr>
        <w:t xml:space="preserve"> review was independent. </w:t>
      </w:r>
      <w:r w:rsidR="002437C3">
        <w:rPr>
          <w:rFonts w:ascii="Calibri" w:eastAsia="Calibri" w:hAnsi="Calibri" w:cs="Times New Roman"/>
          <w:sz w:val="24"/>
          <w:szCs w:val="24"/>
        </w:rPr>
        <w:t>The</w:t>
      </w:r>
      <w:r w:rsidRPr="00CF1D1E">
        <w:rPr>
          <w:rFonts w:ascii="Calibri" w:eastAsia="Calibri" w:hAnsi="Calibri" w:cs="Times New Roman"/>
          <w:sz w:val="24"/>
          <w:szCs w:val="24"/>
        </w:rPr>
        <w:t xml:space="preserve"> Journal of Dentistry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{"citationItems":[{"id":"ITEM-1","itemData":{"DOI":"10.1016/J.JDENT.2009.02.003","ISSN":"0300-5712","abstract":"OBJECTIVE\nPolyphenols (PPs) are reactive metabolites abundant in plant-derived foods, particularly fruits, seeds and leaves. In the tissues of the digestive tract, particularly the oral mucosa, active PPs reach the highest concentration. Although excessively high and monotonic intake may be toxic (such an effect is countered by salivary proline-rich proteins), PPs exert preventive activity against infectious and degenerative diseases and may also help prevent oral diseases, via mechanisms like antioxidant activity and neutralisation/modulation of human/bacterial/viral proteins/enzymes. This review seeks to investigate the preventive PP activity against oral diseases. \n\nMETHODS\nStudies published during the last 15 years were searched using MEDLINE, PUBMED, EMBASE. The quality of evidence was rated using the three-point scale used by the US Preventive Services Task Force to assess the merits of preventive measures. \n\nRESULTS\nConsistent, well-designed, epidemiological, animal and in vitro studies directly and indirectly support the preventive PP effect against oral cancer with good evidence. Consistent studies showing that PPs inactivate periodontal pathogens and increase antioxidant capacity of oral fluids, suggest a preventive effect against periodontal disease with fair evidence. Animal and in vitro studies showing that PPs decrease mutans streptococci virulence and dental plaque accumulation, suggest a preventive effect against dental caries with fair evidence. Meta-analysing clinical trials on subjects refraining from oral hygiene, PP-containing mouthrinses decrease mutans streptococci level by almost 50% and Plaque Index score. \n\nCONCLUSIONS\nRegular and frequent PP intake may help protect against oral cancer, while human studies are needed to confirm the promising preventive activity against periodontal disease and caries.","author":[{"dropping-particle":"","family":"Petti","given":"Stefano","non-dropping-particle":"","parse-names":false,"suffix":""},{"dropping-particle":"","family":"Scully","given":"Crispian","non-dropping-particle":"","parse-names":false,"suffix":""}],"container-title":"Journal of Dentistry","id":"ITEM-1","issue":"6","issued":{"date-parts":[["2009","6","1"]]},"page":"413-423","publisher":"Elsevier","title":"Polyphenols, oral health and disease: A review","type":"article-journal","volume":"37"},"uris":["http://www.mendeley.com/documents/?uuid=95402f93-bfc7-37c2-b124-3ab543d94684"]}],"mendeley":{"formattedCitation":"(Petti &amp; Scully, 2009)","plainTextFormattedCitation":"(Petti &amp; Scully, 2009)","previouslyFormattedCitation":"(Petti &amp; Scully,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(Petti &amp; Scully,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provides evidence that polyphenols are effective in the improveme</w:t>
      </w:r>
      <w:r w:rsidR="00314B20">
        <w:rPr>
          <w:rFonts w:ascii="Calibri" w:eastAsia="Calibri" w:hAnsi="Calibri" w:cs="Times New Roman"/>
          <w:sz w:val="24"/>
          <w:szCs w:val="24"/>
        </w:rPr>
        <w:t>nt of oral health, especially</w:t>
      </w:r>
      <w:r w:rsidRPr="00CF1D1E">
        <w:rPr>
          <w:rFonts w:ascii="Calibri" w:eastAsia="Calibri" w:hAnsi="Calibri" w:cs="Times New Roman"/>
          <w:sz w:val="24"/>
          <w:szCs w:val="24"/>
        </w:rPr>
        <w:t xml:space="preserve"> </w:t>
      </w:r>
      <w:r w:rsidR="00314B20">
        <w:rPr>
          <w:rFonts w:ascii="Calibri" w:eastAsia="Calibri" w:hAnsi="Calibri" w:cs="Times New Roman"/>
          <w:sz w:val="24"/>
          <w:szCs w:val="24"/>
        </w:rPr>
        <w:t>in</w:t>
      </w:r>
      <w:r w:rsidRPr="00CF1D1E">
        <w:rPr>
          <w:rFonts w:ascii="Calibri" w:eastAsia="Calibri" w:hAnsi="Calibri" w:cs="Times New Roman"/>
          <w:sz w:val="24"/>
          <w:szCs w:val="24"/>
        </w:rPr>
        <w:t xml:space="preserve"> </w:t>
      </w:r>
      <w:r w:rsidR="00314B20">
        <w:rPr>
          <w:rFonts w:ascii="Calibri" w:eastAsia="Calibri" w:hAnsi="Calibri" w:cs="Times New Roman"/>
          <w:sz w:val="24"/>
          <w:szCs w:val="24"/>
        </w:rPr>
        <w:t>reducing</w:t>
      </w:r>
      <w:r w:rsidR="002437C3">
        <w:rPr>
          <w:rFonts w:ascii="Calibri" w:eastAsia="Calibri" w:hAnsi="Calibri" w:cs="Times New Roman"/>
          <w:sz w:val="24"/>
          <w:szCs w:val="24"/>
        </w:rPr>
        <w:t xml:space="preserve"> the </w:t>
      </w:r>
      <w:r w:rsidR="00314B20">
        <w:rPr>
          <w:rFonts w:ascii="Calibri" w:eastAsia="Calibri" w:hAnsi="Calibri" w:cs="Times New Roman"/>
          <w:sz w:val="24"/>
          <w:szCs w:val="24"/>
        </w:rPr>
        <w:t>occurrence</w:t>
      </w:r>
      <w:r w:rsidRPr="00CF1D1E">
        <w:rPr>
          <w:rFonts w:ascii="Calibri" w:eastAsia="Calibri" w:hAnsi="Calibri" w:cs="Times New Roman"/>
          <w:sz w:val="24"/>
          <w:szCs w:val="24"/>
        </w:rPr>
        <w:t xml:space="preserve"> of oral cancer. Further </w:t>
      </w:r>
      <w:r w:rsidRPr="00CF1D1E">
        <w:rPr>
          <w:rFonts w:ascii="Calibri" w:eastAsia="Calibri" w:hAnsi="Calibri" w:cs="Times New Roman"/>
          <w:i/>
          <w:sz w:val="24"/>
          <w:szCs w:val="24"/>
        </w:rPr>
        <w:t>in vivo</w:t>
      </w:r>
      <w:r w:rsidRPr="00CF1D1E">
        <w:rPr>
          <w:rFonts w:ascii="Calibri" w:eastAsia="Calibri" w:hAnsi="Calibri" w:cs="Times New Roman"/>
          <w:sz w:val="24"/>
          <w:szCs w:val="24"/>
        </w:rPr>
        <w:t xml:space="preserve"> studies are required to confirm research outcomes towards benefits in preventing periodontal disease and dental caries.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The bioavailability of polyphenolic compounds is highlighted as being </w:t>
      </w:r>
      <w:r w:rsidR="007E47F0">
        <w:rPr>
          <w:rFonts w:ascii="Calibri" w:eastAsia="Calibri" w:hAnsi="Calibri" w:cs="Times New Roman"/>
          <w:sz w:val="24"/>
          <w:szCs w:val="24"/>
        </w:rPr>
        <w:t>of significant importance.</w:t>
      </w:r>
      <w:r w:rsidRPr="00CF1D1E">
        <w:rPr>
          <w:rFonts w:ascii="Calibri" w:eastAsia="Calibri" w:hAnsi="Calibri" w:cs="Times New Roman"/>
          <w:sz w:val="24"/>
          <w:szCs w:val="24"/>
        </w:rPr>
        <w:t xml:space="preserve"> Only monomers, dimers, trimers and tetramers of proanthocyanidins are shown to be absorbed in the gut of a rat and the rate of absorption dramatically decreases as the chain increases in length. Even from monomer to dimer the absorption rate decreases to 58%. Molecules longer than the tetramer show no absorption in the intact form and as a result oligomers and polymers do not contribute to monomer concentration in blood or urine</w:t>
      </w:r>
      <w:r w:rsidR="00CC5203">
        <w:rPr>
          <w:rFonts w:ascii="Calibri" w:eastAsia="Calibri" w:hAnsi="Calibri" w:cs="Times New Roman"/>
          <w:sz w:val="24"/>
          <w:szCs w:val="24"/>
        </w:rPr>
        <w:t xml:space="preserve"> unless they can be broken down</w:t>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{"citationItems":[{"id":"ITEM-1","itemData":{"DOI":"10.1016/j.jff.2013.08.004","ISBN":"1756-4646","ISSN":"17564646","abstract":"Proanthocyanidins are found in fruits, tree nuts, cereals, legumes, wine, and chocolate. They affect nutritional value, appearance, taste, and texture of these foods and promote better health by preventing cardiovascular diseases, cancers, urinary tract infections, and other aging-related metabolic complications. The bioavailability of proanthocyanidins is largely influenced by their degree of polymerization. The absorption rate of proanthocyanidin dimers is 5-10% of that of (-)-epicatechin. Trimers and tetramers had lower absorption rates than dimers. Absorbed intact dimers, trimers, and tetramers undergo limited phase II metabolism in the intestine and liver in rats compared with (-)-epicatechin. Proanthocyanidins with a degree of polymerization over 4 (DP. &gt;. 4) are not absorbable because of their large molecular size and gut barrier. Depolymerization of proanthocyanidins in the gastrointestinal tract was negligible. The majority of proanthocyanidins reaches the colon intact and is degraded into phenylvalerolactones and phenolic acids by colon microbiota. These microbial metabolites may contribute to the health promoting properties of proanthocyanidins in vivo. Future research of proanthocyanidin bioavailability will likely focus on identification of new microbial metabolites and investigation of how proanthocyanidins influence human health by affecting the composition of human gut microbiota. ?? 2013 Elsevier Ltd.","author":[{"dropping-particle":"","family":"Ou","given":"Keqin","non-dropping-particle":"","parse-names":false,"suffix":""},{"dropping-particle":"","family":"Gu","given":"Liwei","non-dropping-particle":"","parse-names":false,"suffix":""}],"container-title":"Journal of Functional Foods","id":"ITEM-1","issue":"1","issued":{"date-parts":[["2014"]]},"page":"43-53","publisher":"Elsevier Ltd","title":"Absorption and metabolism of proanthocyanidins","type":"article-journal","volume":"7"},"uris":["http://www.mendeley.com/documents/?uuid=cb74b614-8c6e-4524-9396-8121544f2d31"]}],"mendeley":{"formattedCitation":"(Ou &amp; Gu, 2014)","plainTextFormattedCitation":"(Ou &amp; Gu, 2014)","previouslyFormattedCitation":"(Ou &amp; Gu,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(Ou &amp; Gu,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Many secondary benefits are attributed to longer chain proanthocyanidins. Proanthocyanidins are oligomeric flavonoids e.g. oligomers of epicatechin</w:t>
      </w:r>
      <w:r w:rsidR="007E47F0">
        <w:rPr>
          <w:rFonts w:ascii="Calibri" w:eastAsia="Calibri" w:hAnsi="Calibri" w:cs="Times New Roman"/>
          <w:sz w:val="24"/>
          <w:szCs w:val="24"/>
        </w:rPr>
        <w:t xml:space="preserve"> (E)</w:t>
      </w:r>
      <w:r w:rsidRPr="00CF1D1E">
        <w:rPr>
          <w:rFonts w:ascii="Calibri" w:eastAsia="Calibri" w:hAnsi="Calibri" w:cs="Times New Roman"/>
          <w:sz w:val="24"/>
          <w:szCs w:val="24"/>
        </w:rPr>
        <w:t xml:space="preserve"> and catechin</w:t>
      </w:r>
      <w:r w:rsidR="007E47F0">
        <w:rPr>
          <w:rFonts w:ascii="Calibri" w:eastAsia="Calibri" w:hAnsi="Calibri" w:cs="Times New Roman"/>
          <w:sz w:val="24"/>
          <w:szCs w:val="24"/>
        </w:rPr>
        <w:t xml:space="preserve"> (C)</w:t>
      </w:r>
      <w:r w:rsidRPr="00CF1D1E">
        <w:rPr>
          <w:rFonts w:ascii="Calibri" w:eastAsia="Calibri" w:hAnsi="Calibri" w:cs="Times New Roman"/>
          <w:sz w:val="24"/>
          <w:szCs w:val="24"/>
        </w:rPr>
        <w:t xml:space="preserve"> and </w:t>
      </w:r>
      <w:r w:rsidR="007E47F0">
        <w:rPr>
          <w:rFonts w:ascii="Calibri" w:eastAsia="Calibri" w:hAnsi="Calibri" w:cs="Times New Roman"/>
          <w:sz w:val="24"/>
          <w:szCs w:val="24"/>
        </w:rPr>
        <w:t xml:space="preserve">also </w:t>
      </w:r>
      <w:r w:rsidRPr="00CF1D1E">
        <w:rPr>
          <w:rFonts w:ascii="Calibri" w:eastAsia="Calibri" w:hAnsi="Calibri" w:cs="Times New Roman"/>
          <w:sz w:val="24"/>
          <w:szCs w:val="24"/>
        </w:rPr>
        <w:t xml:space="preserve">their gallic acid esters. Their benefits are thought to arise from </w:t>
      </w:r>
      <w:r w:rsidR="00CC5203">
        <w:rPr>
          <w:rFonts w:ascii="Calibri" w:eastAsia="Calibri" w:hAnsi="Calibri" w:cs="Times New Roman"/>
          <w:sz w:val="24"/>
          <w:szCs w:val="24"/>
        </w:rPr>
        <w:t>being metabolised</w:t>
      </w:r>
      <w:r w:rsidRPr="00CF1D1E">
        <w:rPr>
          <w:rFonts w:ascii="Calibri" w:eastAsia="Calibri" w:hAnsi="Calibri" w:cs="Times New Roman"/>
          <w:sz w:val="24"/>
          <w:szCs w:val="24"/>
        </w:rPr>
        <w:t xml:space="preserve"> by gut microbiota and the resulting metabolites</w:t>
      </w:r>
      <w:r w:rsidR="007E47F0">
        <w:rPr>
          <w:rFonts w:ascii="Calibri" w:eastAsia="Calibri" w:hAnsi="Calibri" w:cs="Times New Roman"/>
          <w:sz w:val="24"/>
          <w:szCs w:val="24"/>
        </w:rPr>
        <w:t xml:space="preserve"> although</w:t>
      </w:r>
      <w:r w:rsidRPr="00CF1D1E">
        <w:rPr>
          <w:rFonts w:ascii="Calibri" w:eastAsia="Calibri" w:hAnsi="Calibri" w:cs="Times New Roman"/>
          <w:sz w:val="24"/>
          <w:szCs w:val="24"/>
        </w:rPr>
        <w:t xml:space="preserve"> </w:t>
      </w:r>
      <w:r w:rsidR="007E47F0">
        <w:rPr>
          <w:rFonts w:ascii="Calibri" w:eastAsia="Calibri" w:hAnsi="Calibri" w:cs="Times New Roman"/>
          <w:sz w:val="24"/>
          <w:szCs w:val="24"/>
        </w:rPr>
        <w:t>their</w:t>
      </w:r>
      <w:r w:rsidRPr="00CF1D1E">
        <w:rPr>
          <w:rFonts w:ascii="Calibri" w:eastAsia="Calibri" w:hAnsi="Calibri" w:cs="Times New Roman"/>
          <w:sz w:val="24"/>
          <w:szCs w:val="24"/>
        </w:rPr>
        <w:t xml:space="preserve"> contribution is poorly understood. Bioavailability is the quantity of a nutrient that is digested, absorbed and metabolised. </w:t>
      </w:r>
      <w:r w:rsidR="00CC5203">
        <w:rPr>
          <w:rFonts w:ascii="Calibri" w:eastAsia="Calibri" w:hAnsi="Calibri" w:cs="Times New Roman"/>
          <w:sz w:val="24"/>
          <w:szCs w:val="24"/>
        </w:rPr>
        <w:t>In relation to polyphenols, t</w:t>
      </w:r>
      <w:r w:rsidRPr="00CF1D1E">
        <w:rPr>
          <w:rFonts w:ascii="Calibri" w:eastAsia="Calibri" w:hAnsi="Calibri" w:cs="Times New Roman"/>
          <w:sz w:val="24"/>
          <w:szCs w:val="24"/>
        </w:rPr>
        <w:t xml:space="preserve">his shows much variation in the human body. Esters, glycosides and polymers of these compounds cannot be absorbed in their native form and require hydrolysis by gut enzymes or colonic microflora. For absorption to occur polyphenols must </w:t>
      </w:r>
      <w:r w:rsidR="00CC5203">
        <w:rPr>
          <w:rFonts w:ascii="Calibri" w:eastAsia="Calibri" w:hAnsi="Calibri" w:cs="Times New Roman"/>
          <w:sz w:val="24"/>
          <w:szCs w:val="24"/>
        </w:rPr>
        <w:t>undergo</w:t>
      </w:r>
      <w:r w:rsidRPr="00CF1D1E">
        <w:rPr>
          <w:rFonts w:ascii="Calibri" w:eastAsia="Calibri" w:hAnsi="Calibri" w:cs="Times New Roman"/>
          <w:sz w:val="24"/>
          <w:szCs w:val="24"/>
        </w:rPr>
        <w:t xml:space="preserve"> biochemical modifications. Methylation, glucuronidation, sulphation, and ring-fission represent the major metabolic pathways. As a result the bioactive molecules in the blood and bodily tissues are very different from those present in the original food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{"citationItems":[{"id":"ITEM-1","itemData":{"DOI":"10.1016/j.phrs.2011.02.007","ISBN":"1043-6618","ISSN":"10436618","PMID":"21371557","abstract":"Tea (Camellia sinensis, Theaceae) is one of the most widely consumed beverages in the world. The three major types of tea, green tea, oolong tea, and black tea, differ in terms of the manufacture and chemical composition. There are numerous studies in humans, animal models, and cell lines to suggest potential health benefits from the consumption of tea, including prevention of cancer and heart diseases. Many of the health benefits have been attributed to the polyphenolic constituents in tea. Catechins and their dimers (theaflavins) and polymers (thearubigins) have been identified as the major components in tea. Methylation, glucuronidation, sulfation, and ring-fission metabolism represent the major metabolic pathways for tea catechins. The present review summarizes the data concerning the chemistry and biotransformation of tea constituents. © 2011 Elsevier Ltd.","author":[{"dropping-particle":"","family":"Sang","given":"Shengmin","non-dropping-particle":"","parse-names":false,"suffix":""},{"dropping-particle":"","family":"Lambert","given":"Joshua D.","non-dropping-particle":"","parse-names":false,"suffix":""},{"dropping-particle":"","family":"Ho","given":"Chi Tang","non-dropping-particle":"","parse-names":false,"suffix":""},{"dropping-particle":"","family":"Yang","given":"Chung S.","non-dropping-particle":"","parse-names":false,"suffix":""}],"container-title":"Pharmacological Research","id":"ITEM-1","issue":"2","issued":{"date-parts":[["2011"]]},"page":"87-99","publisher":"Elsevier Ltd","title":"The chemistry and biotransformation of tea constituents","type":"article-journal","volume":"64"},"uris":["http://www.mendeley.com/documents/?uuid=8499a68d-8e21-4563-8cc8-796f57f7158f"]}],"mendeley":{"formattedCitation":"(Sang, Lambert, Ho, &amp; Yang, 2011)","plainTextFormattedCitation":"(Sang, Lambert, Ho, &amp; Yang, 2011)","previouslyFormattedCitation":"(Sang, Lambert, Ho, &amp; Yang, 2011)"},"properties":{"noteIndex":0},"schema":"https://github.com/citation-style-language/schema/raw/master/csl-citation.json"}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(Sang, Lambert, Ho, &amp; Yang, 2011)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923687"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Polyphenols are known to associate strongly with proline rich peptides and proteins. An example of this is the binding of high molecular weight tannins with saliva. Tannins are polyphenols often found in plant-based foods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{"citationItems":[{"id":"ITEM-1","itemData":{"DOI":"10.1016/j.bcp.2006.02.013","ISSN":"00062952","abstract":"Tannins are polyphenols commonly found in plant-derived foods. When ingested they can have various harmful effects, but salivary proline-rich proteins (PRPs) may provide protection against dietary tannins. The aim of this study was to investigate whether basic PRPs, a major family of salivary proteins, can prevent intestinal absorption of tannin. To do so it was necessary first to characterize transport of pentagalloyl glucose (5GG), a hydrolysable tannin, across cultured epithelial cells. Using human intestinal epithelial cells (Caco-2 cells) it was found that a partial degradation of 5GG occurred during transepithelial transport resulting in the presence of 5GG as well as tetra- and trigalloyl glucose and glucose in the receiving compartment. The sodium-dependent glucose transporter SGLT1 played a role in apical (mucosal) to basolateral (serosal) transport and transport in the opposite direction was dependent on the multidrug resistance-associated protein MRP2. An increased uptake from the apical compartment was seen when the basolateral receiving solution was human serum rather than a balanced salt solution. Transport both in apical-basolateral and basolateral-apical directions was reduced when 1B4, a human basic PRP, was added to the 5GG-containing medium. This decrease closely paralleled the formation of insoluble 5GG-1B4 complexes. It appears that the formation of insoluble tannin-protein complexes diminishes the uptake of 5GG and its metabolites. There is little evidence of other biological activities of basic PRPs so in contrast to other salivary proteins they may exert a biological function in the intestines. © 2006 Elsevier Inc. All rights reserved.","author":[{"dropping-particle":"","family":"Cai","given":"Kuihua","non-dropping-particle":"","parse-names":false,"suffix":""},{"dropping-particle":"","family":"Hagerman","given":"Ann E.","non-dropping-particle":"","parse-names":false,"suffix":""},{"dropping-particle":"","family":"Minto","given":"Robert E.","non-dropping-particle":"","parse-names":false,"suffix":""},{"dropping-particle":"","family":"Bennick","given":"Anders","non-dropping-particle":"","parse-names":false,"suffix":""}],"container-title":"Biochemical Pharmacology","id":"ITEM-1","issue":"11","issued":{"date-parts":[["2006"]]},"page":"1570-1580","title":"Decreased polyphenol transport across cultured intestinal cells by a salivary proline-rich protein","type":"article-journal","volume":"71"},"uris":["http://www.mendeley.com/documents/?uuid=eca90574-8453-4f79-9f74-33a96f2f6953"]}],"mendeley":{"formattedCitation":"(Cai, Hagerman, Minto, &amp; Bennick, 2006)","plainTextFormattedCitation":"(Cai, Hagerman, Minto, &amp; Bennick, 2006)","previouslyFormattedCitation":"(Cai, Hagerman, Minto, &amp; Bennick, 2006)"},"properties":{"noteIndex":0},"schema":"https://github.com/citation-style-language/schema/raw/master/csl-citation.json"}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(Cai, Hagerman, Minto, &amp; Bennick, 2006)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Saliva is believed to have a screening benefit e.g. when ingested, tannins can have harmful effects, but saliva with its proline rich proteins, may provide protection against this issue.</w:t>
      </w:r>
      <w:r w:rsidR="002667E1" w:rsidRPr="002667E1">
        <w:t xml:space="preserve"> </w:t>
      </w:r>
      <w:r w:rsidR="002667E1" w:rsidRPr="002667E1">
        <w:rPr>
          <w:rFonts w:ascii="Calibri" w:eastAsia="Calibri" w:hAnsi="Calibri" w:cs="Times New Roman"/>
          <w:sz w:val="24"/>
          <w:szCs w:val="24"/>
        </w:rPr>
        <w:t xml:space="preserve">An area that </w:t>
      </w:r>
      <w:r w:rsidR="00923687">
        <w:rPr>
          <w:rFonts w:ascii="Calibri" w:eastAsia="Calibri" w:hAnsi="Calibri" w:cs="Times New Roman"/>
          <w:sz w:val="24"/>
          <w:szCs w:val="24"/>
        </w:rPr>
        <w:t xml:space="preserve">requires an </w:t>
      </w:r>
      <w:r w:rsidR="002667E1" w:rsidRPr="002667E1">
        <w:rPr>
          <w:rFonts w:ascii="Calibri" w:eastAsia="Calibri" w:hAnsi="Calibri" w:cs="Times New Roman"/>
          <w:sz w:val="24"/>
          <w:szCs w:val="24"/>
        </w:rPr>
        <w:t xml:space="preserve">understanding </w:t>
      </w:r>
      <w:r w:rsidR="00923687">
        <w:rPr>
          <w:rFonts w:ascii="Calibri" w:eastAsia="Calibri" w:hAnsi="Calibri" w:cs="Times New Roman"/>
          <w:sz w:val="24"/>
          <w:szCs w:val="24"/>
        </w:rPr>
        <w:t xml:space="preserve">of </w:t>
      </w:r>
      <w:r w:rsidR="002667E1" w:rsidRPr="002667E1">
        <w:rPr>
          <w:rFonts w:ascii="Calibri" w:eastAsia="Calibri" w:hAnsi="Calibri" w:cs="Times New Roman"/>
          <w:sz w:val="24"/>
          <w:szCs w:val="24"/>
        </w:rPr>
        <w:t xml:space="preserve">tannin–protein interactions is the role </w:t>
      </w:r>
      <w:r w:rsidR="00923687">
        <w:rPr>
          <w:rFonts w:ascii="Calibri" w:eastAsia="Calibri" w:hAnsi="Calibri" w:cs="Times New Roman"/>
          <w:sz w:val="24"/>
          <w:szCs w:val="24"/>
        </w:rPr>
        <w:t>of</w:t>
      </w:r>
      <w:r w:rsidR="002667E1" w:rsidRPr="002667E1">
        <w:rPr>
          <w:rFonts w:ascii="Calibri" w:eastAsia="Calibri" w:hAnsi="Calibri" w:cs="Times New Roman"/>
          <w:sz w:val="24"/>
          <w:szCs w:val="24"/>
        </w:rPr>
        <w:t xml:space="preserve"> polyphenols in human health</w:t>
      </w:r>
      <w:r w:rsidR="002667E1">
        <w:rPr>
          <w:rFonts w:ascii="Calibri" w:eastAsia="Calibri" w:hAnsi="Calibri" w:cs="Times New Roman"/>
          <w:sz w:val="24"/>
          <w:szCs w:val="24"/>
        </w:rPr>
        <w:t>.</w:t>
      </w:r>
      <w:r w:rsidR="00923687">
        <w:rPr>
          <w:rFonts w:ascii="Calibri" w:eastAsia="Calibri" w:hAnsi="Calibri" w:cs="Times New Roman"/>
          <w:sz w:val="24"/>
          <w:szCs w:val="24"/>
        </w:rPr>
        <w:t xml:space="preserve"> </w:t>
      </w:r>
      <w:r w:rsidRPr="00CF1D1E">
        <w:rPr>
          <w:rFonts w:ascii="Calibri" w:eastAsia="Calibri" w:hAnsi="Calibri" w:cs="Times New Roman"/>
          <w:sz w:val="24"/>
          <w:szCs w:val="24"/>
        </w:rPr>
        <w:t xml:space="preserve">The article “Fifty Years of Polyphenol-Protein Complexes”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{"citationItems":[{"id":"ITEM-1","itemData":{"DOI":"10.1002/9781118299753.ch3","ISBN":"9781444337464","ISSN":"1098-6596","PMID":"25246403","abstract":"Reaction with protein is the hallmark characteristic of high molecular weight polyphenolics known as “tannins.” Many chemical and physical approaches have been used to characterize this reaction, with a strong emphasis on the noncovalent, reversible complexes that form rapidly in aqueous solution. Broadly speaking, polyphenolics bind tightly to large, proline-rich proteins that have relatively little secondary/tertiary structure. Less is known about how polyphenolic characteristics influence the reaction with protein, although size and polarity seem to be important characteristics. In addition to summarizing five decades of work on tannin-protein interactions, this chapter suggests fruitful new avenues for research, and highlights unanswered questions. Preliminary work on characterizing the covalent complexes that form under conditions that promote spontaneous oxidation is also described.","author":[{"dropping-particle":"","family":"Hagerman","given":"Ann E.","non-dropping-particle":"","parse-names":false,"suffix":""}],"container-title":"Recent Advances in Polyphenol Research, Volume 3","id":"ITEM-1","issued":{"date-parts":[["2012"]]},"page":"71-97","title":"Fifty Years of Polyphenol-Protein Complexes","type":"article-journal","volume":"3"},"uris":["http://www.mendeley.com/documents/?uuid=d177c5df-bf76-4028-8d8c-8b024ddc14bb"]}],"mendeley":{"formattedCitation":"(Hagerman, 2012)","plainTextFormattedCitation":"(Hagerman, 2012)","previouslyFormattedCitation":"(Hagerman, 2012)"},"properties":{"noteIndex":0},"schema":"https://github.com/citation-style-language/schema/raw/master/csl-citation.json"}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(Hagerman, 2012)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highlights </w:t>
      </w:r>
      <w:r w:rsidR="00923687">
        <w:rPr>
          <w:rFonts w:ascii="Calibri" w:eastAsia="Calibri" w:hAnsi="Calibri" w:cs="Times New Roman"/>
          <w:sz w:val="24"/>
          <w:szCs w:val="24"/>
        </w:rPr>
        <w:t>a</w:t>
      </w:r>
      <w:r w:rsidRPr="00CF1D1E">
        <w:rPr>
          <w:rFonts w:ascii="Calibri" w:eastAsia="Calibri" w:hAnsi="Calibri" w:cs="Times New Roman"/>
          <w:sz w:val="24"/>
          <w:szCs w:val="24"/>
        </w:rPr>
        <w:t xml:space="preserve"> need for research in this area.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It has been shown that polyphenolics do cross </w:t>
      </w:r>
      <w:r w:rsidR="00923687">
        <w:rPr>
          <w:rFonts w:ascii="Calibri" w:eastAsia="Calibri" w:hAnsi="Calibri" w:cs="Times New Roman"/>
          <w:sz w:val="24"/>
          <w:szCs w:val="24"/>
        </w:rPr>
        <w:t xml:space="preserve">the blood brain barrier in mice </w:t>
      </w:r>
      <w:r w:rsidRPr="00CF1D1E">
        <w:rPr>
          <w:rFonts w:ascii="Calibri" w:eastAsia="Calibri" w:hAnsi="Calibri" w:cs="Times New Roman"/>
          <w:sz w:val="24"/>
          <w:szCs w:val="24"/>
        </w:rPr>
        <w:t>and there is evidence for the potential of polyphenols to participate in the regulation of neuropeptides</w:t>
      </w:r>
      <w:r w:rsidR="00923687">
        <w:rPr>
          <w:rFonts w:ascii="Calibri" w:eastAsia="Calibri" w:hAnsi="Calibri" w:cs="Times New Roman"/>
          <w:sz w:val="24"/>
          <w:szCs w:val="24"/>
        </w:rPr>
        <w:t xml:space="preserve"> </w:t>
      </w:r>
      <w:r w:rsidR="00923687"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{"citationItems":[{"id":"ITEM-1","itemData":{"DOI":"10.1002/mnfr.201200431","ISBN":"1613-4133","ISSN":"16134125","PMID":"23125162","abstract":"Polyphenols are natural substances and are enriched in vegetables, fruits, grains, bark, tea, and wine. Some polyphenols have insulin-potentiating and anti-inflammatory effects, both of which are important in obesity. Dietary supplementation with polyphenolic compounds is associated with reduced diet-induced obesity and/or metabolic syndrome in animal and human studies. Insights into mechanisms that regulate food intake and satiety have led to an increased understanding of obesity but the pathogenesis underlying obesity is lacking. Food intake is subject to a complex regulation by the hypothalamus and other brain centers including the brain stem and the hippocampus. An intricate network of interacting feedback mechanisms that involve the aforementioned neural centers along with the stomach, gut, liver, thyroid, and adipose tissue in the periphery, influence the eventual outcome of food intake and satiety. Key peripheral signals, such as leptin, insulin, and ghrelin, have been linked to hypothalamic neuropeptide systems in energy regulation. This review will examine the neural centers important in food intake, the role of various neuropeptides, and the neurohormonal influence on food intake. The potential role of polyphenols in influencing the neuroregulatory factors, the neural signaling pathways and/or the peripheral feedback mechanisms that modulate food intake will also be examined.","author":[{"dropping-particle":"","family":"Panickar","given":"Kiran S.","non-dropping-particle":"","parse-names":false,"suffix":""}],"container-title":"Molecular Nutrition and Food Research","id":"ITEM-1","issue":"1","issued":{"date-parts":[["2013"]]},"page":"34-47","title":"Effects of dietary polyphenols on neuroregulatory factors and pathways that mediate food intake and energy regulation in obesity","type":"article-journal","volume":"57"},"uris":["http://www.mendeley.com/documents/?uuid=760c5468-689a-4e44-9e31-e9dad860de39"]}],"mendeley":{"formattedCitation":"(Panickar, 2013)","plainTextFormattedCitation":"(Panickar, 2013)","previouslyFormattedCitation":"(Panickar, 2013)"},"properties":{"noteIndex":0},"schema":"https://github.com/citation-style-language/schema/raw/master/csl-citation.json"}</w:instrText>
      </w:r>
      <w:r w:rsidR="00923687"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(Panickar, 2013)</w:t>
      </w:r>
      <w:r w:rsidR="00923687"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This is thought to have significance in the modern day with respect to obesity as polyphenols have been shown to influence food intake and satiety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{"citationItems":[{"id":"ITEM-1","itemData":{"author":[{"dropping-particle":"","family":"McDougall, Gordon J. Stewart","given":"Derek","non-dropping-particle":"","parse-names":false,"suffix":""}],"container-title":"BioFactors","id":"ITEM-1","issue":"4","issued":{"date-parts":[["2005"]]},"page":"189-195","title":"The inhibitory effects of berry polyphenols on digestive enzymes","type":"article-journal","volume":"vol. 23"},"uris":["http://www.mendeley.com/documents/?uuid=dd8955d4-e3ce-4f8d-a3a1-289d82dbf92a"]}],"mendeley":{"formattedCitation":"(McDougall, Gordon J. Stewart, 2005)","plainTextFormattedCitation":"(McDougall, Gordon J. Stewart, 2005)","previouslyFormattedCitation":"(McDougall, Gordon J. Stewart, 2005)"},"properties":{"noteIndex":0},"schema":"https://github.com/citation-style-language/schema/raw/master/csl-citation.json"}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(McDougall, Gordon J. Stewart, 2005)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Obesity is excessive body weight that leads to bad </w:t>
      </w:r>
      <w:r w:rsidRPr="00CF1D1E">
        <w:rPr>
          <w:rFonts w:ascii="Calibri" w:eastAsia="Calibri" w:hAnsi="Calibri" w:cs="Times New Roman"/>
          <w:sz w:val="24"/>
          <w:szCs w:val="24"/>
        </w:rPr>
        <w:lastRenderedPageBreak/>
        <w:t xml:space="preserve">health. </w:t>
      </w:r>
      <w:r w:rsidR="00DB311B" w:rsidRPr="00CF1D1E">
        <w:rPr>
          <w:rFonts w:ascii="Calibri" w:eastAsia="Calibri" w:hAnsi="Calibri" w:cs="Times New Roman"/>
          <w:sz w:val="24"/>
          <w:szCs w:val="24"/>
        </w:rPr>
        <w:t>Easy access to high energy/low cost food is felt to be a basic cause of this chronic disease as is the lack of satiety of these foods.</w:t>
      </w:r>
      <w:r w:rsidR="00DB311B">
        <w:rPr>
          <w:rFonts w:ascii="Calibri" w:eastAsia="Calibri" w:hAnsi="Calibri" w:cs="Times New Roman"/>
          <w:sz w:val="24"/>
          <w:szCs w:val="24"/>
        </w:rPr>
        <w:t xml:space="preserve"> </w:t>
      </w:r>
      <w:r w:rsidRPr="00CF1D1E">
        <w:rPr>
          <w:rFonts w:ascii="Calibri" w:eastAsia="Calibri" w:hAnsi="Calibri" w:cs="Times New Roman"/>
          <w:sz w:val="24"/>
          <w:szCs w:val="24"/>
        </w:rPr>
        <w:t xml:space="preserve">Obesity has reached epidemic proportions in both developed and developing countries. This has led to a serious global public health problem. The consequential economic impact is also the cause of much concern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{"citationItems":[{"id":"ITEM-1","itemData":{"DOI":"7180284","ISBN":"2381-4837","ISSN":"2381-4837","abstract":"Obesity is excessive body weight that leads to bad health. The scourge of obesity is a serious public health problem that has reached epidemic proportions in both developed and developing countries. The epidemic has to be addressed and given serious attention because of its medical, health, economic and quality of life consequences at local, national and global levels. Besides the high cost of treating obesity or associated diseases, there is loss of work productivity and loss of earning power as well as loss of quality of life in people living with excessive weight gain and obesity. This paper will address the growing obesity epidemic and its various consequences. It will review several published studies as well as some unpublished anecdotal reports on the consequences of obesity in different populations. It is hoped that this review may contribute in raising awareness on the burden of obesity; it may also stimulate interest in weight management and inspire some individuals to take action to control their excessive body weight. In addition, discussion of the consequences may act as a deterrent or wakeup call in those individuals who are complacent and unrestrained in their dietary consumption, or those who feel unconcerned by their excessive body weight. Highlighting the serious consequences of obesity may also ignite the public to take action to curb the epidemic and improve the lives of people living with this chronic disease. The collaborative efforts of government, industry, health professionals, nutritionists as well as affected individuals will help to reduce the obesity epidemic, minimize its consequences and ensure good health and wellness in many populations.","author":[{"dropping-particle":"","family":"Uzogara","given":"Stella G.","non-dropping-particle":"","parse-names":false,"suffix":""}],"container-title":"International Journal of Public Health Research","id":"ITEM-1","issue":"1","issued":{"date-parts":[["2017"]]},"page":"1-12","title":"Obesity epidemic, medical and quality of life consequences: A review","type":"article-journal","volume":"5"},"uris":["http://www.mendeley.com/documents/?uuid=0f6fc43a-ef0e-426e-bb01-5b6868798e54"]}],"mendeley":{"formattedCitation":"(Uzogara, 2017)","plainTextFormattedCitation":"(Uzogara, 2017)","previouslyFormattedCitation":"(Uzogara, 2017)"},"properties":{"noteIndex":0},"schema":"https://github.com/citation-style-language/schema/raw/master/csl-citation.json"}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(Uzogara, 2017)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Although polyphenols can be found in many sources from strawberries to red wine, the focus of this study will be waste produced by the forestry industry of North Wales. Trees have been used as a source of beneficial concoctions for hundreds of years. Reports exist of ice-bound sailors in 1535, being trapped on the St. Lawrence River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URL":"https://www.ncbi.nlm.nih.gov/pubmed/12422875","author":[{"dropping-particle":"","family":"Martini","given":"E.","non-dropping-particle":"","parse-names":false,"suffix":""}],"container-title":"Pubmed","id":"ITEM-1","issued":{"date-parts":[["2002"]]},"title":"Jacques Cartier witnesses a treatment for scurvy.","type":"webpage"},"uris":["http://www.mendeley.com/documents/?uuid=bcce7170-5fee-43e7-b669-969bb0232d83"]}],"mendeley":{"formattedCitation":"(Martini, 2002)","plainTextFormattedCitation":"(Martini, 2002)","previouslyFormattedCitation":"(Martini, 2002)"},"properties":{"noteIndex":0},"schema":"https://github.com/citation-style-language/schema/raw/master/csl-citation.json"}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(Martini, 2002)</w:t>
      </w:r>
      <w:r w:rsidRPr="00CF1D1E">
        <w:rPr>
          <w:rFonts w:ascii="Calibri" w:eastAsia="Calibri" w:hAnsi="Calibri" w:cs="Times New Roman"/>
          <w:sz w:val="24"/>
          <w:szCs w:val="24"/>
        </w:rPr>
        <w:fldChar w:fldCharType="end"/>
      </w:r>
      <w:r w:rsidR="00DB311B">
        <w:rPr>
          <w:rFonts w:ascii="Calibri" w:eastAsia="Calibri" w:hAnsi="Calibri" w:cs="Times New Roman"/>
          <w:sz w:val="24"/>
          <w:szCs w:val="24"/>
        </w:rPr>
        <w:t xml:space="preserve">. Native Americans showed </w:t>
      </w:r>
      <w:r w:rsidRPr="00CF1D1E">
        <w:rPr>
          <w:rFonts w:ascii="Calibri" w:eastAsia="Calibri" w:hAnsi="Calibri" w:cs="Times New Roman"/>
          <w:sz w:val="24"/>
          <w:szCs w:val="24"/>
        </w:rPr>
        <w:t xml:space="preserve">sailors how </w:t>
      </w:r>
      <w:r w:rsidR="00DB311B">
        <w:rPr>
          <w:rFonts w:ascii="Calibri" w:eastAsia="Calibri" w:hAnsi="Calibri" w:cs="Times New Roman"/>
          <w:sz w:val="24"/>
          <w:szCs w:val="24"/>
        </w:rPr>
        <w:t>to treat disease</w:t>
      </w:r>
      <w:r w:rsidRPr="00CF1D1E">
        <w:rPr>
          <w:rFonts w:ascii="Calibri" w:eastAsia="Calibri" w:hAnsi="Calibri" w:cs="Times New Roman"/>
          <w:sz w:val="24"/>
          <w:szCs w:val="24"/>
        </w:rPr>
        <w:t xml:space="preserve"> by the </w:t>
      </w:r>
      <w:r w:rsidR="00DB311B">
        <w:rPr>
          <w:rFonts w:ascii="Calibri" w:eastAsia="Calibri" w:hAnsi="Calibri" w:cs="Times New Roman"/>
          <w:sz w:val="24"/>
          <w:szCs w:val="24"/>
        </w:rPr>
        <w:t>consumption of a tea made from</w:t>
      </w:r>
      <w:r w:rsidRPr="00CF1D1E">
        <w:rPr>
          <w:rFonts w:ascii="Calibri" w:eastAsia="Calibri" w:hAnsi="Calibri" w:cs="Times New Roman"/>
          <w:sz w:val="24"/>
          <w:szCs w:val="24"/>
        </w:rPr>
        <w:t xml:space="preserve"> local tree bark. </w:t>
      </w:r>
      <w:r w:rsidR="00DB311B">
        <w:rPr>
          <w:rFonts w:ascii="Calibri" w:eastAsia="Calibri" w:hAnsi="Calibri" w:cs="Times New Roman"/>
          <w:sz w:val="24"/>
          <w:szCs w:val="24"/>
        </w:rPr>
        <w:t>In</w:t>
      </w:r>
      <w:r w:rsidRPr="00CF1D1E">
        <w:rPr>
          <w:rFonts w:ascii="Calibri" w:eastAsia="Calibri" w:hAnsi="Calibri" w:cs="Times New Roman"/>
          <w:sz w:val="24"/>
          <w:szCs w:val="24"/>
        </w:rPr>
        <w:t xml:space="preserve"> 1951, this reported tale caught the interest of Jacques Masquelier, a French researcher. Masquelier developed an extraction technique and isolated proanthocyanidins from forestry waste in France, primarily from the bark of </w:t>
      </w:r>
      <w:proofErr w:type="spellStart"/>
      <w:r w:rsidRPr="00CF1D1E">
        <w:rPr>
          <w:rFonts w:ascii="Calibri" w:eastAsia="Calibri" w:hAnsi="Calibri" w:cs="Times New Roman"/>
          <w:i/>
          <w:sz w:val="24"/>
          <w:szCs w:val="24"/>
        </w:rPr>
        <w:t>Pinus</w:t>
      </w:r>
      <w:proofErr w:type="spellEnd"/>
      <w:r w:rsidRPr="00CF1D1E">
        <w:rPr>
          <w:rFonts w:ascii="Calibri" w:eastAsia="Calibri" w:hAnsi="Calibri" w:cs="Times New Roman"/>
          <w:i/>
          <w:sz w:val="24"/>
          <w:szCs w:val="24"/>
        </w:rPr>
        <w:t xml:space="preserve"> </w:t>
      </w:r>
      <w:proofErr w:type="spellStart"/>
      <w:r w:rsidRPr="00CF1D1E">
        <w:rPr>
          <w:rFonts w:ascii="Calibri" w:eastAsia="Calibri" w:hAnsi="Calibri" w:cs="Times New Roman"/>
          <w:i/>
          <w:sz w:val="24"/>
          <w:szCs w:val="24"/>
        </w:rPr>
        <w:t>pinaster</w:t>
      </w:r>
      <w:proofErr w:type="spellEnd"/>
      <w:r w:rsidRPr="00CF1D1E">
        <w:rPr>
          <w:rFonts w:ascii="Calibri" w:eastAsia="Calibri" w:hAnsi="Calibri" w:cs="Times New Roman"/>
          <w:sz w:val="24"/>
          <w:szCs w:val="24"/>
        </w:rPr>
        <w:t xml:space="preserve">, the French maritime pine. This he had previously found to have vasoprotective potential. He named this extract Pycnogenol which is in essence a complex mixture of polyphenolic compounds with powerful antioxidant ability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{"citationItems":[{"id":"ITEM-1","itemData":{"DOI":"10.1016/j.fitote.2010.06.011","ISBN":"1873-6971 (Electronic)\\n0367-326X (Linking)","ISSN":"0367326X","PMID":"20598812","abstract":"Great interest is currently centred on the biologic activities of pycnogenol a standardized plant extract obtained from the bark of the French maritime pine Pinus pinaster (formerly known as Pinus maritima), Aiton, subspecies Atlantica des Villar (Pycnogenol®, Horphag Research Ltd., UK, Geneve, Switzerland), which grows in the coastal southwest France. The quality of this extract is specified in the United States Pharmacopeia (USP 28). Between 65% and 75% of Pycnogenol are procyanidins comprising of catechin and epicatechin subunits with varying chain lengths. Other constituents are polyphenolic monomers, phenolic or cinnamic acids and their glycosides. As many studies indicate, pycnogenol components are highly bioavailable. Uniquely, pycnogenol displays greater biologic effects as a mixture than its purified components do individually indicating that the components interact synergistically. Pycnogenol is now utilized throughout the world as a nutritional supplement and as a phytochemical remedy for various diseases ranging from chronic inflammation to circulatory dysfunction, including several impaired psycho-physiological functions. Owing to the basic chemical structure of its components, the most obvious feature of pycnogenol is its strong antioxidant activity. In fact, phenolic acids, polyphenols, and in particular flavonoids, are composed of one (or more) aromatic rings bearing one or more hydroxyl groups and are therefore potentially able to quench free radicals by forming resonance-stabilized phenoxyl radicals. In this review, emphasizing the molecular, cellular, and functional bases of therapy, data appearing in the peer-reviewed literature and focussing the main therapeutic applications of pycnogenol will be summarized and critically evaluated. © 2010 Elsevier B.V. All rights reserved.","author":[{"dropping-particle":"","family":"D'Andrea","given":"Gabriele","non-dropping-particle":"","parse-names":false,"suffix":""}],"container-title":"Fitoterapia","id":"ITEM-1","issue":"7","issued":{"date-parts":[["2010"]]},"page":"724-736","publisher":"Elsevier B.V.","title":"Pycnogenol: A blend of procyanidins with multifaceted therapeutic applications?","type":"article-journal","volume":"81"},"uris":["http://www.mendeley.com/documents/?uuid=408fcf35-85c9-404a-ba18-38ed6903e555"]}],"mendeley":{"formattedCitation":"(D’Andrea, 2010)","plainTextFormattedCitation":"(D’Andrea, 2010)","previouslyFormattedCitation":"(D’Andrea,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(D’Andrea,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D954BD" w:rsidRPr="00D954BD" w:rsidRDefault="00CF1D1E" w:rsidP="00D954BD">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aim of this work was to continue Masquelier's legacy by collaborating with local wood merchant, B. R. Warner Services. Samples of their most common waste from a variety of local trees was kindly provided. The samples provided were bark from </w:t>
      </w:r>
      <w:proofErr w:type="spellStart"/>
      <w:r w:rsidRPr="00CF1D1E">
        <w:rPr>
          <w:rFonts w:ascii="Calibri" w:eastAsia="Calibri" w:hAnsi="Calibri" w:cs="Times New Roman"/>
          <w:sz w:val="24"/>
          <w:szCs w:val="24"/>
        </w:rPr>
        <w:t>Lodgepole</w:t>
      </w:r>
      <w:proofErr w:type="spellEnd"/>
      <w:r w:rsidRPr="00CF1D1E">
        <w:rPr>
          <w:rFonts w:ascii="Calibri" w:eastAsia="Calibri" w:hAnsi="Calibri" w:cs="Times New Roman"/>
          <w:sz w:val="24"/>
          <w:szCs w:val="24"/>
        </w:rPr>
        <w:t xml:space="preserve"> pine (</w:t>
      </w:r>
      <w:proofErr w:type="spellStart"/>
      <w:r w:rsidRPr="00CF1D1E">
        <w:rPr>
          <w:rFonts w:ascii="Calibri" w:eastAsia="Calibri" w:hAnsi="Calibri" w:cs="Times New Roman"/>
          <w:i/>
          <w:sz w:val="24"/>
          <w:szCs w:val="24"/>
        </w:rPr>
        <w:t>Pinus</w:t>
      </w:r>
      <w:proofErr w:type="spellEnd"/>
      <w:r w:rsidRPr="00CF1D1E">
        <w:rPr>
          <w:rFonts w:ascii="Calibri" w:eastAsia="Calibri" w:hAnsi="Calibri" w:cs="Times New Roman"/>
          <w:i/>
          <w:sz w:val="24"/>
          <w:szCs w:val="24"/>
        </w:rPr>
        <w:t xml:space="preserve"> </w:t>
      </w:r>
      <w:proofErr w:type="spellStart"/>
      <w:r w:rsidRPr="00CF1D1E">
        <w:rPr>
          <w:rFonts w:ascii="Calibri" w:eastAsia="Calibri" w:hAnsi="Calibri" w:cs="Times New Roman"/>
          <w:i/>
          <w:sz w:val="24"/>
          <w:szCs w:val="24"/>
        </w:rPr>
        <w:t>contorta</w:t>
      </w:r>
      <w:proofErr w:type="spellEnd"/>
      <w:r w:rsidRPr="00CF1D1E">
        <w:rPr>
          <w:rFonts w:ascii="Calibri" w:eastAsia="Calibri" w:hAnsi="Calibri" w:cs="Times New Roman"/>
          <w:sz w:val="24"/>
          <w:szCs w:val="24"/>
        </w:rPr>
        <w:t>), Scots Pine (</w:t>
      </w:r>
      <w:proofErr w:type="spellStart"/>
      <w:r w:rsidRPr="00CF1D1E">
        <w:rPr>
          <w:rFonts w:ascii="Calibri" w:eastAsia="Calibri" w:hAnsi="Calibri" w:cs="Times New Roman"/>
          <w:i/>
          <w:sz w:val="24"/>
          <w:szCs w:val="24"/>
        </w:rPr>
        <w:t>Pinus</w:t>
      </w:r>
      <w:proofErr w:type="spellEnd"/>
      <w:r w:rsidRPr="00CF1D1E">
        <w:rPr>
          <w:rFonts w:ascii="Calibri" w:eastAsia="Calibri" w:hAnsi="Calibri" w:cs="Times New Roman"/>
          <w:i/>
          <w:sz w:val="24"/>
          <w:szCs w:val="24"/>
        </w:rPr>
        <w:t xml:space="preserve"> </w:t>
      </w:r>
      <w:proofErr w:type="spellStart"/>
      <w:r w:rsidRPr="00CF1D1E">
        <w:rPr>
          <w:rFonts w:ascii="Calibri" w:eastAsia="Calibri" w:hAnsi="Calibri" w:cs="Times New Roman"/>
          <w:i/>
          <w:sz w:val="24"/>
          <w:szCs w:val="24"/>
        </w:rPr>
        <w:t>sylvestris</w:t>
      </w:r>
      <w:proofErr w:type="spellEnd"/>
      <w:r w:rsidRPr="00CF1D1E">
        <w:rPr>
          <w:rFonts w:ascii="Calibri" w:eastAsia="Calibri" w:hAnsi="Calibri" w:cs="Times New Roman"/>
          <w:sz w:val="24"/>
          <w:szCs w:val="24"/>
        </w:rPr>
        <w:t>) and Oak</w:t>
      </w:r>
      <w:r w:rsidRPr="00CF1D1E">
        <w:rPr>
          <w:rFonts w:ascii="Arial" w:eastAsia="Calibri" w:hAnsi="Arial" w:cs="Arial"/>
          <w:color w:val="545454"/>
          <w:sz w:val="24"/>
          <w:szCs w:val="24"/>
          <w:shd w:val="clear" w:color="auto" w:fill="FFFFFF"/>
        </w:rPr>
        <w:t xml:space="preserve"> </w:t>
      </w:r>
      <w:r w:rsidRPr="00CF1D1E">
        <w:rPr>
          <w:rFonts w:ascii="Calibri" w:eastAsia="Calibri" w:hAnsi="Calibri" w:cs="Times New Roman"/>
          <w:sz w:val="24"/>
          <w:szCs w:val="24"/>
        </w:rPr>
        <w:t>(</w:t>
      </w:r>
      <w:proofErr w:type="spellStart"/>
      <w:r w:rsidRPr="00CF1D1E">
        <w:rPr>
          <w:rFonts w:ascii="Calibri" w:eastAsia="Calibri" w:hAnsi="Calibri" w:cs="Times New Roman"/>
          <w:i/>
          <w:iCs/>
          <w:sz w:val="24"/>
          <w:szCs w:val="24"/>
        </w:rPr>
        <w:t>Quercus</w:t>
      </w:r>
      <w:proofErr w:type="spellEnd"/>
      <w:r w:rsidRPr="00CF1D1E">
        <w:rPr>
          <w:rFonts w:ascii="Calibri" w:eastAsia="Calibri" w:hAnsi="Calibri" w:cs="Times New Roman"/>
          <w:i/>
          <w:iCs/>
          <w:sz w:val="24"/>
          <w:szCs w:val="24"/>
        </w:rPr>
        <w:t xml:space="preserve"> </w:t>
      </w:r>
      <w:proofErr w:type="spellStart"/>
      <w:r w:rsidRPr="00CF1D1E">
        <w:rPr>
          <w:rFonts w:ascii="Calibri" w:eastAsia="Calibri" w:hAnsi="Calibri" w:cs="Times New Roman"/>
          <w:i/>
          <w:iCs/>
          <w:sz w:val="24"/>
          <w:szCs w:val="24"/>
        </w:rPr>
        <w:t>robur</w:t>
      </w:r>
      <w:proofErr w:type="spellEnd"/>
      <w:r w:rsidRPr="00CF1D1E">
        <w:rPr>
          <w:rFonts w:ascii="Calibri" w:eastAsia="Calibri" w:hAnsi="Calibri" w:cs="Times New Roman"/>
          <w:sz w:val="24"/>
          <w:szCs w:val="24"/>
        </w:rPr>
        <w:t>). Pycnogenol from Holland &amp; Barrett was purchased as a reference. This study aims to determine whether it is possible in principle to add value to</w:t>
      </w:r>
      <w:r w:rsidRPr="00CF1D1E">
        <w:rPr>
          <w:rFonts w:ascii="Calibri" w:eastAsia="Calibri" w:hAnsi="Calibri" w:cs="Times New Roman"/>
          <w:i/>
          <w:sz w:val="24"/>
          <w:szCs w:val="24"/>
        </w:rPr>
        <w:t xml:space="preserve"> </w:t>
      </w:r>
      <w:r w:rsidRPr="00CF1D1E">
        <w:rPr>
          <w:rFonts w:ascii="Calibri" w:eastAsia="Calibri" w:hAnsi="Calibri" w:cs="Times New Roman"/>
          <w:sz w:val="24"/>
          <w:szCs w:val="24"/>
        </w:rPr>
        <w:t>waste from the f</w:t>
      </w:r>
      <w:r w:rsidR="00D954BD">
        <w:rPr>
          <w:rFonts w:ascii="Calibri" w:eastAsia="Calibri" w:hAnsi="Calibri" w:cs="Times New Roman"/>
          <w:sz w:val="24"/>
          <w:szCs w:val="24"/>
        </w:rPr>
        <w:t xml:space="preserve">orestry industry of North Wales </w:t>
      </w:r>
      <w:r w:rsidR="00D954BD" w:rsidRPr="00D954BD">
        <w:rPr>
          <w:rFonts w:ascii="Calibri" w:eastAsia="Calibri" w:hAnsi="Calibri" w:cs="Times New Roman"/>
          <w:sz w:val="24"/>
          <w:szCs w:val="24"/>
        </w:rPr>
        <w:t>by providing detailed high resolution/accurate mass data which can provide information on the polyphenolics present.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i/>
          <w:sz w:val="24"/>
          <w:szCs w:val="24"/>
        </w:rPr>
        <w:t xml:space="preserve"> </w:t>
      </w:r>
      <w:r w:rsidRPr="00CF1D1E">
        <w:rPr>
          <w:rFonts w:ascii="Calibri" w:eastAsia="Calibri" w:hAnsi="Calibri" w:cs="Times New Roman"/>
          <w:sz w:val="24"/>
          <w:szCs w:val="24"/>
        </w:rPr>
        <w:t xml:space="preserve">Rizvi </w:t>
      </w:r>
      <w:r w:rsidRPr="00646B90">
        <w:rPr>
          <w:rFonts w:ascii="Calibri" w:eastAsia="Calibri" w:hAnsi="Calibri" w:cs="Times New Roman"/>
          <w:i/>
          <w:sz w:val="24"/>
          <w:szCs w:val="24"/>
        </w:rPr>
        <w:t>et.al</w:t>
      </w:r>
      <w:r w:rsidRPr="00CF1D1E">
        <w:rPr>
          <w:rFonts w:ascii="Calibri" w:eastAsia="Calibri" w:hAnsi="Calibri" w:cs="Times New Roman"/>
          <w:sz w:val="24"/>
          <w:szCs w:val="24"/>
        </w:rPr>
        <w:t xml:space="preserve">. </w:t>
      </w:r>
      <w:r w:rsidR="00646B90" w:rsidRPr="00646B90">
        <w:rPr>
          <w:rFonts w:ascii="Calibri" w:eastAsia="Calibri" w:hAnsi="Calibri" w:cs="Times New Roman"/>
          <w:sz w:val="24"/>
          <w:szCs w:val="24"/>
        </w:rPr>
        <w:t>state that over 8,000 polyphenolic compounds</w:t>
      </w:r>
      <w:r w:rsidR="00646B90">
        <w:rPr>
          <w:rFonts w:ascii="Calibri" w:eastAsia="Calibri" w:hAnsi="Calibri" w:cs="Times New Roman"/>
          <w:sz w:val="24"/>
          <w:szCs w:val="24"/>
        </w:rPr>
        <w:t xml:space="preserve"> have been identified in plants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{"citationItems":[{"id":"ITEM-1","itemData":{"author":[{"dropping-particle":"","family":"Rizvi","given":"Kanti Bhooshan Pandey and Syed Ibrahim","non-dropping-particle":"","parse-names":false,"suffix":""}],"container-title":"Oxidative Medicine and Cellular Longevity","id":"ITEM-1","issued":{"date-parts":[["2009"]]},"page":"270-278","title":"Plant polyphenols as dietary antioxidants in human health and disease","type":"article-journal","volume":"25"},"uris":["http://www.mendeley.com/documents/?uuid=5e059057-03e4-3093-947d-df298f386d66"]}],"mendeley":{"formattedCitation":"(Rizvi, 2009)","plainTextFormattedCitation":"(Rizvi, 2009)","previouslyFormattedCitation":"(Rizvi,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(Rizvi, 2009)</w:t>
      </w:r>
      <w:r w:rsidRPr="00CF1D1E">
        <w:rPr>
          <w:rFonts w:ascii="Calibri" w:eastAsia="Calibri" w:hAnsi="Calibri" w:cs="Times New Roman"/>
          <w:sz w:val="24"/>
          <w:szCs w:val="24"/>
        </w:rPr>
        <w:fldChar w:fldCharType="end"/>
      </w:r>
      <w:r w:rsidR="00646B90">
        <w:rPr>
          <w:rFonts w:ascii="Calibri" w:eastAsia="Calibri" w:hAnsi="Calibri" w:cs="Times New Roman"/>
          <w:sz w:val="24"/>
          <w:szCs w:val="24"/>
        </w:rPr>
        <w:t>.</w:t>
      </w:r>
      <w:r w:rsidRPr="00CF1D1E">
        <w:rPr>
          <w:rFonts w:ascii="Calibri" w:eastAsia="Calibri" w:hAnsi="Calibri" w:cs="Times New Roman"/>
          <w:sz w:val="24"/>
          <w:szCs w:val="24"/>
        </w:rPr>
        <w:t xml:space="preserve"> All plant phenolic compounds are made from a common intermediate, phenylalanine, or its close precursor, shikimic acid. They mainly occur in conjugated forms, with one or more sugar residues linked to hydroxyl groups. Distribution of phenolics in plants throughout the tissues, cells and at the subcellular levels is not uniform. Insoluble polyphenols are found in cell walls, whilst soluble polyphenols are present within the plant cell vacuoles. Rizvi </w:t>
      </w:r>
      <w:r w:rsidRPr="00CF1D1E">
        <w:rPr>
          <w:rFonts w:ascii="Calibri" w:eastAsia="Calibri" w:hAnsi="Calibri" w:cs="Times New Roman"/>
          <w:i/>
          <w:sz w:val="24"/>
          <w:szCs w:val="24"/>
        </w:rPr>
        <w:t>et.al.</w:t>
      </w:r>
      <w:r w:rsidRPr="00CF1D1E">
        <w:rPr>
          <w:rFonts w:ascii="Calibri" w:eastAsia="Calibri" w:hAnsi="Calibri" w:cs="Times New Roman"/>
          <w:sz w:val="24"/>
          <w:szCs w:val="24"/>
        </w:rPr>
        <w:t xml:space="preserve"> </w:t>
      </w:r>
      <w:proofErr w:type="gramStart"/>
      <w:r w:rsidRPr="00CF1D1E">
        <w:rPr>
          <w:rFonts w:ascii="Calibri" w:eastAsia="Calibri" w:hAnsi="Calibri" w:cs="Times New Roman"/>
          <w:sz w:val="24"/>
          <w:szCs w:val="24"/>
        </w:rPr>
        <w:t>also</w:t>
      </w:r>
      <w:proofErr w:type="gramEnd"/>
      <w:r w:rsidRPr="00CF1D1E">
        <w:rPr>
          <w:rFonts w:ascii="Calibri" w:eastAsia="Calibri" w:hAnsi="Calibri" w:cs="Times New Roman"/>
          <w:sz w:val="24"/>
          <w:szCs w:val="24"/>
        </w:rPr>
        <w:t xml:space="preserve"> state that in general, it has been observed that the phenolic acid content </w:t>
      </w:r>
      <w:r w:rsidRPr="00CF1D1E">
        <w:rPr>
          <w:rFonts w:ascii="Calibri" w:eastAsia="Calibri" w:hAnsi="Calibri" w:cs="Times New Roman"/>
          <w:sz w:val="24"/>
          <w:szCs w:val="24"/>
        </w:rPr>
        <w:lastRenderedPageBreak/>
        <w:t>decreases during ripening</w:t>
      </w:r>
      <w:r w:rsidR="009F6D4E">
        <w:rPr>
          <w:rFonts w:ascii="Calibri" w:eastAsia="Calibri" w:hAnsi="Calibri" w:cs="Times New Roman"/>
          <w:sz w:val="24"/>
          <w:szCs w:val="24"/>
        </w:rPr>
        <w:t xml:space="preserve"> of fruits</w:t>
      </w:r>
      <w:r w:rsidRPr="00CF1D1E">
        <w:rPr>
          <w:rFonts w:ascii="Calibri" w:eastAsia="Calibri" w:hAnsi="Calibri" w:cs="Times New Roman"/>
          <w:sz w:val="24"/>
          <w:szCs w:val="24"/>
        </w:rPr>
        <w:t xml:space="preserve">, whereas anthocyanin concentrations increase. Many polyphenols, especially phenolic acids, are directly involved in the stress response of plants: they contribute to healing of damaged areas by lignifications, they possess antimicrobial properties, and it is thought their concentrations can increase in response to infection. Furthermore, it is noted by Rizvi </w:t>
      </w:r>
      <w:r w:rsidRPr="00CF1D1E">
        <w:rPr>
          <w:rFonts w:ascii="Calibri" w:eastAsia="Calibri" w:hAnsi="Calibri" w:cs="Times New Roman"/>
          <w:i/>
          <w:sz w:val="24"/>
          <w:szCs w:val="24"/>
        </w:rPr>
        <w:t>et.al.</w:t>
      </w:r>
      <w:r w:rsidRPr="00CF1D1E">
        <w:rPr>
          <w:rFonts w:ascii="Calibri" w:eastAsia="Calibri" w:hAnsi="Calibri" w:cs="Times New Roman"/>
          <w:sz w:val="24"/>
          <w:szCs w:val="24"/>
        </w:rPr>
        <w:t xml:space="preserve"> that cooking also has a major effect on concentration of polyphenols with the loss of quercetin</w:t>
      </w:r>
      <w:r w:rsidR="00D954BD">
        <w:rPr>
          <w:rFonts w:ascii="Calibri" w:eastAsia="Calibri" w:hAnsi="Calibri" w:cs="Times New Roman"/>
          <w:sz w:val="24"/>
          <w:szCs w:val="24"/>
        </w:rPr>
        <w:t xml:space="preserve"> (Fig. 82)</w:t>
      </w:r>
      <w:r w:rsidRPr="00CF1D1E">
        <w:rPr>
          <w:rFonts w:ascii="Calibri" w:eastAsia="Calibri" w:hAnsi="Calibri" w:cs="Times New Roman"/>
          <w:sz w:val="24"/>
          <w:szCs w:val="24"/>
        </w:rPr>
        <w:t xml:space="preserve"> in tomatoes and onions being between 75% and 80% of their initial value after boiling for 15 min, 65% after cooking in a microwave oven, and 30% after frying.</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Over the past decade, increasing interest has been focused on the epigenetic mechanisms of natural products including polyphenols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{"citationItems":[{"id":"ITEM-1","itemData":{"author":[{"dropping-particle":"","family":"Gerhauser","given":"Clarissa.","non-dropping-particle":"","parse-names":false,"suffix":""}],"edition":"Vol 4","editor":[{"dropping-particle":"","family":"A Romani","given":"S Quideau","non-dropping-particle":"","parse-names":false,"suffix":""}],"id":"ITEM-1","issued":{"date-parts":[["2014"]]},"number-of-pages":"143–207","publisher":"Hoboken, NJ: John Wiley &amp; Sons, Ltd.","title":"Recent advances in polyphenol research: Epigenetics, (poly) phenolics and cancer prevention.","type":"book"},"uris":["http://www.mendeley.com/documents/?uuid=5470a35b-f937-4376-8d34-97396d763e77"]}],"mendeley":{"formattedCitation":"(Gerhauser, 2014)","plainTextFormattedCitation":"(Gerhauser, 2014)","previouslyFormattedCitation":"(Gerhauser,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(Gerhauser,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Epigenetics refers to changes in gene expression caused by mechanisms which don't alter the underlying DNA sequence. Epigenetic alterations allow cells and organisms to respond dynamically to changes in their environment throughout their development and life. Polyphenols have been shown to </w:t>
      </w:r>
      <w:r w:rsidR="001D33F8">
        <w:rPr>
          <w:rFonts w:ascii="Calibri" w:eastAsia="Calibri" w:hAnsi="Calibri" w:cs="Times New Roman"/>
          <w:sz w:val="24"/>
          <w:szCs w:val="24"/>
        </w:rPr>
        <w:t>associate with</w:t>
      </w:r>
      <w:r w:rsidRPr="00CF1D1E">
        <w:rPr>
          <w:rFonts w:ascii="Calibri" w:eastAsia="Calibri" w:hAnsi="Calibri" w:cs="Times New Roman"/>
          <w:sz w:val="24"/>
          <w:szCs w:val="24"/>
        </w:rPr>
        <w:t xml:space="preserve"> enzymes involved in epigenetic gene regulation </w:t>
      </w:r>
      <w:r w:rsidRPr="00CF1D1E">
        <w:rPr>
          <w:rFonts w:ascii="Calibri" w:eastAsia="Calibri" w:hAnsi="Calibri" w:cs="Times New Roman"/>
          <w:i/>
          <w:sz w:val="24"/>
          <w:szCs w:val="24"/>
        </w:rPr>
        <w:t>in vitro</w:t>
      </w:r>
      <w:r w:rsidRPr="00CF1D1E">
        <w:rPr>
          <w:rFonts w:ascii="Calibri" w:eastAsia="Calibri" w:hAnsi="Calibri" w:cs="Times New Roman"/>
          <w:sz w:val="24"/>
          <w:szCs w:val="24"/>
        </w:rPr>
        <w:t xml:space="preserve"> and in cell culture. It has been indicated that gut microbes and gut metabolites may be mediators of dietary-epigenomic interactions. It is proposed that the large variation in the gut microbiome of humans may be the cause of the </w:t>
      </w:r>
      <w:r w:rsidR="001D33F8" w:rsidRPr="001D33F8">
        <w:rPr>
          <w:rFonts w:ascii="Calibri" w:eastAsia="Calibri" w:hAnsi="Calibri" w:cs="Times New Roman"/>
          <w:sz w:val="24"/>
          <w:szCs w:val="24"/>
        </w:rPr>
        <w:t xml:space="preserve">observed variability in the uptake and action of polyphenolic compounds </w:t>
      </w:r>
      <w:r w:rsidR="001D33F8">
        <w:rPr>
          <w:rFonts w:ascii="Calibri" w:eastAsia="Calibri" w:hAnsi="Calibri" w:cs="Times New Roman"/>
          <w:sz w:val="24"/>
          <w:szCs w:val="24"/>
        </w:rPr>
        <w:t>in</w:t>
      </w:r>
      <w:r w:rsidRPr="00CF1D1E">
        <w:rPr>
          <w:rFonts w:ascii="Calibri" w:eastAsia="Calibri" w:hAnsi="Calibri" w:cs="Times New Roman"/>
          <w:sz w:val="24"/>
          <w:szCs w:val="24"/>
        </w:rPr>
        <w:t xml:space="preserve"> </w:t>
      </w:r>
      <w:r w:rsidRPr="00CF1D1E">
        <w:rPr>
          <w:rFonts w:ascii="Calibri" w:eastAsia="Calibri" w:hAnsi="Calibri" w:cs="Times New Roman"/>
          <w:i/>
          <w:sz w:val="24"/>
          <w:szCs w:val="24"/>
        </w:rPr>
        <w:t>in vivo</w:t>
      </w:r>
      <w:r w:rsidRPr="00CF1D1E">
        <w:rPr>
          <w:rFonts w:ascii="Calibri" w:eastAsia="Calibri" w:hAnsi="Calibri" w:cs="Times New Roman"/>
          <w:sz w:val="24"/>
          <w:szCs w:val="24"/>
        </w:rPr>
        <w:t xml:space="preserve"> studies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{"citationItems":[{"id":"ITEM-1","itemData":{"DOI":"10.1098/rstb.2017.0359","ISBN":"0000000257923","ISSN":"0962-8436","PMID":"29685968","abstract":"Within the past decade, epigenetic mechanisms and their modulation by natural products have gained increasing interest. Dietary bioactive compounds from various sources, including green tea, soya, fruit and berries, cruciferous vegetables, whole grain foods, fish and others, have been shown to target enzymes involved in epigenetic gene regulation, including DNA methyltransferases, histone acetyltransferases, deacetylases and demethylases in vitro and in cell culture. Also, many dietary agents were shown to alter miRNA expression. In vivo studies in animal models and humans are still limited. Recent research has indicated that the gut microbiota and gut microbial metabolites might be important mediators of diet-epigenome interactions. Inter-individual differences in the gut microbiome might affect release, metabolism and bioavailability of dietary agents and explain variability in response to intervention in human studies. Only a few microbial metabolites, including folate, phenolic acids, S-(-)equol, urolithins, isothiocyanates, and short- and long-chain fatty acids have been tested with respect to their potential to influence epigenetic mechanisms. Considering that a complex mixture of intermediary and microbial metabolites is present in human circulation, a more systematic interdisciplinary investigation of nutri-epigenetic activities and their impact on human health is called for.This article is part of a discussion meeting issue 'Frontiers in epigenetic chemical biology'.","author":[{"dropping-particle":"","family":"Gerhauser","given":"Clarissa","non-dropping-particle":"","parse-names":false,"suffix":""}],"container-title":"Philosophical Transactions of the Royal Society B: Biological Sciences","id":"ITEM-1","issue":"1748","issued":{"date-parts":[["2018"]]},"page":"20170359","title":"Impact of dietary gut microbial metabolites on the epigenome","type":"article-journal","volume":"373"},"uris":["http://www.mendeley.com/documents/?uuid=d17f5570-1a95-4161-a7eb-5a38b17dfd05"]}],"mendeley":{"formattedCitation":"(Gerhauser, 2018)","plainTextFormattedCitation":"(Gerhauser, 2018)","previouslyFormattedCitation":"(Gerhauser, 2018)"},"properties":{"noteIndex":0},"schema":"https://github.com/citation-style-language/schema/raw/master/csl-citation.json"}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(Gerhauser, 2018)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transformation of proanthocyanidins to their metabolites is seen to show much variation between individuals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{"citationItems":[{"id":"ITEM-1","itemData":{"DOI":"10.1016/j.jff.2013.08.004","ISBN":"1756-4646","ISSN":"17564646","abstract":"Proanthocyanidins are found in fruits, tree nuts, cereals, legumes, wine, and chocolate. They affect nutritional value, appearance, taste, and texture of these foods and promote better health by preventing cardiovascular diseases, cancers, urinary tract infections, and other aging-related metabolic complications. The bioavailability of proanthocyanidins is largely influenced by their degree of polymerization. The absorption rate of proanthocyanidin dimers is 5-10% of that of (-)-epicatechin. Trimers and tetramers had lower absorption rates than dimers. Absorbed intact dimers, trimers, and tetramers undergo limited phase II metabolism in the intestine and liver in rats compared with (-)-epicatechin. Proanthocyanidins with a degree of polymerization over 4 (DP. &gt;. 4) are not absorbable because of their large molecular size and gut barrier. Depolymerization of proanthocyanidins in the gastrointestinal tract was negligible. The majority of proanthocyanidins reaches the colon intact and is degraded into phenylvalerolactones and phenolic acids by colon microbiota. These microbial metabolites may contribute to the health promoting properties of proanthocyanidins in vivo. Future research of proanthocyanidin bioavailability will likely focus on identification of new microbial metabolites and investigation of how proanthocyanidins influence human health by affecting the composition of human gut microbiota. ?? 2013 Elsevier Ltd.","author":[{"dropping-particle":"","family":"Ou","given":"Keqin","non-dropping-particle":"","parse-names":false,"suffix":""},{"dropping-particle":"","family":"Gu","given":"Liwei","non-dropping-particle":"","parse-names":false,"suffix":""}],"container-title":"Journal of Functional Foods","id":"ITEM-1","issue":"1","issued":{"date-parts":[["2014"]]},"page":"43-53","publisher":"Elsevier Ltd","title":"Absorption and metabolism of proanthocyanidins","type":"article-journal","volume":"7"},"uris":["http://www.mendeley.com/documents/?uuid=cb74b614-8c6e-4524-9396-8121544f2d31"]}],"mendeley":{"formattedCitation":"(Ou &amp; Gu, 2014)","plainTextFormattedCitation":"(Ou &amp; Gu, 2014)","previouslyFormattedCitation":"(Ou &amp; Gu,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(Ou &amp; Gu,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The gut of a heathy individual can be ho</w:t>
      </w:r>
      <w:r w:rsidR="00FA4776">
        <w:rPr>
          <w:rFonts w:ascii="Calibri" w:eastAsia="Calibri" w:hAnsi="Calibri" w:cs="Times New Roman"/>
          <w:sz w:val="24"/>
          <w:szCs w:val="24"/>
        </w:rPr>
        <w:t xml:space="preserve">me to more than 400 </w:t>
      </w:r>
      <w:r w:rsidR="009F6D4E">
        <w:rPr>
          <w:rFonts w:ascii="Calibri" w:eastAsia="Calibri" w:hAnsi="Calibri" w:cs="Times New Roman"/>
          <w:sz w:val="24"/>
          <w:szCs w:val="24"/>
        </w:rPr>
        <w:t xml:space="preserve">microbial </w:t>
      </w:r>
      <w:r w:rsidR="00FA4776">
        <w:rPr>
          <w:rFonts w:ascii="Calibri" w:eastAsia="Calibri" w:hAnsi="Calibri" w:cs="Times New Roman"/>
          <w:sz w:val="24"/>
          <w:szCs w:val="24"/>
        </w:rPr>
        <w:t>species that</w:t>
      </w:r>
      <w:r w:rsidRPr="00CF1D1E">
        <w:rPr>
          <w:rFonts w:ascii="Calibri" w:eastAsia="Calibri" w:hAnsi="Calibri" w:cs="Times New Roman"/>
          <w:sz w:val="24"/>
          <w:szCs w:val="24"/>
        </w:rPr>
        <w:t xml:space="preserve"> in turn belong to over 190 genera. The </w:t>
      </w:r>
      <w:r w:rsidR="001D33F8">
        <w:rPr>
          <w:rFonts w:ascii="Calibri" w:eastAsia="Calibri" w:hAnsi="Calibri" w:cs="Times New Roman"/>
          <w:sz w:val="24"/>
          <w:szCs w:val="24"/>
        </w:rPr>
        <w:t>composition</w:t>
      </w:r>
      <w:r w:rsidRPr="00CF1D1E">
        <w:rPr>
          <w:rFonts w:ascii="Calibri" w:eastAsia="Calibri" w:hAnsi="Calibri" w:cs="Times New Roman"/>
          <w:sz w:val="24"/>
          <w:szCs w:val="24"/>
        </w:rPr>
        <w:t xml:space="preserve"> of these in an individual is much dependant on factors such as age, ethnicity, gender, stress and health status, dietary habits and environmental factors such as contact with pathogens and use of medicine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{"citationItems":[{"id":"ITEM-1","itemData":{"DOI":"10.1098/rstb.2017.0359","ISBN":"0000000257923","ISSN":"0962-8436","PMID":"29685968","abstract":"Within the past decade, epigenetic mechanisms and their modulation by natural products have gained increasing interest. Dietary bioactive compounds from various sources, including green tea, soya, fruit and berries, cruciferous vegetables, whole grain foods, fish and others, have been shown to target enzymes involved in epigenetic gene regulation, including DNA methyltransferases, histone acetyltransferases, deacetylases and demethylases in vitro and in cell culture. Also, many dietary agents were shown to alter miRNA expression. In vivo studies in animal models and humans are still limited. Recent research has indicated that the gut microbiota and gut microbial metabolites might be important mediators of diet-epigenome interactions. Inter-individual differences in the gut microbiome might affect release, metabolism and bioavailability of dietary agents and explain variability in response to intervention in human studies. Only a few microbial metabolites, including folate, phenolic acids, S-(-)equol, urolithins, isothiocyanates, and short- and long-chain fatty acids have been tested with respect to their potential to influence epigenetic mechanisms. Considering that a complex mixture of intermediary and microbial metabolites is present in human circulation, a more systematic interdisciplinary investigation of nutri-epigenetic activities and their impact on human health is called for.This article is part of a discussion meeting issue 'Frontiers in epigenetic chemical biology'.","author":[{"dropping-particle":"","family":"Gerhauser","given":"Clarissa","non-dropping-particle":"","parse-names":false,"suffix":""}],"container-title":"Philosophical Transactions of the Royal Society B: Biological Sciences","id":"ITEM-1","issue":"1748","issued":{"date-parts":[["2018"]]},"page":"20170359","title":"Impact of dietary gut microbial metabolites on the epigenome","type":"article-journal","volume":"373"},"uris":["http://www.mendeley.com/documents/?uuid=d17f5570-1a95-4161-a7eb-5a38b17dfd05"]},{"id":"ITEM-2","itemData":{"DOI":"10.1016/j.jff.2013.08.004","ISBN":"1756-4646","ISSN":"17564646","abstract":"Proanthocyanidins are found in fruits, tree nuts, cereals, legumes, wine, and chocolate. They affect nutritional value, appearance, taste, and texture of these foods and promote better health by preventing cardiovascular diseases, cancers, urinary tract infections, and other aging-related metabolic complications. The bioavailability of proanthocyanidins is largely influenced by their degree of polymerization. The absorption rate of proanthocyanidin dimers is 5-10% of that of (-)-epicatechin. Trimers and tetramers had lower absorption rates than dimers. Absorbed intact dimers, trimers, and tetramers undergo limited phase II metabolism in the intestine and liver in rats compared with (-)-epicatechin. Proanthocyanidins with a degree of polymerization over 4 (DP. &gt;. 4) are not absorbable because of their large molecular size and gut barrier. Depolymerization of proanthocyanidins in the gastrointestinal tract was negligible. The majority of proanthocyanidins reaches the colon intact and is degraded into phenylvalerolactones and phenolic acids by colon microbiota. These microbial metabolites may contribute to the health promoting properties of proanthocyanidins in vivo. Future research of proanthocyanidin bioavailability will likely focus on identification of new microbial metabolites and investigation of how proanthocyanidins influence human health by affecting the composition of human gut microbiota. ?? 2013 Elsevier Ltd.","author":[{"dropping-particle":"","family":"Ou","given":"Keqin","non-dropping-particle":"","parse-names":false,"suffix":""},{"dropping-particle":"","family":"Gu","given":"Liwei","non-dropping-particle":"","parse-names":false,"suffix":""}],"container-title":"Journal of Functional Foods","id":"ITEM-2","issue":"1","issued":{"date-parts":[["2014"]]},"page":"43-53","publisher":"Elsevier Ltd","title":"Absorption and metabolism of proanthocyanidins","type":"article-journal","volume":"7"},"uris":["http://www.mendeley.com/documents/?uuid=cb74b614-8c6e-4524-9396-8121544f2d31"]}],"mendeley":{"formattedCitation":"(Gerhauser, 2018; Ou &amp; Gu, 2014)","plainTextFormattedCitation":"(Gerhauser, 2018; Ou &amp; Gu, 2014)","previouslyFormattedCitation":"(Gerhauser, 2018; Ou &amp; Gu,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(Gerhauser, 2018; Ou &amp; Gu,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Proanthocyanidins in aqueous solution are available for absorption in the small intestine but those present in food bulk matrix are not. It is believed that the mechanism for the absorption of w</w:t>
      </w:r>
      <w:r w:rsidR="001D33F8">
        <w:rPr>
          <w:rFonts w:ascii="Calibri" w:eastAsia="Calibri" w:hAnsi="Calibri" w:cs="Times New Roman"/>
          <w:sz w:val="24"/>
          <w:szCs w:val="24"/>
        </w:rPr>
        <w:t xml:space="preserve">ater soluble proanthocyanidins </w:t>
      </w:r>
      <w:r w:rsidRPr="00CF1D1E">
        <w:rPr>
          <w:rFonts w:ascii="Calibri" w:eastAsia="Calibri" w:hAnsi="Calibri" w:cs="Times New Roman"/>
          <w:sz w:val="24"/>
          <w:szCs w:val="24"/>
        </w:rPr>
        <w:t>is passive diffusion as no enterocyte transporters have yet been found. This of course may change. Flavan-3-ol monomers, like (+)-catechin and (-)-epicatechin, have been shown to be rapidly absorbed</w:t>
      </w:r>
      <w:r w:rsidR="008520F2">
        <w:rPr>
          <w:rFonts w:ascii="Calibri" w:eastAsia="Calibri" w:hAnsi="Calibri" w:cs="Times New Roman"/>
          <w:sz w:val="24"/>
          <w:szCs w:val="24"/>
        </w:rPr>
        <w:t xml:space="preserve"> from food</w:t>
      </w:r>
      <w:r w:rsidRPr="00CF1D1E">
        <w:rPr>
          <w:rFonts w:ascii="Calibri" w:eastAsia="Calibri" w:hAnsi="Calibri" w:cs="Times New Roman"/>
          <w:sz w:val="24"/>
          <w:szCs w:val="24"/>
        </w:rPr>
        <w:t xml:space="preserve"> </w:t>
      </w:r>
      <w:r w:rsidR="001D33F8">
        <w:rPr>
          <w:rFonts w:ascii="Calibri" w:eastAsia="Calibri" w:hAnsi="Calibri" w:cs="Times New Roman"/>
          <w:sz w:val="24"/>
          <w:szCs w:val="24"/>
        </w:rPr>
        <w:t>in</w:t>
      </w:r>
      <w:r w:rsidRPr="00CF1D1E">
        <w:rPr>
          <w:rFonts w:ascii="Calibri" w:eastAsia="Calibri" w:hAnsi="Calibri" w:cs="Times New Roman"/>
          <w:sz w:val="24"/>
          <w:szCs w:val="24"/>
        </w:rPr>
        <w:t xml:space="preserve"> the upper region of the small intestine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{"citationItems":[{"id":"ITEM-1","itemData":{"DOI":"10.1016/j.jff.2013.08.004","ISBN":"1756-4646","ISSN":"17564646","abstract":"Proanthocyanidins are found in fruits, tree nuts, cereals, legumes, wine, and chocolate. They affect nutritional value, appearance, taste, and texture of these foods and promote better health by preventing cardiovascular diseases, cancers, urinary tract infections, and other aging-related metabolic complications. The bioavailability of proanthocyanidins is largely influenced by their degree of polymerization. The absorption rate of proanthocyanidin dimers is 5-10% of that of (-)-epicatechin. Trimers and tetramers had lower absorption rates than dimers. Absorbed intact dimers, trimers, and tetramers undergo limited phase II metabolism in the intestine and liver in rats compared with (-)-epicatechin. Proanthocyanidins with a degree of polymerization over 4 (DP. &gt;. 4) are not absorbable because of their large molecular size and gut barrier. Depolymerization of proanthocyanidins in the gastrointestinal tract was negligible. The majority of proanthocyanidins reaches the colon intact and is degraded into phenylvalerolactones and phenolic acids by colon microbiota. These microbial metabolites may contribute to the health promoting properties of proanthocyanidins in vivo. Future research of proanthocyanidin bioavailability will likely focus on identification of new microbial metabolites and investigation of how proanthocyanidins influence human health by affecting the composition of human gut microbiota. ?? 2013 Elsevier Ltd.","author":[{"dropping-particle":"","family":"Ou","given":"Keqin","non-dropping-particle":"","parse-names":false,"suffix":""},{"dropping-particle":"","family":"Gu","given":"Liwei","non-dropping-particle":"","parse-names":false,"suffix":""}],"container-title":"Journal of Functional Foods","id":"ITEM-1","issue":"1","issued":{"date-parts":[["2014"]]},"page":"43-53","publisher":"Elsevier Ltd","title":"Absorption and metabolism of proanthocyanidins","type":"article-journal","volume":"7"},"uris":["http://www.mendeley.com/documents/?uuid=cb74b614-8c6e-4524-9396-8121544f2d31"]}],"mendeley":{"formattedCitation":"(Ou &amp; Gu, 2014)","plainTextFormattedCitation":"(Ou &amp; Gu, 2014)","previouslyFormattedCitation":"(Ou &amp; Gu,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(Ou &amp; Gu,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In a paper by Serra</w:t>
      </w:r>
      <w:r w:rsidRPr="00CF1D1E">
        <w:rPr>
          <w:rFonts w:ascii="Calibri" w:eastAsia="Calibri" w:hAnsi="Calibri" w:cs="Times New Roman"/>
          <w:i/>
          <w:sz w:val="24"/>
          <w:szCs w:val="24"/>
        </w:rPr>
        <w:t xml:space="preserve"> et al</w:t>
      </w:r>
      <w:r w:rsidRPr="00CF1D1E">
        <w:rPr>
          <w:rFonts w:ascii="Calibri" w:eastAsia="Calibri" w:hAnsi="Calibri" w:cs="Times New Roman"/>
          <w:sz w:val="24"/>
          <w:szCs w:val="24"/>
        </w:rPr>
        <w:t xml:space="preserve">., depolymerisation of proanthocyanidins in the gastrointestinal tract has been found to be negligible. The vast majority of these compounds reach the colon intact but are subsequently converted to phenylvalerolactone and phenolic acids by microbial action. These components may contribute to the observed health benefits of proanthocyanidins and polyphenols in general. </w:t>
      </w:r>
      <w:r w:rsidRPr="00CF1D1E">
        <w:rPr>
          <w:rFonts w:ascii="Calibri" w:eastAsia="Calibri" w:hAnsi="Calibri" w:cs="Times New Roman"/>
          <w:i/>
          <w:sz w:val="24"/>
          <w:szCs w:val="24"/>
        </w:rPr>
        <w:t>In vivo</w:t>
      </w:r>
      <w:r w:rsidRPr="00CF1D1E">
        <w:rPr>
          <w:rFonts w:ascii="Calibri" w:eastAsia="Calibri" w:hAnsi="Calibri" w:cs="Times New Roman"/>
          <w:sz w:val="24"/>
          <w:szCs w:val="24"/>
        </w:rPr>
        <w:t xml:space="preserve"> studies have shown that phenylvalerolactone and phenolic acids are the predominant metabolites found in blood and urine. Food matrices were found to have a profound effect on the absorption of polyphenolic compounds, exemplified by the experiments of Serra </w:t>
      </w:r>
      <w:r w:rsidRPr="00CF1D1E">
        <w:rPr>
          <w:rFonts w:ascii="Calibri" w:eastAsia="Calibri" w:hAnsi="Calibri" w:cs="Times New Roman"/>
          <w:i/>
          <w:sz w:val="24"/>
          <w:szCs w:val="24"/>
        </w:rPr>
        <w:t>et.al.</w:t>
      </w:r>
      <w:r w:rsidRPr="00CF1D1E">
        <w:rPr>
          <w:rFonts w:ascii="Calibri" w:eastAsia="Calibri" w:hAnsi="Calibri" w:cs="Times New Roman"/>
          <w:sz w:val="24"/>
          <w:szCs w:val="24"/>
        </w:rPr>
        <w:t xml:space="preserve"> </w:t>
      </w:r>
      <w:proofErr w:type="gramStart"/>
      <w:r w:rsidRPr="00CF1D1E">
        <w:rPr>
          <w:rFonts w:ascii="Calibri" w:eastAsia="Calibri" w:hAnsi="Calibri" w:cs="Times New Roman"/>
          <w:sz w:val="24"/>
          <w:szCs w:val="24"/>
        </w:rPr>
        <w:t>on</w:t>
      </w:r>
      <w:proofErr w:type="gramEnd"/>
      <w:r w:rsidRPr="00CF1D1E">
        <w:rPr>
          <w:rFonts w:ascii="Calibri" w:eastAsia="Calibri" w:hAnsi="Calibri" w:cs="Times New Roman"/>
          <w:sz w:val="24"/>
          <w:szCs w:val="24"/>
        </w:rPr>
        <w:t xml:space="preserve"> rats</w:t>
      </w:r>
      <w:r w:rsidR="00A1555D">
        <w:rPr>
          <w:rFonts w:ascii="Calibri" w:eastAsia="Calibri" w:hAnsi="Calibri" w:cs="Times New Roman"/>
          <w:sz w:val="24"/>
          <w:szCs w:val="24"/>
        </w:rPr>
        <w:t xml:space="preserve"> which were fed grape seed extract</w:t>
      </w:r>
      <w:r w:rsidRPr="00CF1D1E">
        <w:rPr>
          <w:rFonts w:ascii="Calibri" w:eastAsia="Calibri" w:hAnsi="Calibri" w:cs="Times New Roman"/>
          <w:sz w:val="24"/>
          <w:szCs w:val="24"/>
        </w:rPr>
        <w:t xml:space="preserve"> </w:t>
      </w:r>
      <w:r w:rsidR="00A1555D">
        <w:rPr>
          <w:rFonts w:ascii="Calibri" w:eastAsia="Calibri" w:hAnsi="Calibri" w:cs="Times New Roman"/>
          <w:sz w:val="24"/>
          <w:szCs w:val="24"/>
        </w:rPr>
        <w:t>and a range of polyphenols were monitored. A</w:t>
      </w:r>
      <w:r w:rsidRPr="00CF1D1E">
        <w:rPr>
          <w:rFonts w:ascii="Calibri" w:eastAsia="Calibri" w:hAnsi="Calibri" w:cs="Times New Roman"/>
          <w:sz w:val="24"/>
          <w:szCs w:val="24"/>
        </w:rPr>
        <w:t xml:space="preserve"> fivefold increase in absorption was observed in rats with no carbohydrate in their diet compared to those with a high amount of carbohydrate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10.1017/S0007114509992741","author":[{"dropping-particle":"","family":"Serra","given":"Aida","non-dropping-particle":"","parse-names":false,"suffix":""},{"dropping-particle":"","family":"Romero","given":"Maria-paz","non-dropping-particle":"","parse-names":false,"suffix":""},{"dropping-particle":"","family":"Valls","given":"Josep","non-dropping-particle":"","parse-names":false,"suffix":""},{"dropping-particle":"","family":"Blade","given":"Cinta","non-dropping-particle":"","parse-names":false,"suffix":""}],"container-title":"British Journal of Nutrition","id":"ITEM-1","issue":"2010","issued":{"date-parts":[["2009"]]},"page":"944-952","title":"Bioavailability of procyanidin dimers and trimers and matrix food effects in in vitro and in vivo models British Journal of Nutrition","type":"article-journal"},"uris":["http://www.mendeley.com/documents/?uuid=ee64f563-e2c1-4283-802c-6a1bc898b3b3"]}],"mendeley":{"formattedCitation":"(Serra, Romero, Valls, &amp; Blade, 2009)","plainTextFormattedCitation":"(Serra, Romero, Valls, &amp; Blade, 2009)","previouslyFormattedCitation":"(Serra, Romero, Valls, &amp; Blade,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(Serra, Romero, Valls, &amp; Blade,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Absorption is not necessarily a requirement for bioactivity </w:t>
      </w:r>
      <w:r w:rsidRPr="00CF1D1E">
        <w:rPr>
          <w:rFonts w:ascii="Calibri" w:eastAsia="Calibri" w:hAnsi="Calibri" w:cs="Times New Roman"/>
          <w:sz w:val="24"/>
          <w:szCs w:val="24"/>
        </w:rPr>
        <w:fldChar w:fldCharType="begin" w:fldLock="1"/>
      </w:r>
      <w:r w:rsidR="00B61A01">
        <w:rPr>
          <w:rFonts w:ascii="Calibri" w:eastAsia="Calibri" w:hAnsi="Calibri" w:cs="Times New Roman"/>
          <w:sz w:val="24"/>
          <w:szCs w:val="24"/>
        </w:rPr>
        <w:instrText>ADDIN CSL_CITATION {"citationItems":[{"id":"ITEM-1","itemData":{"DOI":"10.1017/S0007114512005235","author":[{"dropping-particle":"","family":"Alonso","given":"Virginia Robles","non-dropping-particle":"","parse-names":false,"suffix":""},{"dropping-particle":"","family":"Guarner","given":"Francisco","non-dropping-particle":"","parse-names":false,"suffix":""}],"id":"ITEM-1","issue":"2013","issued":{"date-parts":[["2013"]]},"page":"21-26","title":"Linking the gut microbiota to human health","type":"article-journal"},"uris":["http://www.mendeley.com/documents/?uuid=54d4c2fa-9912-4f46-82a3-c69968a15d2c"]}],"mendeley":{"formattedCitation":"(Alonso &amp; Guarner, 2013)","manualFormatting":"(Alonso &amp; Guarner, 2013)","plainTextFormattedCitation":"(Alonso &amp; Guarner, 2013)","previouslyFormattedCitation":"(Alonso &amp; Guarner, 2013)"},"properties":{"noteIndex":0},"schema":"https://github.com/citation-style-language/schema/raw/master/csl-citation.json"}</w:instrText>
      </w:r>
      <w:r w:rsidRPr="00CF1D1E">
        <w:rPr>
          <w:rFonts w:ascii="Calibri" w:eastAsia="Calibri" w:hAnsi="Calibri" w:cs="Times New Roman"/>
          <w:sz w:val="24"/>
          <w:szCs w:val="24"/>
        </w:rPr>
        <w:fldChar w:fldCharType="separate"/>
      </w:r>
      <w:r w:rsidRPr="00CF1D1E">
        <w:rPr>
          <w:rFonts w:ascii="Calibri" w:eastAsia="Calibri" w:hAnsi="Calibri" w:cs="Times New Roman"/>
          <w:noProof/>
          <w:sz w:val="24"/>
          <w:szCs w:val="24"/>
        </w:rPr>
        <w:t>(Alonso &amp; Guarner,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Studies have shown that there is a pivotal role in human heath provided by gut microbiota.  Proanthocyanidins exert a prebiotic-effect on the gut microbes by modulating their metabolism. In a randomized, controlled, double- blind, crossover intervention study, a high-cocoa flavanol drink was consumed daily for 4 weeks. This significantly increased the population of beneficial </w:t>
      </w:r>
      <w:r w:rsidRPr="001D33F8">
        <w:rPr>
          <w:rFonts w:ascii="Calibri" w:eastAsia="Calibri" w:hAnsi="Calibri" w:cs="Times New Roman"/>
          <w:i/>
          <w:sz w:val="24"/>
          <w:szCs w:val="24"/>
        </w:rPr>
        <w:t>bifidobacterial</w:t>
      </w:r>
      <w:r w:rsidRPr="00CF1D1E">
        <w:rPr>
          <w:rFonts w:ascii="Calibri" w:eastAsia="Calibri" w:hAnsi="Calibri" w:cs="Times New Roman"/>
          <w:sz w:val="24"/>
          <w:szCs w:val="24"/>
        </w:rPr>
        <w:t xml:space="preserve"> and </w:t>
      </w:r>
      <w:r w:rsidRPr="001D33F8">
        <w:rPr>
          <w:rFonts w:ascii="Calibri" w:eastAsia="Calibri" w:hAnsi="Calibri" w:cs="Times New Roman"/>
          <w:i/>
          <w:sz w:val="24"/>
          <w:szCs w:val="24"/>
        </w:rPr>
        <w:t>lactobacilli</w:t>
      </w:r>
      <w:r w:rsidRPr="00CF1D1E">
        <w:rPr>
          <w:rFonts w:ascii="Calibri" w:eastAsia="Calibri" w:hAnsi="Calibri" w:cs="Times New Roman"/>
          <w:sz w:val="24"/>
          <w:szCs w:val="24"/>
        </w:rPr>
        <w:t xml:space="preserve"> and significantly decreased the population of harmful </w:t>
      </w:r>
      <w:r w:rsidRPr="001D33F8">
        <w:rPr>
          <w:rFonts w:ascii="Calibri" w:eastAsia="Calibri" w:hAnsi="Calibri" w:cs="Times New Roman"/>
          <w:i/>
          <w:sz w:val="24"/>
          <w:szCs w:val="24"/>
        </w:rPr>
        <w:t>clostridia</w:t>
      </w:r>
      <w:r w:rsidRPr="00CF1D1E">
        <w:rPr>
          <w:rFonts w:ascii="Calibri" w:eastAsia="Calibri" w:hAnsi="Calibri" w:cs="Times New Roman"/>
          <w:sz w:val="24"/>
          <w:szCs w:val="24"/>
        </w:rPr>
        <w:t xml:space="preserve">, suggesting the prebiotic benefits of procyanidins in cocoa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10.1017/S0007114507853384","author":[{"dropping-particle":"","family":"Tzounis","given":"Xenofon","non-dropping-particle":"","parse-names":false,"suffix":""},{"dropping-particle":"","family":"Vulevic","given":"Jelena","non-dropping-particle":"","parse-names":false,"suffix":""},{"dropping-particle":"","family":"Kuhnle","given":"Gunter G C","non-dropping-particle":"","parse-names":false,"suffix":""},{"dropping-particle":"","family":"George","given":"Trevor","non-dropping-particle":"","parse-names":false,"suffix":""},{"dropping-particle":"","family":"Leonczak","given":"Jadwiga","non-dropping-particle":"","parse-names":false,"suffix":""},{"dropping-particle":"","family":"Gibson","given":"Glenn R","non-dropping-particle":"","parse-names":false,"suffix":""},{"dropping-particle":"","family":"Kwik-uribe","given":"Catherine","non-dropping-particle":"","parse-names":false,"suffix":""},{"dropping-particle":"","family":"Spencer","given":"Jeremy P E","non-dropping-particle":"","parse-names":false,"suffix":""}],"container-title":"British Journal of Nutrition","id":"ITEM-1","issue":"2008","issued":{"date-parts":[["2008"]]},"page":"782-792","title":"Flavanol monomer-induced changes to the human faecal microflora","type":"article-journal"},"uris":["http://www.mendeley.com/documents/?uuid=4198c69a-6945-436b-acca-521bbef88abb"]}],"mendeley":{"formattedCitation":"(Tzounis et al., 2008)","plainTextFormattedCitation":"(Tzounis et al., 2008)","previouslyFormattedCitation":"(Tzounis et al., 2008)"},"properties":{"noteIndex":0},"schema":"https://github.com/citation-style-language/schema/raw/master/csl-citation.json"}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(Tzounis </w:t>
      </w:r>
      <w:r w:rsidR="00941740" w:rsidRPr="00281F1C">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2008)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It has also been shown recently that the microbial metabolites of polyphenols exhibit greater permeability across the gut and the blood-brain barrier than the parent polyphenols do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{"citationItems":[{"id":"ITEM-1","itemData":{"author":[{"dropping-particle":"","family":"Johnson","given":"Shelby L","non-dropping-particle":"","parse-names":false,"suffix":""},{"dropping-particle":"","family":"Kirk","given":"Riley D","non-dropping-particle":"","parse-names":false,"suffix":""},{"dropping-particle":"","family":"Dasilva","given":"Nicholas A","non-dropping-particle":"","parse-names":false,"suffix":""},{"dropping-particle":"","family":"Ma","given":"Hang","non-dropping-particle":"","parse-names":false,"suffix":""},{"dropping-particle":"","family":"Seeram","given":"Navindra P","non-dropping-particle":"","parse-names":false,"suffix":""},{"dropping-particle":"","family":"Bertin","given":"Matthew J","non-dropping-particle":"","parse-names":false,"suffix":""}],"id":"ITEM-1","issued":{"date-parts":[["2019"]]},"title":"Polyphenol Microbial Metabolites Exhibit Gut and Blood – Brain Barrier Permeability and Protect Murine Microglia against LPS-Induced Inflammation","type":"article-journal"},"uris":["http://www.mendeley.com/documents/?uuid=cb7429ba-2167-482e-a89e-98ecb748191e"]}],"mendeley":{"formattedCitation":"(Johnson et al., 2019)","plainTextFormattedCitation":"(Johnson et al., 2019)","previouslyFormattedCitation":"(Johnson et al.,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(Johnson </w:t>
      </w:r>
      <w:r w:rsidR="00941740" w:rsidRPr="00281F1C">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This further supports the important role of gut microbiota in disease prevention and human health in general.</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There are many names and definitions given in numerous papers to the wide range of polyphenolic compounds. The following quoted definition and graphic helps to clarify this (Fig.1). “There are two kinds of flavanol-based oligomers: type B proanthocyanidins, which are formed from (+)-catechin and (-)-epicatechin with oxidative coupling occurring between the C4 of the heterocycle and the C6 or C8 positions of the adjacent unit, whereas type A have an additional ether bond between C2 and C7 . Proanthocyanidins that consist exclusively of (epi)-catechin units are called procyanidins and are the most abundant type in plants. On the other hand, the less common proanthocyanidins, containing (-)- epiafzelechin and (+)-</w:t>
      </w:r>
      <w:proofErr w:type="spellStart"/>
      <w:r w:rsidRPr="00CF1D1E">
        <w:rPr>
          <w:rFonts w:ascii="Calibri" w:eastAsia="Calibri" w:hAnsi="Calibri" w:cs="Times New Roman"/>
          <w:sz w:val="24"/>
          <w:szCs w:val="24"/>
        </w:rPr>
        <w:lastRenderedPageBreak/>
        <w:t>afzelechin</w:t>
      </w:r>
      <w:proofErr w:type="spellEnd"/>
      <w:r w:rsidRPr="00CF1D1E">
        <w:rPr>
          <w:rFonts w:ascii="Calibri" w:eastAsia="Calibri" w:hAnsi="Calibri" w:cs="Times New Roman"/>
          <w:sz w:val="24"/>
          <w:szCs w:val="24"/>
        </w:rPr>
        <w:t xml:space="preserve"> or (epi)</w:t>
      </w:r>
      <w:proofErr w:type="spellStart"/>
      <w:r w:rsidRPr="00CF1D1E">
        <w:rPr>
          <w:rFonts w:ascii="Calibri" w:eastAsia="Calibri" w:hAnsi="Calibri" w:cs="Times New Roman"/>
          <w:sz w:val="24"/>
          <w:szCs w:val="24"/>
        </w:rPr>
        <w:t>gallocatechin</w:t>
      </w:r>
      <w:proofErr w:type="spellEnd"/>
      <w:r w:rsidRPr="00CF1D1E">
        <w:rPr>
          <w:rFonts w:ascii="Calibri" w:eastAsia="Calibri" w:hAnsi="Calibri" w:cs="Times New Roman"/>
          <w:sz w:val="24"/>
          <w:szCs w:val="24"/>
        </w:rPr>
        <w:t xml:space="preserve"> subunits, are called </w:t>
      </w:r>
      <w:proofErr w:type="spellStart"/>
      <w:r w:rsidRPr="00CF1D1E">
        <w:rPr>
          <w:rFonts w:ascii="Calibri" w:eastAsia="Calibri" w:hAnsi="Calibri" w:cs="Times New Roman"/>
          <w:sz w:val="24"/>
          <w:szCs w:val="24"/>
        </w:rPr>
        <w:t>propelargonidins</w:t>
      </w:r>
      <w:proofErr w:type="spellEnd"/>
      <w:r w:rsidRPr="00CF1D1E">
        <w:rPr>
          <w:rFonts w:ascii="Calibri" w:eastAsia="Calibri" w:hAnsi="Calibri" w:cs="Times New Roman"/>
          <w:sz w:val="24"/>
          <w:szCs w:val="24"/>
        </w:rPr>
        <w:t xml:space="preserve"> and </w:t>
      </w:r>
      <w:proofErr w:type="spellStart"/>
      <w:r w:rsidRPr="00CF1D1E">
        <w:rPr>
          <w:rFonts w:ascii="Calibri" w:eastAsia="Calibri" w:hAnsi="Calibri" w:cs="Times New Roman"/>
          <w:sz w:val="24"/>
          <w:szCs w:val="24"/>
        </w:rPr>
        <w:t>prodelphinidins</w:t>
      </w:r>
      <w:proofErr w:type="spellEnd"/>
      <w:r w:rsidRPr="00CF1D1E">
        <w:rPr>
          <w:rFonts w:ascii="Calibri" w:eastAsia="Calibri" w:hAnsi="Calibri" w:cs="Times New Roman"/>
          <w:sz w:val="24"/>
          <w:szCs w:val="24"/>
        </w:rPr>
        <w:t>, respectively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{"citationItems":[{"id":"ITEM-1","itemData":{"DOI":"10.1002/biof.79","ISBN":"1872-8081 (Electronic)\\r0951-6433 (Linking)","ISSN":"09516433","PMID":"20232344","abstract":"Proanthocyanidins, also named condensed tannins, are the result of flavanols condensation. Oligomers and polymers of proanthocyanidins can widely be found in the plant kingdom, as in fruits and berries, seeds, flowers, and leaves. They have a putative role as antioxidants, and they affect the inflammatory process via calcium-dependent release of nitric oxide and protect against H(2)O(2)-induced lipid peroxidation. They also demonstrated a role in cardiovascular diseases via vessel relaxation and LDL oxidation inhibition. These condensed tannins have also shown activities that improve diabetic complications, such as neuropathy, retinopathy, or nephropathy, including a decrease in serum glucose and advanced glycation end products. Furthermore, proanthocyanidins have evidenced anticancer properties by mitigating tumor development through induction of apoptosis or inhibition of cell proliferation. Finally, they are able to produce antiadhesive actions against bacteria in urinary and dental infections, including Escherichia coli and Streptococcus mutans. Hence, proanthocyanidins are considered as beneficial molecules in preventing or treating many diseases and pathological conditions. Therefore, finding out more about condensed tannins bioavailability, and understanding the regulatory genes and pathways involved in their effects should be aimed in future research.","author":[{"dropping-particle":"","family":"La Iglesia","given":"Rocío","non-dropping-particle":"De","parse-names":false,"suffix":""},{"dropping-particle":"","family":"Milagro","given":"Fermín I.","non-dropping-particle":"","parse-names":false,"suffix":""},{"dropping-particle":"","family":"Campión","given":"Javier","non-dropping-particle":"","parse-names":false,"suffix":""},{"dropping-particle":"","family":"Boqué","given":"Noemí","non-dropping-particle":"","parse-names":false,"suffix":""},{"dropping-particle":"","family":"Martínez","given":"J. Alfredo","non-dropping-particle":"","parse-names":false,"suffix":""}],"container-title":"BioFactors","id":"ITEM-1","issue":"3","issued":{"date-parts":[["2010"]]},"page":"159-168","title":"Healthy properties of proanthocyanidins","type":"article-journal","volume":"36"},"uris":["http://www.mendeley.com/documents/?uuid=186d1ab8-865b-4d2f-ab2e-ac8fad610526"]}],"mendeley":{"formattedCitation":"(De La Iglesia et al., 2010)","plainTextFormattedCitation":"(De La Iglesia et al., 2010)","previouslyFormattedCitation":"(De La Iglesia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(De La Iglesia </w:t>
      </w:r>
      <w:r w:rsidR="00941740" w:rsidRPr="00281F1C">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(See Fig.1 below)</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tabs>
          <w:tab w:val="left" w:pos="3330"/>
        </w:tabs>
        <w:rPr>
          <w:rFonts w:ascii="Calibri" w:eastAsia="Calibri" w:hAnsi="Calibri" w:cs="Times New Roman"/>
        </w:rPr>
      </w:pPr>
      <w:r w:rsidRPr="00CF1D1E">
        <w:rPr>
          <w:rFonts w:ascii="Calibri" w:eastAsia="Calibri" w:hAnsi="Calibri" w:cs="Times New Roman"/>
          <w:noProof/>
          <w:lang w:eastAsia="en-GB"/>
        </w:rPr>
        <w:lastRenderedPageBreak/>
        <mc:AlternateContent>
          <mc:Choice Requires="wps">
            <w:drawing>
              <wp:anchor distT="45720" distB="45720" distL="114300" distR="114300" simplePos="0" relativeHeight="251707392" behindDoc="0" locked="0" layoutInCell="1" allowOverlap="1" wp14:anchorId="4D43F5CE" wp14:editId="4339C5F7">
                <wp:simplePos x="0" y="0"/>
                <wp:positionH relativeFrom="column">
                  <wp:posOffset>5257116</wp:posOffset>
                </wp:positionH>
                <wp:positionV relativeFrom="paragraph">
                  <wp:posOffset>5350413</wp:posOffset>
                </wp:positionV>
                <wp:extent cx="388620" cy="2893060"/>
                <wp:effectExtent l="0" t="0" r="0" b="254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893060"/>
                        </a:xfrm>
                        <a:prstGeom prst="rect">
                          <a:avLst/>
                        </a:prstGeom>
                        <a:solidFill>
                          <a:srgbClr val="FFFFFF"/>
                        </a:solidFill>
                        <a:ln w="9525">
                          <a:noFill/>
                          <a:miter lim="800000"/>
                          <a:headEnd/>
                          <a:tailEnd/>
                        </a:ln>
                      </wps:spPr>
                      <wps:txbx>
                        <w:txbxContent>
                          <w:p w:rsidR="00D842A6" w:rsidRPr="00D16B29" w:rsidRDefault="00D842A6" w:rsidP="00CF1D1E">
                            <w:pPr>
                              <w:tabs>
                                <w:tab w:val="left" w:pos="3330"/>
                              </w:tabs>
                              <w:rPr>
                                <w:sz w:val="20"/>
                                <w:szCs w:val="20"/>
                              </w:rPr>
                            </w:pPr>
                            <w:r w:rsidRPr="0073233C">
                              <w:rPr>
                                <w:sz w:val="20"/>
                                <w:szCs w:val="20"/>
                              </w:rPr>
                              <w:t>Fig.1 The classification of flavonoids</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43F5CE" id="_x0000_t202" coordsize="21600,21600" o:spt="202" path="m,l,21600r21600,l21600,xe">
                <v:stroke joinstyle="miter"/>
                <v:path gradientshapeok="t" o:connecttype="rect"/>
              </v:shapetype>
              <v:shape id="Text Box 2" o:spid="_x0000_s1026" type="#_x0000_t202" style="position:absolute;margin-left:413.95pt;margin-top:421.3pt;width:30.6pt;height:227.8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" stroked="f">
                <v:textbox style="layout-flow:vertical;mso-layout-flow-alt:bottom-to-top">
                  <w:txbxContent>
                    <w:p w:rsidR="00D842A6" w:rsidRPr="00D16B29" w:rsidRDefault="00D842A6" w:rsidP="00CF1D1E">
                      <w:pPr>
                        <w:tabs>
                          <w:tab w:val="left" w:pos="3330"/>
                        </w:tabs>
                        <w:rPr>
                          <w:sz w:val="20"/>
                          <w:szCs w:val="20"/>
                        </w:rPr>
                      </w:pPr>
                      <w:r w:rsidRPr="0073233C">
                        <w:rPr>
                          <w:sz w:val="20"/>
                          <w:szCs w:val="20"/>
                        </w:rPr>
                        <w:t>Fig.1 The classification of flavonoids</w:t>
                      </w:r>
                    </w:p>
                    <w:p w:rsidR="00D842A6" w:rsidRDefault="00D842A6" w:rsidP="00CF1D1E"/>
                  </w:txbxContent>
                </v:textbox>
                <w10:wrap type="square"/>
              </v:shape>
            </w:pict>
          </mc:Fallback>
        </mc:AlternateContent>
      </w:r>
      <w:r w:rsidRPr="00CF1D1E">
        <w:rPr>
          <w:rFonts w:ascii="Calibri" w:eastAsia="Calibri" w:hAnsi="Calibri" w:cs="Times New Roman"/>
          <w:noProof/>
          <w:lang w:eastAsia="en-GB"/>
        </w:rPr>
        <w:drawing>
          <wp:inline distT="0" distB="0" distL="0" distR="0" wp14:anchorId="1A6C5E50" wp14:editId="4A6AE4C6">
            <wp:extent cx="8377281" cy="4940424"/>
            <wp:effectExtent l="3810" t="0" r="889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lassification of flavonoids 300dpi ZOOM.png"/>
                    <pic:cNvPicPr/>
                  </pic:nvPicPr>
                  <pic:blipFill>
                    <a:blip r:embed="rId13">
                      <a:extLst>
                        <a:ext uri="{28A0092B-C50C-407E-A947-70E740481C1C}">
                          <a14:useLocalDpi xmlns:a14="http://schemas.microsoft.com/office/drawing/2010/main" val="0"/>
                        </a:ext>
                      </a:extLst>
                    </a:blip>
                    <a:stretch>
                      <a:fillRect/>
                    </a:stretch>
                  </pic:blipFill>
                  <pic:spPr>
                    <a:xfrm rot="16200000">
                      <a:off x="0" y="0"/>
                      <a:ext cx="8397400" cy="4952289"/>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Polyphenols (sometimes referred to as polyphenolics) are a class of organic compounds with multiple phenol rings within a single structure. Examples of these phenolic substances are epicatechin and resveratrol which are both present in wine. A specific ring structure i.e. C6–C3–C6 3‐ring, is a feature of flavonoids (see Fig.2 below).</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ab/>
        <w:t xml:space="preserve">              </w:t>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01D7653D" wp14:editId="3F537874">
            <wp:extent cx="2261616" cy="1360651"/>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7254" cy="1376075"/>
                    </a:xfrm>
                    <a:prstGeom prst="rect">
                      <a:avLst/>
                    </a:prstGeom>
                    <a:noFill/>
                    <a:ln>
                      <a:noFill/>
                    </a:ln>
                  </pic:spPr>
                </pic:pic>
              </a:graphicData>
            </a:graphic>
          </wp:inline>
        </w:drawing>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rPr>
          <w:rFonts w:ascii="Calibri" w:eastAsia="Calibri" w:hAnsi="Calibri" w:cs="Times New Roman"/>
          <w:sz w:val="20"/>
          <w:szCs w:val="20"/>
        </w:rPr>
      </w:pPr>
      <w:r w:rsidRPr="00CF1D1E">
        <w:rPr>
          <w:rFonts w:ascii="Calibri" w:eastAsia="Calibri" w:hAnsi="Calibri" w:cs="Times New Roman"/>
          <w:sz w:val="20"/>
          <w:szCs w:val="20"/>
        </w:rPr>
        <w:t>Fig.2 Flavonoid A, C, B three ring structure C6–C3–C6.</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In general polyphenols exist as glycosides in nature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{"citationItems":[{"id":"ITEM-1","itemData":{"DOI":"10.1002/9781118299753.ch3","ISBN":"9781444337464","ISSN":"1098-6596","PMID":"25246403","abstract":"Reaction with protein is the hallmark characteristic of high molecular weight polyphenolics known as “tannins.” Many chemical and physical approaches have been used to characterize this reaction, with a strong emphasis on the noncovalent, reversible complexes that form rapidly in aqueous solution. Broadly speaking, polyphenolics bind tightly to large, proline-rich proteins that have relatively little secondary/tertiary structure. Less is known about how polyphenolic characteristics influence the reaction with protein, although size and polarity seem to be important characteristics. In addition to summarizing five decades of work on tannin-protein interactions, this chapter suggests fruitful new avenues for research, and highlights unanswered questions. Preliminary work on characterizing the covalent complexes that form under conditions that promote spontaneous oxidation is also described.","author":[{"dropping-particle":"","family":"Hagerman","given":"Ann E.","non-dropping-particle":"","parse-names":false,"suffix":""}],"container-title":"Recent Advances in Polyphenol Research, Volume 3","id":"ITEM-1","issued":{"date-parts":[["2012"]]},"page":"71-97","title":"Fifty Years of Polyphenol-Protein Complexes","type":"article-journal","volume":"3"},"uris":["http://www.mendeley.com/documents/?uuid=d177c5df-bf76-4028-8d8c-8b024ddc14bb"]}],"mendeley":{"formattedCitation":"(Hagerman, 2012)","plainTextFormattedCitation":"(Hagerman, 2012)","previouslyFormattedCitation":"(Hagerman, 2012)"},"properties":{"noteIndex":0},"schema":"https://github.com/citation-style-language/schema/raw/master/csl-citation.json"}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(Hagerman, 2012)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Flavan‐3‐ols are the most abundant class of flavonoids. Flavan refers to a saturated C ring, and “‐3‐ol” refers to an –OH group at the C3 position. They include simple monomeric catechins, but most exist in oligomeric/polymeric proanthocyanidin forms. The larger, afore mentioned compounds, make up about 50% of the phenolics in red wine but negligible amounts are found in white wines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{"citationItems":[{"id":"ITEM-1","itemData":{"DOI":"10.1002/9781118730720","ISBN":"9781118627808","abstract":"Includes index. Wine chemistry inspires and challenges with its complexity, and while this is intriguing, it can also be a barrier to further understanding. The topic is demystified in Understanding Wine Chemistry, which explains the important chemistry of wine at the level of university education, and provides an accessible reference text for scientists and scientifically trained winemakers alike.","author":[{"dropping-particle":"","family":"Waterhouse","given":"Andrew L","non-dropping-particle":"","parse-names":false,"suffix":""},{"dropping-particle":"","family":"Sacks","given":"Gavin L","non-dropping-particle":"","parse-names":false,"suffix":""},{"dropping-particle":"","family":"Jeffery","given":"David W","non-dropping-particle":"","parse-names":false,"suffix":""}],"id":"ITEM-1","issued":{"date-parts":[["2016"]]},"number-of-pages":"179-193","title":"Understanding Wine Chemistry","type":"book"},"uris":["http://www.mendeley.com/documents/?uuid=a2e81a9d-eb69-4d03-a44a-c9b9b2620906"]}],"mendeley":{"formattedCitation":"(Waterhouse, Sacks, &amp; Jeffery, 2016a)","plainTextFormattedCitation":"(Waterhouse, Sacks, &amp; Jeffery, 2016a)","previouslyFormattedCitation":"(Waterhouse, Sacks, &amp; Jeffery, 2016a)"},"properties":{"noteIndex":0},"schema":"https://github.com/citation-style-language/schema/raw/master/csl-citation.json"}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(Waterhouse, Sacks, &amp; Jeffery, 2016a)</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r w:rsidRPr="00CF1D1E">
        <w:rPr>
          <w:rFonts w:ascii="Calibri" w:eastAsia="Calibri" w:hAnsi="Calibri" w:cs="Times New Roman"/>
        </w:rPr>
        <w:t xml:space="preserve"> </w:t>
      </w:r>
      <w:r w:rsidRPr="00CF1D1E">
        <w:rPr>
          <w:rFonts w:ascii="Calibri" w:eastAsia="Calibri" w:hAnsi="Calibri" w:cs="Times New Roman"/>
          <w:sz w:val="24"/>
          <w:szCs w:val="24"/>
        </w:rPr>
        <w:t xml:space="preserve">Flavonols have a ketone group at position C4 and a double bond between C2 and C3 as well as a phenol group at C3. Flavonols are present in berry skin, where it is thought that they function as a sunscreen, and increase in concentration by exposure high sunlight. Anthocyanins are red in colour characterized by a fully aromatic, positively charged ring.  Good quality red wines often have increased levels of anthocyanins. Their reactions with condensed tannins lead to more stable red wine pigments. </w:t>
      </w:r>
      <w:r w:rsidRPr="00CF1D1E">
        <w:rPr>
          <w:rFonts w:ascii="Calibri" w:eastAsia="Calibri" w:hAnsi="Calibri" w:cs="Times New Roman"/>
          <w:sz w:val="24"/>
          <w:szCs w:val="24"/>
        </w:rPr>
        <w:fldChar w:fldCharType="begin" w:fldLock="1"/>
      </w:r>
      <w:r w:rsidR="00B61A01">
        <w:rPr>
          <w:rFonts w:ascii="Calibri" w:eastAsia="Calibri" w:hAnsi="Calibri" w:cs="Times New Roman"/>
          <w:sz w:val="24"/>
          <w:szCs w:val="24"/>
        </w:rPr>
        <w:instrText>ADDIN CSL_CITATION {"citationItems":[{"id":"ITEM-1","itemData":{"abstract":"For details of our global editorial offices, for customer services and for information about how to apply for permission to reuse the copyright material in this book please see our website at www.wiley.com.","author":[{"dropping-particle":"","family":"Waterhouse","given":"Andrew L","non-dropping-particle":"","parse-names":false,"suffix":""},{"dropping-particle":"","family":"Sacks","given":"Gavin L","non-dropping-particle":"","parse-names":false,"suffix":""},{"dropping-particle":"","family":"Jeffery","given":"David W","non-dropping-particle":"","parse-names":false,"suffix":""}],"id":"ITEM-1","issued":{"date-parts":[["2016"]]},"title":"Understanding Wine Chemistry","type":"article-journal"},"uris":["http://www.mendeley.com/documents/?uuid=40be3432-2830-3c90-9998-8b2abc9153e6"]}],"mendeley":{"formattedCitation":"(Waterhouse, Sacks, &amp; Jeffery, 2016b)","manualFormatting":"(Waterhouse, Sacks, &amp; Jeffery, 2016)","plainTextFormattedCitation":"(Waterhouse, Sacks, &amp; Jeffery, 2016b)","previouslyFormattedCitation":"(Waterhouse, Sacks, &amp; Jeffery, 2016b)"},"properties":{"noteIndex":0},"schema":"https://github.com/citation-style-language/schema/raw/master/csl-citation.json"}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(Waterhouse, Sacks,</w:t>
      </w:r>
      <w:r w:rsidR="00B61A01">
        <w:rPr>
          <w:rFonts w:ascii="Calibri" w:eastAsia="Calibri" w:hAnsi="Calibri" w:cs="Times New Roman"/>
          <w:noProof/>
          <w:sz w:val="24"/>
          <w:szCs w:val="24"/>
        </w:rPr>
        <w:t xml:space="preserve"> &amp; Jeffery, 2016</w:t>
      </w:r>
      <w:r w:rsidR="00941740" w:rsidRPr="00941740">
        <w:rPr>
          <w:rFonts w:ascii="Calibri" w:eastAsia="Calibri" w:hAnsi="Calibri" w:cs="Times New Roman"/>
          <w:noProof/>
          <w:sz w:val="24"/>
          <w:szCs w:val="24"/>
        </w:rPr>
        <w:t>)</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t xml:space="preserve">The phenolic acids form two groups; derivatives of </w:t>
      </w:r>
      <w:proofErr w:type="spellStart"/>
      <w:r w:rsidRPr="00CF1D1E">
        <w:rPr>
          <w:rFonts w:ascii="Calibri" w:eastAsia="Calibri" w:hAnsi="Calibri" w:cs="Times New Roman"/>
          <w:sz w:val="24"/>
          <w:szCs w:val="24"/>
        </w:rPr>
        <w:t>hydroxybenzoic</w:t>
      </w:r>
      <w:proofErr w:type="spellEnd"/>
      <w:r w:rsidRPr="00CF1D1E">
        <w:rPr>
          <w:rFonts w:ascii="Calibri" w:eastAsia="Calibri" w:hAnsi="Calibri" w:cs="Times New Roman"/>
          <w:sz w:val="24"/>
          <w:szCs w:val="24"/>
        </w:rPr>
        <w:t xml:space="preserve"> acid (Fig.3) e.g. </w:t>
      </w:r>
      <w:proofErr w:type="gramStart"/>
      <w:r w:rsidRPr="00CF1D1E">
        <w:rPr>
          <w:rFonts w:ascii="Calibri" w:eastAsia="Calibri" w:hAnsi="Calibri" w:cs="Times New Roman"/>
          <w:sz w:val="24"/>
          <w:szCs w:val="24"/>
        </w:rPr>
        <w:t>gallic</w:t>
      </w:r>
      <w:proofErr w:type="gramEnd"/>
      <w:r w:rsidRPr="00CF1D1E">
        <w:rPr>
          <w:rFonts w:ascii="Calibri" w:eastAsia="Calibri" w:hAnsi="Calibri" w:cs="Times New Roman"/>
          <w:sz w:val="24"/>
          <w:szCs w:val="24"/>
        </w:rPr>
        <w:t xml:space="preserve"> acid (-OH at positions 3 and</w:t>
      </w:r>
      <w:r w:rsidR="00646B90">
        <w:rPr>
          <w:rFonts w:ascii="Calibri" w:eastAsia="Calibri" w:hAnsi="Calibri" w:cs="Times New Roman"/>
          <w:sz w:val="24"/>
          <w:szCs w:val="24"/>
        </w:rPr>
        <w:t xml:space="preserve"> </w:t>
      </w:r>
      <w:r w:rsidRPr="00CF1D1E">
        <w:rPr>
          <w:rFonts w:ascii="Calibri" w:eastAsia="Calibri" w:hAnsi="Calibri" w:cs="Times New Roman"/>
          <w:sz w:val="24"/>
          <w:szCs w:val="24"/>
        </w:rPr>
        <w:t xml:space="preserve">5) and </w:t>
      </w:r>
      <w:proofErr w:type="spellStart"/>
      <w:r w:rsidRPr="00CF1D1E">
        <w:rPr>
          <w:rFonts w:ascii="Calibri" w:eastAsia="Calibri" w:hAnsi="Calibri" w:cs="Times New Roman"/>
          <w:sz w:val="24"/>
          <w:szCs w:val="24"/>
        </w:rPr>
        <w:t>hydroxycinnamic</w:t>
      </w:r>
      <w:proofErr w:type="spellEnd"/>
      <w:r w:rsidRPr="00CF1D1E">
        <w:rPr>
          <w:rFonts w:ascii="Calibri" w:eastAsia="Calibri" w:hAnsi="Calibri" w:cs="Times New Roman"/>
          <w:sz w:val="24"/>
          <w:szCs w:val="24"/>
        </w:rPr>
        <w:t xml:space="preserve"> acid (Fig.4) e.g</w:t>
      </w:r>
      <w:r w:rsidR="00F84396">
        <w:rPr>
          <w:rFonts w:ascii="Calibri" w:eastAsia="Calibri" w:hAnsi="Calibri" w:cs="Times New Roman"/>
          <w:sz w:val="24"/>
          <w:szCs w:val="24"/>
        </w:rPr>
        <w:t>.</w:t>
      </w:r>
      <w:r w:rsidRPr="00CF1D1E">
        <w:rPr>
          <w:rFonts w:ascii="Calibri" w:eastAsia="Calibri" w:hAnsi="Calibri" w:cs="Times New Roman"/>
          <w:sz w:val="24"/>
          <w:szCs w:val="24"/>
        </w:rPr>
        <w:t xml:space="preserve"> p-</w:t>
      </w:r>
      <w:proofErr w:type="spellStart"/>
      <w:r w:rsidRPr="00CF1D1E">
        <w:rPr>
          <w:rFonts w:ascii="Calibri" w:eastAsia="Calibri" w:hAnsi="Calibri" w:cs="Times New Roman"/>
          <w:sz w:val="24"/>
          <w:szCs w:val="24"/>
        </w:rPr>
        <w:t>coumaric</w:t>
      </w:r>
      <w:proofErr w:type="spellEnd"/>
      <w:r w:rsidRPr="00CF1D1E">
        <w:rPr>
          <w:rFonts w:ascii="Calibri" w:eastAsia="Calibri" w:hAnsi="Calibri" w:cs="Times New Roman"/>
          <w:sz w:val="24"/>
          <w:szCs w:val="24"/>
        </w:rPr>
        <w:t xml:space="preserve"> acid, </w:t>
      </w:r>
      <w:proofErr w:type="spellStart"/>
      <w:r w:rsidRPr="00CF1D1E">
        <w:rPr>
          <w:rFonts w:ascii="Calibri" w:eastAsia="Calibri" w:hAnsi="Calibri" w:cs="Times New Roman"/>
          <w:sz w:val="24"/>
          <w:szCs w:val="24"/>
        </w:rPr>
        <w:t>ferulic</w:t>
      </w:r>
      <w:proofErr w:type="spellEnd"/>
      <w:r w:rsidRPr="00CF1D1E">
        <w:rPr>
          <w:rFonts w:ascii="Calibri" w:eastAsia="Calibri" w:hAnsi="Calibri" w:cs="Times New Roman"/>
          <w:sz w:val="24"/>
          <w:szCs w:val="24"/>
        </w:rPr>
        <w:t xml:space="preserve"> acid and </w:t>
      </w:r>
      <w:proofErr w:type="spellStart"/>
      <w:r w:rsidRPr="00CF1D1E">
        <w:rPr>
          <w:rFonts w:ascii="Calibri" w:eastAsia="Calibri" w:hAnsi="Calibri" w:cs="Times New Roman"/>
          <w:sz w:val="24"/>
          <w:szCs w:val="24"/>
        </w:rPr>
        <w:t>caffeic</w:t>
      </w:r>
      <w:proofErr w:type="spellEnd"/>
      <w:r w:rsidRPr="00CF1D1E">
        <w:rPr>
          <w:rFonts w:ascii="Calibri" w:eastAsia="Calibri" w:hAnsi="Calibri" w:cs="Times New Roman"/>
          <w:sz w:val="24"/>
          <w:szCs w:val="24"/>
        </w:rPr>
        <w:t xml:space="preserve"> acid all of which have an –OH group at position 4. Caffeic acid also has an OH at position 3 whereas </w:t>
      </w:r>
      <w:proofErr w:type="spellStart"/>
      <w:r w:rsidRPr="00CF1D1E">
        <w:rPr>
          <w:rFonts w:ascii="Calibri" w:eastAsia="Calibri" w:hAnsi="Calibri" w:cs="Times New Roman"/>
          <w:sz w:val="24"/>
          <w:szCs w:val="24"/>
        </w:rPr>
        <w:t>ferulic</w:t>
      </w:r>
      <w:proofErr w:type="spellEnd"/>
      <w:r w:rsidRPr="00CF1D1E">
        <w:rPr>
          <w:rFonts w:ascii="Calibri" w:eastAsia="Calibri" w:hAnsi="Calibri" w:cs="Times New Roman"/>
          <w:sz w:val="24"/>
          <w:szCs w:val="24"/>
        </w:rPr>
        <w:t xml:space="preserve"> acid has a –OCH</w:t>
      </w:r>
      <w:r w:rsidRPr="00CF1D1E">
        <w:rPr>
          <w:rFonts w:ascii="Calibri" w:eastAsia="Calibri" w:hAnsi="Calibri" w:cs="Times New Roman"/>
          <w:sz w:val="24"/>
          <w:szCs w:val="24"/>
          <w:vertAlign w:val="subscript"/>
        </w:rPr>
        <w:t>3</w:t>
      </w:r>
      <w:r w:rsidRPr="00CF1D1E">
        <w:rPr>
          <w:rFonts w:ascii="Calibri" w:eastAsia="Calibri" w:hAnsi="Calibri" w:cs="Times New Roman"/>
          <w:sz w:val="24"/>
          <w:szCs w:val="24"/>
        </w:rPr>
        <w:t xml:space="preserve"> at position 3. </w:t>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         </w:t>
      </w:r>
      <w:r w:rsidRPr="00CF1D1E">
        <w:rPr>
          <w:rFonts w:ascii="Calibri" w:eastAsia="Calibri" w:hAnsi="Calibri" w:cs="Times New Roman"/>
          <w:noProof/>
          <w:sz w:val="24"/>
          <w:szCs w:val="24"/>
          <w:lang w:eastAsia="en-GB"/>
        </w:rPr>
        <w:drawing>
          <wp:inline distT="0" distB="0" distL="0" distR="0" wp14:anchorId="0040C2D4" wp14:editId="4F7EEA79">
            <wp:extent cx="1645920" cy="106725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3626" cy="1078732"/>
                    </a:xfrm>
                    <a:prstGeom prst="rect">
                      <a:avLst/>
                    </a:prstGeom>
                    <a:noFill/>
                    <a:ln>
                      <a:noFill/>
                    </a:ln>
                  </pic:spPr>
                </pic:pic>
              </a:graphicData>
            </a:graphic>
          </wp:inline>
        </w:drawing>
      </w:r>
      <w:r w:rsidRPr="00CF1D1E">
        <w:rPr>
          <w:rFonts w:ascii="Calibri" w:eastAsia="Calibri" w:hAnsi="Calibri" w:cs="Times New Roman"/>
          <w:sz w:val="24"/>
          <w:szCs w:val="24"/>
        </w:rPr>
        <w:tab/>
        <w:t xml:space="preserve">        </w:t>
      </w:r>
      <w:r w:rsidRPr="00CF1D1E">
        <w:rPr>
          <w:rFonts w:ascii="Calibri" w:eastAsia="Calibri" w:hAnsi="Calibri" w:cs="Times New Roman"/>
          <w:sz w:val="24"/>
          <w:szCs w:val="24"/>
        </w:rPr>
        <w:tab/>
      </w:r>
      <w:r w:rsidRPr="00CF1D1E">
        <w:rPr>
          <w:rFonts w:ascii="Calibri" w:eastAsia="Calibri" w:hAnsi="Calibri" w:cs="Times New Roman"/>
          <w:sz w:val="24"/>
          <w:szCs w:val="24"/>
        </w:rPr>
        <w:tab/>
        <w:t xml:space="preserve"> </w:t>
      </w:r>
      <w:r w:rsidRPr="00CF1D1E">
        <w:rPr>
          <w:rFonts w:ascii="Calibri" w:eastAsia="Calibri" w:hAnsi="Calibri" w:cs="Times New Roman"/>
          <w:noProof/>
          <w:sz w:val="24"/>
          <w:szCs w:val="24"/>
          <w:lang w:eastAsia="en-GB"/>
        </w:rPr>
        <w:drawing>
          <wp:inline distT="0" distB="0" distL="0" distR="0" wp14:anchorId="52F60B49" wp14:editId="441BC3E4">
            <wp:extent cx="1731264" cy="1013539"/>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67874" cy="1034972"/>
                    </a:xfrm>
                    <a:prstGeom prst="rect">
                      <a:avLst/>
                    </a:prstGeom>
                    <a:noFill/>
                    <a:ln>
                      <a:noFill/>
                    </a:ln>
                  </pic:spPr>
                </pic:pic>
              </a:graphicData>
            </a:graphic>
          </wp:inline>
        </w:drawing>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rPr>
          <w:rFonts w:ascii="Calibri" w:eastAsia="Calibri" w:hAnsi="Calibri" w:cs="Times New Roman"/>
          <w:sz w:val="20"/>
          <w:szCs w:val="20"/>
        </w:rPr>
      </w:pPr>
      <w:r w:rsidRPr="00CF1D1E">
        <w:rPr>
          <w:rFonts w:ascii="Calibri" w:eastAsia="Calibri" w:hAnsi="Calibri" w:cs="Times New Roman"/>
          <w:sz w:val="20"/>
          <w:szCs w:val="20"/>
        </w:rPr>
        <w:t xml:space="preserve">Fig.3 </w:t>
      </w:r>
      <w:proofErr w:type="spellStart"/>
      <w:r w:rsidRPr="00CF1D1E">
        <w:rPr>
          <w:rFonts w:ascii="Calibri" w:eastAsia="Calibri" w:hAnsi="Calibri" w:cs="Times New Roman"/>
          <w:sz w:val="20"/>
          <w:szCs w:val="20"/>
        </w:rPr>
        <w:t>hydroxybenzoic</w:t>
      </w:r>
      <w:proofErr w:type="spellEnd"/>
      <w:r w:rsidRPr="00CF1D1E">
        <w:rPr>
          <w:rFonts w:ascii="Calibri" w:eastAsia="Calibri" w:hAnsi="Calibri" w:cs="Times New Roman"/>
          <w:sz w:val="20"/>
          <w:szCs w:val="20"/>
        </w:rPr>
        <w:t xml:space="preserve"> acid</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 xml:space="preserve">Fig.4 </w:t>
      </w:r>
      <w:proofErr w:type="spellStart"/>
      <w:r w:rsidRPr="00CF1D1E">
        <w:rPr>
          <w:rFonts w:ascii="Calibri" w:eastAsia="Calibri" w:hAnsi="Calibri" w:cs="Times New Roman"/>
          <w:sz w:val="20"/>
          <w:szCs w:val="20"/>
        </w:rPr>
        <w:t>hydroxycinnamic</w:t>
      </w:r>
      <w:proofErr w:type="spellEnd"/>
      <w:r w:rsidRPr="00CF1D1E">
        <w:rPr>
          <w:rFonts w:ascii="Calibri" w:eastAsia="Calibri" w:hAnsi="Calibri" w:cs="Times New Roman"/>
          <w:sz w:val="20"/>
          <w:szCs w:val="20"/>
        </w:rPr>
        <w:t xml:space="preserve"> acid</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 xml:space="preserve">Although this is the case for terrestrial plant polyphenols, seaweeds (macroalgae) and other algae derive their polyphenols (phlorotannins) from 1,3,5 –trihydroxybenzene units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{"citationItems":[{"id":"ITEM-1","itemData":{"author":[{"dropping-particle":"","family":"Burtin","given":"Patricia","non-dropping-particle":"","parse-names":false,"suffix":""}],"id":"ITEM-1","issued":{"date-parts":[["2003"]]},"page":"498-503","title":"ISSN : 1579-4377 NUTRITIONAL VALUE OF SEAWEEDS","type":"article-journal"},"uris":["http://www.mendeley.com/documents/?uuid=13b73269-c2cb-4e4a-9e49-25e786955015"]}],"mendeley":{"formattedCitation":"(Burtin, 2003)","plainTextFormattedCitation":"(Burtin, 2003)","previouslyFormattedCitation":"(Burtin, 2003)"},"properties":{"noteIndex":0},"schema":"https://github.com/citation-style-language/schema/raw/master/csl-citation.json"}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(Burtin, 2003)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Proanthocyanidins are also known as condensed tannins. They consist of catechin monomers linked by C-4 and C-8 (or C-6). Procyanidins are the most abundant proanthocyanidins containing only catechin and epicatechin monomers. Procyanidin B1 is an example of the B-type procyanidins, with epicatechin and catechin being linked via an </w:t>
      </w:r>
      <w:proofErr w:type="spellStart"/>
      <w:r w:rsidRPr="00CF1D1E">
        <w:rPr>
          <w:rFonts w:ascii="Calibri" w:eastAsia="Calibri" w:hAnsi="Calibri" w:cs="Times New Roman"/>
          <w:sz w:val="24"/>
          <w:szCs w:val="24"/>
        </w:rPr>
        <w:t>interflavan</w:t>
      </w:r>
      <w:proofErr w:type="spellEnd"/>
      <w:r w:rsidRPr="00CF1D1E">
        <w:rPr>
          <w:rFonts w:ascii="Calibri" w:eastAsia="Calibri" w:hAnsi="Calibri" w:cs="Times New Roman"/>
          <w:sz w:val="24"/>
          <w:szCs w:val="24"/>
        </w:rPr>
        <w:t xml:space="preserve"> carbon bond between C-4 and C-8. Proanthocyanidins are colourless precursors of the anthocyanidins. Hydrolysable tannins consisting of a central core of glucose esterified with gallic acid (</w:t>
      </w:r>
      <w:proofErr w:type="spellStart"/>
      <w:r w:rsidRPr="00CF1D1E">
        <w:rPr>
          <w:rFonts w:ascii="Calibri" w:eastAsia="Calibri" w:hAnsi="Calibri" w:cs="Times New Roman"/>
          <w:sz w:val="24"/>
          <w:szCs w:val="24"/>
        </w:rPr>
        <w:t>gallotannins</w:t>
      </w:r>
      <w:proofErr w:type="spellEnd"/>
      <w:r w:rsidRPr="00CF1D1E">
        <w:rPr>
          <w:rFonts w:ascii="Calibri" w:eastAsia="Calibri" w:hAnsi="Calibri" w:cs="Times New Roman"/>
          <w:sz w:val="24"/>
          <w:szCs w:val="24"/>
        </w:rPr>
        <w:t xml:space="preserve">) or with </w:t>
      </w:r>
      <w:proofErr w:type="spellStart"/>
      <w:r w:rsidRPr="00CF1D1E">
        <w:rPr>
          <w:rFonts w:ascii="Calibri" w:eastAsia="Calibri" w:hAnsi="Calibri" w:cs="Times New Roman"/>
          <w:sz w:val="24"/>
          <w:szCs w:val="24"/>
        </w:rPr>
        <w:t>hexahydroxydiphenoic</w:t>
      </w:r>
      <w:proofErr w:type="spellEnd"/>
      <w:r w:rsidRPr="00CF1D1E">
        <w:rPr>
          <w:rFonts w:ascii="Calibri" w:eastAsia="Calibri" w:hAnsi="Calibri" w:cs="Times New Roman"/>
          <w:sz w:val="24"/>
          <w:szCs w:val="24"/>
        </w:rPr>
        <w:t xml:space="preserve"> acid (</w:t>
      </w:r>
      <w:proofErr w:type="spellStart"/>
      <w:r w:rsidRPr="00CF1D1E">
        <w:rPr>
          <w:rFonts w:ascii="Calibri" w:eastAsia="Calibri" w:hAnsi="Calibri" w:cs="Times New Roman"/>
          <w:sz w:val="24"/>
          <w:szCs w:val="24"/>
        </w:rPr>
        <w:t>ellagitannins</w:t>
      </w:r>
      <w:proofErr w:type="spellEnd"/>
      <w:r w:rsidRPr="00CF1D1E">
        <w:rPr>
          <w:rFonts w:ascii="Calibri" w:eastAsia="Calibri" w:hAnsi="Calibri" w:cs="Times New Roman"/>
          <w:sz w:val="24"/>
          <w:szCs w:val="24"/>
        </w:rPr>
        <w:t xml:space="preserve">). Lignans (Fig.5) are polyphenols containing two </w:t>
      </w:r>
      <w:proofErr w:type="spellStart"/>
      <w:r w:rsidRPr="00CF1D1E">
        <w:rPr>
          <w:rFonts w:ascii="Calibri" w:eastAsia="Calibri" w:hAnsi="Calibri" w:cs="Times New Roman"/>
          <w:sz w:val="24"/>
          <w:szCs w:val="24"/>
        </w:rPr>
        <w:t>phenylpropane</w:t>
      </w:r>
      <w:proofErr w:type="spellEnd"/>
      <w:r w:rsidRPr="00CF1D1E">
        <w:rPr>
          <w:rFonts w:ascii="Calibri" w:eastAsia="Calibri" w:hAnsi="Calibri" w:cs="Times New Roman"/>
          <w:sz w:val="24"/>
          <w:szCs w:val="24"/>
        </w:rPr>
        <w:t xml:space="preserve"> units and are present in food at low concentrations. Major sources include linseed and sesame.</w:t>
      </w:r>
    </w:p>
    <w:p w:rsidR="00CF1D1E" w:rsidRPr="00CF1D1E" w:rsidRDefault="00CF1D1E" w:rsidP="00CF1D1E">
      <w:pPr>
        <w:spacing w:line="360" w:lineRule="auto"/>
        <w:ind w:firstLine="720"/>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7836C988" wp14:editId="68DE6016">
            <wp:extent cx="1331259" cy="1083185"/>
            <wp:effectExtent l="0" t="0" r="254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45254" cy="1094572"/>
                    </a:xfrm>
                    <a:prstGeom prst="rect">
                      <a:avLst/>
                    </a:prstGeom>
                    <a:noFill/>
                    <a:ln>
                      <a:noFill/>
                    </a:ln>
                  </pic:spPr>
                </pic:pic>
              </a:graphicData>
            </a:graphic>
          </wp:inline>
        </w:drawing>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tab/>
        <w:t xml:space="preserve">   </w:t>
      </w:r>
      <w:r w:rsidRPr="00CF1D1E">
        <w:rPr>
          <w:rFonts w:ascii="Calibri" w:eastAsia="Calibri" w:hAnsi="Calibri" w:cs="Times New Roman"/>
          <w:noProof/>
          <w:sz w:val="24"/>
          <w:szCs w:val="24"/>
          <w:lang w:eastAsia="en-GB"/>
        </w:rPr>
        <w:drawing>
          <wp:inline distT="0" distB="0" distL="0" distR="0" wp14:anchorId="36192B99" wp14:editId="7EAA4CDE">
            <wp:extent cx="1021976" cy="814696"/>
            <wp:effectExtent l="0" t="0" r="6985" b="508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39746" cy="828862"/>
                    </a:xfrm>
                    <a:prstGeom prst="rect">
                      <a:avLst/>
                    </a:prstGeom>
                    <a:noFill/>
                    <a:ln>
                      <a:noFill/>
                    </a:ln>
                  </pic:spPr>
                </pic:pic>
              </a:graphicData>
            </a:graphic>
          </wp:inline>
        </w:drawing>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tab/>
        <w:t xml:space="preserve"> </w:t>
      </w:r>
      <w:r w:rsidRPr="00CF1D1E">
        <w:rPr>
          <w:rFonts w:ascii="Calibri" w:eastAsia="Calibri" w:hAnsi="Calibri" w:cs="Times New Roman"/>
          <w:sz w:val="24"/>
          <w:szCs w:val="24"/>
        </w:rPr>
        <w:tab/>
        <w:t xml:space="preserve">  </w:t>
      </w:r>
      <w:r w:rsidRPr="00CF1D1E">
        <w:rPr>
          <w:rFonts w:ascii="Calibri" w:eastAsia="Calibri" w:hAnsi="Calibri" w:cs="Times New Roman"/>
          <w:noProof/>
          <w:sz w:val="24"/>
          <w:szCs w:val="24"/>
          <w:lang w:eastAsia="en-GB"/>
        </w:rPr>
        <w:drawing>
          <wp:inline distT="0" distB="0" distL="0" distR="0" wp14:anchorId="6653DB01" wp14:editId="3A05A708">
            <wp:extent cx="1417221" cy="806823"/>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V="1">
                      <a:off x="0" y="0"/>
                      <a:ext cx="1509749" cy="859499"/>
                    </a:xfrm>
                    <a:prstGeom prst="rect">
                      <a:avLst/>
                    </a:prstGeom>
                    <a:noFill/>
                    <a:ln>
                      <a:noFill/>
                    </a:ln>
                  </pic:spPr>
                </pic:pic>
              </a:graphicData>
            </a:graphic>
          </wp:inline>
        </w:drawing>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ab/>
      </w:r>
      <w:r w:rsidRPr="00CF1D1E">
        <w:rPr>
          <w:rFonts w:ascii="Calibri" w:eastAsia="Calibri" w:hAnsi="Calibri" w:cs="Times New Roman"/>
          <w:sz w:val="24"/>
          <w:szCs w:val="24"/>
        </w:rPr>
        <w:tab/>
      </w:r>
      <w:proofErr w:type="gramStart"/>
      <w:r w:rsidRPr="00CF1D1E">
        <w:rPr>
          <w:rFonts w:ascii="Calibri" w:eastAsia="Calibri" w:hAnsi="Calibri" w:cs="Times New Roman"/>
          <w:sz w:val="24"/>
          <w:szCs w:val="24"/>
        </w:rPr>
        <w:t>a</w:t>
      </w:r>
      <w:proofErr w:type="gramEnd"/>
      <w:r w:rsidRPr="00CF1D1E">
        <w:rPr>
          <w:rFonts w:ascii="Calibri" w:eastAsia="Calibri" w:hAnsi="Calibri" w:cs="Times New Roman"/>
          <w:sz w:val="24"/>
          <w:szCs w:val="24"/>
        </w:rPr>
        <w:t>,</w:t>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t>b,</w:t>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t>c,</w:t>
      </w:r>
    </w:p>
    <w:p w:rsidR="00CF1D1E" w:rsidRPr="00CF1D1E" w:rsidRDefault="00380DFC" w:rsidP="00CF1D1E">
      <w:pPr>
        <w:spacing w:line="360" w:lineRule="auto"/>
        <w:rPr>
          <w:rFonts w:ascii="Calibri" w:eastAsia="Calibri" w:hAnsi="Calibri" w:cs="Times New Roman"/>
          <w:sz w:val="20"/>
          <w:szCs w:val="20"/>
        </w:rPr>
      </w:pPr>
      <w:r>
        <w:rPr>
          <w:rFonts w:ascii="Calibri" w:eastAsia="Calibri" w:hAnsi="Calibri" w:cs="Times New Roman"/>
          <w:sz w:val="20"/>
          <w:szCs w:val="20"/>
        </w:rPr>
        <w:t xml:space="preserve">Fig.5 </w:t>
      </w:r>
      <w:proofErr w:type="gramStart"/>
      <w:r w:rsidR="00CF1D1E" w:rsidRPr="00CF1D1E">
        <w:rPr>
          <w:rFonts w:ascii="Calibri" w:eastAsia="Calibri" w:hAnsi="Calibri" w:cs="Times New Roman"/>
          <w:sz w:val="20"/>
          <w:szCs w:val="20"/>
        </w:rPr>
        <w:t>The</w:t>
      </w:r>
      <w:proofErr w:type="gramEnd"/>
      <w:r w:rsidR="00CF1D1E" w:rsidRPr="00CF1D1E">
        <w:rPr>
          <w:rFonts w:ascii="Calibri" w:eastAsia="Calibri" w:hAnsi="Calibri" w:cs="Times New Roman"/>
          <w:sz w:val="20"/>
          <w:szCs w:val="20"/>
        </w:rPr>
        <w:t xml:space="preserve"> molecular structures of (</w:t>
      </w:r>
      <w:r w:rsidR="00CF1D1E" w:rsidRPr="00CF1D1E">
        <w:rPr>
          <w:rFonts w:ascii="Calibri" w:eastAsia="Calibri" w:hAnsi="Calibri" w:cs="Times New Roman"/>
          <w:b/>
          <w:sz w:val="20"/>
          <w:szCs w:val="20"/>
        </w:rPr>
        <w:t>a</w:t>
      </w:r>
      <w:r w:rsidR="00CF1D1E" w:rsidRPr="00CF1D1E">
        <w:rPr>
          <w:rFonts w:ascii="Calibri" w:eastAsia="Calibri" w:hAnsi="Calibri" w:cs="Times New Roman"/>
          <w:sz w:val="20"/>
          <w:szCs w:val="20"/>
        </w:rPr>
        <w:t>) tannins, (</w:t>
      </w:r>
      <w:r w:rsidR="00CF1D1E" w:rsidRPr="00CF1D1E">
        <w:rPr>
          <w:rFonts w:ascii="Calibri" w:eastAsia="Calibri" w:hAnsi="Calibri" w:cs="Times New Roman"/>
          <w:b/>
          <w:sz w:val="20"/>
          <w:szCs w:val="20"/>
        </w:rPr>
        <w:t>b</w:t>
      </w:r>
      <w:r w:rsidR="00CF1D1E" w:rsidRPr="00CF1D1E">
        <w:rPr>
          <w:rFonts w:ascii="Calibri" w:eastAsia="Calibri" w:hAnsi="Calibri" w:cs="Times New Roman"/>
          <w:sz w:val="20"/>
          <w:szCs w:val="20"/>
        </w:rPr>
        <w:t>) lignans and (</w:t>
      </w:r>
      <w:r w:rsidR="00CF1D1E" w:rsidRPr="00CF1D1E">
        <w:rPr>
          <w:rFonts w:ascii="Calibri" w:eastAsia="Calibri" w:hAnsi="Calibri" w:cs="Times New Roman"/>
          <w:b/>
          <w:sz w:val="20"/>
          <w:szCs w:val="20"/>
        </w:rPr>
        <w:t>c</w:t>
      </w:r>
      <w:r w:rsidR="00CF1D1E" w:rsidRPr="00CF1D1E">
        <w:rPr>
          <w:rFonts w:ascii="Calibri" w:eastAsia="Calibri" w:hAnsi="Calibri" w:cs="Times New Roman"/>
          <w:sz w:val="20"/>
          <w:szCs w:val="20"/>
        </w:rPr>
        <w:t>) stilbenes.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Stilbenes (Fig.5) and stilbenoids (hydroxylated derivatives of stilbenes) are another group of polyphenols which are present in low concentrations in typical human nutrition. The </w:t>
      </w:r>
      <w:r w:rsidRPr="00CF1D1E">
        <w:rPr>
          <w:rFonts w:ascii="Calibri" w:eastAsia="Calibri" w:hAnsi="Calibri" w:cs="Times New Roman"/>
          <w:sz w:val="24"/>
          <w:szCs w:val="24"/>
        </w:rPr>
        <w:lastRenderedPageBreak/>
        <w:t>most prominent example is resveratrol which is well known for its presence in red wine and connection with the so called "French paradox"</w:t>
      </w:r>
      <w:r w:rsidRPr="00CF1D1E">
        <w:rPr>
          <w:rFonts w:ascii="Calibri" w:eastAsia="Calibri" w:hAnsi="Calibri" w:cs="Times New Roman"/>
          <w:sz w:val="24"/>
          <w:szCs w:val="24"/>
        </w:rPr>
        <w:fldChar w:fldCharType="begin" w:fldLock="1"/>
      </w:r>
      <w:r w:rsidR="00820C01">
        <w:rPr>
          <w:rFonts w:ascii="Calibri" w:eastAsia="Calibri" w:hAnsi="Calibri" w:cs="Times New Roman"/>
          <w:sz w:val="24"/>
          <w:szCs w:val="24"/>
        </w:rPr>
        <w:instrText>ADDIN CSL_CITATION {"citationItems":[{"id":"ITEM-1","itemData":{"author":[{"dropping-particle":"","family":"Jang","given":"Meishiang","non-dropping-particle":"","parse-names":false,"suffix":""},{"dropping-particle":"","family":"Cai","given":"Lining","non-dropping-particle":"","parse-names":false,"suffix":""}],"container-title":"Cell Biol. Cell Motil. Cy-toskeleton Eur. J. Cell Biol. Cell J. Cell Sci. Eur. J. Cell Biol","id":"ITEM-1","issue":"30","issued":{"date-parts":[["1989"]]},"page":"2761-149","title":"Cancer Chemopreventive Activity of Resveratrol, a Natural Product Derived from Grapes","type":"article-journal","volume":"109"},"uris":["http://www.mendeley.com/documents/?uuid=5783c228-4fc5-3794-977a-b79b94db503f"]},{"id":"ITEM-2","itemData":{"author":[{"dropping-particle":"","family":"Rizvi","given":"Kanti Bhooshan Pandey and Syed Ibrahim","non-dropping-particle":"","parse-names":false,"suffix":""}],"container-title":"Oxidative Medicine and Cellular Longevity","id":"ITEM-2","issued":{"date-parts":[["2009"]]},"page":"270-278","title":"Plant polyphenols as dietary antioxidants in human health and disease","type":"article-journal","volume":"25"},"uris":["http://www.mendeley.com/documents/?uuid=5e059057-03e4-3093-947d-df298f386d66"]}],"mendeley":{"formattedCitation":"(Jang &amp; Cai, 1989; Rizvi, 2009)","plainTextFormattedCitation":"(Jang &amp; Cai, 1989; Rizvi, 2009)","previouslyFormattedCitation":"(Jang &amp; Cai, 1989; Rizvi,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(Jang &amp; Cai, 1989; Rizvi,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In most countries the high intake of saturated fat correlates positively with high mortality from coronary heart disease. The situation in France is paradoxical in that there is high intake of saturated fat but low mortality from coronary heart disease. Components of red wine are thought to be provide a protection factor and are thought to be significant in this observed paradox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{"citationItems":[{"id":"ITEM-1","itemData":{"DOI":"10.1016/0140-6736(92)91277-F","ISSN":"0140-6736","abstract":"In most countries, high intake of saturated fat is positively related to high mortality from coronary heart disease (CHD). However, the situation in France is paradoxical in that there is high intake of saturated fat but low mortality from CHD. This paradox may be attributable in part to high wine consumption. Epidemiological studies indicate that consumption of alcohol at the level of intake in France (20-30 g per day) can reduce risk of CH D by at least 40%. Alcohol is believed to protect from CH D by preventing atherosclerosis through the action of high-density-lipoprotein cholesterol, but serum concentrations of this factor are no higher in France than in other countries. Re-examination of previous results suggests that, in the main, moderate alcohol intake does not prevent CHD through an effect on atherosclerosis, but rather through a haemostatic mechanism. Data from Caerphilly, Wales, show that platelet aggregation, which is related to CHD, is inhibited significantly by alcohol at levels of intake associated with reduced risk of CHD. Inhibition of platelet reactivity by wine (alcohol) may be one explanation for protection from CHD in France, since pilot studies have shown that platelet reactivity is lower in France than in Scotland.","author":[{"dropping-particle":"","family":"Renaud","given":"S.","non-dropping-particle":"","parse-names":false,"suffix":""},{"dropping-particle":"","family":"Lorgeril","given":"M.","non-dropping-particle":"de","parse-names":false,"suffix":""}],"container-title":"The Lancet","id":"ITEM-1","issue":"8808","issued":{"date-parts":[["1992","6","20"]]},"page":"1523-1526","publisher":"Elsevier","title":"Wine, alcohol, platelets, and the French paradox for coronary heart disease","type":"article-journal","volume":"339"},"uris":["http://www.mendeley.com/documents/?uuid=6fb9acc3-a3b0-3002-9cd7-6447d3720244"]}],"mendeley":{"formattedCitation":"(Renaud &amp; de Lorgeril, 1992)","plainTextFormattedCitation":"(Renaud &amp; de Lorgeril, 1992)","previouslyFormattedCitation":"(Renaud &amp; de Lorgeril, 1992)"},"properties":{"noteIndex":0},"schema":"https://github.com/citation-style-language/schema/raw/master/csl-citation.json"}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(Renaud &amp; de Lorgeril, 1992)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rPr>
          <w:rFonts w:ascii="Calibri" w:eastAsia="Calibri" w:hAnsi="Calibri" w:cs="Times New Roman"/>
          <w:sz w:val="23"/>
          <w:szCs w:val="23"/>
        </w:rPr>
      </w:pPr>
      <w:r w:rsidRPr="00CF1D1E">
        <w:rPr>
          <w:rFonts w:ascii="Calibri" w:eastAsia="Calibri" w:hAnsi="Calibri" w:cs="Times New Roman"/>
          <w:sz w:val="23"/>
          <w:szCs w:val="23"/>
        </w:rPr>
        <w:br w:type="page"/>
      </w:r>
    </w:p>
    <w:p w:rsidR="00CF1D1E" w:rsidRPr="00CF1D1E" w:rsidRDefault="00CF1D1E" w:rsidP="00CF1D1E">
      <w:pPr>
        <w:numPr>
          <w:ilvl w:val="1"/>
          <w:numId w:val="2"/>
        </w:numPr>
        <w:spacing w:line="360" w:lineRule="auto"/>
        <w:contextualSpacing/>
        <w:rPr>
          <w:rFonts w:ascii="Calibri" w:eastAsia="Calibri" w:hAnsi="Calibri" w:cs="Times New Roman"/>
          <w:b/>
          <w:bCs/>
          <w:sz w:val="44"/>
          <w:szCs w:val="44"/>
        </w:rPr>
      </w:pPr>
      <w:r w:rsidRPr="00CF1D1E">
        <w:rPr>
          <w:rFonts w:ascii="Calibri" w:eastAsia="Calibri" w:hAnsi="Calibri" w:cs="Times New Roman"/>
          <w:b/>
          <w:bCs/>
          <w:sz w:val="44"/>
          <w:szCs w:val="44"/>
        </w:rPr>
        <w:lastRenderedPageBreak/>
        <w:t>Methods &amp; Rationale</w:t>
      </w:r>
    </w:p>
    <w:p w:rsidR="00CF1D1E" w:rsidRPr="00CF1D1E" w:rsidRDefault="00CF1D1E" w:rsidP="00CF1D1E">
      <w:pPr>
        <w:spacing w:line="360" w:lineRule="auto"/>
        <w:rPr>
          <w:rFonts w:ascii="Calibri" w:eastAsia="Calibri" w:hAnsi="Calibri" w:cs="Times New Roman"/>
          <w:sz w:val="23"/>
          <w:szCs w:val="23"/>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Ethanol</w:t>
      </w:r>
      <w:r w:rsidR="000F0053">
        <w:rPr>
          <w:rFonts w:ascii="Calibri" w:eastAsia="Calibri" w:hAnsi="Calibri" w:cs="Times New Roman"/>
          <w:sz w:val="24"/>
          <w:szCs w:val="24"/>
        </w:rPr>
        <w:t xml:space="preserve"> was chosen for sample extraction as</w:t>
      </w:r>
      <w:r w:rsidRPr="00CF1D1E">
        <w:rPr>
          <w:rFonts w:ascii="Calibri" w:eastAsia="Calibri" w:hAnsi="Calibri" w:cs="Times New Roman"/>
          <w:sz w:val="24"/>
          <w:szCs w:val="24"/>
        </w:rPr>
        <w:t xml:space="preserve"> </w:t>
      </w:r>
      <w:r w:rsidR="000F0053">
        <w:rPr>
          <w:rFonts w:ascii="Calibri" w:eastAsia="Calibri" w:hAnsi="Calibri" w:cs="Times New Roman"/>
          <w:sz w:val="24"/>
          <w:szCs w:val="24"/>
        </w:rPr>
        <w:t xml:space="preserve">it </w:t>
      </w:r>
      <w:r w:rsidRPr="00CF1D1E">
        <w:rPr>
          <w:rFonts w:ascii="Calibri" w:eastAsia="Calibri" w:hAnsi="Calibri" w:cs="Times New Roman"/>
          <w:sz w:val="24"/>
          <w:szCs w:val="24"/>
        </w:rPr>
        <w:t xml:space="preserve">is a food friendly solvent which also is known to efficiently extract the compounds of interest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{"citationItems":[{"id":"ITEM-1","itemData":{"DOI":"10.1002/jssc.201400853","ISSN":"16159314","PMID":"25280343","abstract":"A rapid and sensitive ultra high performance liquid chromatography electrospray ionization tandem mass spectrometry method was developed and validated for the simultaneous determination of 13 flavonoids in leaf, stem, and fruit extracts of male and female trees of Ginkgo biloba to investigate gender- and age-related variations of flavonoids content. Chromatographic separation was accomplished on an Acquity UPLC BEH C18 column (50 mm × 2.1 mm id, 1.7 μm) in 5 min. Quantitation was performed using negative electrospray ionization mass spectrometry in multiple reaction monitoring mode. The calibration curves of all analytes showed a good linear relationship (r(2) ≥ 0.9977) over the concentration range of 1-1000 ng/mL. The precision evaluated by an intra- and interday study showed RSD ≤ 1.98% and good accuracy with overall recovery in the range from 97.90 to 101.09% (RSD ≤ 1.67%) for all analytes. The method sensitivity expressed as the limit of quantitation was typically 0.25-3.57 ng/mL. The results showed that the total content of 13 flavonoids was higher in the leaf extract of an old male Ginkgo tree compared to young female Ginkgo trees.","author":[{"dropping-particle":"","family":"Pandey","given":"Renu","non-dropping-particle":"","parse-names":false,"suffix":""},{"dropping-particle":"","family":"Chandra","given":"Preeti","non-dropping-particle":"","parse-names":false,"suffix":""},{"dropping-particle":"","family":"Arya","given":"Kamal Ram","non-dropping-particle":"","parse-names":false,"suffix":""},{"dropping-particle":"","family":"Kumar","given":"Brijesh","non-dropping-particle":"","parse-names":false,"suffix":""}],"container-title":"Journal of Separation Science","id":"ITEM-1","issue":"24","issued":{"date-parts":[["2014"]]},"page":"3610-3618","title":"Development and validation of an ultra high performance liquid chromatography electrospray ionization tandem mass spectrometry method for the simultaneous determination of selected flavonoids in Ginkgo biloba","type":"article-journal","volume":"37"},"uris":["http://www.mendeley.com/documents/?uuid=630c9e52-66c6-4f9b-9edb-395d77befaa6"]}],"mendeley":{"formattedCitation":"(Pandey, Chandra, Arya, &amp; Kumar, 2014)","plainTextFormattedCitation":"(Pandey, Chandra, Arya, &amp; Kumar, 2014)","previouslyFormattedCitation":"(Pandey, Chandra, Arya, &amp; Kumar,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(Pandey, Chandra, Arya, &amp; Kumar,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methods described by Pandey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were also used as a loose guide during the development of the extraction method. </w:t>
      </w:r>
      <w:r w:rsidR="000F0053">
        <w:rPr>
          <w:rFonts w:ascii="Calibri" w:eastAsia="Calibri" w:hAnsi="Calibri" w:cs="Times New Roman"/>
          <w:sz w:val="24"/>
          <w:szCs w:val="24"/>
        </w:rPr>
        <w:t xml:space="preserve">Using </w:t>
      </w:r>
      <w:r w:rsidRPr="00CF1D1E">
        <w:rPr>
          <w:rFonts w:ascii="Calibri" w:eastAsia="Calibri" w:hAnsi="Calibri" w:cs="Times New Roman"/>
          <w:sz w:val="24"/>
          <w:szCs w:val="24"/>
        </w:rPr>
        <w:t xml:space="preserve">an extraction technique based on a food friendly solvent would </w:t>
      </w:r>
      <w:r w:rsidR="000F0053">
        <w:rPr>
          <w:rFonts w:ascii="Calibri" w:eastAsia="Calibri" w:hAnsi="Calibri" w:cs="Times New Roman"/>
          <w:sz w:val="24"/>
          <w:szCs w:val="24"/>
        </w:rPr>
        <w:t>be more</w:t>
      </w:r>
      <w:r w:rsidRPr="00CF1D1E">
        <w:rPr>
          <w:rFonts w:ascii="Calibri" w:eastAsia="Calibri" w:hAnsi="Calibri" w:cs="Times New Roman"/>
          <w:sz w:val="24"/>
          <w:szCs w:val="24"/>
        </w:rPr>
        <w:t xml:space="preserve"> </w:t>
      </w:r>
      <w:r w:rsidR="000F0053">
        <w:rPr>
          <w:rFonts w:ascii="Calibri" w:eastAsia="Calibri" w:hAnsi="Calibri" w:cs="Times New Roman"/>
          <w:sz w:val="24"/>
          <w:szCs w:val="24"/>
        </w:rPr>
        <w:t xml:space="preserve">suited to a product with a possible commercial </w:t>
      </w:r>
      <w:r w:rsidRPr="00CF1D1E">
        <w:rPr>
          <w:rFonts w:ascii="Calibri" w:eastAsia="Calibri" w:hAnsi="Calibri" w:cs="Times New Roman"/>
          <w:sz w:val="24"/>
          <w:szCs w:val="24"/>
        </w:rPr>
        <w:t>future</w:t>
      </w:r>
      <w:r w:rsidR="000F0053">
        <w:rPr>
          <w:rFonts w:ascii="Calibri" w:eastAsia="Calibri" w:hAnsi="Calibri" w:cs="Times New Roman"/>
          <w:sz w:val="24"/>
          <w:szCs w:val="24"/>
        </w:rPr>
        <w:t xml:space="preserve"> as a nutritional supplement.</w:t>
      </w:r>
      <w:r w:rsidRPr="00CF1D1E">
        <w:rPr>
          <w:rFonts w:ascii="Calibri" w:eastAsia="Calibri" w:hAnsi="Calibri" w:cs="Times New Roman"/>
          <w:sz w:val="24"/>
          <w:szCs w:val="24"/>
        </w:rPr>
        <w:t xml:space="preserve"> This choice was further backed up by an article on the extraction of flavonoids from the Chinese tree </w:t>
      </w:r>
      <w:r w:rsidRPr="00CF1D1E">
        <w:rPr>
          <w:rFonts w:ascii="Calibri" w:eastAsia="Calibri" w:hAnsi="Calibri" w:cs="Times New Roman"/>
          <w:i/>
          <w:sz w:val="24"/>
          <w:szCs w:val="24"/>
        </w:rPr>
        <w:t xml:space="preserve">Ginkgo </w:t>
      </w:r>
      <w:proofErr w:type="spellStart"/>
      <w:r w:rsidRPr="00CF1D1E">
        <w:rPr>
          <w:rFonts w:ascii="Calibri" w:eastAsia="Calibri" w:hAnsi="Calibri" w:cs="Times New Roman"/>
          <w:i/>
          <w:sz w:val="24"/>
          <w:szCs w:val="24"/>
        </w:rPr>
        <w:t>bilboa</w:t>
      </w:r>
      <w:proofErr w:type="spellEnd"/>
      <w:r w:rsidRPr="00CF1D1E">
        <w:rPr>
          <w:rFonts w:ascii="Calibri" w:eastAsia="Calibri" w:hAnsi="Calibri" w:cs="Times New Roman"/>
          <w:i/>
          <w:sz w:val="24"/>
          <w:szCs w:val="24"/>
        </w:rPr>
        <w:t xml:space="preserve">  </w:t>
      </w:r>
      <w:r w:rsidRPr="00CF1D1E">
        <w:rPr>
          <w:rFonts w:ascii="Calibri" w:eastAsia="Calibri" w:hAnsi="Calibri" w:cs="Times New Roman"/>
          <w:i/>
          <w:sz w:val="24"/>
          <w:szCs w:val="24"/>
        </w:rPr>
        <w:fldChar w:fldCharType="begin" w:fldLock="1"/>
      </w:r>
      <w:r w:rsidR="00595237">
        <w:rPr>
          <w:rFonts w:ascii="Calibri" w:eastAsia="Calibri" w:hAnsi="Calibri" w:cs="Times New Roman"/>
          <w:i/>
          <w:sz w:val="24"/>
          <w:szCs w:val="24"/>
        </w:rPr>
        <w:instrText>ADDIN CSL_CITATION {"citationItems":[{"id":"ITEM-1","itemData":{"DOI":"10.1002/jssc.201400853","ISSN":"16159314","PMID":"25280343","abstract":"A rapid and sensitive ultra high performance liquid chromatography electrospray ionization tandem mass spectrometry method was developed and validated for the simultaneous determination of 13 flavonoids in leaf, stem, and fruit extracts of male and female trees of Ginkgo biloba to investigate gender- and age-related variations of flavonoids content. Chromatographic separation was accomplished on an Acquity UPLC BEH C18 column (50 mm × 2.1 mm id, 1.7 μm) in 5 min. Quantitation was performed using negative electrospray ionization mass spectrometry in multiple reaction monitoring mode. The calibration curves of all analytes showed a good linear relationship (r(2) ≥ 0.9977) over the concentration range of 1-1000 ng/mL. The precision evaluated by an intra- and interday study showed RSD ≤ 1.98% and good accuracy with overall recovery in the range from 97.90 to 101.09% (RSD ≤ 1.67%) for all analytes. The method sensitivity expressed as the limit of quantitation was typically 0.25-3.57 ng/mL. The results showed that the total content of 13 flavonoids was higher in the leaf extract of an old male Ginkgo tree compared to young female Ginkgo trees.","author":[{"dropping-particle":"","family":"Pandey","given":"Renu","non-dropping-particle":"","parse-names":false,"suffix":""},{"dropping-particle":"","family":"Chandra","given":"Preeti","non-dropping-particle":"","parse-names":false,"suffix":""},{"dropping-particle":"","family":"Arya","given":"Kamal Ram","non-dropping-particle":"","parse-names":false,"suffix":""},{"dropping-particle":"","family":"Kumar","given":"Brijesh","non-dropping-particle":"","parse-names":false,"suffix":""}],"container-title":"Journal of Separation Science","id":"ITEM-1","issue":"24","issued":{"date-parts":[["2014"]]},"page":"3610-3618","title":"Development and validation of an ultra high performance liquid chromatography electrospray ionization tandem mass spectrometry method for the simultaneous determination of selected flavonoids in Ginkgo biloba","type":"article-journal","volume":"37"},"uris":["http://www.mendeley.com/documents/?uuid=630c9e52-66c6-4f9b-9edb-395d77befaa6"]}],"mendeley":{"formattedCitation":"(Pandey et al., 2014)","plainTextFormattedCitation":"(Pandey et al., 2014)","previouslyFormattedCitation":"(Pandey et al., 2014)"},"properties":{"noteIndex":0},"schema":"https://github.com/citation-style-language/schema/raw/master/csl-citation.json"}</w:instrText>
      </w:r>
      <w:r w:rsidRPr="00CF1D1E">
        <w:rPr>
          <w:rFonts w:ascii="Calibri" w:eastAsia="Calibri" w:hAnsi="Calibri" w:cs="Times New Roman"/>
          <w:i/>
          <w:sz w:val="24"/>
          <w:szCs w:val="24"/>
        </w:rPr>
        <w:fldChar w:fldCharType="separate"/>
      </w:r>
      <w:r w:rsidR="00941740" w:rsidRPr="00941740">
        <w:rPr>
          <w:rFonts w:ascii="Calibri" w:eastAsia="Calibri" w:hAnsi="Calibri" w:cs="Times New Roman"/>
          <w:noProof/>
          <w:sz w:val="24"/>
          <w:szCs w:val="24"/>
        </w:rPr>
        <w:t xml:space="preserve">(Pandey </w:t>
      </w:r>
      <w:r w:rsidR="00941740" w:rsidRPr="00C2398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2014)</w:t>
      </w:r>
      <w:r w:rsidRPr="00CF1D1E">
        <w:rPr>
          <w:rFonts w:ascii="Calibri" w:eastAsia="Calibri" w:hAnsi="Calibri" w:cs="Times New Roman"/>
          <w:i/>
          <w:sz w:val="24"/>
          <w:szCs w:val="24"/>
        </w:rPr>
        <w:fldChar w:fldCharType="end"/>
      </w:r>
      <w:r w:rsidRPr="00CF1D1E">
        <w:rPr>
          <w:rFonts w:ascii="Calibri" w:eastAsia="Calibri" w:hAnsi="Calibri" w:cs="Times New Roman"/>
          <w:sz w:val="24"/>
          <w:szCs w:val="24"/>
        </w:rPr>
        <w:t>.</w:t>
      </w:r>
    </w:p>
    <w:p w:rsidR="00CF1D1E" w:rsidRPr="00CF1D1E" w:rsidRDefault="00595259"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Ground work for the</w:t>
      </w:r>
      <w:r w:rsidR="00CF1D1E" w:rsidRPr="00CF1D1E">
        <w:rPr>
          <w:rFonts w:ascii="Calibri" w:eastAsia="Calibri" w:hAnsi="Calibri" w:cs="Times New Roman"/>
          <w:sz w:val="24"/>
          <w:szCs w:val="24"/>
        </w:rPr>
        <w:t xml:space="preserve"> analytical method development was carried out on a Thermo </w:t>
      </w:r>
      <w:proofErr w:type="spellStart"/>
      <w:r w:rsidR="00CF1D1E" w:rsidRPr="00CF1D1E">
        <w:rPr>
          <w:rFonts w:ascii="Calibri" w:eastAsia="Calibri" w:hAnsi="Calibri" w:cs="Times New Roman"/>
          <w:sz w:val="24"/>
          <w:szCs w:val="24"/>
        </w:rPr>
        <w:t>Finnigan</w:t>
      </w:r>
      <w:proofErr w:type="spellEnd"/>
      <w:r w:rsidR="00CF1D1E" w:rsidRPr="00CF1D1E">
        <w:rPr>
          <w:rFonts w:ascii="Calibri" w:eastAsia="Calibri" w:hAnsi="Calibri" w:cs="Times New Roman"/>
          <w:sz w:val="24"/>
          <w:szCs w:val="24"/>
        </w:rPr>
        <w:t xml:space="preserve"> (Somerset, NJ 08873, USA) LCQ </w:t>
      </w:r>
      <w:proofErr w:type="spellStart"/>
      <w:r w:rsidR="00CF1D1E" w:rsidRPr="00CF1D1E">
        <w:rPr>
          <w:rFonts w:ascii="Calibri" w:eastAsia="Calibri" w:hAnsi="Calibri" w:cs="Times New Roman"/>
          <w:sz w:val="24"/>
          <w:szCs w:val="24"/>
        </w:rPr>
        <w:t>Deca</w:t>
      </w:r>
      <w:proofErr w:type="spellEnd"/>
      <w:r w:rsidR="00CF1D1E" w:rsidRPr="00CF1D1E">
        <w:rPr>
          <w:rFonts w:ascii="Calibri" w:eastAsia="Calibri" w:hAnsi="Calibri" w:cs="Times New Roman"/>
          <w:sz w:val="24"/>
          <w:szCs w:val="24"/>
        </w:rPr>
        <w:t xml:space="preserve"> 3D ion trap mass spectrometer using an ESI source. The chromatographic and mass spectrometry data was collected and processed </w:t>
      </w:r>
      <w:r w:rsidR="00B76BC6">
        <w:rPr>
          <w:rFonts w:ascii="Calibri" w:eastAsia="Calibri" w:hAnsi="Calibri" w:cs="Times New Roman"/>
          <w:sz w:val="24"/>
          <w:szCs w:val="24"/>
        </w:rPr>
        <w:t>using</w:t>
      </w:r>
      <w:r w:rsidR="00CF1D1E" w:rsidRPr="00CF1D1E">
        <w:rPr>
          <w:rFonts w:ascii="Calibri" w:eastAsia="Calibri" w:hAnsi="Calibri" w:cs="Times New Roman"/>
          <w:sz w:val="24"/>
          <w:szCs w:val="24"/>
        </w:rPr>
        <w:t xml:space="preserve"> </w:t>
      </w:r>
      <w:proofErr w:type="spellStart"/>
      <w:r w:rsidR="00CF1D1E" w:rsidRPr="00CF1D1E">
        <w:rPr>
          <w:rFonts w:ascii="Calibri" w:eastAsia="Calibri" w:hAnsi="Calibri" w:cs="Times New Roman"/>
          <w:sz w:val="24"/>
          <w:szCs w:val="24"/>
        </w:rPr>
        <w:t>Xcalibur</w:t>
      </w:r>
      <w:proofErr w:type="spellEnd"/>
      <w:r w:rsidR="00CF1D1E" w:rsidRPr="00CF1D1E">
        <w:rPr>
          <w:rFonts w:ascii="Calibri" w:eastAsia="Calibri" w:hAnsi="Calibri" w:cs="Times New Roman"/>
          <w:sz w:val="24"/>
          <w:szCs w:val="24"/>
        </w:rPr>
        <w:t xml:space="preserve"> software</w:t>
      </w:r>
      <w:r w:rsidR="00E37C91">
        <w:rPr>
          <w:rFonts w:ascii="Calibri" w:eastAsia="Calibri" w:hAnsi="Calibri" w:cs="Times New Roman"/>
          <w:sz w:val="24"/>
          <w:szCs w:val="24"/>
        </w:rPr>
        <w:t xml:space="preserve"> </w:t>
      </w:r>
      <w:r w:rsidR="00E37C91" w:rsidRPr="00E37C91">
        <w:rPr>
          <w:rFonts w:ascii="Calibri" w:eastAsia="Calibri" w:hAnsi="Calibri" w:cs="Times New Roman"/>
          <w:sz w:val="24"/>
          <w:szCs w:val="24"/>
        </w:rPr>
        <w:t>(Thermo Scientific Ltd, Waltham, Massachusetts)</w:t>
      </w:r>
      <w:r w:rsidR="00CF1D1E" w:rsidRPr="00CF1D1E">
        <w:rPr>
          <w:rFonts w:ascii="Calibri" w:eastAsia="Calibri" w:hAnsi="Calibri" w:cs="Times New Roman"/>
          <w:sz w:val="24"/>
          <w:szCs w:val="24"/>
        </w:rPr>
        <w:t xml:space="preserve">. </w:t>
      </w:r>
      <w:r>
        <w:rPr>
          <w:rFonts w:ascii="Calibri" w:eastAsia="Calibri" w:hAnsi="Calibri" w:cs="Times New Roman"/>
          <w:sz w:val="24"/>
          <w:szCs w:val="24"/>
        </w:rPr>
        <w:t>This aspect of development, which occurred before new instrumentation was available, will be briefly discussed as it provided initial rational for the development of the methods used in the following chapters.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Each sample of bark was individually ground in a coffee grinder until a fine powder was achieved. 10g of this powder was weighed in to a clean glass beaker containing </w:t>
      </w:r>
      <w:r w:rsidR="009B158A">
        <w:rPr>
          <w:rFonts w:ascii="Calibri" w:eastAsia="Calibri" w:hAnsi="Calibri" w:cs="Times New Roman"/>
          <w:sz w:val="24"/>
          <w:szCs w:val="24"/>
        </w:rPr>
        <w:t>100ml of ethanol, covered with P</w:t>
      </w:r>
      <w:r w:rsidRPr="00CF1D1E">
        <w:rPr>
          <w:rFonts w:ascii="Calibri" w:eastAsia="Calibri" w:hAnsi="Calibri" w:cs="Times New Roman"/>
          <w:sz w:val="24"/>
          <w:szCs w:val="24"/>
        </w:rPr>
        <w:t>arafilm and sonicated in an ultrasonic water bath for 30 min. Th</w:t>
      </w:r>
      <w:r w:rsidR="009B158A">
        <w:rPr>
          <w:rFonts w:ascii="Calibri" w:eastAsia="Calibri" w:hAnsi="Calibri" w:cs="Times New Roman"/>
          <w:sz w:val="24"/>
          <w:szCs w:val="24"/>
        </w:rPr>
        <w:t>e slurry</w:t>
      </w:r>
      <w:r w:rsidRPr="00CF1D1E">
        <w:rPr>
          <w:rFonts w:ascii="Calibri" w:eastAsia="Calibri" w:hAnsi="Calibri" w:cs="Times New Roman"/>
          <w:sz w:val="24"/>
          <w:szCs w:val="24"/>
        </w:rPr>
        <w:t xml:space="preserve"> was left for 24 hours </w:t>
      </w:r>
      <w:r w:rsidR="009B158A">
        <w:rPr>
          <w:rFonts w:ascii="Calibri" w:eastAsia="Calibri" w:hAnsi="Calibri" w:cs="Times New Roman"/>
          <w:sz w:val="24"/>
          <w:szCs w:val="24"/>
        </w:rPr>
        <w:t xml:space="preserve">in a fridge </w:t>
      </w:r>
      <w:r w:rsidRPr="00CF1D1E">
        <w:rPr>
          <w:rFonts w:ascii="Calibri" w:eastAsia="Calibri" w:hAnsi="Calibri" w:cs="Times New Roman"/>
          <w:sz w:val="24"/>
          <w:szCs w:val="24"/>
        </w:rPr>
        <w:t>and then re-sonicated for 30min. Once the sample had settled, the supernatant was split equally into Falcon tubes and centrifuged at 10,000 rpm for 30 min</w:t>
      </w:r>
      <w:r w:rsidR="009B158A">
        <w:rPr>
          <w:rFonts w:ascii="Calibri" w:eastAsia="Calibri" w:hAnsi="Calibri" w:cs="Times New Roman"/>
          <w:sz w:val="24"/>
          <w:szCs w:val="24"/>
        </w:rPr>
        <w:t xml:space="preserve"> on a benchtop centrifuge</w:t>
      </w:r>
      <w:r w:rsidRPr="00CF1D1E">
        <w:rPr>
          <w:rFonts w:ascii="Calibri" w:eastAsia="Calibri" w:hAnsi="Calibri" w:cs="Times New Roman"/>
          <w:sz w:val="24"/>
          <w:szCs w:val="24"/>
        </w:rPr>
        <w:t>. The result</w:t>
      </w:r>
      <w:r w:rsidR="009B158A">
        <w:rPr>
          <w:rFonts w:ascii="Calibri" w:eastAsia="Calibri" w:hAnsi="Calibri" w:cs="Times New Roman"/>
          <w:sz w:val="24"/>
          <w:szCs w:val="24"/>
        </w:rPr>
        <w:t>ing</w:t>
      </w:r>
      <w:r w:rsidRPr="00CF1D1E">
        <w:rPr>
          <w:rFonts w:ascii="Calibri" w:eastAsia="Calibri" w:hAnsi="Calibri" w:cs="Times New Roman"/>
          <w:sz w:val="24"/>
          <w:szCs w:val="24"/>
        </w:rPr>
        <w:t xml:space="preserve"> light brown</w:t>
      </w:r>
      <w:r w:rsidR="00084AA8">
        <w:rPr>
          <w:rFonts w:ascii="Calibri" w:eastAsia="Calibri" w:hAnsi="Calibri" w:cs="Times New Roman"/>
          <w:sz w:val="24"/>
          <w:szCs w:val="24"/>
        </w:rPr>
        <w:t>/</w:t>
      </w:r>
      <w:r w:rsidRPr="00CF1D1E">
        <w:rPr>
          <w:rFonts w:ascii="Calibri" w:eastAsia="Calibri" w:hAnsi="Calibri" w:cs="Times New Roman"/>
          <w:sz w:val="24"/>
          <w:szCs w:val="24"/>
        </w:rPr>
        <w:t>clear ethanol extract was combined and concentrated to 10ml by gentle heating to 60°C in a fume cupboard. 1ml of extract was equivalent to 1g of bark. This extract was kept in a freezer at -20°C until required. The method described was repeated for each type of bark.</w:t>
      </w:r>
    </w:p>
    <w:p w:rsidR="00CF1D1E" w:rsidRPr="00CF1D1E" w:rsidRDefault="00CE1C52"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An epicatechin standard was prepared</w:t>
      </w:r>
      <w:r w:rsidR="00CF1D1E" w:rsidRPr="00CF1D1E">
        <w:rPr>
          <w:rFonts w:ascii="Calibri" w:eastAsia="Calibri" w:hAnsi="Calibri" w:cs="Times New Roman"/>
          <w:sz w:val="24"/>
          <w:szCs w:val="24"/>
        </w:rPr>
        <w:t xml:space="preserve"> </w:t>
      </w:r>
      <w:r>
        <w:rPr>
          <w:rFonts w:ascii="Calibri" w:eastAsia="Calibri" w:hAnsi="Calibri" w:cs="Times New Roman"/>
          <w:sz w:val="24"/>
          <w:szCs w:val="24"/>
        </w:rPr>
        <w:t>of</w:t>
      </w:r>
      <w:r w:rsidR="00CF1D1E" w:rsidRPr="00CF1D1E">
        <w:rPr>
          <w:rFonts w:ascii="Calibri" w:eastAsia="Calibri" w:hAnsi="Calibri" w:cs="Times New Roman"/>
          <w:sz w:val="24"/>
          <w:szCs w:val="24"/>
        </w:rPr>
        <w:t xml:space="preserve"> approximate 100mg/l in 50:50 </w:t>
      </w:r>
      <w:proofErr w:type="spellStart"/>
      <w:r w:rsidR="00CF1D1E" w:rsidRPr="00CF1D1E">
        <w:rPr>
          <w:rFonts w:ascii="Calibri" w:eastAsia="Calibri" w:hAnsi="Calibri" w:cs="Times New Roman"/>
          <w:sz w:val="24"/>
          <w:szCs w:val="24"/>
        </w:rPr>
        <w:t>methanol</w:t>
      </w:r>
      <w:proofErr w:type="gramStart"/>
      <w:r w:rsidR="00CF1D1E" w:rsidRPr="00CF1D1E">
        <w:rPr>
          <w:rFonts w:ascii="Calibri" w:eastAsia="Calibri" w:hAnsi="Calibri" w:cs="Times New Roman"/>
          <w:sz w:val="24"/>
          <w:szCs w:val="24"/>
        </w:rPr>
        <w:t>:water</w:t>
      </w:r>
      <w:proofErr w:type="spellEnd"/>
      <w:proofErr w:type="gramEnd"/>
      <w:r w:rsidR="00CF1D1E" w:rsidRPr="00CF1D1E">
        <w:rPr>
          <w:rFonts w:ascii="Calibri" w:eastAsia="Calibri" w:hAnsi="Calibri" w:cs="Times New Roman"/>
          <w:sz w:val="24"/>
          <w:szCs w:val="24"/>
        </w:rPr>
        <w:t xml:space="preserve"> (both MS grade) and the addition of 0.1%  formic acid (also MS grade). This standard was used for the initial evaluation of the ionisation and spectra achieved in positive and negative mode using direct infusion on the LCQ </w:t>
      </w:r>
      <w:proofErr w:type="spellStart"/>
      <w:r w:rsidR="00CF1D1E" w:rsidRPr="00CF1D1E">
        <w:rPr>
          <w:rFonts w:ascii="Calibri" w:eastAsia="Calibri" w:hAnsi="Calibri" w:cs="Times New Roman"/>
          <w:sz w:val="24"/>
          <w:szCs w:val="24"/>
        </w:rPr>
        <w:t>Deca</w:t>
      </w:r>
      <w:proofErr w:type="spellEnd"/>
      <w:r w:rsidR="00CF1D1E" w:rsidRPr="00CF1D1E">
        <w:rPr>
          <w:rFonts w:ascii="Calibri" w:eastAsia="Calibri" w:hAnsi="Calibri" w:cs="Times New Roman"/>
          <w:sz w:val="24"/>
          <w:szCs w:val="24"/>
        </w:rPr>
        <w:t xml:space="preserve">. </w:t>
      </w:r>
      <w:r w:rsidR="006B0B7B">
        <w:rPr>
          <w:rFonts w:ascii="Calibri" w:eastAsia="Calibri" w:hAnsi="Calibri" w:cs="Times New Roman"/>
          <w:sz w:val="24"/>
          <w:szCs w:val="24"/>
        </w:rPr>
        <w:t xml:space="preserve">For the </w:t>
      </w:r>
      <w:r>
        <w:rPr>
          <w:rFonts w:ascii="Calibri" w:eastAsia="Calibri" w:hAnsi="Calibri" w:cs="Times New Roman"/>
          <w:sz w:val="24"/>
          <w:szCs w:val="24"/>
        </w:rPr>
        <w:t>polyphenols</w:t>
      </w:r>
      <w:r w:rsidR="006B0B7B">
        <w:rPr>
          <w:rFonts w:ascii="Calibri" w:eastAsia="Calibri" w:hAnsi="Calibri" w:cs="Times New Roman"/>
          <w:sz w:val="24"/>
          <w:szCs w:val="24"/>
        </w:rPr>
        <w:t xml:space="preserve"> tested, </w:t>
      </w:r>
      <w:r w:rsidR="006B0B7B">
        <w:rPr>
          <w:rFonts w:ascii="Calibri" w:eastAsia="Calibri" w:hAnsi="Calibri" w:cs="Times New Roman"/>
          <w:sz w:val="24"/>
          <w:szCs w:val="24"/>
        </w:rPr>
        <w:lastRenderedPageBreak/>
        <w:t>n</w:t>
      </w:r>
      <w:r w:rsidR="00CF1D1E" w:rsidRPr="00CF1D1E">
        <w:rPr>
          <w:rFonts w:ascii="Calibri" w:eastAsia="Calibri" w:hAnsi="Calibri" w:cs="Times New Roman"/>
          <w:sz w:val="24"/>
          <w:szCs w:val="24"/>
        </w:rPr>
        <w:t xml:space="preserve">egative mode </w:t>
      </w:r>
      <w:r w:rsidR="00500C15">
        <w:rPr>
          <w:rFonts w:ascii="Calibri" w:eastAsia="Calibri" w:hAnsi="Calibri" w:cs="Times New Roman"/>
          <w:sz w:val="24"/>
          <w:szCs w:val="24"/>
        </w:rPr>
        <w:t>resulted in</w:t>
      </w:r>
      <w:r w:rsidR="00CF1D1E" w:rsidRPr="00CF1D1E">
        <w:rPr>
          <w:rFonts w:ascii="Calibri" w:eastAsia="Calibri" w:hAnsi="Calibri" w:cs="Times New Roman"/>
          <w:sz w:val="24"/>
          <w:szCs w:val="24"/>
        </w:rPr>
        <w:t xml:space="preserve"> better, more informative spectra with a good response. Also this finding agreed with published research as the vast majority of MS polyphenol work has been carried out in negative mode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Kıvrak","given":"İbrahim","non-dropping-particle":"","parse-names":false,"suffix":""},{"dropping-particle":"","family":"Kıvrak","given":"Şeyda","non-dropping-particle":"","parse-names":false,"suffix":""},{"dropping-particle":"","family":"Harmandar","given":"Mansur","non-dropping-particle":"","parse-names":false,"suffix":""},{"dropping-particle":"","family":"Çetintaş","given":"Yunus","non-dropping-particle":"","parse-names":false,"suffix":""}],"container-title":"Records of Natural Products","id":"ITEM-1","issue":"October 2013","issued":{"date-parts":[["2013"]]},"page":"313-319","title":"Phenolic Compounds of Pinus brutia Ten: Chemical Investigation and Quantitative Analysis Using an Ultra-Performance Liquid Chromatography Tandem Mass Spectrometry with Electrospray Ionization Source","type":"article-journal","volume":"7"},"uris":["http://www.mendeley.com/documents/?uuid=64beabfd-d253-4dcf-bbce-10844f0f7831"]}],"mendeley":{"formattedCitation":"(Kıvrak, Kıvrak, Harmandar, &amp; Çetintaş, 2013)","plainTextFormattedCitation":"(Kıvrak, Kıvrak, Harmandar, &amp; Çetintaş, 2013)","previouslyFormattedCitation":"(Kıvrak, Kıvrak, Harmandar, &amp; Çetintaş, 2013)"},"properties":{"noteIndex":0},"schema":"https://github.com/citation-style-language/schema/raw/master/csl-citation.json"}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(Kıvrak, Kıvrak, Harmandar, &amp; Çetintaş, 2013)</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 See Fig.6 below.</w:t>
      </w:r>
    </w:p>
    <w:p w:rsidR="00CF1D1E" w:rsidRPr="00CF1D1E" w:rsidRDefault="00CF1D1E" w:rsidP="00CF1D1E">
      <w:pPr>
        <w:spacing w:line="360" w:lineRule="auto"/>
        <w:ind w:firstLine="720"/>
        <w:rPr>
          <w:rFonts w:ascii="Calibri" w:eastAsia="Calibri" w:hAnsi="Calibri" w:cs="Times New Roman"/>
          <w:sz w:val="24"/>
          <w:szCs w:val="24"/>
        </w:rPr>
      </w:pPr>
    </w:p>
    <w:p w:rsidR="00CF1D1E" w:rsidRPr="00CF1D1E" w:rsidRDefault="006B0B7B" w:rsidP="00CF1D1E">
      <w:pPr>
        <w:spacing w:line="360" w:lineRule="auto"/>
        <w:rPr>
          <w:rFonts w:ascii="Calibri" w:eastAsia="Calibri" w:hAnsi="Calibri" w:cs="Times New Roman"/>
          <w:sz w:val="23"/>
          <w:szCs w:val="23"/>
        </w:rPr>
      </w:pPr>
      <w:r>
        <w:rPr>
          <w:rFonts w:ascii="Calibri" w:eastAsia="Calibri" w:hAnsi="Calibri" w:cs="Times New Roman"/>
          <w:noProof/>
          <w:sz w:val="23"/>
          <w:szCs w:val="23"/>
          <w:lang w:eastAsia="en-GB"/>
        </w:rPr>
        <w:drawing>
          <wp:inline distT="0" distB="0" distL="0" distR="0">
            <wp:extent cx="5734050" cy="329565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050" cy="3295650"/>
                    </a:xfrm>
                    <a:prstGeom prst="rect">
                      <a:avLst/>
                    </a:prstGeom>
                    <a:noFill/>
                    <a:ln>
                      <a:noFill/>
                    </a:ln>
                  </pic:spPr>
                </pic:pic>
              </a:graphicData>
            </a:graphic>
          </wp:inline>
        </w:drawing>
      </w:r>
    </w:p>
    <w:p w:rsidR="00CF1D1E" w:rsidRPr="00CF1D1E" w:rsidRDefault="00380DFC" w:rsidP="00CF1D1E">
      <w:pPr>
        <w:spacing w:line="360" w:lineRule="auto"/>
        <w:rPr>
          <w:rFonts w:ascii="Calibri" w:eastAsia="Calibri" w:hAnsi="Calibri" w:cs="Times New Roman"/>
          <w:sz w:val="20"/>
          <w:szCs w:val="20"/>
        </w:rPr>
      </w:pPr>
      <w:r>
        <w:rPr>
          <w:rFonts w:ascii="Calibri" w:eastAsia="Calibri" w:hAnsi="Calibri" w:cs="Times New Roman"/>
          <w:sz w:val="20"/>
          <w:szCs w:val="20"/>
        </w:rPr>
        <w:t xml:space="preserve">Fig.6 </w:t>
      </w:r>
      <w:r w:rsidR="00CF1D1E" w:rsidRPr="00CF1D1E">
        <w:rPr>
          <w:rFonts w:ascii="Calibri" w:eastAsia="Calibri" w:hAnsi="Calibri" w:cs="Times New Roman"/>
          <w:sz w:val="20"/>
          <w:szCs w:val="20"/>
        </w:rPr>
        <w:t xml:space="preserve">MS spectrum of epicatechin in negative mode by direct infusion on the LCQ </w:t>
      </w:r>
      <w:proofErr w:type="spellStart"/>
      <w:r w:rsidR="00CF1D1E" w:rsidRPr="00CF1D1E">
        <w:rPr>
          <w:rFonts w:ascii="Calibri" w:eastAsia="Calibri" w:hAnsi="Calibri" w:cs="Times New Roman"/>
          <w:sz w:val="20"/>
          <w:szCs w:val="20"/>
        </w:rPr>
        <w:t>Deca</w:t>
      </w:r>
      <w:proofErr w:type="spellEnd"/>
      <w:r w:rsidR="00CF1D1E" w:rsidRPr="00CF1D1E">
        <w:rPr>
          <w:rFonts w:ascii="Calibri" w:eastAsia="Calibri" w:hAnsi="Calibri" w:cs="Times New Roman"/>
          <w:sz w:val="20"/>
          <w:szCs w:val="20"/>
        </w:rPr>
        <w:t>.</w:t>
      </w:r>
    </w:p>
    <w:p w:rsidR="00CF1D1E" w:rsidRPr="00CF1D1E" w:rsidRDefault="00CF1D1E" w:rsidP="00CF1D1E">
      <w:pPr>
        <w:spacing w:line="360" w:lineRule="auto"/>
        <w:rPr>
          <w:rFonts w:ascii="Calibri" w:eastAsia="Calibri" w:hAnsi="Calibri" w:cs="Times New Roman"/>
          <w:sz w:val="23"/>
          <w:szCs w:val="23"/>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This </w:t>
      </w:r>
      <w:r w:rsidR="00500C15">
        <w:rPr>
          <w:rFonts w:ascii="Calibri" w:eastAsia="Calibri" w:hAnsi="Calibri" w:cs="Times New Roman"/>
          <w:sz w:val="24"/>
          <w:szCs w:val="24"/>
        </w:rPr>
        <w:t>MS spectrum</w:t>
      </w:r>
      <w:r w:rsidRPr="00CF1D1E">
        <w:rPr>
          <w:rFonts w:ascii="Calibri" w:eastAsia="Calibri" w:hAnsi="Calibri" w:cs="Times New Roman"/>
          <w:sz w:val="24"/>
          <w:szCs w:val="24"/>
        </w:rPr>
        <w:t xml:space="preserve"> showed that epicatechin was visible on the LCQ </w:t>
      </w:r>
      <w:proofErr w:type="spellStart"/>
      <w:r w:rsidRPr="00CF1D1E">
        <w:rPr>
          <w:rFonts w:ascii="Calibri" w:eastAsia="Calibri" w:hAnsi="Calibri" w:cs="Times New Roman"/>
          <w:sz w:val="24"/>
          <w:szCs w:val="24"/>
        </w:rPr>
        <w:t>Deca</w:t>
      </w:r>
      <w:proofErr w:type="spellEnd"/>
      <w:r w:rsidRPr="00CF1D1E">
        <w:rPr>
          <w:rFonts w:ascii="Calibri" w:eastAsia="Calibri" w:hAnsi="Calibri" w:cs="Times New Roman"/>
          <w:sz w:val="24"/>
          <w:szCs w:val="24"/>
        </w:rPr>
        <w:t xml:space="preserve"> at 289 m/z [M-H]</w:t>
      </w:r>
      <w:r w:rsidRPr="00CF1D1E">
        <w:rPr>
          <w:rFonts w:ascii="Calibri" w:eastAsia="Calibri" w:hAnsi="Calibri" w:cs="Times New Roman"/>
          <w:sz w:val="24"/>
          <w:szCs w:val="24"/>
          <w:vertAlign w:val="superscript"/>
        </w:rPr>
        <w:t>-</w:t>
      </w:r>
      <w:r w:rsidRPr="00CF1D1E">
        <w:rPr>
          <w:rFonts w:ascii="Calibri" w:eastAsia="Calibri" w:hAnsi="Calibri" w:cs="Times New Roman"/>
          <w:sz w:val="24"/>
          <w:szCs w:val="24"/>
        </w:rPr>
        <w:t xml:space="preserve">. The spectra agreed with </w:t>
      </w:r>
      <w:r w:rsidR="00CE1C52">
        <w:rPr>
          <w:rFonts w:ascii="Calibri" w:eastAsia="Calibri" w:hAnsi="Calibri" w:cs="Times New Roman"/>
          <w:sz w:val="24"/>
          <w:szCs w:val="24"/>
        </w:rPr>
        <w:t xml:space="preserve">published </w:t>
      </w:r>
      <w:r w:rsidRPr="00CF1D1E">
        <w:rPr>
          <w:rFonts w:ascii="Calibri" w:eastAsia="Calibri" w:hAnsi="Calibri" w:cs="Times New Roman"/>
          <w:sz w:val="24"/>
          <w:szCs w:val="24"/>
        </w:rPr>
        <w:t>m/z figures</w:t>
      </w:r>
      <w:r w:rsidR="00CE1C52">
        <w:rPr>
          <w:rFonts w:ascii="Calibri" w:eastAsia="Calibri" w:hAnsi="Calibri" w:cs="Times New Roman"/>
          <w:sz w:val="24"/>
          <w:szCs w:val="24"/>
        </w:rPr>
        <w:t xml:space="preserv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{"citationItems":[{"id":"ITEM-1","itemData":{"DOI":"10.1002/jsfa.3591","ISSN":"00225142","abstract":"BACKGROUND: The most common commercially available pine bark extract is Pycnogenol®, a standardised extract of Pinus maritima, which has been reported to have cardiovascular benefits and enhance microcirculation. The present study was conducted to determine the chemical composition of four pine bark extracts, assess their biological activities and to compare the results with Pycnogenol®. RESULTS: The Pinus species were analysed by LC and LC-MS; extracts of P. brutia and P. nigra showed higher levels of phenolic constituents compared to P. sylvestris and P. pinea. In particular, P. brutia contained extremely high concentrations of taxifolin (18.5%). The highest radical scavenging activities were attained with P. pinea (88.6%), P. nigra (87.2%) and P. brutia (86.4%) bark extracts. Additionally, anticarcinogenic effects of the extracts and their kinetics were determined in four cell lines including human prostate (PC-3, DU 145, LNCaP) and breast adenocarcinoma (MCF7) by the MTT assay. Cell viability was reduced to 40% by extracts of P. pinea, and P. sylvestris in PC-3 cells showing a similar effect like the positive control, CPT-11. CONCLUSION: Pinus species other than P. maritima definitively possess high biological activities, and therefore present a huge potential to be utilised in the food and the pharmaceutical industries. Copyright © 2009 Society of Chemical Industry","author":[{"dropping-particle":"","family":"Yesil-Celiktas","given":"Ozlem","non-dropping-particle":"","parse-names":false,"suffix":""},{"dropping-particle":"","family":"Ganzera","given":"Markus","non-dropping-particle":"","parse-names":false,"suffix":""},{"dropping-particle":"","family":"Akgun","given":"Ismail","non-dropping-particle":"","parse-names":false,"suffix":""},{"dropping-particle":"","family":"Sevimli","given":"Canan","non-dropping-particle":"","parse-names":false,"suffix":""},{"dropping-particle":"","family":"Korkmaza","given":"Kemal S.","non-dropping-particle":"","parse-names":false,"suffix":""},{"dropping-particle":"","family":"Bedira","given":"Erdal","non-dropping-particle":"","parse-names":false,"suffix":""}],"container-title":"Journal of the Science of Food and Agriculture","id":"ITEM-1","issue":"8","issued":{"date-parts":[["2009"]]},"page":"1339-1345","title":"Determination of polyphenolic constituents and biological activities of bark extracts from different Pinus species","type":"article-journal","volume":"89"},"uris":["http://www.mendeley.com/documents/?uuid=088ce4b4-f6ef-41e1-be5b-adae908c85d3"]}],"mendeley":{"formattedCitation":"(Yesil-Celiktas et al., 2009)","plainTextFormattedCitation":"(Yesil-Celiktas et al., 2009)","previouslyFormattedCitation":"(Yesil-Celiktas et al.,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C23987">
        <w:rPr>
          <w:rFonts w:ascii="Calibri" w:eastAsia="Calibri" w:hAnsi="Calibri" w:cs="Times New Roman"/>
          <w:i/>
          <w:noProof/>
          <w:sz w:val="24"/>
          <w:szCs w:val="24"/>
        </w:rPr>
        <w:t>(Yesil-Celiktas et al</w:t>
      </w:r>
      <w:r w:rsidR="00941740" w:rsidRPr="00941740">
        <w:rPr>
          <w:rFonts w:ascii="Calibri" w:eastAsia="Calibri" w:hAnsi="Calibri" w:cs="Times New Roman"/>
          <w:noProof/>
          <w:sz w:val="24"/>
          <w:szCs w:val="24"/>
        </w:rPr>
        <w:t>.,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The monomer of epicatechin, 289m/z [M-H]</w:t>
      </w:r>
      <w:r w:rsidRPr="00CF1D1E">
        <w:rPr>
          <w:rFonts w:ascii="Calibri" w:eastAsia="Calibri" w:hAnsi="Calibri" w:cs="Times New Roman"/>
          <w:sz w:val="24"/>
          <w:szCs w:val="24"/>
          <w:vertAlign w:val="superscript"/>
        </w:rPr>
        <w:t>-</w:t>
      </w:r>
      <w:r w:rsidRPr="00CF1D1E">
        <w:rPr>
          <w:rFonts w:ascii="Calibri" w:eastAsia="Calibri" w:hAnsi="Calibri" w:cs="Times New Roman"/>
          <w:sz w:val="24"/>
          <w:szCs w:val="24"/>
        </w:rPr>
        <w:t xml:space="preserve">, could clearly </w:t>
      </w:r>
      <w:r w:rsidR="00500C15">
        <w:rPr>
          <w:rFonts w:ascii="Calibri" w:eastAsia="Calibri" w:hAnsi="Calibri" w:cs="Times New Roman"/>
          <w:sz w:val="24"/>
          <w:szCs w:val="24"/>
        </w:rPr>
        <w:t>be seen in negative mode. I</w:t>
      </w:r>
      <w:r w:rsidRPr="00CF1D1E">
        <w:rPr>
          <w:rFonts w:ascii="Calibri" w:eastAsia="Calibri" w:hAnsi="Calibri" w:cs="Times New Roman"/>
          <w:sz w:val="24"/>
          <w:szCs w:val="24"/>
        </w:rPr>
        <w:t xml:space="preserve">ndications of oligomers were present at higher m/z ratios, which may have been created in </w:t>
      </w:r>
      <w:r w:rsidR="00500C15">
        <w:rPr>
          <w:rFonts w:ascii="Calibri" w:eastAsia="Calibri" w:hAnsi="Calibri" w:cs="Times New Roman"/>
          <w:sz w:val="24"/>
          <w:szCs w:val="24"/>
        </w:rPr>
        <w:t xml:space="preserve">the ESI chamber of the LCQ </w:t>
      </w:r>
      <w:proofErr w:type="spellStart"/>
      <w:r w:rsidR="00500C15">
        <w:rPr>
          <w:rFonts w:ascii="Calibri" w:eastAsia="Calibri" w:hAnsi="Calibri" w:cs="Times New Roman"/>
          <w:sz w:val="24"/>
          <w:szCs w:val="24"/>
        </w:rPr>
        <w:t>Deca</w:t>
      </w:r>
      <w:proofErr w:type="spellEnd"/>
      <w:r w:rsidR="00CE1C52">
        <w:rPr>
          <w:rFonts w:ascii="Calibri" w:eastAsia="Calibri" w:hAnsi="Calibri" w:cs="Times New Roman"/>
          <w:sz w:val="24"/>
          <w:szCs w:val="24"/>
        </w:rPr>
        <w:t xml:space="preserve"> (Fig. 6)</w:t>
      </w:r>
      <w:r w:rsidRPr="00CF1D1E">
        <w:rPr>
          <w:rFonts w:ascii="Calibri" w:eastAsia="Calibri" w:hAnsi="Calibri" w:cs="Times New Roman"/>
          <w:sz w:val="24"/>
          <w:szCs w:val="24"/>
        </w:rPr>
        <w:t>. Additional confirmation that the main m/z obtained by direct infusion was in fact epicatechin was obtained when the MS-MS spectr</w:t>
      </w:r>
      <w:r w:rsidR="00500C15">
        <w:rPr>
          <w:rFonts w:ascii="Calibri" w:eastAsia="Calibri" w:hAnsi="Calibri" w:cs="Times New Roman"/>
          <w:sz w:val="24"/>
          <w:szCs w:val="24"/>
        </w:rPr>
        <w:t>um</w:t>
      </w:r>
      <w:r w:rsidRPr="00CF1D1E">
        <w:rPr>
          <w:rFonts w:ascii="Calibri" w:eastAsia="Calibri" w:hAnsi="Calibri" w:cs="Times New Roman"/>
          <w:sz w:val="24"/>
          <w:szCs w:val="24"/>
        </w:rPr>
        <w:t xml:space="preserve"> was created. This agreed well with expected fragmentation </w:t>
      </w:r>
      <w:r w:rsidRPr="00CF1D1E">
        <w:rPr>
          <w:rFonts w:ascii="Calibri" w:eastAsia="Calibri" w:hAnsi="Calibri" w:cs="Times New Roman"/>
          <w:sz w:val="24"/>
          <w:szCs w:val="24"/>
        </w:rPr>
        <w:fldChar w:fldCharType="begin" w:fldLock="1"/>
      </w:r>
      <w:r w:rsidR="0081483D">
        <w:rPr>
          <w:rFonts w:ascii="Calibri" w:eastAsia="Calibri" w:hAnsi="Calibri" w:cs="Times New Roman"/>
          <w:sz w:val="24"/>
          <w:szCs w:val="24"/>
        </w:rPr>
        <w:instrText>ADDIN CSL_CITATION {"citationItems":[{"id":"ITEM-1","itemData":{"DOI":"10.1002/jssc.201400853","ISSN":"16159314","PMID":"25280343","abstract":"A rapid and sensitive ultra high performance liquid chromatography electrospray ionization tandem mass spectrometry method was developed and validated for the simultaneous determination of 13 flavonoids in leaf, stem, and fruit extracts of male and female trees of Ginkgo biloba to investigate gender- and age-related variations of flavonoids content. Chromatographic separation was accomplished on an Acquity UPLC BEH C18 column (50 mm × 2.1 mm id, 1.7 μm) in 5 min. Quantitation was performed using negative electrospray ionization mass spectrometry in multiple reaction monitoring mode. The calibration curves of all analytes showed a good linear relationship (r(2) ≥ 0.9977) over the concentration range of 1-1000 ng/mL. The precision evaluated by an intra- and interday study showed RSD ≤ 1.98% and good accuracy with overall recovery in the range from 97.90 to 101.09% (RSD ≤ 1.67%) for all analytes. The method sensitivity expressed as the limit of quantitation was typically 0.25-3.57 ng/mL. The results showed that the total content of 13 flavonoids was higher in the leaf extract of an old male Ginkgo tree compared to young female Ginkgo trees.","author":[{"dropping-particle":"","family":"Pandey","given":"Renu","non-dropping-particle":"","parse-names":false,"suffix":""},{"dropping-particle":"","family":"Chandra","given":"Preeti","non-dropping-particle":"","parse-names":false,"suffix":""},{"dropping-particle":"","family":"Arya","given":"Kamal Ram","non-dropping-particle":"","parse-names":false,"suffix":""},{"dropping-particle":"","family":"Kumar","given":"Brijesh","non-dropping-particle":"","parse-names":false,"suffix":""}],"container-title":"Journal of Separation Science","id":"ITEM-1","issue":"24","issued":{"date-parts":[["2014"]]},"page":"3610-3618","title":"Development and validation of an ultra high performance liquid chromatography electrospray ionization tandem mass spectrometry method for the simultaneous determination of selected flavonoids in Ginkgo biloba","type":"article-journal","volume":"37"},"uris":["http://www.mendeley.com/documents/?uuid=630c9e52-66c6-4f9b-9edb-395d77befaa6"]}],"mendeley":{"formattedCitation":"(Pandey et al., 2014)","manualFormatting":"(Pandey et al., 2014,","plainTextFormattedCitation":"(Pandey et al., 2014)","previouslyFormattedCitation":"(Pandey et al.,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(Pandey </w:t>
      </w:r>
      <w:r w:rsidR="00941740" w:rsidRPr="0081483D">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2014</w:t>
      </w:r>
      <w:r w:rsidR="0081483D">
        <w:rPr>
          <w:rFonts w:ascii="Calibri" w:eastAsia="Calibri" w:hAnsi="Calibri" w:cs="Times New Roman"/>
          <w:noProof/>
          <w:sz w:val="24"/>
          <w:szCs w:val="24"/>
        </w:rPr>
        <w:t>,</w:t>
      </w:r>
      <w:r w:rsidRPr="00CF1D1E">
        <w:rPr>
          <w:rFonts w:ascii="Calibri" w:eastAsia="Calibri" w:hAnsi="Calibri" w:cs="Times New Roman"/>
          <w:sz w:val="24"/>
          <w:szCs w:val="24"/>
        </w:rPr>
        <w:fldChar w:fldCharType="end"/>
      </w:r>
      <w:r w:rsidR="0081483D">
        <w:rPr>
          <w:rFonts w:ascii="Calibri" w:eastAsia="Calibri" w:hAnsi="Calibri" w:cs="Times New Roman"/>
          <w:sz w:val="24"/>
          <w:szCs w:val="24"/>
        </w:rPr>
        <w:t xml:space="preserve"> </w:t>
      </w:r>
      <w:r w:rsidRPr="00CF1D1E">
        <w:rPr>
          <w:rFonts w:ascii="Calibri" w:eastAsia="Calibri" w:hAnsi="Calibri" w:cs="Times New Roman"/>
          <w:sz w:val="24"/>
          <w:szCs w:val="24"/>
        </w:rPr>
        <w:fldChar w:fldCharType="begin" w:fldLock="1"/>
      </w:r>
      <w:r w:rsidR="00B61A01">
        <w:rPr>
          <w:rFonts w:ascii="Calibri" w:eastAsia="Calibri" w:hAnsi="Calibri" w:cs="Times New Roman"/>
          <w:sz w:val="24"/>
          <w:szCs w:val="24"/>
        </w:rPr>
        <w:instrText>ADDIN CSL_CITATION {"citationItems":[{"id":"ITEM-1","itemData":{"DOI":"10.1021/tx0002536","ISBN":"0893-228X (Print)\\n0893-228X (Linking)","ISSN":"0893-228X","PMID":"11409941","abstract":"Tea has been proposed to have beneficial health effects which have been attributed to the polyphenolic compounds known as catechins. The bioavailability and biotransformation of these compounds, however, are not clearly understood. In this study, we used liquid chromatography/electrospray ionization-mass spectrometry (LC/ESI-MS) to determine urinary glucuronidated and sulfated tea catechins and their metabolites (including methylated and ring-fission metabolites) based on the detection of deprotonated molecular ions and aglycone fragment ions. The compound resolution was achieved both chromatographically and mass spectroscopically. After green tea administration, the major conjugates appeared in human, mouse, and rat urine samples were identified as monoglucuronides and monosulfates of (-)-epigallocatechin (EGC) and (-)-epicatechin. We also found O-methyl-EGC-O-glucuronides and -O-sulfates and O-methyl-epicatechin-O-sulfates in human urine. (-)-5-(3',4',5'-Trihydroxyphenyl)-gamma-valerolactone (M4) and (-)-5-(3',4'-dihydroxyphenyl)-gamma-valerolactone (M6), the ring-fission metabolites of EGC and (-)-epicatechin, respectively, were also predominantly in monoglucuronide and monosulfate forms in the urine. In comparison to rats, the urinary metabolite profiles of tea catechins in mice resemble more closely to those in humans. This is the first report describing direct simultaneous analysis of multiple tea catechin conjugates in urine samples. This method will allow more thorough investigations of the biotransformation of tea polyphenols.","author":[{"dropping-particle":"","family":"Li","given":"C","non-dropping-particle":"","parse-names":false,"suffix":""},{"dropping-particle":"","family":"Meng","given":"X","non-dropping-particle":"","parse-names":false,"suffix":""},{"dropping-particle":"","family":"Winnik","given":"B","non-dropping-particle":"","parse-names":false,"suffix":""},{"dropping-particle":"","family":"Lee","given":"M J","non-dropping-particle":"","parse-names":false,"suffix":""},{"dropping-particle":"","family":"Lu","given":"H","non-dropping-particle":"","parse-names":false,"suffix":""},{"dropping-particle":"","family":"Sheng","given":"S","non-dropping-particle":"","parse-names":false,"suffix":""},{"dropping-particle":"","family":"Buckley","given":"B","non-dropping-particle":"","parse-names":false,"suffix":""},{"dropping-particle":"","family":"Yang","given":"C S","non-dropping-particle":"","parse-names":false,"suffix":""}],"container-title":"Chem Res Toxicol","id":"ITEM-1","issue":"6","issued":{"date-parts":[["2001"]]},"page":"702-707","title":"Analysis of urinary metabolites of tea catechins by liquid chromatography/electrospray ionization mass spectrometry","type":"article-journal","volume":"14"},"uris":["http://www.mendeley.com/documents/?uuid=e24021ba-2653-4858-bc46-cb6643df9ba5"]}],"mendeley":{"formattedCitation":"(Li et al., 2001)","manualFormatting":"Li et al., 2001, ","plainTextFormattedCitation":"(Li et al., 2001)","previouslyFormattedCitation":"(Li et al., 2001)"},"properties":{"noteIndex":0},"schema":"https://github.com/citation-style-language/schema/raw/master/csl-citation.json"}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Li </w:t>
      </w:r>
      <w:r w:rsidR="00941740" w:rsidRPr="00C2398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2001</w:t>
      </w:r>
      <w:r w:rsidR="0081483D">
        <w:rPr>
          <w:rFonts w:ascii="Calibri" w:eastAsia="Calibri" w:hAnsi="Calibri" w:cs="Times New Roman"/>
          <w:noProof/>
          <w:sz w:val="24"/>
          <w:szCs w:val="24"/>
        </w:rPr>
        <w:t xml:space="preserve">, </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fldChar w:fldCharType="begin" w:fldLock="1"/>
      </w:r>
      <w:r w:rsidR="0081483D">
        <w:rPr>
          <w:rFonts w:ascii="Calibri" w:eastAsia="Calibri" w:hAnsi="Calibri" w:cs="Times New Roman"/>
          <w:sz w:val="24"/>
          <w:szCs w:val="24"/>
        </w:rPr>
        <w:instrText>ADDIN CSL_CITATION {"citationItems":[{"id":"ITEM-1","itemData":{"DOI":"10.3390/ijms18030512","ISSN":"1422-0067","abstract":"Phoenix dacylifera is an ancient palm species rich in (poly)phenols. These phenolic compounds were tentatively identified by using liquid chromatography coupled with ion spray mass spectrometry in tandem mode (LC/MS/MS) with negative ion detection. Negative identification of the compounds was based on their retention times and mass spectra in full scan mode (MS), and in different MS/MS modes. For the first time, complete hypothesis, and routs for both p-coumaroylshikimic acids (CoSA) and caffeoylshikimic acids (CSA) were suggested and confirmed by Density Fonctional Theory (DFT) study. Notably, of the 53 compounds characterized, 19 hydroxycinnamates derivatives were tentativelycharacterized in male flowers of date palm and 15 of them were recorded for the first time. In addition, five organic acids, six B-type proanthocyanidins, two anthocyanidin and 21 flavonoid derivatives have been tentatively characterized. Identification of B-type proanthocyanidins were based on the diagnostic ions resulting from heterocyclic ring fission (HRF) and retro-Diels-Alder (RDA) reaction of flavan-3-ol provided information on the hydroxylation pattern and the type of inter-flavan bond proanthocyanidins. The sequence of proanthocyanidins was detected through ions extracted from quinone methide (QM) cleavage of the inter-flavan bond.","author":[{"dropping-particle":"","family":"Said","given":"Ridha","non-dropping-particle":"Ben","parse-names":false,"suffix":""},{"dropping-particle":"","family":"I. Hamed","given":"Arafa","non-dropping-particle":"","parse-names":false,"suffix":""},{"dropping-particle":"","family":"A. Mahalel","given":"Usam","non-dropping-particle":"","parse-names":false,"suffix":""},{"dropping-particle":"","family":"Sulaiman Al-Ayed","given":"Abdullah","non-dropping-particle":"","parse-names":false,"suffix":""},{"dropping-particle":"","family":"Kowalczyk","given":"Mariusz","non-dropping-particle":"","parse-names":false,"suffix":""},{"dropping-particle":"","family":"Moldoch","given":"Jaroslaw","non-dropping-particle":"","parse-names":false,"suffix":""},{"dropping-particle":"","family":"Oleszek","given":"Wieslaw","non-dropping-particle":"","parse-names":false,"suffix":""},{"dropping-particle":"","family":"Stochmal","given":"Anna","non-dropping-particle":"","parse-names":false,"suffix":""}],"container-title":"International Journal of Molecular Sciences","id":"ITEM-1","issue":"3","issued":{"date-parts":[["2017"]]},"page":"512","title":"Tentative Characterization of Polyphenolic Compounds in the Male Flowers of Phoenix dactylifera by Liquid Chromatography Coupled with Mass Spectrometry and DFT","type":"article-journal","volume":"18"},"uris":["http://www.mendeley.com/documents/?uuid=691e9a69-d8da-4333-be28-096a9eb0fa84"]}],"mendeley":{"formattedCitation":"(Ben Said et al., 2017)","manualFormatting":"Ben Said et al., 2017)","plainTextFormattedCitation":"(Ben Said et al., 2017)","previouslyFormattedCitation":"(Ben Said et al., 2017)"},"properties":{"noteIndex":0},"schema":"https://github.com/citation-style-language/schema/raw/master/csl-citation.json"}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Ben Said </w:t>
      </w:r>
      <w:r w:rsidR="00941740" w:rsidRPr="00C2398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see Fig.7 below.</w:t>
      </w:r>
    </w:p>
    <w:p w:rsidR="00CF1D1E" w:rsidRPr="00CF1D1E" w:rsidRDefault="00991D84" w:rsidP="00CF1D1E">
      <w:pPr>
        <w:spacing w:line="360" w:lineRule="auto"/>
        <w:rPr>
          <w:rFonts w:ascii="Calibri" w:eastAsia="Calibri" w:hAnsi="Calibri" w:cs="Times New Roman"/>
          <w:sz w:val="23"/>
          <w:szCs w:val="23"/>
        </w:rPr>
      </w:pPr>
      <w:r>
        <w:rPr>
          <w:rFonts w:ascii="Calibri" w:eastAsia="Calibri" w:hAnsi="Calibri" w:cs="Times New Roman"/>
          <w:noProof/>
          <w:sz w:val="23"/>
          <w:szCs w:val="23"/>
          <w:lang w:eastAsia="en-GB"/>
        </w:rPr>
        <w:lastRenderedPageBreak/>
        <w:drawing>
          <wp:inline distT="0" distB="0" distL="0" distR="0">
            <wp:extent cx="5572125" cy="4276725"/>
            <wp:effectExtent l="0" t="0" r="9525" b="952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2125" cy="4276725"/>
                    </a:xfrm>
                    <a:prstGeom prst="rect">
                      <a:avLst/>
                    </a:prstGeom>
                    <a:noFill/>
                    <a:ln>
                      <a:noFill/>
                    </a:ln>
                  </pic:spPr>
                </pic:pic>
              </a:graphicData>
            </a:graphic>
          </wp:inline>
        </w:drawing>
      </w:r>
    </w:p>
    <w:p w:rsidR="00CF1D1E" w:rsidRPr="00CF1D1E" w:rsidRDefault="007F2908" w:rsidP="00CF1D1E">
      <w:pPr>
        <w:spacing w:line="360" w:lineRule="auto"/>
        <w:rPr>
          <w:rFonts w:ascii="Calibri" w:eastAsia="Calibri" w:hAnsi="Calibri" w:cs="Times New Roman"/>
          <w:sz w:val="20"/>
          <w:szCs w:val="20"/>
        </w:rPr>
      </w:pPr>
      <w:r>
        <w:rPr>
          <w:rFonts w:ascii="Calibri" w:eastAsia="Calibri" w:hAnsi="Calibri" w:cs="Times New Roman"/>
          <w:sz w:val="20"/>
          <w:szCs w:val="20"/>
        </w:rPr>
        <w:t xml:space="preserve">Fig.7 </w:t>
      </w:r>
      <w:r w:rsidR="00CF1D1E" w:rsidRPr="00CF1D1E">
        <w:rPr>
          <w:rFonts w:ascii="Calibri" w:eastAsia="Calibri" w:hAnsi="Calibri" w:cs="Times New Roman"/>
          <w:sz w:val="20"/>
          <w:szCs w:val="20"/>
        </w:rPr>
        <w:t xml:space="preserve">MS-MS spectrum of epicatechin in negative mode by direct infusion on the LCQ </w:t>
      </w:r>
      <w:proofErr w:type="spellStart"/>
      <w:r w:rsidR="00CF1D1E" w:rsidRPr="00CF1D1E">
        <w:rPr>
          <w:rFonts w:ascii="Calibri" w:eastAsia="Calibri" w:hAnsi="Calibri" w:cs="Times New Roman"/>
          <w:sz w:val="20"/>
          <w:szCs w:val="20"/>
        </w:rPr>
        <w:t>Deca</w:t>
      </w:r>
      <w:proofErr w:type="spellEnd"/>
      <w:r w:rsidR="00CF1D1E" w:rsidRPr="00CF1D1E">
        <w:rPr>
          <w:rFonts w:ascii="Calibri" w:eastAsia="Calibri" w:hAnsi="Calibri" w:cs="Times New Roman"/>
          <w:sz w:val="20"/>
          <w:szCs w:val="20"/>
        </w:rPr>
        <w:t>.</w:t>
      </w:r>
    </w:p>
    <w:p w:rsidR="00CF1D1E" w:rsidRPr="00CF1D1E" w:rsidRDefault="00CF1D1E" w:rsidP="00CF1D1E">
      <w:pPr>
        <w:spacing w:line="360" w:lineRule="auto"/>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The loss of 44 (CH</w:t>
      </w:r>
      <w:r w:rsidRPr="00CF1D1E">
        <w:rPr>
          <w:rFonts w:ascii="Calibri" w:eastAsia="Calibri" w:hAnsi="Calibri" w:cs="Times New Roman"/>
          <w:sz w:val="24"/>
          <w:szCs w:val="24"/>
          <w:vertAlign w:val="subscript"/>
        </w:rPr>
        <w:t>3</w:t>
      </w:r>
      <w:r w:rsidRPr="00CF1D1E">
        <w:rPr>
          <w:rFonts w:ascii="Calibri" w:eastAsia="Calibri" w:hAnsi="Calibri" w:cs="Times New Roman"/>
          <w:sz w:val="24"/>
          <w:szCs w:val="24"/>
        </w:rPr>
        <w:t xml:space="preserve">CHO) from 289m/z to create the dominant 245m/z ion was confirmed in literature as a key feature of this MS-MS spectrum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{"citationItems":[{"id":"ITEM-1","itemData":{"DOI":"10.1002/jssc.201400853","ISSN":"16159314","PMID":"25280343","abstract":"A rapid and sensitive ultra high performance liquid chromatography electrospray ionization tandem mass spectrometry method was developed and validated for the simultaneous determination of 13 flavonoids in leaf, stem, and fruit extracts of male and female trees of Ginkgo biloba to investigate gender- and age-related variations of flavonoids content. Chromatographic separation was accomplished on an Acquity UPLC BEH C18 column (50 mm × 2.1 mm id, 1.7 μm) in 5 min. Quantitation was performed using negative electrospray ionization mass spectrometry in multiple reaction monitoring mode. The calibration curves of all analytes showed a good linear relationship (r(2) ≥ 0.9977) over the concentration range of 1-1000 ng/mL. The precision evaluated by an intra- and interday study showed RSD ≤ 1.98% and good accuracy with overall recovery in the range from 97.90 to 101.09% (RSD ≤ 1.67%) for all analytes. The method sensitivity expressed as the limit of quantitation was typically 0.25-3.57 ng/mL. The results showed that the total content of 13 flavonoids was higher in the leaf extract of an old male Ginkgo tree compared to young female Ginkgo trees.","author":[{"dropping-particle":"","family":"Pandey","given":"Renu","non-dropping-particle":"","parse-names":false,"suffix":""},{"dropping-particle":"","family":"Chandra","given":"Preeti","non-dropping-particle":"","parse-names":false,"suffix":""},{"dropping-particle":"","family":"Arya","given":"Kamal Ram","non-dropping-particle":"","parse-names":false,"suffix":""},{"dropping-particle":"","family":"Kumar","given":"Brijesh","non-dropping-particle":"","parse-names":false,"suffix":""}],"container-title":"Journal of Separation Science","id":"ITEM-1","issue":"24","issued":{"date-parts":[["2014"]]},"page":"3610-3618","title":"Development and validation of an ultra high performance liquid chromatography electrospray ionization tandem mass spectrometry method for the simultaneous determination of selected flavonoids in Ginkgo biloba","type":"article-journal","volume":"37"},"uris":["http://www.mendeley.com/documents/?uuid=630c9e52-66c6-4f9b-9edb-395d77befaa6"]}],"mendeley":{"formattedCitation":"(Pandey et al., 2014)","plainTextFormattedCitation":"(Pandey et al., 2014)","previouslyFormattedCitation":"(Pandey et al.,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(Pandey </w:t>
      </w:r>
      <w:r w:rsidR="00941740" w:rsidRPr="00C2398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 standard containing a range of polyphenolic compounds was prepared based on their relevance in publications and also cost and availability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Kıvrak","given":"İbrahim","non-dropping-particle":"","parse-names":false,"suffix":""},{"dropping-particle":"","family":"Kıvrak","given":"Şeyda","non-dropping-particle":"","parse-names":false,"suffix":""},{"dropping-particle":"","family":"Harmandar","given":"Mansur","non-dropping-particle":"","parse-names":false,"suffix":""},{"dropping-particle":"","family":"Çetintaş","given":"Yunus","non-dropping-particle":"","parse-names":false,"suffix":""}],"container-title":"Records of Natural Products","id":"ITEM-1","issue":"October 2013","issued":{"date-parts":[["2013"]]},"page":"313-319","title":"Phenolic Compounds of Pinus brutia Ten: Chemical Investigation and Quantitative Analysis Using an Ultra-Performance Liquid Chromatography Tandem Mass Spectrometry with Electrospray Ionization Source","type":"article-journal","volume":"7"},"uris":["http://www.mendeley.com/documents/?uuid=64beabfd-d253-4dcf-bbce-10844f0f7831"]}],"mendeley":{"formattedCitation":"(Kıvrak et al., 2013)","plainTextFormattedCitation":"(Kıvrak et al., 2013)","previouslyFormattedCitation":"(Kıvrak et al.,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(Kıvrak </w:t>
      </w:r>
      <w:r w:rsidR="00941740" w:rsidRPr="000C214B">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The standard was weighed into a grade A volumetric flask</w:t>
      </w:r>
      <w:r w:rsidR="00500C15" w:rsidRPr="00500C15">
        <w:rPr>
          <w:rFonts w:ascii="Calibri" w:eastAsia="Calibri" w:hAnsi="Calibri" w:cs="Times New Roman"/>
          <w:sz w:val="24"/>
          <w:szCs w:val="24"/>
        </w:rPr>
        <w:t>, aiming for a concentration in the 100mg/l range</w:t>
      </w:r>
      <w:r w:rsidRPr="00CF1D1E">
        <w:rPr>
          <w:rFonts w:ascii="Calibri" w:eastAsia="Calibri" w:hAnsi="Calibri" w:cs="Times New Roman"/>
          <w:sz w:val="24"/>
          <w:szCs w:val="24"/>
        </w:rPr>
        <w:t xml:space="preserve">. The components chosen were </w:t>
      </w:r>
      <w:proofErr w:type="spellStart"/>
      <w:r w:rsidRPr="00CF1D1E">
        <w:rPr>
          <w:rFonts w:ascii="Calibri" w:eastAsia="Calibri" w:hAnsi="Calibri" w:cs="Times New Roman"/>
          <w:sz w:val="24"/>
          <w:szCs w:val="24"/>
        </w:rPr>
        <w:t>vanillic</w:t>
      </w:r>
      <w:proofErr w:type="spellEnd"/>
      <w:r w:rsidRPr="00CF1D1E">
        <w:rPr>
          <w:rFonts w:ascii="Calibri" w:eastAsia="Calibri" w:hAnsi="Calibri" w:cs="Times New Roman"/>
          <w:sz w:val="24"/>
          <w:szCs w:val="24"/>
        </w:rPr>
        <w:t xml:space="preserve"> acid, </w:t>
      </w:r>
      <w:proofErr w:type="spellStart"/>
      <w:r w:rsidRPr="00CF1D1E">
        <w:rPr>
          <w:rFonts w:ascii="Calibri" w:eastAsia="Calibri" w:hAnsi="Calibri" w:cs="Times New Roman"/>
          <w:sz w:val="24"/>
          <w:szCs w:val="24"/>
        </w:rPr>
        <w:t>caffeic</w:t>
      </w:r>
      <w:proofErr w:type="spellEnd"/>
      <w:r w:rsidRPr="00CF1D1E">
        <w:rPr>
          <w:rFonts w:ascii="Calibri" w:eastAsia="Calibri" w:hAnsi="Calibri" w:cs="Times New Roman"/>
          <w:sz w:val="24"/>
          <w:szCs w:val="24"/>
        </w:rPr>
        <w:t xml:space="preserve"> acid, (-)-epicatechin, p-</w:t>
      </w:r>
      <w:proofErr w:type="spellStart"/>
      <w:r w:rsidRPr="00CF1D1E">
        <w:rPr>
          <w:rFonts w:ascii="Calibri" w:eastAsia="Calibri" w:hAnsi="Calibri" w:cs="Times New Roman"/>
          <w:sz w:val="24"/>
          <w:szCs w:val="24"/>
        </w:rPr>
        <w:t>coumaric</w:t>
      </w:r>
      <w:proofErr w:type="spellEnd"/>
      <w:r w:rsidRPr="00CF1D1E">
        <w:rPr>
          <w:rFonts w:ascii="Calibri" w:eastAsia="Calibri" w:hAnsi="Calibri" w:cs="Times New Roman"/>
          <w:sz w:val="24"/>
          <w:szCs w:val="24"/>
        </w:rPr>
        <w:t xml:space="preserve"> acid, t-</w:t>
      </w:r>
      <w:proofErr w:type="spellStart"/>
      <w:r w:rsidRPr="00CF1D1E">
        <w:rPr>
          <w:rFonts w:ascii="Calibri" w:eastAsia="Calibri" w:hAnsi="Calibri" w:cs="Times New Roman"/>
          <w:sz w:val="24"/>
          <w:szCs w:val="24"/>
        </w:rPr>
        <w:t>ferulic</w:t>
      </w:r>
      <w:proofErr w:type="spellEnd"/>
      <w:r w:rsidRPr="00CF1D1E">
        <w:rPr>
          <w:rFonts w:ascii="Calibri" w:eastAsia="Calibri" w:hAnsi="Calibri" w:cs="Times New Roman"/>
          <w:sz w:val="24"/>
          <w:szCs w:val="24"/>
        </w:rPr>
        <w:t xml:space="preserve"> acid and quercetin</w:t>
      </w:r>
      <w:r w:rsidR="00500C15">
        <w:rPr>
          <w:rFonts w:ascii="Calibri" w:eastAsia="Calibri" w:hAnsi="Calibri" w:cs="Times New Roman"/>
          <w:sz w:val="24"/>
          <w:szCs w:val="24"/>
        </w:rPr>
        <w:t>.</w:t>
      </w:r>
      <w:r w:rsidRPr="00CF1D1E">
        <w:rPr>
          <w:rFonts w:ascii="Calibri" w:eastAsia="Calibri" w:hAnsi="Calibri" w:cs="Times New Roman"/>
          <w:sz w:val="24"/>
          <w:szCs w:val="24"/>
        </w:rPr>
        <w:t xml:space="preserve"> The components were dissolved in 50:50 </w:t>
      </w:r>
      <w:proofErr w:type="spellStart"/>
      <w:r w:rsidRPr="00CF1D1E">
        <w:rPr>
          <w:rFonts w:ascii="Calibri" w:eastAsia="Calibri" w:hAnsi="Calibri" w:cs="Times New Roman"/>
          <w:sz w:val="24"/>
          <w:szCs w:val="24"/>
        </w:rPr>
        <w:t>wat</w:t>
      </w:r>
      <w:r w:rsidR="00500C15">
        <w:rPr>
          <w:rFonts w:ascii="Calibri" w:eastAsia="Calibri" w:hAnsi="Calibri" w:cs="Times New Roman"/>
          <w:sz w:val="24"/>
          <w:szCs w:val="24"/>
        </w:rPr>
        <w:t>er</w:t>
      </w:r>
      <w:proofErr w:type="gramStart"/>
      <w:r w:rsidR="00500C15">
        <w:rPr>
          <w:rFonts w:ascii="Calibri" w:eastAsia="Calibri" w:hAnsi="Calibri" w:cs="Times New Roman"/>
          <w:sz w:val="24"/>
          <w:szCs w:val="24"/>
        </w:rPr>
        <w:t>:methanol</w:t>
      </w:r>
      <w:proofErr w:type="spellEnd"/>
      <w:proofErr w:type="gramEnd"/>
      <w:r w:rsidR="00500C15">
        <w:rPr>
          <w:rFonts w:ascii="Calibri" w:eastAsia="Calibri" w:hAnsi="Calibri" w:cs="Times New Roman"/>
          <w:sz w:val="24"/>
          <w:szCs w:val="24"/>
        </w:rPr>
        <w:t xml:space="preserve"> (MS grade for both). </w:t>
      </w:r>
    </w:p>
    <w:p w:rsidR="00CF1D1E" w:rsidRPr="00E85AC2" w:rsidRDefault="00CF1D1E" w:rsidP="00E85AC2">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Although adding protons in order to create negative ions see</w:t>
      </w:r>
      <w:r w:rsidR="00986110">
        <w:rPr>
          <w:rFonts w:ascii="Calibri" w:eastAsia="Calibri" w:hAnsi="Calibri" w:cs="Times New Roman"/>
          <w:sz w:val="24"/>
          <w:szCs w:val="24"/>
        </w:rPr>
        <w:t xml:space="preserve">ms counter-intuitive it </w:t>
      </w:r>
      <w:r w:rsidRPr="00CF1D1E">
        <w:rPr>
          <w:rFonts w:ascii="Calibri" w:eastAsia="Calibri" w:hAnsi="Calibri" w:cs="Times New Roman"/>
          <w:sz w:val="24"/>
          <w:szCs w:val="24"/>
        </w:rPr>
        <w:t xml:space="preserve">works in practice. This observation has been reported by many research groups and is often referred to as “wrong-way-round”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{"citationItems":[{"id":"ITEM-1","itemData":{"DOI":"10.1093/chromsci/bmr049","ISBN":"4994194319","ISSN":"00219665","PMID":"22337798","abstract":"Organic extractables (substances extracted from materials used in pharmaceutical packaging) are discovered, identified, and quantified via screening of extracts with analytical methods including liquid chromatography with mass spectrometric detection (LC-MS). Because extractables include a large number of diverse compounds that are typically present in plastic extracts at low levels, the LC-MS methods must be broad scope and sensitive. To accomplish these objectives, screening studies typically couple gradient reversed-phase separations with electrospray MS detection (both positive and negative ion modes). While such methods are generally applicable for a number of extractables, they are not optimal for some commonly encountered extractables due to either poor chromatographic performance (e.g., peak tailing) or poor MS response. Modifications to mobile phase composition (e.g., pH adjustment) were examined to improve the performance of an LC-MS screening method. The use of 0.1% acetic acid with 1 mM ammonium acetate (pH 3.6) as the aqueous portion of the mobile phase provided favorable sensitivities for a number of extractables both in positive and negative ion modes. In positive ion mode, the acidic mobile phase improved responses for moderately weak basic compounds by increasing their degree of protonation. For very weak basic compounds such as amides, ammonium ions in the mobile phase promoted proton adduct responses. In negative ion mode, an acidic mobile phase containing acetate anion improved ESI responses for acidic compounds, primarily due to gas phase effects.","author":[{"dropping-particle":"","family":"Hua","given":"Yousheng","non-dropping-particle":"","parse-names":false,"suffix":""},{"dropping-particle":"","family":"Jenke","given":"Dennis","non-dropping-particle":"","parse-names":false,"suffix":""}],"container-title":"Journal of Chromatographic Science","id":"ITEM-1","issue":"3","issued":{"date-parts":[["2012"]]},"page":"213-227","title":"Increasing the sensitivity of an LCMS method for screening material extracts for organic extractables via mobile phase optimization","type":"article-journal","volume":"50"},"uris":["http://www.mendeley.com/documents/?uuid=3e6c4847-ec8b-462f-b5c2-0c7737b267ad"]}],"mendeley":{"formattedCitation":"(Hua &amp; Jenke, 2012)","plainTextFormattedCitation":"(Hua &amp; Jenke, 2012)","previouslyFormattedCitation":"(Hua &amp; Jenke, 2012)"},"properties":{"noteIndex":0},"schema":"https://github.com/citation-style-language/schema/raw/master/csl-citation.json"}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(Hua &amp; Jenke, 2012)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In this paper it is suggested that weak acids have an electrochemical effect at the ESI tip</w:t>
      </w:r>
      <w:r w:rsidR="00500C15">
        <w:rPr>
          <w:rFonts w:ascii="Calibri" w:eastAsia="Calibri" w:hAnsi="Calibri" w:cs="Times New Roman"/>
          <w:sz w:val="24"/>
          <w:szCs w:val="24"/>
        </w:rPr>
        <w:t>,</w:t>
      </w:r>
      <w:r w:rsidRPr="00CF1D1E">
        <w:rPr>
          <w:rFonts w:ascii="Calibri" w:eastAsia="Calibri" w:hAnsi="Calibri" w:cs="Times New Roman"/>
          <w:sz w:val="24"/>
          <w:szCs w:val="24"/>
        </w:rPr>
        <w:t xml:space="preserve"> which facilitates negative ion production by deprotonation. Furthermore, it was suggested that acetic acid would perform better than formic acid as a mobile phase modifier due its higher gas phase proton affinity. By conducting </w:t>
      </w:r>
      <w:r w:rsidRPr="00CF1D1E">
        <w:rPr>
          <w:rFonts w:ascii="Calibri" w:eastAsia="Calibri" w:hAnsi="Calibri" w:cs="Times New Roman"/>
          <w:sz w:val="24"/>
          <w:szCs w:val="24"/>
        </w:rPr>
        <w:lastRenderedPageBreak/>
        <w:t xml:space="preserve">a comparison in the laboratory, a marked improvement was observed by using acetic acid as a modifier rather than formic acid. This finding was further validated by the graphic below from the Agilent LC Handbook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{"citationItems":[{"id":"ITEM-1","itemData":{"abstract":"Guide to LC Columns and Method Development","author":[{"dropping-particle":"","family":"Agilent Technologies","given":"","non-dropping-particle":"","parse-names":false,"suffix":""}],"id":"ITEM-1","issued":{"date-parts":[["2015"]]},"page":"163","title":"The LC Handbook","type":"article-journal"},"uris":["http://www.mendeley.com/documents/?uuid=75d111a7-1fbc-4e75-8bed-15faf760b60e"]}],"mendeley":{"formattedCitation":"(Agilent Technologies, 2015)","plainTextFormattedCitation":"(Agilent Technologies, 2015)","previouslyFormattedCitation":"(Agilent Technologies,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(Agilent Technologies, 2015)</w:t>
      </w:r>
      <w:r w:rsidRPr="00CF1D1E">
        <w:rPr>
          <w:rFonts w:ascii="Calibri" w:eastAsia="Calibri" w:hAnsi="Calibri" w:cs="Times New Roman"/>
          <w:sz w:val="24"/>
          <w:szCs w:val="24"/>
        </w:rPr>
        <w:fldChar w:fldCharType="end"/>
      </w:r>
      <w:r w:rsidR="00E85AC2">
        <w:rPr>
          <w:rFonts w:ascii="Calibri" w:eastAsia="Calibri" w:hAnsi="Calibri" w:cs="Times New Roman"/>
          <w:sz w:val="24"/>
          <w:szCs w:val="24"/>
        </w:rPr>
        <w:t xml:space="preserve"> (p.105).</w:t>
      </w:r>
    </w:p>
    <w:p w:rsidR="00CF1D1E" w:rsidRPr="00CF1D1E" w:rsidRDefault="00CF1D1E" w:rsidP="00CF1D1E">
      <w:pPr>
        <w:spacing w:line="360" w:lineRule="auto"/>
        <w:rPr>
          <w:rFonts w:ascii="Calibri" w:eastAsia="Calibri" w:hAnsi="Calibri" w:cs="Times New Roman"/>
          <w:sz w:val="23"/>
          <w:szCs w:val="23"/>
        </w:rPr>
      </w:pPr>
      <w:r w:rsidRPr="00CF1D1E">
        <w:rPr>
          <w:rFonts w:ascii="Calibri" w:eastAsia="Calibri" w:hAnsi="Calibri" w:cs="Times New Roman"/>
          <w:noProof/>
          <w:lang w:eastAsia="en-GB"/>
        </w:rPr>
        <w:drawing>
          <wp:inline distT="0" distB="0" distL="0" distR="0" wp14:anchorId="220AD465" wp14:editId="1482F572">
            <wp:extent cx="5731510" cy="3098165"/>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098165"/>
                    </a:xfrm>
                    <a:prstGeom prst="rect">
                      <a:avLst/>
                    </a:prstGeom>
                  </pic:spPr>
                </pic:pic>
              </a:graphicData>
            </a:graphic>
          </wp:inline>
        </w:drawing>
      </w:r>
    </w:p>
    <w:p w:rsidR="00CF1D1E" w:rsidRPr="00CF1D1E" w:rsidRDefault="00380DFC" w:rsidP="00CF1D1E">
      <w:pPr>
        <w:spacing w:line="360" w:lineRule="auto"/>
        <w:rPr>
          <w:rFonts w:ascii="Calibri" w:eastAsia="Calibri" w:hAnsi="Calibri" w:cs="Times New Roman"/>
          <w:sz w:val="20"/>
          <w:szCs w:val="20"/>
        </w:rPr>
      </w:pPr>
      <w:r>
        <w:rPr>
          <w:rFonts w:ascii="Calibri" w:eastAsia="Calibri" w:hAnsi="Calibri" w:cs="Times New Roman"/>
          <w:sz w:val="20"/>
          <w:szCs w:val="20"/>
        </w:rPr>
        <w:t>Fig.8</w:t>
      </w:r>
      <w:r w:rsidR="00D06927">
        <w:rPr>
          <w:rFonts w:ascii="Calibri" w:eastAsia="Calibri" w:hAnsi="Calibri" w:cs="Times New Roman"/>
          <w:sz w:val="20"/>
          <w:szCs w:val="20"/>
        </w:rPr>
        <w:t xml:space="preserve"> Scree</w:t>
      </w:r>
      <w:r w:rsidR="00CF1D1E" w:rsidRPr="00CF1D1E">
        <w:rPr>
          <w:rFonts w:ascii="Calibri" w:eastAsia="Calibri" w:hAnsi="Calibri" w:cs="Times New Roman"/>
          <w:sz w:val="20"/>
          <w:szCs w:val="20"/>
        </w:rPr>
        <w:t>ning of mobile phase modifiers for tea analysis using ESI with an Agilent Poroshell 120 SB-C18. (Reproduced with the kind permission of Agilent UK Ltd.)</w:t>
      </w:r>
    </w:p>
    <w:p w:rsidR="00E85AC2" w:rsidRDefault="00E85AC2" w:rsidP="00CF1D1E">
      <w:pPr>
        <w:spacing w:line="360" w:lineRule="auto"/>
        <w:jc w:val="both"/>
        <w:rPr>
          <w:rFonts w:ascii="Calibri" w:eastAsia="Calibri" w:hAnsi="Calibri" w:cs="Times New Roman"/>
          <w:sz w:val="20"/>
          <w:szCs w:val="20"/>
        </w:rPr>
      </w:pPr>
    </w:p>
    <w:p w:rsid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 xml:space="preserve">To add to this, it was observed that an improvement in response was gained by </w:t>
      </w:r>
      <w:r w:rsidRPr="00CF1D1E">
        <w:rPr>
          <w:rFonts w:ascii="Calibri" w:eastAsia="Calibri" w:hAnsi="Calibri" w:cs="Times New Roman"/>
          <w:i/>
          <w:sz w:val="24"/>
          <w:szCs w:val="24"/>
        </w:rPr>
        <w:t>decreasing</w:t>
      </w:r>
      <w:r w:rsidRPr="00CF1D1E">
        <w:rPr>
          <w:rFonts w:ascii="Calibri" w:eastAsia="Calibri" w:hAnsi="Calibri" w:cs="Times New Roman"/>
          <w:sz w:val="24"/>
          <w:szCs w:val="24"/>
        </w:rPr>
        <w:t xml:space="preserve"> the concentration of acetic acid from 0.2% to 0.1%.  It was therefore chosen to use 0.1% MS grade acetic acid as the mobile phase modifier.</w:t>
      </w:r>
    </w:p>
    <w:p w:rsidR="00986110" w:rsidRPr="00CF1D1E" w:rsidRDefault="00986110" w:rsidP="00986110">
      <w:pPr>
        <w:spacing w:line="360" w:lineRule="auto"/>
        <w:jc w:val="both"/>
        <w:rPr>
          <w:rFonts w:ascii="Calibri" w:eastAsia="Calibri" w:hAnsi="Calibri" w:cs="Times New Roman"/>
          <w:sz w:val="24"/>
          <w:szCs w:val="24"/>
        </w:rPr>
      </w:pPr>
      <w:r>
        <w:rPr>
          <w:rFonts w:ascii="Calibri" w:eastAsia="Calibri" w:hAnsi="Calibri" w:cs="Times New Roman"/>
          <w:sz w:val="24"/>
          <w:szCs w:val="24"/>
        </w:rPr>
        <w:tab/>
      </w:r>
      <w:r w:rsidRPr="00CF1D1E">
        <w:rPr>
          <w:rFonts w:ascii="Calibri" w:eastAsia="Calibri" w:hAnsi="Calibri" w:cs="Times New Roman"/>
          <w:sz w:val="24"/>
          <w:szCs w:val="24"/>
        </w:rPr>
        <w:t xml:space="preserve">Sonication was used to ensure that components were thoroughly dissolved. Direct infusion was performed in negative mode with this standard. Parent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daughter transitions </w:t>
      </w:r>
      <w:r>
        <w:rPr>
          <w:rFonts w:ascii="Calibri" w:eastAsia="Calibri" w:hAnsi="Calibri" w:cs="Times New Roman"/>
          <w:sz w:val="24"/>
          <w:szCs w:val="24"/>
        </w:rPr>
        <w:t>(</w:t>
      </w:r>
      <w:r w:rsidR="00DC5503">
        <w:rPr>
          <w:rFonts w:ascii="Calibri" w:eastAsia="Calibri" w:hAnsi="Calibri" w:cs="Times New Roman"/>
          <w:sz w:val="24"/>
          <w:szCs w:val="24"/>
        </w:rPr>
        <w:t>T</w:t>
      </w:r>
      <w:r>
        <w:rPr>
          <w:rFonts w:ascii="Calibri" w:eastAsia="Calibri" w:hAnsi="Calibri" w:cs="Times New Roman"/>
          <w:sz w:val="24"/>
          <w:szCs w:val="24"/>
        </w:rPr>
        <w:t xml:space="preserve">ab. 5) </w:t>
      </w:r>
      <w:r w:rsidRPr="00CF1D1E">
        <w:rPr>
          <w:rFonts w:ascii="Calibri" w:eastAsia="Calibri" w:hAnsi="Calibri" w:cs="Times New Roman"/>
          <w:sz w:val="24"/>
          <w:szCs w:val="24"/>
        </w:rPr>
        <w:t xml:space="preserve">were as expected based on publications </w:t>
      </w:r>
      <w:r w:rsidRPr="00CF1D1E">
        <w:rPr>
          <w:rFonts w:ascii="Calibri" w:eastAsia="Calibri" w:hAnsi="Calibri" w:cs="Times New Roman"/>
          <w:sz w:val="24"/>
          <w:szCs w:val="24"/>
        </w:rPr>
        <w:fldChar w:fldCharType="begin" w:fldLock="1"/>
      </w:r>
      <w:r>
        <w:rPr>
          <w:rFonts w:ascii="Calibri" w:eastAsia="Calibri" w:hAnsi="Calibri" w:cs="Times New Roman"/>
          <w:sz w:val="24"/>
          <w:szCs w:val="24"/>
        </w:rPr>
        <w:instrText>ADDIN CSL_CITATION {"citationItems":[{"id":"ITEM-1","itemData":{"author":[{"dropping-particle":"","family":"Kıvrak","given":"İbrahim","non-dropping-particle":"","parse-names":false,"suffix":""},{"dropping-particle":"","family":"Kıvrak","given":"Şeyda","non-dropping-particle":"","parse-names":false,"suffix":""},{"dropping-particle":"","family":"Harmandar","given":"Mansur","non-dropping-particle":"","parse-names":false,"suffix":""},{"dropping-particle":"","family":"Çetintaş","given":"Yunus","non-dropping-particle":"","parse-names":false,"suffix":""}],"container-title":"Records of Natural Products","id":"ITEM-1","issue":"October 2013","issued":{"date-parts":[["2013"]]},"page":"313-319","title":"Phenolic Compounds of Pinus brutia Ten: Chemical Investigation and Quantitative Analysis Using an Ultra-Performance Liquid Chromatography Tandem Mass Spectrometry with Electrospray Ionization Source","type":"article-journal","volume":"7"},"uris":["http://www.mendeley.com/documents/?uuid=64beabfd-d253-4dcf-bbce-10844f0f7831"]}],"mendeley":{"formattedCitation":"(Kıvrak et al., 2013)","plainTextFormattedCitation":"(Kıvrak et al., 2013)","previouslyFormattedCitation":"(Kıvrak et al., 2013)"},"properties":{"noteIndex":0},"schema":"https://github.com/citation-style-language/schema/raw/master/csl-citation.json"}</w:instrText>
      </w:r>
      <w:r w:rsidRPr="00CF1D1E">
        <w:rPr>
          <w:rFonts w:ascii="Calibri" w:eastAsia="Calibri" w:hAnsi="Calibri" w:cs="Times New Roman"/>
          <w:sz w:val="24"/>
          <w:szCs w:val="24"/>
        </w:rPr>
        <w:fldChar w:fldCharType="separate"/>
      </w:r>
      <w:r w:rsidRPr="00941740">
        <w:rPr>
          <w:rFonts w:ascii="Calibri" w:eastAsia="Calibri" w:hAnsi="Calibri" w:cs="Times New Roman"/>
          <w:noProof/>
          <w:sz w:val="24"/>
          <w:szCs w:val="24"/>
        </w:rPr>
        <w:t xml:space="preserve">(Kıvrak </w:t>
      </w:r>
      <w:r w:rsidRPr="00C23987">
        <w:rPr>
          <w:rFonts w:ascii="Calibri" w:eastAsia="Calibri" w:hAnsi="Calibri" w:cs="Times New Roman"/>
          <w:i/>
          <w:noProof/>
          <w:sz w:val="24"/>
          <w:szCs w:val="24"/>
        </w:rPr>
        <w:t>et al</w:t>
      </w:r>
      <w:r w:rsidRPr="00941740">
        <w:rPr>
          <w:rFonts w:ascii="Calibri" w:eastAsia="Calibri" w:hAnsi="Calibri" w:cs="Times New Roman"/>
          <w:noProof/>
          <w:sz w:val="24"/>
          <w:szCs w:val="24"/>
        </w:rPr>
        <w:t>.,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39CE" w:rsidRDefault="00CF1D1E" w:rsidP="00E85AC2">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design of the method was developed through reading published articles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{"citationItems":[{"id":"ITEM-1","itemData":{"DOI":"10.1002/jsfa.3591","ISSN":"00225142","abstract":"BACKGROUND: The most common commercially available pine bark extract is Pycnogenol®, a standardised extract of Pinus maritima, which has been reported to have cardiovascular benefits and enhance microcirculation. The present study was conducted to determine the chemical composition of four pine bark extracts, assess their biological activities and to compare the results with Pycnogenol®. RESULTS: The Pinus species were analysed by LC and LC-MS; extracts of P. brutia and P. nigra showed higher levels of phenolic constituents compared to P. sylvestris and P. pinea. In particular, P. brutia contained extremely high concentrations of taxifolin (18.5%). The highest radical scavenging activities were attained with P. pinea (88.6%), P. nigra (87.2%) and P. brutia (86.4%) bark extracts. Additionally, anticarcinogenic effects of the extracts and their kinetics were determined in four cell lines including human prostate (PC-3, DU 145, LNCaP) and breast adenocarcinoma (MCF7) by the MTT assay. Cell viability was reduced to 40% by extracts of P. pinea, and P. sylvestris in PC-3 cells showing a similar effect like the positive control, CPT-11. CONCLUSION: Pinus species other than P. maritima definitively possess high biological activities, and therefore present a huge potential to be utilised in the food and the pharmaceutical industries. Copyright © 2009 Society of Chemical Industry","author":[{"dropping-particle":"","family":"Yesil-Celiktas","given":"Ozlem","non-dropping-particle":"","parse-names":false,"suffix":""},{"dropping-particle":"","family":"Ganzera","given":"Markus","non-dropping-particle":"","parse-names":false,"suffix":""},{"dropping-particle":"","family":"Akgun","given":"Ismail","non-dropping-particle":"","parse-names":false,"suffix":""},{"dropping-particle":"","family":"Sevimli","given":"Canan","non-dropping-particle":"","parse-names":false,"suffix":""},{"dropping-particle":"","family":"Korkmaza","given":"Kemal S.","non-dropping-particle":"","parse-names":false,"suffix":""},{"dropping-particle":"","family":"Bedira","given":"Erdal","non-dropping-particle":"","parse-names":false,"suffix":""}],"container-title":"Journal of the Science of Food and Agriculture","id":"ITEM-1","issue":"8","issued":{"date-parts":[["2009"]]},"page":"1339-1345","title":"Determination of polyphenolic constituents and biological activities of bark extracts from different Pinus species","type":"article-journal","volume":"89"},"uris":["http://www.mendeley.com/documents/?uuid=088ce4b4-f6ef-41e1-be5b-adae908c85d3"]},{"id":"ITEM-2","itemData":{"author":[{"dropping-particle":"","family":"Kıvrak","given":"İbrahim","non-dropping-particle":"","parse-names":false,"suffix":""},{"dropping-particle":"","family":"Kıvrak","given":"Şeyda","non-dropping-particle":"","parse-names":false,"suffix":""},{"dropping-particle":"","family":"Harmandar","given":"Mansur","non-dropping-particle":"","parse-names":false,"suffix":""},{"dropping-particle":"","family":"Çetintaş","given":"Yunus","non-dropping-particle":"","parse-names":false,"suffix":""}],"container-title":"Records of Natural Products","id":"ITEM-2","issue":"October 2013","issued":{"date-parts":[["2013"]]},"page":"313-319","title":"Phenolic Compounds of Pinus brutia Ten: Chemical Investigation and Quantitative Analysis Using an Ultra-Performance Liquid Chromatography Tandem Mass Spectrometry with Electrospray Ionization Source","type":"article-journal","volume":"7"},"uris":["http://www.mendeley.com/documents/?uuid=64beabfd-d253-4dcf-bbce-10844f0f7831"]}],"mendeley":{"formattedCitation":"(Kıvrak et al., 2013; Yesil-Celiktas et al., 2009)","plainTextFormattedCitation":"(Kıvrak et al., 2013; Yesil-Celiktas et al., 2009)","previouslyFormattedCitation":"(Kıvrak et al., 2013; Yesil-Celiktas et al.,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(Kıvrak </w:t>
      </w:r>
      <w:r w:rsidR="00941740" w:rsidRPr="002E3314">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xml:space="preserve">., 2013; Yesil-Celiktas </w:t>
      </w:r>
      <w:r w:rsidR="00941740" w:rsidRPr="00C2398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 Agilent’s application note on Green Tea Analysis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{"citationItems":[{"id":"ITEM-1","itemData":{"author":[{"dropping-particle":"","family":"Mack","given":"Anne E","non-dropping-particle":"","parse-names":false,"suffix":""},{"dropping-particle":"","family":"Long","given":"William J","non-dropping-particle":"","parse-names":false,"suffix":""}],"container-title":"Agilent Technologies: Application Note","id":"ITEM-1","issued":{"date-parts":[["2011"]]},"page":"1-10","title":"Rapid Tea Analysis on Poroshell 120 SB-C18 with LC / MS Application Note","type":"article-journal"},"uris":["http://www.mendeley.com/documents/?uuid=fbe2ae6c-0c07-403f-98b5-b73b8ed5fcdb"]}],"mendeley":{"formattedCitation":"(Mack &amp; Long, 2011)","plainTextFormattedCitation":"(Mack &amp; Long, 2011)","previouslyFormattedCitation":"(Mack &amp; Long, 2011)"},"properties":{"noteIndex":0},"schema":"https://github.com/citation-style-language/schema/raw/master/csl-citation.json"}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(Mack &amp; Long, 2011)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r w:rsidR="00CF39CE">
        <w:rPr>
          <w:rFonts w:ascii="Calibri" w:eastAsia="Calibri" w:hAnsi="Calibri" w:cs="Times New Roman"/>
          <w:sz w:val="24"/>
          <w:szCs w:val="24"/>
        </w:rPr>
        <w:t>. An Agilent</w:t>
      </w:r>
      <w:r w:rsidRPr="00CF1D1E">
        <w:rPr>
          <w:rFonts w:ascii="Calibri" w:eastAsia="Calibri" w:hAnsi="Calibri" w:cs="Times New Roman"/>
          <w:sz w:val="24"/>
          <w:szCs w:val="24"/>
        </w:rPr>
        <w:t xml:space="preserve"> Poroshell 120 SB-C18 column</w:t>
      </w:r>
      <w:r w:rsidR="00DE1905">
        <w:rPr>
          <w:rFonts w:ascii="Calibri" w:eastAsia="Calibri" w:hAnsi="Calibri" w:cs="Times New Roman"/>
          <w:sz w:val="24"/>
          <w:szCs w:val="24"/>
        </w:rPr>
        <w:t xml:space="preserve"> (</w:t>
      </w:r>
      <w:r w:rsidR="00DE1905" w:rsidRPr="00CF1D1E">
        <w:rPr>
          <w:rFonts w:ascii="Calibri" w:eastAsia="Calibri" w:hAnsi="Calibri" w:cs="Times New Roman"/>
          <w:sz w:val="24"/>
          <w:szCs w:val="24"/>
        </w:rPr>
        <w:t>10cm x 2.1mm x 2.7μm</w:t>
      </w:r>
      <w:r w:rsidR="00DE1905">
        <w:rPr>
          <w:rFonts w:ascii="Calibri" w:eastAsia="Calibri" w:hAnsi="Calibri" w:cs="Times New Roman"/>
          <w:sz w:val="24"/>
          <w:szCs w:val="24"/>
        </w:rPr>
        <w:t>)</w:t>
      </w:r>
      <w:r w:rsidRPr="00CF1D1E">
        <w:rPr>
          <w:rFonts w:ascii="Calibri" w:eastAsia="Calibri" w:hAnsi="Calibri" w:cs="Times New Roman"/>
          <w:sz w:val="24"/>
          <w:szCs w:val="24"/>
        </w:rPr>
        <w:t xml:space="preserve"> </w:t>
      </w:r>
      <w:r w:rsidR="00CF39CE" w:rsidRPr="00CF39CE">
        <w:rPr>
          <w:rFonts w:ascii="Calibri" w:eastAsia="Calibri" w:hAnsi="Calibri" w:cs="Times New Roman"/>
          <w:i/>
          <w:sz w:val="24"/>
          <w:szCs w:val="24"/>
        </w:rPr>
        <w:t>or equivalent</w:t>
      </w:r>
      <w:r w:rsidR="00CF39CE">
        <w:rPr>
          <w:rFonts w:ascii="Calibri" w:eastAsia="Calibri" w:hAnsi="Calibri" w:cs="Times New Roman"/>
          <w:sz w:val="24"/>
          <w:szCs w:val="24"/>
        </w:rPr>
        <w:t xml:space="preserve"> </w:t>
      </w:r>
      <w:r w:rsidRPr="00CF1D1E">
        <w:rPr>
          <w:rFonts w:ascii="Calibri" w:eastAsia="Calibri" w:hAnsi="Calibri" w:cs="Times New Roman"/>
          <w:sz w:val="24"/>
          <w:szCs w:val="24"/>
        </w:rPr>
        <w:t xml:space="preserve">was </w:t>
      </w:r>
      <w:r w:rsidR="00CF39CE">
        <w:rPr>
          <w:rFonts w:ascii="Calibri" w:eastAsia="Calibri" w:hAnsi="Calibri" w:cs="Times New Roman"/>
          <w:sz w:val="24"/>
          <w:szCs w:val="24"/>
        </w:rPr>
        <w:t>used throughout this thesis.</w:t>
      </w:r>
    </w:p>
    <w:p w:rsidR="00CF39CE" w:rsidRPr="00CF1D1E" w:rsidRDefault="00CF39CE" w:rsidP="00CF39CE">
      <w:pPr>
        <w:rPr>
          <w:rFonts w:ascii="Calibri" w:eastAsia="Calibri" w:hAnsi="Calibri" w:cs="Times New Roman"/>
          <w:sz w:val="24"/>
          <w:szCs w:val="24"/>
        </w:rPr>
      </w:pPr>
      <w:r>
        <w:rPr>
          <w:rFonts w:ascii="Calibri" w:eastAsia="Calibri" w:hAnsi="Calibri" w:cs="Times New Roman"/>
          <w:sz w:val="24"/>
          <w:szCs w:val="24"/>
        </w:rPr>
        <w:br w:type="page"/>
      </w:r>
    </w:p>
    <w:p w:rsidR="00CF1D1E" w:rsidRPr="00CF1D1E" w:rsidRDefault="00CF1D1E" w:rsidP="00CF1D1E">
      <w:pPr>
        <w:spacing w:line="360" w:lineRule="auto"/>
        <w:rPr>
          <w:rFonts w:ascii="Calibri" w:eastAsia="Calibri" w:hAnsi="Calibri" w:cs="Times New Roman"/>
          <w:b/>
          <w:sz w:val="36"/>
          <w:szCs w:val="36"/>
        </w:rPr>
      </w:pPr>
      <w:r w:rsidRPr="00CF1D1E">
        <w:rPr>
          <w:rFonts w:ascii="Calibri" w:eastAsia="Calibri" w:hAnsi="Calibri" w:cs="Times New Roman"/>
          <w:b/>
          <w:sz w:val="36"/>
          <w:szCs w:val="36"/>
        </w:rPr>
        <w:lastRenderedPageBreak/>
        <w:t>1.21 Synapt G2-Si Untargeted Method (HDMS</w:t>
      </w:r>
      <w:r w:rsidRPr="00CF1D1E">
        <w:rPr>
          <w:rFonts w:ascii="Calibri" w:eastAsia="Calibri" w:hAnsi="Calibri" w:cs="Times New Roman"/>
          <w:b/>
          <w:sz w:val="36"/>
          <w:szCs w:val="36"/>
          <w:vertAlign w:val="superscript"/>
        </w:rPr>
        <w:t>e</w:t>
      </w:r>
      <w:r w:rsidRPr="00CF1D1E">
        <w:rPr>
          <w:rFonts w:ascii="Calibri" w:eastAsia="Calibri" w:hAnsi="Calibri" w:cs="Times New Roman"/>
          <w:b/>
          <w:sz w:val="36"/>
          <w:szCs w:val="36"/>
        </w:rPr>
        <w:t>)</w:t>
      </w:r>
    </w:p>
    <w:p w:rsidR="00CF1D1E" w:rsidRPr="00CF1D1E" w:rsidRDefault="00CF1D1E" w:rsidP="005A1D68">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This type of experiment </w:t>
      </w:r>
      <w:r w:rsidR="00F109E0">
        <w:rPr>
          <w:rFonts w:ascii="Calibri" w:eastAsia="Calibri" w:hAnsi="Calibri" w:cs="Times New Roman"/>
          <w:sz w:val="24"/>
          <w:szCs w:val="24"/>
        </w:rPr>
        <w:t>is referred to in many different ways</w:t>
      </w:r>
      <w:r w:rsidRPr="00CF1D1E">
        <w:rPr>
          <w:rFonts w:ascii="Calibri" w:eastAsia="Calibri" w:hAnsi="Calibri" w:cs="Times New Roman"/>
          <w:sz w:val="24"/>
          <w:szCs w:val="24"/>
        </w:rPr>
        <w:t xml:space="preserve"> by the </w:t>
      </w:r>
      <w:r w:rsidR="00F109E0">
        <w:rPr>
          <w:rFonts w:ascii="Calibri" w:eastAsia="Calibri" w:hAnsi="Calibri" w:cs="Times New Roman"/>
          <w:sz w:val="24"/>
          <w:szCs w:val="24"/>
        </w:rPr>
        <w:t xml:space="preserve">main </w:t>
      </w:r>
      <w:r w:rsidR="002267F8">
        <w:rPr>
          <w:rFonts w:ascii="Calibri" w:eastAsia="Calibri" w:hAnsi="Calibri" w:cs="Times New Roman"/>
          <w:sz w:val="24"/>
          <w:szCs w:val="24"/>
        </w:rPr>
        <w:t xml:space="preserve">MS </w:t>
      </w:r>
      <w:r w:rsidR="002267F8" w:rsidRPr="00CF1D1E">
        <w:rPr>
          <w:rFonts w:ascii="Calibri" w:eastAsia="Calibri" w:hAnsi="Calibri" w:cs="Times New Roman"/>
          <w:sz w:val="24"/>
          <w:szCs w:val="24"/>
        </w:rPr>
        <w:t>equipment</w:t>
      </w:r>
      <w:r w:rsidRPr="00CF1D1E">
        <w:rPr>
          <w:rFonts w:ascii="Calibri" w:eastAsia="Calibri" w:hAnsi="Calibri" w:cs="Times New Roman"/>
          <w:sz w:val="24"/>
          <w:szCs w:val="24"/>
        </w:rPr>
        <w:t xml:space="preserve"> manufactures but this is essentially a method for the discovery of new components of interest. HD is Waters reference to ion mobility and </w:t>
      </w:r>
      <w:proofErr w:type="spellStart"/>
      <w:r w:rsidRPr="00CF1D1E">
        <w:rPr>
          <w:rFonts w:ascii="Calibri" w:eastAsia="Calibri" w:hAnsi="Calibri" w:cs="Times New Roman"/>
          <w:sz w:val="24"/>
          <w:szCs w:val="24"/>
        </w:rPr>
        <w:t>MS</w:t>
      </w:r>
      <w:r w:rsidRPr="00CF1D1E">
        <w:rPr>
          <w:rFonts w:ascii="Calibri" w:eastAsia="Calibri" w:hAnsi="Calibri" w:cs="Times New Roman"/>
          <w:sz w:val="24"/>
          <w:szCs w:val="24"/>
          <w:vertAlign w:val="superscript"/>
        </w:rPr>
        <w:t>e</w:t>
      </w:r>
      <w:proofErr w:type="spellEnd"/>
      <w:r w:rsidRPr="00CF1D1E">
        <w:rPr>
          <w:rFonts w:ascii="Calibri" w:eastAsia="Calibri" w:hAnsi="Calibri" w:cs="Times New Roman"/>
          <w:sz w:val="24"/>
          <w:szCs w:val="24"/>
          <w:vertAlign w:val="superscript"/>
        </w:rPr>
        <w:t xml:space="preserve"> </w:t>
      </w:r>
      <w:r w:rsidRPr="00CF1D1E">
        <w:rPr>
          <w:rFonts w:ascii="Calibri" w:eastAsia="Calibri" w:hAnsi="Calibri" w:cs="Times New Roman"/>
          <w:sz w:val="24"/>
          <w:szCs w:val="24"/>
        </w:rPr>
        <w:t>is the Waters terminology for an acquisition that gathers MS data, within a specified m/z range, on all the parent ions that elute. All parent ions are subsequently fragmented to create daughter ions. The Synapt G2-Si is a Q-ToF MS with incorporated ion mobility (see Fig.11). Ion mobility data, acquired as drift time, can be converted to collision cross section values (CCS) once calibrated against a known reference. File sizes for this mode of acquisition are large and the data is complex. The data was acquired and stored as continuum spectral data (also know</w:t>
      </w:r>
      <w:r w:rsidR="00F84396">
        <w:rPr>
          <w:rFonts w:ascii="Calibri" w:eastAsia="Calibri" w:hAnsi="Calibri" w:cs="Times New Roman"/>
          <w:sz w:val="24"/>
          <w:szCs w:val="24"/>
        </w:rPr>
        <w:t>n</w:t>
      </w:r>
      <w:r w:rsidRPr="00CF1D1E">
        <w:rPr>
          <w:rFonts w:ascii="Calibri" w:eastAsia="Calibri" w:hAnsi="Calibri" w:cs="Times New Roman"/>
          <w:sz w:val="24"/>
          <w:szCs w:val="24"/>
        </w:rPr>
        <w:t xml:space="preserve"> as ‘profile’ data). The lockmass signal for mass correction was acquired but not applied at </w:t>
      </w:r>
      <w:r w:rsidR="00F109E0">
        <w:rPr>
          <w:rFonts w:ascii="Calibri" w:eastAsia="Calibri" w:hAnsi="Calibri" w:cs="Times New Roman"/>
          <w:sz w:val="24"/>
          <w:szCs w:val="24"/>
        </w:rPr>
        <w:t>this stage</w:t>
      </w:r>
      <w:r w:rsidR="00E10AA7">
        <w:rPr>
          <w:rFonts w:ascii="Calibri" w:eastAsia="Calibri" w:hAnsi="Calibri" w:cs="Times New Roman"/>
          <w:sz w:val="24"/>
          <w:szCs w:val="24"/>
        </w:rPr>
        <w:t xml:space="preserve"> as the mass correction was applied later in Progenesis QI</w:t>
      </w:r>
      <w:r w:rsidR="00F109E0">
        <w:rPr>
          <w:rFonts w:ascii="Calibri" w:eastAsia="Calibri" w:hAnsi="Calibri" w:cs="Times New Roman"/>
          <w:sz w:val="24"/>
          <w:szCs w:val="24"/>
        </w:rPr>
        <w:t>. A powerful computer and</w:t>
      </w:r>
      <w:r w:rsidRPr="00CF1D1E">
        <w:rPr>
          <w:rFonts w:ascii="Calibri" w:eastAsia="Calibri" w:hAnsi="Calibri" w:cs="Times New Roman"/>
          <w:sz w:val="24"/>
          <w:szCs w:val="24"/>
        </w:rPr>
        <w:t xml:space="preserve"> informatics software </w:t>
      </w:r>
      <w:r w:rsidR="00F109E0">
        <w:rPr>
          <w:rFonts w:ascii="Calibri" w:eastAsia="Calibri" w:hAnsi="Calibri" w:cs="Times New Roman"/>
          <w:sz w:val="24"/>
          <w:szCs w:val="24"/>
        </w:rPr>
        <w:t>are required for data processing which can often require more time than the data acquisition itself</w:t>
      </w:r>
      <w:r w:rsidRPr="00CF1D1E">
        <w:rPr>
          <w:rFonts w:ascii="Calibri" w:eastAsia="Calibri" w:hAnsi="Calibri" w:cs="Times New Roman"/>
          <w:sz w:val="24"/>
          <w:szCs w:val="24"/>
        </w:rPr>
        <w:t>. The qualitative results</w:t>
      </w:r>
      <w:r w:rsidR="00F109E0">
        <w:rPr>
          <w:rFonts w:ascii="Calibri" w:eastAsia="Calibri" w:hAnsi="Calibri" w:cs="Times New Roman"/>
          <w:sz w:val="24"/>
          <w:szCs w:val="24"/>
        </w:rPr>
        <w:t xml:space="preserve"> obtained</w:t>
      </w:r>
      <w:r w:rsidRPr="00CF1D1E">
        <w:rPr>
          <w:rFonts w:ascii="Calibri" w:eastAsia="Calibri" w:hAnsi="Calibri" w:cs="Times New Roman"/>
          <w:sz w:val="24"/>
          <w:szCs w:val="24"/>
        </w:rPr>
        <w:t xml:space="preserve"> are used as a stepping stone towards a targeted method, as described in sections 1.22, 1.23 and 1.24. This progression is only made once prospective new analytes of interest have been chosen from the untargeted/discovery stage. The discovery process for characterisation and advancement in understanding of plant material has been applied by many laboratories, examples of which are the publications of Ibrahim M. Abu </w:t>
      </w:r>
      <w:proofErr w:type="spellStart"/>
      <w:r w:rsidRPr="00CF1D1E">
        <w:rPr>
          <w:rFonts w:ascii="Calibri" w:eastAsia="Calibri" w:hAnsi="Calibri" w:cs="Times New Roman"/>
          <w:sz w:val="24"/>
          <w:szCs w:val="24"/>
        </w:rPr>
        <w:t>Riedah</w:t>
      </w:r>
      <w:proofErr w:type="spellEnd"/>
      <w:r w:rsidRPr="00CF1D1E">
        <w:rPr>
          <w:rFonts w:ascii="Calibri" w:eastAsia="Calibri" w:hAnsi="Calibri" w:cs="Times New Roman"/>
          <w:sz w:val="24"/>
          <w:szCs w:val="24"/>
        </w:rPr>
        <w:t xml:space="preserve">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{"citationItems":[{"id":"ITEM-1","itemData":{"DOI":"10.1016/j.foodres.2017.01.014","abstract":"a b s t r a c t Today, by-products generated from the agro-industrial practices are considered a key source of bioactive and functional components, that can be used for their nutritional and added value properties. New aspects concerning the use of these wastes as by-products in food production additives or supplements with high nutritional and medicinal value have gained substantial interest, due to their possession of economically high-value products. In this sense, the present study describes a thorough characterization of phytochemical compounds from hydro-methanolic extract of broad beans testa by using ultra-high performance liquid chromatography (UHPLC) hyphenated with quadrupole-time-of-flight tandem mass spectrometry (QTOF-MS). The proposed an-alytical technique provides tentative characterization of 134 phenolic and other phytochemical compounds in the Vicia faba extract, most of which have not been described so far in broad beans. Thus, N85 phytochemicals (Amino acids, phenolic acids, flavonoids, lignans, and terpenoids derivatives) are being reported herein in broad beans pods for the first time. The characterization process was carried out using MS and MS 2 data provided by the ESI-qTOF–MS, along with the use of the relevant literature based on the same botanical family. The data obtained demonstrates that the agro-industrial by-product could potentially be utilized as a promising source of bioactive ingredients to design new functional foods and nutraceuticals with a valuable future market. Further-more, the obtained data may form a basis for future quantitative and bioavailability studies, which will be the next step in this present work.","author":[{"dropping-particle":"","family":"Abu-Reidah","given":"Ibrahim M","non-dropping-particle":"","parse-names":false,"suffix":""},{"dropping-particle":"","family":"Arráez-Román","given":"David","non-dropping-particle":"","parse-names":false,"suffix":""},{"dropping-particle":"","family":"Warad","given":"Ismail","non-dropping-particle":"","parse-names":false,"suffix":""},{"dropping-particle":"","family":"Fernández-Gutiérrez","given":"Alberto","non-dropping-particle":"","parse-names":false,"suffix":""},{"dropping-particle":"","family":"Segura-Carretero","given":"Antonio","non-dropping-particle":"","parse-names":false,"suffix":""}],"id":"ITEM-1","issued":{"date-parts":[["2017"]]},"title":"UHPLC/MS 2 -based approach for the comprehensive metabolite profiling of bean (Vicia faba L.) by-products: A promising source of bioactive constituents","type":"article-journal"},"uris":["http://www.mendeley.com/documents/?uuid=07dc11b7-5353-384e-9a62-6ee3d9032457"]},{"id":"ITEM-2","itemData":{"DOI":"10.1016/j.foodres.2011.11.026","ISSN":"09639969","abstract":"Cucumber (Cucumis sativus L.) belongs to Cucurbitaceae family and it is widely cultivated and consumed in many varieties for its edible fruit (Cucumber) either in fresh or processed (pickled) forms. It is an important part of the traditional Mediterranean diet since antiquity due to its nutritional and medicinal properties. C. sativus is a rich source of polyphenols and it is used not only as food, but also in folk medicine, health-care and cosmetology. Therefore, due to the important role that cucumber plays in those fields, we have developed a simple and rapid method to characterize the polyphenolic compounds in an extract of Cucumis sativus L. using Reversed-Phase High-Performance Liquid Chromatography coupled to Electrospray Ionization Quadropole Time-of-Flight Mass Spectrometry (RP-HPLC-ESI-Q-TOF-MS). The accuracy of mass data generated by Q-TOF-MS together with the fragmentation pattern of the full scan run of MS/MS analysis have been a useful tool to tentatively characterize 73 phenolic compounds in the extract of the studied matrix. Most of these compounds are being reported here for the first time in Cucumber, highlighting the importance of Cucurbitaceae family as a source of natural bioactive antioxidants. © 2011 Elsevier Ltd.","author":[{"dropping-particle":"","family":"Abu-Reidah","given":"Ibrahim M.","non-dropping-particle":"","parse-names":false,"suffix":""},{"dropping-particle":"","family":"Arráez-Román","given":"David","non-dropping-particle":"","parse-names":false,"suffix":""},{"dropping-particle":"","family":"Quirantes-Piné","given":"Rosa","non-dropping-particle":"","parse-names":false,"suffix":""},{"dropping-particle":"","family":"Fernández-Arroyo","given":"Salvador","non-dropping-particle":"","parse-names":false,"suffix":""},{"dropping-particle":"","family":"Segura-Carretero","given":"Antonio","non-dropping-particle":"","parse-names":false,"suffix":""},{"dropping-particle":"","family":"Fernández-Gutiérrez","given":"Alberto","non-dropping-particle":"","parse-names":false,"suffix":""}],"container-title":"Food Research International","id":"ITEM-2","issue":"1","issued":{"date-parts":[["2012"]]},"page":"108-117","publisher":"Elsevier Ltd","title":"HPLC-ESI-Q-TOF-MS for a comprehensive characterization of bioactive phenolic compounds in cucumber whole fruit extract","type":"article-journal","volume":"46"},"uris":["http://www.mendeley.com/documents/?uuid=2f75105d-a481-4108-b8b8-3639255bd6fe"]},{"id":"ITEM-3","itemData":{"DOI":"10.1016/j.foodchem.2013.04.066","ISBN":"0308-8146","ISSN":"18737072","PMID":"23870957","abstract":"The aim of this work was to characterise the phenolic compounds in artichoke (hearts) by using HPLC coupled to DAD-ESI-QTOF-MS, which proved useful in characterising 61 phenolic and other polar compounds. Notably, of the 61 compounds characterised, 34 new phenolic compounds with their isomers have been tentatively characterised in artichoke for the first time, namely: 3 hydroxybenzoic acids, 17 hydroxycinnamic acids, 4 lignans, 7 flavones, 2 flavonols, and 1 phenol derivative. Moreover, a total of 28 isomers of previously described phenolics have also been detected. The data compiled from the qualitative polyphenol characterisation indicate that the artichoke extract analysed (Blanca de Tudela variety) could be regarded as a bioactive functional food and also as a promising source of antioxidant phenolic compounds. © 2013 Elsevier Ltd. All rights reserved.","author":[{"dropping-particle":"","family":"Abu-Reidah","given":"Ibrahim M.","non-dropping-particle":"","parse-names":false,"suffix":""},{"dropping-particle":"","family":"Arraez-Roman","given":"David","non-dropping-particle":"","parse-names":false,"suffix":""},{"dropping-particle":"","family":"Segura-Carretero","given":"Antonio","non-dropping-particle":"","parse-names":false,"suffix":""},{"dropping-particle":"","family":"Fernandez-Gutierrez","given":"Alberto","non-dropping-particle":"","parse-names":false,"suffix":""}],"container-title":"Food Chemistry","id":"ITEM-3","issue":"3","issued":{"date-parts":[["2013"]]},"page":"2269-2277","publisher":"Elsevier Ltd","title":"Extensive characterisation of bioactive phenolic constituents from globe artichoke (Cynara scolymus L.) by HPLC-DAD-ESI-QTOF-MS","type":"article-journal","volume":"141"},"uris":["http://www.mendeley.com/documents/?uuid=4460bf85-1b42-4a7b-bd84-625a24ffe8da"]},{"id":"ITEM-4","itemData":{"DOI":"10.1016/j.foodres.2012.12.033","ISBN":"0963-9969","ISSN":"09639969","abstract":"Watermelon, Citrullus lanatus (formerly Citrullus vulgaris), is a natural and rich source of the phytochemical compounds. In this regard, the use of high-performance liquid chromatography coupled with electrospray-quadrupole-time-of-flight mass spectrometry (HPLC-ESI-QTOF-MS) has shown to be a powerful technique for the characterization of phenolic and other polar compounds from a hydro-methanolic extract of watermelon. Thus, in the present work, 71 polar compounds such as phenolic acids, flavonoids, iridoids, coumarins, lignan, and other phenolic derivatives have been detected and characterized by using MS and MS/MS data provided by the QTOF-MS, in addition to using the relevant literature on the same botanical family. Watermelon flesh was found to contain an array of diverse phytochemical components. These results indicate that watermelon offers a good source of natural phyto-components. © 2013 Elsevier Ltd.","author":[{"dropping-particle":"","family":"Abu-Reidah","given":"Ibrahim M.","non-dropping-particle":"","parse-names":false,"suffix":""},{"dropping-particle":"","family":"Arráez-Román","given":"David","non-dropping-particle":"","parse-names":false,"suffix":""},{"dropping-particle":"","family":"Segura-Carretero","given":"Antonio","non-dropping-particle":"","parse-names":false,"suffix":""},{"dropping-particle":"","family":"Fernández-Gutiérrez","given":"Alberto","non-dropping-particle":"","parse-names":false,"suffix":""}],"container-title":"Food Research International","id":"ITEM-4","issue":"1","issued":{"date-parts":[["2013"]]},"page":"354-362","publisher":"Elsevier Ltd","title":"Profiling of phenolic and other polar constituents from hydro-methanolic extract of watermelon (Citrullus lanatus) by means of accurate-mass spectrometry (HPLC-ESI-QTOF-MS)","type":"article-journal","volume":"51"},"uris":["http://www.mendeley.com/documents/?uuid=41c5593b-376c-45ab-b9d2-b6d5fa1be349"]}],"mendeley":{"formattedCitation":"(Abu-Reidah et al., 2012; Abu-Reidah, Arráez-Román, Warad, Fernández-Gutiérrez, &amp; Segura-Carretero, 2017; Abu-Reidah, Arraez-Roman, Segura-Carretero, &amp; Fernandez-Gutierrez, 2013; Abu-Reidah, Arráez-Román, Segura-Carretero, &amp; Fernández-Gutiérrez, 2013)","plainTextFormattedCitation":"(Abu-Reidah et al., 2012; Abu-Reidah, Arráez-Román, Warad, Fernández-Gutiérrez, &amp; Segura-Carretero, 2017; Abu-Reidah, Arraez-Roman, Segura-Carretero, &amp; Fernandez-Gutierrez, 2013; Abu-Reidah, Arráez-Román, Segura-Carretero, &amp; Fernández-Gutiérrez, 2013)","previouslyFormattedCitation":"(Abu-Reidah et al., 2012; Abu-Reidah, Arráez-Román, Warad, Fernández-Gutiérrez, &amp; Segura-Carretero, 2017; Abu-Reidah, Arraez-Roman, Segura-Carretero, &amp; Fernandez-Gutierrez, 2013; Abu-Reidah, Arráez-Román, Segura-Carretero, &amp; Fernández-Gutiérrez,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(Abu-Reidah </w:t>
      </w:r>
      <w:r w:rsidR="00941740" w:rsidRPr="00C2398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2012; Abu-Reidah, Arráez-Román, Warad, Fernández-Gutiérrez, &amp; Segura-Carretero, 2017; Abu-Reidah, Arraez-Roman, Segura-Carretero, &amp; Fernandez-Gutierrez, 2013; Abu-Reidah, Arráez-Román, Segura-Carretero, &amp; Fernández-Gutiérrez,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t xml:space="preserve">The UPLC used was a Waters I-class instrument. The conditions below </w:t>
      </w:r>
      <w:r w:rsidR="005A1D68">
        <w:rPr>
          <w:rFonts w:ascii="Calibri" w:eastAsia="Calibri" w:hAnsi="Calibri" w:cs="Times New Roman"/>
          <w:sz w:val="24"/>
          <w:szCs w:val="24"/>
        </w:rPr>
        <w:t xml:space="preserve">(Tab.2) </w:t>
      </w:r>
      <w:r w:rsidRPr="00CF1D1E">
        <w:rPr>
          <w:rFonts w:ascii="Calibri" w:eastAsia="Calibri" w:hAnsi="Calibri" w:cs="Times New Roman"/>
          <w:sz w:val="24"/>
          <w:szCs w:val="24"/>
        </w:rPr>
        <w:t xml:space="preserve">are similar to the targeted analysis on the Xevo TQ-XS (section 1.22). Slight modifications were made to accommodate a Waters Cortecs UPLC C18+ 2.7u x 2.1mm x 100mm superficially porous column. The stationary phase has a slight modification compared to a standard C18 which is indicated by the plus sign. A positive charge is present on the surface of this stationary phase, </w:t>
      </w:r>
      <w:r w:rsidR="000A363F">
        <w:rPr>
          <w:rFonts w:ascii="Calibri" w:eastAsia="Calibri" w:hAnsi="Calibri" w:cs="Times New Roman"/>
          <w:sz w:val="24"/>
          <w:szCs w:val="24"/>
        </w:rPr>
        <w:t xml:space="preserve">which is </w:t>
      </w:r>
      <w:r w:rsidR="003608A6">
        <w:rPr>
          <w:rFonts w:ascii="Calibri" w:eastAsia="Calibri" w:hAnsi="Calibri" w:cs="Times New Roman"/>
          <w:sz w:val="24"/>
          <w:szCs w:val="24"/>
        </w:rPr>
        <w:t>has been shown</w:t>
      </w:r>
      <w:r w:rsidR="000A363F" w:rsidRPr="000A363F">
        <w:rPr>
          <w:rFonts w:ascii="Calibri" w:eastAsia="Calibri" w:hAnsi="Calibri" w:cs="Times New Roman"/>
          <w:sz w:val="24"/>
          <w:szCs w:val="24"/>
        </w:rPr>
        <w:t xml:space="preserve"> to </w:t>
      </w:r>
      <w:r w:rsidR="000A363F">
        <w:rPr>
          <w:rFonts w:ascii="Calibri" w:eastAsia="Calibri" w:hAnsi="Calibri" w:cs="Times New Roman"/>
          <w:sz w:val="24"/>
          <w:szCs w:val="24"/>
        </w:rPr>
        <w:t>provide good</w:t>
      </w:r>
      <w:r w:rsidR="000A363F" w:rsidRPr="000A363F">
        <w:rPr>
          <w:rFonts w:ascii="Calibri" w:eastAsia="Calibri" w:hAnsi="Calibri" w:cs="Times New Roman"/>
          <w:sz w:val="24"/>
          <w:szCs w:val="24"/>
        </w:rPr>
        <w:t xml:space="preserve"> peak shape </w:t>
      </w:r>
      <w:r w:rsidR="003608A6">
        <w:rPr>
          <w:rFonts w:ascii="Calibri" w:eastAsia="Calibri" w:hAnsi="Calibri" w:cs="Times New Roman"/>
          <w:sz w:val="24"/>
          <w:szCs w:val="24"/>
        </w:rPr>
        <w:t>for polyphenols</w:t>
      </w:r>
      <w:r w:rsidR="000A363F" w:rsidRPr="000A363F">
        <w:rPr>
          <w:rFonts w:ascii="Calibri" w:eastAsia="Calibri" w:hAnsi="Calibri" w:cs="Times New Roman"/>
          <w:sz w:val="24"/>
          <w:szCs w:val="24"/>
        </w:rPr>
        <w:t xml:space="preserve"> at low pH</w:t>
      </w:r>
      <w:r w:rsidRPr="00CF1D1E">
        <w:rPr>
          <w:rFonts w:ascii="Calibri" w:eastAsia="Calibri" w:hAnsi="Calibri" w:cs="Times New Roman"/>
          <w:sz w:val="24"/>
          <w:szCs w:val="24"/>
        </w:rPr>
        <w:t xml:space="preserve">. </w:t>
      </w:r>
      <w:r w:rsidR="00D06927">
        <w:rPr>
          <w:rFonts w:ascii="Calibri" w:eastAsia="Calibri" w:hAnsi="Calibri" w:cs="Times New Roman"/>
          <w:sz w:val="24"/>
          <w:szCs w:val="24"/>
        </w:rPr>
        <w:t xml:space="preserve">This column </w:t>
      </w:r>
      <w:r w:rsidRPr="00CF1D1E">
        <w:rPr>
          <w:rFonts w:ascii="Calibri" w:eastAsia="Calibri" w:hAnsi="Calibri" w:cs="Times New Roman"/>
          <w:sz w:val="24"/>
          <w:szCs w:val="24"/>
        </w:rPr>
        <w:t xml:space="preserve">was found to be very similar in performance to the Poroshell 120 when </w:t>
      </w:r>
      <w:r w:rsidR="00D06927">
        <w:rPr>
          <w:rFonts w:ascii="Calibri" w:eastAsia="Calibri" w:hAnsi="Calibri" w:cs="Times New Roman"/>
          <w:sz w:val="24"/>
          <w:szCs w:val="24"/>
        </w:rPr>
        <w:t>evaluated with standard components</w:t>
      </w:r>
      <w:r w:rsidRPr="00CF1D1E">
        <w:rPr>
          <w:rFonts w:ascii="Calibri" w:eastAsia="Calibri" w:hAnsi="Calibri" w:cs="Times New Roman"/>
          <w:sz w:val="24"/>
          <w:szCs w:val="24"/>
        </w:rPr>
        <w:t>.</w:t>
      </w:r>
    </w:p>
    <w:p w:rsidR="00CF1D1E" w:rsidRPr="00CF1D1E" w:rsidRDefault="00CF1D1E" w:rsidP="00CF1D1E">
      <w:pPr>
        <w:rPr>
          <w:rFonts w:ascii="Calibri" w:eastAsia="Calibri" w:hAnsi="Calibri" w:cs="Times New Roman"/>
          <w:sz w:val="24"/>
          <w:szCs w:val="24"/>
        </w:rPr>
      </w:pPr>
    </w:p>
    <w:tbl>
      <w:tblPr>
        <w:tblStyle w:val="TableGrid"/>
        <w:tblW w:w="0" w:type="auto"/>
        <w:tblInd w:w="470" w:type="dxa"/>
        <w:tblLook w:val="04A0" w:firstRow="1" w:lastRow="0" w:firstColumn="1" w:lastColumn="0" w:noHBand="0" w:noVBand="1"/>
      </w:tblPr>
      <w:tblGrid>
        <w:gridCol w:w="8075"/>
      </w:tblGrid>
      <w:tr w:rsidR="00CF1D1E" w:rsidRPr="00CF1D1E" w:rsidTr="00C8289C">
        <w:tc>
          <w:tcPr>
            <w:tcW w:w="8075" w:type="dxa"/>
          </w:tcPr>
          <w:p w:rsidR="00CF1D1E" w:rsidRPr="00CF1D1E" w:rsidRDefault="00502154" w:rsidP="00E10AA7">
            <w:pPr>
              <w:spacing w:line="360" w:lineRule="auto"/>
              <w:rPr>
                <w:rFonts w:ascii="Calibri" w:eastAsia="Calibri" w:hAnsi="Calibri" w:cs="Times New Roman"/>
                <w:sz w:val="24"/>
                <w:szCs w:val="24"/>
              </w:rPr>
            </w:pPr>
            <w:r>
              <w:rPr>
                <w:rFonts w:ascii="Calibri" w:eastAsia="Calibri" w:hAnsi="Calibri" w:cs="Times New Roman"/>
                <w:sz w:val="24"/>
                <w:szCs w:val="24"/>
              </w:rPr>
              <w:t>Mobile phase</w:t>
            </w:r>
            <w:proofErr w:type="gramStart"/>
            <w:r>
              <w:rPr>
                <w:rFonts w:ascii="Calibri" w:eastAsia="Calibri" w:hAnsi="Calibri" w:cs="Times New Roman"/>
                <w:sz w:val="24"/>
                <w:szCs w:val="24"/>
              </w:rPr>
              <w:t>:</w:t>
            </w:r>
            <w:r w:rsidR="00CF1D1E" w:rsidRPr="00CF1D1E">
              <w:rPr>
                <w:rFonts w:ascii="Calibri" w:eastAsia="Calibri" w:hAnsi="Calibri" w:cs="Times New Roman"/>
                <w:sz w:val="24"/>
                <w:szCs w:val="24"/>
              </w:rPr>
              <w:t>90</w:t>
            </w:r>
            <w:proofErr w:type="gramEnd"/>
            <w:r w:rsidR="00E10AA7">
              <w:rPr>
                <w:rFonts w:ascii="Calibri" w:eastAsia="Calibri" w:hAnsi="Calibri" w:cs="Times New Roman"/>
                <w:sz w:val="24"/>
                <w:szCs w:val="24"/>
              </w:rPr>
              <w:t>%A</w:t>
            </w:r>
            <w:r w:rsidR="00CF1D1E" w:rsidRPr="00CF1D1E">
              <w:rPr>
                <w:rFonts w:ascii="Calibri" w:eastAsia="Calibri" w:hAnsi="Calibri" w:cs="Times New Roman"/>
                <w:sz w:val="24"/>
                <w:szCs w:val="24"/>
              </w:rPr>
              <w:t>:10</w:t>
            </w:r>
            <w:r w:rsidR="00E10AA7">
              <w:rPr>
                <w:rFonts w:ascii="Calibri" w:eastAsia="Calibri" w:hAnsi="Calibri" w:cs="Times New Roman"/>
                <w:sz w:val="24"/>
                <w:szCs w:val="24"/>
              </w:rPr>
              <w:t>%B. A=Water 0.1% Acetic Acid,</w:t>
            </w:r>
            <w:r>
              <w:rPr>
                <w:rFonts w:ascii="Calibri" w:eastAsia="Calibri" w:hAnsi="Calibri" w:cs="Times New Roman"/>
                <w:sz w:val="24"/>
                <w:szCs w:val="24"/>
              </w:rPr>
              <w:t xml:space="preserve"> </w:t>
            </w:r>
            <w:r w:rsidR="00E10AA7">
              <w:rPr>
                <w:rFonts w:ascii="Calibri" w:eastAsia="Calibri" w:hAnsi="Calibri" w:cs="Times New Roman"/>
                <w:sz w:val="24"/>
                <w:szCs w:val="24"/>
              </w:rPr>
              <w:t>B=</w:t>
            </w:r>
            <w:r w:rsidR="00CF1D1E" w:rsidRPr="00CF1D1E">
              <w:rPr>
                <w:rFonts w:ascii="Calibri" w:eastAsia="Calibri" w:hAnsi="Calibri" w:cs="Times New Roman"/>
                <w:sz w:val="24"/>
                <w:szCs w:val="24"/>
              </w:rPr>
              <w:t>Me</w:t>
            </w:r>
            <w:r w:rsidR="00E10AA7">
              <w:rPr>
                <w:rFonts w:ascii="Calibri" w:eastAsia="Calibri" w:hAnsi="Calibri" w:cs="Times New Roman"/>
                <w:sz w:val="24"/>
                <w:szCs w:val="24"/>
              </w:rPr>
              <w:t>OH</w:t>
            </w:r>
            <w:r w:rsidR="00CF1D1E" w:rsidRPr="00CF1D1E">
              <w:rPr>
                <w:rFonts w:ascii="Calibri" w:eastAsia="Calibri" w:hAnsi="Calibri" w:cs="Times New Roman"/>
                <w:sz w:val="24"/>
                <w:szCs w:val="24"/>
              </w:rPr>
              <w:t xml:space="preserve"> 0.1% Acetic Acid</w:t>
            </w:r>
          </w:p>
        </w:tc>
      </w:tr>
      <w:tr w:rsidR="00CF1D1E" w:rsidRPr="00CF1D1E" w:rsidTr="00C8289C">
        <w:tc>
          <w:tcPr>
            <w:tcW w:w="8075"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Flow: 0.5 ml/min</w:t>
            </w:r>
          </w:p>
        </w:tc>
      </w:tr>
      <w:tr w:rsidR="00CF1D1E" w:rsidRPr="00CF1D1E" w:rsidTr="00C8289C">
        <w:tc>
          <w:tcPr>
            <w:tcW w:w="8075"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Column Oven: 40°C</w:t>
            </w:r>
          </w:p>
        </w:tc>
      </w:tr>
      <w:tr w:rsidR="00CF1D1E" w:rsidRPr="00CF1D1E" w:rsidTr="00C8289C">
        <w:trPr>
          <w:trHeight w:val="491"/>
        </w:trPr>
        <w:tc>
          <w:tcPr>
            <w:tcW w:w="8075" w:type="dxa"/>
          </w:tcPr>
          <w:p w:rsidR="00CF1D1E" w:rsidRPr="00CF1D1E" w:rsidRDefault="00CF1D1E" w:rsidP="00CF1D1E">
            <w:pPr>
              <w:autoSpaceDE w:val="0"/>
              <w:autoSpaceDN w:val="0"/>
              <w:adjustRightInd w:val="0"/>
              <w:rPr>
                <w:rFonts w:ascii="Calibri" w:eastAsia="Calibri" w:hAnsi="Calibri" w:cs="Times New Roman"/>
                <w:sz w:val="24"/>
                <w:szCs w:val="24"/>
              </w:rPr>
            </w:pPr>
            <w:r w:rsidRPr="00CF1D1E">
              <w:rPr>
                <w:rFonts w:ascii="Calibri" w:eastAsia="Calibri" w:hAnsi="Calibri" w:cs="Times New Roman"/>
                <w:sz w:val="24"/>
                <w:szCs w:val="24"/>
              </w:rPr>
              <w:t>Injection volume: 1</w:t>
            </w:r>
            <w:r w:rsidRPr="00CF1D1E">
              <w:rPr>
                <w:rFonts w:ascii="Calibri" w:eastAsia="Calibri" w:hAnsi="Calibri" w:cs="Calibri"/>
                <w:sz w:val="24"/>
                <w:szCs w:val="24"/>
              </w:rPr>
              <w:t>μ</w:t>
            </w:r>
            <w:r w:rsidRPr="00CF1D1E">
              <w:rPr>
                <w:rFonts w:ascii="Calibri" w:eastAsia="Calibri" w:hAnsi="Calibri" w:cs="Times New Roman"/>
                <w:sz w:val="24"/>
                <w:szCs w:val="24"/>
              </w:rPr>
              <w:t>l</w:t>
            </w:r>
          </w:p>
        </w:tc>
      </w:tr>
      <w:tr w:rsidR="00CF1D1E" w:rsidRPr="00CF1D1E" w:rsidTr="00C8289C">
        <w:tc>
          <w:tcPr>
            <w:tcW w:w="8075"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Gradient: 90:10 initially to 0:100 over 4 min, back to 90:10 over 0.2 min.</w:t>
            </w:r>
          </w:p>
        </w:tc>
      </w:tr>
      <w:tr w:rsidR="00CF1D1E" w:rsidRPr="00CF1D1E" w:rsidTr="00C8289C">
        <w:tc>
          <w:tcPr>
            <w:tcW w:w="8075"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Hold at this combination for 0.8 min to equilibrate prior to the next injection. </w:t>
            </w:r>
          </w:p>
        </w:tc>
      </w:tr>
    </w:tbl>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0"/>
          <w:szCs w:val="20"/>
        </w:rPr>
      </w:pPr>
      <w:r w:rsidRPr="00CF1D1E">
        <w:rPr>
          <w:rFonts w:ascii="Calibri" w:eastAsia="Calibri" w:hAnsi="Calibri" w:cs="Times New Roman"/>
          <w:sz w:val="20"/>
          <w:szCs w:val="20"/>
        </w:rPr>
        <w:t>Tab.2 I-Class UPLC method conditions</w:t>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lang w:val="en"/>
        </w:rPr>
        <w:t xml:space="preserve">The conditions used for the </w:t>
      </w:r>
      <w:r w:rsidR="000555D0">
        <w:rPr>
          <w:rFonts w:ascii="Calibri" w:eastAsia="Calibri" w:hAnsi="Calibri" w:cs="Times New Roman"/>
          <w:sz w:val="24"/>
          <w:szCs w:val="24"/>
          <w:lang w:val="en"/>
        </w:rPr>
        <w:t>Synapt G2-Si MS</w:t>
      </w:r>
      <w:r w:rsidRPr="00CF1D1E">
        <w:rPr>
          <w:rFonts w:ascii="Calibri" w:eastAsia="Calibri" w:hAnsi="Calibri" w:cs="Times New Roman"/>
          <w:sz w:val="24"/>
          <w:szCs w:val="24"/>
          <w:lang w:val="en"/>
        </w:rPr>
        <w:t xml:space="preserve"> were;</w:t>
      </w:r>
    </w:p>
    <w:tbl>
      <w:tblPr>
        <w:tblStyle w:val="TableGrid"/>
        <w:tblW w:w="0" w:type="auto"/>
        <w:tblInd w:w="1317" w:type="dxa"/>
        <w:tblLook w:val="04A0" w:firstRow="1" w:lastRow="0" w:firstColumn="1" w:lastColumn="0" w:noHBand="0" w:noVBand="1"/>
      </w:tblPr>
      <w:tblGrid>
        <w:gridCol w:w="6374"/>
      </w:tblGrid>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Continuum acquisition and storage</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Mass range 50 to 1200 Da</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Negative ion in resolution mode</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Scan time 0.2 sec</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Collision energy ramp on transfer cell 15 to 45v</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Cone voltage</w:t>
            </w:r>
            <w:r w:rsidR="000836EA">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40v</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Lock mass properties:</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Not applied but collected for later use in data processing</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Leucine Enkephalin reference (554.2615 Da)</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Scans to average 3</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mass window +/-0.5Da</w:t>
            </w:r>
          </w:p>
        </w:tc>
      </w:tr>
      <w:tr w:rsidR="00CF1D1E" w:rsidRPr="00CF1D1E" w:rsidTr="00C8289C">
        <w:tc>
          <w:tcPr>
            <w:tcW w:w="6374" w:type="dxa"/>
          </w:tcPr>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Lock mass Interval 30sec</w:t>
            </w:r>
          </w:p>
        </w:tc>
      </w:tr>
    </w:tbl>
    <w:p w:rsidR="00CF1D1E" w:rsidRPr="00CF1D1E" w:rsidRDefault="00CF1D1E" w:rsidP="00CF1D1E">
      <w:pPr>
        <w:spacing w:line="360" w:lineRule="auto"/>
        <w:rPr>
          <w:rFonts w:ascii="Calibri" w:eastAsia="Calibri" w:hAnsi="Calibri" w:cs="Times New Roman"/>
          <w:sz w:val="24"/>
          <w:szCs w:val="24"/>
        </w:rPr>
      </w:pPr>
    </w:p>
    <w:p w:rsidR="00CF1D1E" w:rsidRDefault="00CF1D1E" w:rsidP="00CF1D1E">
      <w:pPr>
        <w:spacing w:line="360" w:lineRule="auto"/>
        <w:rPr>
          <w:rFonts w:ascii="Calibri" w:eastAsia="Calibri" w:hAnsi="Calibri" w:cs="Times New Roman"/>
          <w:sz w:val="20"/>
          <w:szCs w:val="20"/>
        </w:rPr>
      </w:pPr>
      <w:r w:rsidRPr="00CF1D1E">
        <w:rPr>
          <w:rFonts w:ascii="Calibri" w:eastAsia="Calibri" w:hAnsi="Calibri" w:cs="Times New Roman"/>
          <w:sz w:val="20"/>
          <w:szCs w:val="20"/>
        </w:rPr>
        <w:t>Tab.3 Synapt G2-Si method conditions</w:t>
      </w:r>
    </w:p>
    <w:p w:rsidR="005A1D68" w:rsidRPr="00CF1D1E" w:rsidRDefault="005A1D68" w:rsidP="005A1D68">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Progenesis QI (Nonlinear Dynamics, a Waters Company) was the informatics software used to transform the large data files created into useful information and knowledge. Data was transferred to the informatics workstation, compressed with the Waters noise reduction tool and processed with Progenesis QI. Data files were imported and a ‘between subjects’ type experiment was chosen to look for differences between extracts and blanks. </w:t>
      </w:r>
      <w:r w:rsidR="000836EA">
        <w:rPr>
          <w:rFonts w:ascii="Calibri" w:eastAsia="Calibri" w:hAnsi="Calibri" w:cs="Times New Roman"/>
          <w:sz w:val="24"/>
          <w:szCs w:val="24"/>
        </w:rPr>
        <w:t xml:space="preserve">This </w:t>
      </w:r>
      <w:r w:rsidR="000836EA">
        <w:rPr>
          <w:rFonts w:ascii="Calibri" w:eastAsia="Calibri" w:hAnsi="Calibri" w:cs="Times New Roman"/>
          <w:sz w:val="24"/>
          <w:szCs w:val="24"/>
        </w:rPr>
        <w:lastRenderedPageBreak/>
        <w:t>effectively served to remove the c</w:t>
      </w:r>
      <w:r w:rsidR="006A4D5E">
        <w:rPr>
          <w:rFonts w:ascii="Calibri" w:eastAsia="Calibri" w:hAnsi="Calibri" w:cs="Times New Roman"/>
          <w:sz w:val="24"/>
          <w:szCs w:val="24"/>
        </w:rPr>
        <w:t xml:space="preserve">ontribution of background ions. </w:t>
      </w:r>
      <w:r w:rsidRPr="00CF1D1E">
        <w:rPr>
          <w:rFonts w:ascii="Calibri" w:eastAsia="Calibri" w:hAnsi="Calibri" w:cs="Times New Roman"/>
          <w:sz w:val="24"/>
          <w:szCs w:val="24"/>
        </w:rPr>
        <w:t xml:space="preserve">The leucine enkephaline lockmass correction was applied in Progenesis QI and peaks were aligned and picked. Ions were compared to the ChemSpider Polyphenols database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10.1093/database/bap024","author":[{"dropping-particle":"","family":"Vos","given":"F","non-dropping-particle":"","parse-names":false,"suffix":""},{"dropping-particle":"","family":"Crespy","given":"V","non-dropping-particle":"","parse-names":false,"suffix":""},{"dropping-particle":"","family":"Chaffaut","given":"L","non-dropping-particle":"","parse-names":false,"suffix":""},{"dropping-particle":"","family":"Mennen","given":"L","non-dropping-particle":"","parse-names":false,"suffix":""},{"dropping-particle":"","family":"Knox","given":"C","non-dropping-particle":"","parse-names":false,"suffix":""},{"dropping-particle":"","family":"Neveu","given":"V","non-dropping-particle":"","parse-names":false,"suffix":""}],"id":"ITEM-1","issued":{"date-parts":[["2010"]]},"page":"1-9","title":"Original Article Phenol-Explorer : an online comprehensive database on polyphenol contents in foods","type":"article-journal","volume":"2010"},"uris":["http://www.mendeley.com/documents/?uuid=f2a67786-431a-4f96-ac39-c1a49c8b8999"]}],"mendeley":{"formattedCitation":"(Vos et al., 2010)","plainTextFormattedCitation":"(Vos et al., 2010)","previouslyFormattedCitation":"(Vos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(Vos </w:t>
      </w:r>
      <w:r w:rsidR="00941740" w:rsidRPr="00C2398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This database was chosen in order to focus on the components being researched. The plethora of tentative identifications returned were filtered by score, maximum fold change and ANOVA p</w:t>
      </w:r>
      <w:r>
        <w:rPr>
          <w:rFonts w:ascii="Calibri" w:eastAsia="Calibri" w:hAnsi="Calibri" w:cs="Times New Roman"/>
          <w:sz w:val="24"/>
          <w:szCs w:val="24"/>
        </w:rPr>
        <w:t>-</w:t>
      </w:r>
      <w:r w:rsidRPr="00CF1D1E">
        <w:rPr>
          <w:rFonts w:ascii="Calibri" w:eastAsia="Calibri" w:hAnsi="Calibri" w:cs="Times New Roman"/>
          <w:sz w:val="24"/>
          <w:szCs w:val="24"/>
        </w:rPr>
        <w:t>values. Identifications were also manually assessed. Below (Fig.9) can be seen the data processing workflow followed in Progenesis QI.</w:t>
      </w:r>
    </w:p>
    <w:p w:rsidR="005A1D68" w:rsidRPr="00CF1D1E" w:rsidRDefault="005A1D68" w:rsidP="005A1D68">
      <w:pPr>
        <w:spacing w:line="360" w:lineRule="auto"/>
        <w:ind w:firstLine="720"/>
        <w:rPr>
          <w:rFonts w:ascii="Calibri" w:eastAsia="Calibri" w:hAnsi="Calibri" w:cs="Times New Roman"/>
          <w:sz w:val="24"/>
          <w:szCs w:val="24"/>
        </w:rPr>
      </w:pPr>
    </w:p>
    <w:p w:rsidR="005A1D68" w:rsidRPr="00CF1D1E" w:rsidRDefault="005A1D68" w:rsidP="005A1D68">
      <w:pPr>
        <w:spacing w:line="360" w:lineRule="auto"/>
        <w:rPr>
          <w:rFonts w:ascii="Calibri" w:eastAsia="Calibri" w:hAnsi="Calibri" w:cs="Times New Roman"/>
          <w:sz w:val="24"/>
          <w:szCs w:val="24"/>
        </w:rPr>
      </w:pPr>
      <w:r w:rsidRPr="00CF1D1E">
        <w:rPr>
          <w:rFonts w:ascii="Calibri" w:eastAsia="Calibri" w:hAnsi="Calibri" w:cs="Times New Roman"/>
          <w:noProof/>
          <w:lang w:eastAsia="en-GB"/>
        </w:rPr>
        <w:drawing>
          <wp:inline distT="0" distB="0" distL="0" distR="0" wp14:anchorId="16347BF8" wp14:editId="7684982E">
            <wp:extent cx="5731510" cy="581660"/>
            <wp:effectExtent l="0" t="0" r="2540" b="889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581660"/>
                    </a:xfrm>
                    <a:prstGeom prst="rect">
                      <a:avLst/>
                    </a:prstGeom>
                  </pic:spPr>
                </pic:pic>
              </a:graphicData>
            </a:graphic>
          </wp:inline>
        </w:drawing>
      </w:r>
    </w:p>
    <w:p w:rsidR="005A1D68" w:rsidRPr="00CF1D1E" w:rsidRDefault="005A1D68" w:rsidP="005A1D68">
      <w:pPr>
        <w:spacing w:line="360" w:lineRule="auto"/>
        <w:rPr>
          <w:rFonts w:ascii="Calibri" w:eastAsia="Calibri" w:hAnsi="Calibri" w:cs="Times New Roman"/>
          <w:sz w:val="20"/>
          <w:szCs w:val="20"/>
        </w:rPr>
      </w:pPr>
      <w:r w:rsidRPr="00CF1D1E">
        <w:rPr>
          <w:rFonts w:ascii="Calibri" w:eastAsia="Calibri" w:hAnsi="Calibri" w:cs="Times New Roman"/>
          <w:sz w:val="20"/>
          <w:szCs w:val="20"/>
        </w:rPr>
        <w:t xml:space="preserve">Fig.9. </w:t>
      </w:r>
      <w:proofErr w:type="gramStart"/>
      <w:r w:rsidRPr="00CF1D1E">
        <w:rPr>
          <w:rFonts w:ascii="Calibri" w:eastAsia="Calibri" w:hAnsi="Calibri" w:cs="Times New Roman"/>
          <w:sz w:val="20"/>
          <w:szCs w:val="20"/>
        </w:rPr>
        <w:t>The</w:t>
      </w:r>
      <w:proofErr w:type="gramEnd"/>
      <w:r w:rsidRPr="00CF1D1E">
        <w:rPr>
          <w:rFonts w:ascii="Calibri" w:eastAsia="Calibri" w:hAnsi="Calibri" w:cs="Times New Roman"/>
          <w:sz w:val="20"/>
          <w:szCs w:val="20"/>
        </w:rPr>
        <w:t xml:space="preserve"> data processing workflow followed in Progenesis QI</w:t>
      </w:r>
    </w:p>
    <w:p w:rsidR="005A1D68" w:rsidRPr="00CF1D1E" w:rsidRDefault="005A1D68" w:rsidP="00CF1D1E">
      <w:pPr>
        <w:spacing w:line="360" w:lineRule="auto"/>
        <w:rPr>
          <w:rFonts w:ascii="Calibri" w:eastAsia="Calibri" w:hAnsi="Calibri" w:cs="Times New Roman"/>
          <w:sz w:val="20"/>
          <w:szCs w:val="20"/>
        </w:rPr>
      </w:pPr>
    </w:p>
    <w:p w:rsidR="00EF372E" w:rsidRDefault="00CF1D1E" w:rsidP="00435806">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This statistical approach using Progenesis QI is a standard approach in discovery/untargeted metabolomics although many alternative pl</w:t>
      </w:r>
      <w:r w:rsidR="00F45F36">
        <w:rPr>
          <w:rFonts w:ascii="Calibri" w:eastAsia="Calibri" w:hAnsi="Calibri" w:cs="Times New Roman"/>
          <w:sz w:val="24"/>
          <w:szCs w:val="24"/>
        </w:rPr>
        <w:t xml:space="preserve">atforms exist. The use of this </w:t>
      </w:r>
      <w:r w:rsidRPr="00CF1D1E">
        <w:rPr>
          <w:rFonts w:ascii="Calibri" w:eastAsia="Calibri" w:hAnsi="Calibri" w:cs="Times New Roman"/>
          <w:sz w:val="24"/>
          <w:szCs w:val="24"/>
        </w:rPr>
        <w:t xml:space="preserve">powerful tool should be treated with an element of caution. False positives and negatives </w:t>
      </w:r>
      <w:r w:rsidR="006B1874">
        <w:rPr>
          <w:rFonts w:ascii="Calibri" w:eastAsia="Calibri" w:hAnsi="Calibri" w:cs="Times New Roman"/>
          <w:sz w:val="24"/>
          <w:szCs w:val="24"/>
        </w:rPr>
        <w:t>are</w:t>
      </w:r>
      <w:r w:rsidRPr="00CF1D1E">
        <w:rPr>
          <w:rFonts w:ascii="Calibri" w:eastAsia="Calibri" w:hAnsi="Calibri" w:cs="Times New Roman"/>
          <w:sz w:val="24"/>
          <w:szCs w:val="24"/>
        </w:rPr>
        <w:t xml:space="preserve"> easy to come by. QC samples containing known analytes are a useful check to show that this approach can in fact see analytes that are known to be present. Many replicates are necessary to reduce stat</w:t>
      </w:r>
      <w:r w:rsidR="00FA4776">
        <w:rPr>
          <w:rFonts w:ascii="Calibri" w:eastAsia="Calibri" w:hAnsi="Calibri" w:cs="Times New Roman"/>
          <w:sz w:val="24"/>
          <w:szCs w:val="24"/>
        </w:rPr>
        <w:t>istical</w:t>
      </w:r>
      <w:r w:rsidRPr="00CF1D1E">
        <w:rPr>
          <w:rFonts w:ascii="Calibri" w:eastAsia="Calibri" w:hAnsi="Calibri" w:cs="Times New Roman"/>
          <w:sz w:val="24"/>
          <w:szCs w:val="24"/>
        </w:rPr>
        <w:t xml:space="preserve"> variance in order to achieve </w:t>
      </w:r>
      <w:r w:rsidR="002E14B2">
        <w:rPr>
          <w:rFonts w:ascii="Calibri" w:eastAsia="Calibri" w:hAnsi="Calibri" w:cs="Times New Roman"/>
          <w:sz w:val="24"/>
          <w:szCs w:val="24"/>
        </w:rPr>
        <w:t xml:space="preserve">high identification </w:t>
      </w:r>
      <w:r w:rsidRPr="00CF1D1E">
        <w:rPr>
          <w:rFonts w:ascii="Calibri" w:eastAsia="Calibri" w:hAnsi="Calibri" w:cs="Times New Roman"/>
          <w:sz w:val="24"/>
          <w:szCs w:val="24"/>
        </w:rPr>
        <w:t xml:space="preserve">scores and ANOVA p-values that are &lt;=0.05. Maximum fold change should be infinite when the sample condition is compared to the blank condition. These approaches are applied in order to be certain that a real change is observed between sample and blank. Absolute identification certainty can only be achieved by a subsequent progression to targeted analysis in which known reference standards are used to confirm identity and quantity of analytes. The </w:t>
      </w:r>
      <w:r w:rsidR="005F04FB">
        <w:rPr>
          <w:rFonts w:ascii="Calibri" w:eastAsia="Calibri" w:hAnsi="Calibri" w:cs="Times New Roman"/>
          <w:sz w:val="24"/>
          <w:szCs w:val="24"/>
        </w:rPr>
        <w:t>following</w:t>
      </w:r>
      <w:r w:rsidRPr="00CF1D1E">
        <w:rPr>
          <w:rFonts w:ascii="Calibri" w:eastAsia="Calibri" w:hAnsi="Calibri" w:cs="Times New Roman"/>
          <w:sz w:val="24"/>
          <w:szCs w:val="24"/>
        </w:rPr>
        <w:t xml:space="preserve"> three sections cover this approach</w:t>
      </w:r>
      <w:r w:rsidR="005F04FB">
        <w:rPr>
          <w:rFonts w:ascii="Calibri" w:eastAsia="Calibri" w:hAnsi="Calibri" w:cs="Times New Roman"/>
          <w:sz w:val="24"/>
          <w:szCs w:val="24"/>
        </w:rPr>
        <w:t xml:space="preserve"> (1.22, 1.23, and 1.24)</w:t>
      </w:r>
      <w:r w:rsidRPr="00CF1D1E">
        <w:rPr>
          <w:rFonts w:ascii="Calibri" w:eastAsia="Calibri" w:hAnsi="Calibri" w:cs="Times New Roman"/>
          <w:sz w:val="24"/>
          <w:szCs w:val="24"/>
        </w:rPr>
        <w:t>.</w:t>
      </w:r>
    </w:p>
    <w:p w:rsidR="00CF1D1E" w:rsidRPr="00435806" w:rsidRDefault="005A1D68" w:rsidP="00435806">
      <w:pPr>
        <w:spacing w:line="360" w:lineRule="auto"/>
        <w:ind w:firstLine="720"/>
        <w:jc w:val="both"/>
        <w:rPr>
          <w:rFonts w:ascii="Calibri" w:eastAsia="Calibri" w:hAnsi="Calibri" w:cs="Times New Roman"/>
          <w:sz w:val="24"/>
          <w:szCs w:val="24"/>
        </w:rPr>
      </w:pPr>
      <w:r>
        <w:rPr>
          <w:rFonts w:ascii="Calibri" w:eastAsia="Calibri" w:hAnsi="Calibri" w:cs="Times New Roman"/>
          <w:b/>
          <w:sz w:val="36"/>
          <w:szCs w:val="36"/>
        </w:rPr>
        <w:br w:type="page"/>
      </w:r>
    </w:p>
    <w:p w:rsidR="00CF1D1E" w:rsidRPr="00CF1D1E" w:rsidRDefault="00CF1D1E" w:rsidP="00CF1D1E">
      <w:pPr>
        <w:spacing w:line="360" w:lineRule="auto"/>
        <w:rPr>
          <w:rFonts w:ascii="Calibri" w:eastAsia="Calibri" w:hAnsi="Calibri" w:cs="Times New Roman"/>
          <w:b/>
          <w:sz w:val="36"/>
          <w:szCs w:val="36"/>
        </w:rPr>
      </w:pPr>
      <w:r w:rsidRPr="00CF1D1E">
        <w:rPr>
          <w:rFonts w:ascii="Calibri" w:eastAsia="Calibri" w:hAnsi="Calibri" w:cs="Times New Roman"/>
          <w:b/>
          <w:sz w:val="36"/>
          <w:szCs w:val="36"/>
        </w:rPr>
        <w:lastRenderedPageBreak/>
        <w:t>1.22 Xevo TQ-XS Targeted Method (MRM)</w:t>
      </w:r>
    </w:p>
    <w:p w:rsid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To further progress this study, the Poroshell 120 SB-C18 column was setup on a Waters (Milford, Massachusetts, USA) I-Class UPLC which was linked a Xevo TQ-XS triple quadrupole mass spectrometer with a standard ESI source. The main purpose of an instrument of this type is for high throughput analysis on known analytes. In MS terms this type of approach is referred to as </w:t>
      </w:r>
      <w:r w:rsidRPr="00CF1D1E">
        <w:rPr>
          <w:rFonts w:ascii="Calibri" w:eastAsia="Calibri" w:hAnsi="Calibri" w:cs="Times New Roman"/>
          <w:i/>
          <w:sz w:val="24"/>
          <w:szCs w:val="24"/>
        </w:rPr>
        <w:t>targeted analysis</w:t>
      </w:r>
      <w:r w:rsidRPr="00CF1D1E">
        <w:rPr>
          <w:rFonts w:ascii="Calibri" w:eastAsia="Calibri" w:hAnsi="Calibri" w:cs="Times New Roman"/>
          <w:sz w:val="24"/>
          <w:szCs w:val="24"/>
        </w:rPr>
        <w:t xml:space="preserve">. Its qualities are that it is a very specific, sensitive and quantitative approach. The focus of this technique is that </w:t>
      </w:r>
      <w:r w:rsidRPr="00CF1D1E">
        <w:rPr>
          <w:rFonts w:ascii="Calibri" w:eastAsia="Calibri" w:hAnsi="Calibri" w:cs="Times New Roman"/>
          <w:i/>
          <w:sz w:val="24"/>
          <w:szCs w:val="24"/>
        </w:rPr>
        <w:t>only</w:t>
      </w:r>
      <w:r w:rsidRPr="00CF1D1E">
        <w:rPr>
          <w:rFonts w:ascii="Calibri" w:eastAsia="Calibri" w:hAnsi="Calibri" w:cs="Times New Roman"/>
          <w:sz w:val="24"/>
          <w:szCs w:val="24"/>
        </w:rPr>
        <w:t xml:space="preserve"> the targeted components will be visible and all the other ions are ignored. Discovery of new compounds is not possible with this type of </w:t>
      </w:r>
      <w:r w:rsidR="007E31FC">
        <w:rPr>
          <w:rFonts w:ascii="Calibri" w:eastAsia="Calibri" w:hAnsi="Calibri" w:cs="Times New Roman"/>
          <w:sz w:val="24"/>
          <w:szCs w:val="24"/>
        </w:rPr>
        <w:t>method</w:t>
      </w:r>
      <w:r w:rsidRPr="00CF1D1E">
        <w:rPr>
          <w:rFonts w:ascii="Calibri" w:eastAsia="Calibri" w:hAnsi="Calibri" w:cs="Times New Roman"/>
          <w:sz w:val="24"/>
          <w:szCs w:val="24"/>
        </w:rPr>
        <w:t xml:space="preserve">. </w:t>
      </w:r>
    </w:p>
    <w:p w:rsidR="005F04FB" w:rsidRPr="00CF1D1E" w:rsidRDefault="005F04FB" w:rsidP="00CF1D1E">
      <w:pPr>
        <w:spacing w:line="360" w:lineRule="auto"/>
        <w:ind w:firstLine="720"/>
        <w:jc w:val="both"/>
        <w:rPr>
          <w:rFonts w:ascii="Calibri" w:eastAsia="Calibri" w:hAnsi="Calibri" w:cs="Times New Roman"/>
          <w:sz w:val="24"/>
          <w:szCs w:val="24"/>
        </w:rPr>
      </w:pPr>
    </w:p>
    <w:p w:rsidR="00CF1D1E" w:rsidRDefault="00CF1D1E" w:rsidP="00CF1D1E">
      <w:pPr>
        <w:spacing w:line="360" w:lineRule="auto"/>
        <w:rPr>
          <w:rFonts w:ascii="Calibri" w:eastAsia="Calibri" w:hAnsi="Calibri" w:cs="Times New Roman"/>
          <w:sz w:val="20"/>
          <w:szCs w:val="20"/>
        </w:rPr>
      </w:pPr>
      <w:r w:rsidRPr="00CF1D1E">
        <w:rPr>
          <w:rFonts w:ascii="Calibri" w:eastAsia="Calibri" w:hAnsi="Calibri" w:cs="Times New Roman"/>
          <w:noProof/>
          <w:lang w:eastAsia="en-GB"/>
        </w:rPr>
        <w:drawing>
          <wp:inline distT="0" distB="0" distL="0" distR="0" wp14:anchorId="7D202052" wp14:editId="5484D310">
            <wp:extent cx="5648325" cy="3105150"/>
            <wp:effectExtent l="0" t="0" r="9525"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8325" cy="3105150"/>
                    </a:xfrm>
                    <a:prstGeom prst="rect">
                      <a:avLst/>
                    </a:prstGeom>
                  </pic:spPr>
                </pic:pic>
              </a:graphicData>
            </a:graphic>
          </wp:inline>
        </w:drawing>
      </w:r>
      <w:r w:rsidR="005F04FB">
        <w:rPr>
          <w:rFonts w:ascii="Calibri" w:eastAsia="Calibri" w:hAnsi="Calibri" w:cs="Times New Roman"/>
          <w:sz w:val="20"/>
          <w:szCs w:val="20"/>
        </w:rPr>
        <w:t xml:space="preserve">Fig.10 </w:t>
      </w:r>
      <w:r w:rsidRPr="00CF1D1E">
        <w:rPr>
          <w:rFonts w:ascii="Calibri" w:eastAsia="Calibri" w:hAnsi="Calibri" w:cs="Times New Roman"/>
          <w:sz w:val="20"/>
          <w:szCs w:val="20"/>
        </w:rPr>
        <w:t>Schematic of the Xevo-TQXS (Reproduced by kind permission of the Waters Technologies Corporation)</w:t>
      </w:r>
    </w:p>
    <w:p w:rsidR="005F04FB" w:rsidRPr="00CF1D1E" w:rsidRDefault="005F04FB" w:rsidP="00CF1D1E">
      <w:pPr>
        <w:spacing w:line="360" w:lineRule="auto"/>
        <w:rPr>
          <w:rFonts w:ascii="Calibri" w:eastAsia="Calibri" w:hAnsi="Calibri" w:cs="Times New Roman"/>
        </w:rPr>
      </w:pPr>
    </w:p>
    <w:p w:rsidR="005F04FB"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Method conditions were modified during the transfer from the legacy instrument to this state-of-the-art equipment. The use of UPLC allows for a much quicker and efficient chromatographic output, which makes use of modern advancements.  Dead volumes are decreased, injection volumes are decreased and the ability to resolve complex mixtures in a shorter time is greatly improved. </w:t>
      </w:r>
    </w:p>
    <w:p w:rsidR="005F04FB" w:rsidRPr="00CF1D1E" w:rsidRDefault="005F04FB" w:rsidP="005F04FB">
      <w:pPr>
        <w:rPr>
          <w:rFonts w:ascii="Calibri" w:eastAsia="Calibri" w:hAnsi="Calibri" w:cs="Times New Roman"/>
          <w:sz w:val="24"/>
          <w:szCs w:val="24"/>
        </w:rPr>
      </w:pPr>
      <w:r>
        <w:rPr>
          <w:rFonts w:ascii="Calibri" w:eastAsia="Calibri" w:hAnsi="Calibri" w:cs="Times New Roman"/>
          <w:sz w:val="24"/>
          <w:szCs w:val="24"/>
        </w:rPr>
        <w:br w:type="page"/>
      </w:r>
    </w:p>
    <w:p w:rsid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lastRenderedPageBreak/>
        <w:t>The UPLC method conditions were as follows:</w:t>
      </w:r>
    </w:p>
    <w:p w:rsidR="005F04FB" w:rsidRPr="00CF1D1E" w:rsidRDefault="005F04FB" w:rsidP="00CF1D1E">
      <w:pPr>
        <w:spacing w:line="360" w:lineRule="auto"/>
        <w:jc w:val="both"/>
        <w:rPr>
          <w:rFonts w:ascii="Calibri" w:eastAsia="Calibri" w:hAnsi="Calibri" w:cs="Times New Roman"/>
          <w:sz w:val="24"/>
          <w:szCs w:val="24"/>
        </w:rPr>
      </w:pPr>
    </w:p>
    <w:tbl>
      <w:tblPr>
        <w:tblStyle w:val="TableGrid"/>
        <w:tblW w:w="0" w:type="auto"/>
        <w:tblInd w:w="937" w:type="dxa"/>
        <w:tblLook w:val="04A0" w:firstRow="1" w:lastRow="0" w:firstColumn="1" w:lastColumn="0" w:noHBand="0" w:noVBand="1"/>
      </w:tblPr>
      <w:tblGrid>
        <w:gridCol w:w="8075"/>
      </w:tblGrid>
      <w:tr w:rsidR="00CF1D1E" w:rsidRPr="00CF1D1E" w:rsidTr="00C8289C">
        <w:tc>
          <w:tcPr>
            <w:tcW w:w="8075" w:type="dxa"/>
          </w:tcPr>
          <w:p w:rsidR="00CF1D1E" w:rsidRPr="00CF1D1E" w:rsidRDefault="00D576CE" w:rsidP="00A70945">
            <w:pPr>
              <w:spacing w:line="360" w:lineRule="auto"/>
              <w:rPr>
                <w:rFonts w:ascii="Calibri" w:eastAsia="Calibri" w:hAnsi="Calibri" w:cs="Times New Roman"/>
                <w:sz w:val="24"/>
                <w:szCs w:val="24"/>
              </w:rPr>
            </w:pPr>
            <w:r>
              <w:rPr>
                <w:rFonts w:ascii="Calibri" w:eastAsia="Calibri" w:hAnsi="Calibri" w:cs="Times New Roman"/>
                <w:sz w:val="24"/>
                <w:szCs w:val="24"/>
              </w:rPr>
              <w:t>Mobile phase</w:t>
            </w:r>
            <w:proofErr w:type="gramStart"/>
            <w:r>
              <w:rPr>
                <w:rFonts w:ascii="Calibri" w:eastAsia="Calibri" w:hAnsi="Calibri" w:cs="Times New Roman"/>
                <w:sz w:val="24"/>
                <w:szCs w:val="24"/>
              </w:rPr>
              <w:t>:</w:t>
            </w:r>
            <w:r w:rsidR="00CF1D1E" w:rsidRPr="00CF1D1E">
              <w:rPr>
                <w:rFonts w:ascii="Calibri" w:eastAsia="Calibri" w:hAnsi="Calibri" w:cs="Times New Roman"/>
                <w:sz w:val="24"/>
                <w:szCs w:val="24"/>
              </w:rPr>
              <w:t>70</w:t>
            </w:r>
            <w:proofErr w:type="gramEnd"/>
            <w:r w:rsidR="00A70945">
              <w:rPr>
                <w:rFonts w:ascii="Calibri" w:eastAsia="Calibri" w:hAnsi="Calibri" w:cs="Times New Roman"/>
                <w:sz w:val="24"/>
                <w:szCs w:val="24"/>
              </w:rPr>
              <w:t>%A</w:t>
            </w:r>
            <w:r w:rsidR="00CF1D1E" w:rsidRPr="00CF1D1E">
              <w:rPr>
                <w:rFonts w:ascii="Calibri" w:eastAsia="Calibri" w:hAnsi="Calibri" w:cs="Times New Roman"/>
                <w:sz w:val="24"/>
                <w:szCs w:val="24"/>
              </w:rPr>
              <w:t>:30</w:t>
            </w:r>
            <w:r w:rsidR="00A70945">
              <w:rPr>
                <w:rFonts w:ascii="Calibri" w:eastAsia="Calibri" w:hAnsi="Calibri" w:cs="Times New Roman"/>
                <w:sz w:val="24"/>
                <w:szCs w:val="24"/>
              </w:rPr>
              <w:t>%B. A=Water 0.1% Acetic Acid,</w:t>
            </w:r>
            <w:r>
              <w:rPr>
                <w:rFonts w:ascii="Calibri" w:eastAsia="Calibri" w:hAnsi="Calibri" w:cs="Times New Roman"/>
                <w:sz w:val="24"/>
                <w:szCs w:val="24"/>
              </w:rPr>
              <w:t xml:space="preserve"> </w:t>
            </w:r>
            <w:r w:rsidR="00A70945">
              <w:rPr>
                <w:rFonts w:ascii="Calibri" w:eastAsia="Calibri" w:hAnsi="Calibri" w:cs="Times New Roman"/>
                <w:sz w:val="24"/>
                <w:szCs w:val="24"/>
              </w:rPr>
              <w:t>B=</w:t>
            </w:r>
            <w:r w:rsidR="00CF1D1E" w:rsidRPr="00CF1D1E">
              <w:rPr>
                <w:rFonts w:ascii="Calibri" w:eastAsia="Calibri" w:hAnsi="Calibri" w:cs="Times New Roman"/>
                <w:sz w:val="24"/>
                <w:szCs w:val="24"/>
              </w:rPr>
              <w:t>Me</w:t>
            </w:r>
            <w:r w:rsidR="00A70945">
              <w:rPr>
                <w:rFonts w:ascii="Calibri" w:eastAsia="Calibri" w:hAnsi="Calibri" w:cs="Times New Roman"/>
                <w:sz w:val="24"/>
                <w:szCs w:val="24"/>
              </w:rPr>
              <w:t>OH</w:t>
            </w:r>
            <w:r w:rsidR="00CF1D1E" w:rsidRPr="00CF1D1E">
              <w:rPr>
                <w:rFonts w:ascii="Calibri" w:eastAsia="Calibri" w:hAnsi="Calibri" w:cs="Times New Roman"/>
                <w:sz w:val="24"/>
                <w:szCs w:val="24"/>
              </w:rPr>
              <w:t xml:space="preserve"> 0.1% Acetic Acid</w:t>
            </w:r>
          </w:p>
        </w:tc>
      </w:tr>
      <w:tr w:rsidR="00CF1D1E" w:rsidRPr="00CF1D1E" w:rsidTr="00C8289C">
        <w:tc>
          <w:tcPr>
            <w:tcW w:w="8075"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Flow: 0.5 ml/min</w:t>
            </w:r>
          </w:p>
        </w:tc>
      </w:tr>
      <w:tr w:rsidR="00CF1D1E" w:rsidRPr="00CF1D1E" w:rsidTr="00C8289C">
        <w:tc>
          <w:tcPr>
            <w:tcW w:w="8075"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Injection volume: 1μl</w:t>
            </w:r>
          </w:p>
        </w:tc>
      </w:tr>
      <w:tr w:rsidR="00CF1D1E" w:rsidRPr="00CF1D1E" w:rsidTr="00C8289C">
        <w:tc>
          <w:tcPr>
            <w:tcW w:w="8075"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Column Oven: 40°C</w:t>
            </w:r>
          </w:p>
        </w:tc>
      </w:tr>
      <w:tr w:rsidR="00CF1D1E" w:rsidRPr="00CF1D1E" w:rsidTr="00C8289C">
        <w:tc>
          <w:tcPr>
            <w:tcW w:w="8075"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Gradient: 70:30 initially to 0:100 over 4 min, back to 70:30 over 0.5 min.</w:t>
            </w:r>
          </w:p>
        </w:tc>
      </w:tr>
      <w:tr w:rsidR="00CF1D1E" w:rsidRPr="00CF1D1E" w:rsidTr="00C8289C">
        <w:tc>
          <w:tcPr>
            <w:tcW w:w="8075"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Hold at this combination for 0.5 min to equilibrate prior to the next injection. </w:t>
            </w:r>
          </w:p>
        </w:tc>
      </w:tr>
    </w:tbl>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0"/>
          <w:szCs w:val="20"/>
        </w:rPr>
      </w:pPr>
      <w:r w:rsidRPr="00CF1D1E">
        <w:rPr>
          <w:rFonts w:ascii="Calibri" w:eastAsia="Calibri" w:hAnsi="Calibri" w:cs="Times New Roman"/>
          <w:sz w:val="20"/>
          <w:szCs w:val="20"/>
        </w:rPr>
        <w:t>Tab.4 I-class UPLC method conditions</w:t>
      </w:r>
    </w:p>
    <w:p w:rsidR="00CF1D1E" w:rsidRPr="00CF1D1E" w:rsidRDefault="00CF1D1E" w:rsidP="00852D7A">
      <w:pPr>
        <w:spacing w:line="360" w:lineRule="auto"/>
        <w:jc w:val="both"/>
        <w:rPr>
          <w:rFonts w:ascii="Calibri" w:eastAsia="Calibri" w:hAnsi="Calibri" w:cs="Times New Roman"/>
          <w:sz w:val="24"/>
          <w:szCs w:val="24"/>
        </w:rPr>
      </w:pPr>
    </w:p>
    <w:p w:rsidR="00CF1D1E" w:rsidRPr="00CF1D1E" w:rsidRDefault="00CF1D1E" w:rsidP="00852D7A">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The Xevo TQ-XS was setup with an MRM of 7 mass pairs in negative mode. The parent daughter transitions were as follows;</w:t>
      </w:r>
    </w:p>
    <w:tbl>
      <w:tblPr>
        <w:tblStyle w:val="TableGrid"/>
        <w:tblW w:w="0" w:type="auto"/>
        <w:tblInd w:w="2530" w:type="dxa"/>
        <w:tblLook w:val="04A0" w:firstRow="1" w:lastRow="0" w:firstColumn="1" w:lastColumn="0" w:noHBand="0" w:noVBand="1"/>
      </w:tblPr>
      <w:tblGrid>
        <w:gridCol w:w="3953"/>
      </w:tblGrid>
      <w:tr w:rsidR="00CF1D1E" w:rsidRPr="00CF1D1E" w:rsidTr="00C8289C">
        <w:tc>
          <w:tcPr>
            <w:tcW w:w="3953"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p-</w:t>
            </w:r>
            <w:proofErr w:type="spellStart"/>
            <w:r w:rsidRPr="00CF1D1E">
              <w:rPr>
                <w:rFonts w:ascii="Calibri" w:eastAsia="Calibri" w:hAnsi="Calibri" w:cs="Times New Roman"/>
                <w:sz w:val="24"/>
                <w:szCs w:val="24"/>
              </w:rPr>
              <w:t>coumaric</w:t>
            </w:r>
            <w:proofErr w:type="spellEnd"/>
            <w:r w:rsidRPr="00CF1D1E">
              <w:rPr>
                <w:rFonts w:ascii="Calibri" w:eastAsia="Calibri" w:hAnsi="Calibri" w:cs="Times New Roman"/>
                <w:sz w:val="24"/>
                <w:szCs w:val="24"/>
              </w:rPr>
              <w:t xml:space="preserve"> acid m/z 163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m/z 119</w:t>
            </w:r>
          </w:p>
        </w:tc>
      </w:tr>
      <w:tr w:rsidR="00CF1D1E" w:rsidRPr="00CF1D1E" w:rsidTr="00C8289C">
        <w:tc>
          <w:tcPr>
            <w:tcW w:w="3953" w:type="dxa"/>
          </w:tcPr>
          <w:p w:rsidR="00CF1D1E" w:rsidRPr="00CF1D1E" w:rsidRDefault="00CF1D1E" w:rsidP="00CF1D1E">
            <w:pPr>
              <w:spacing w:line="360" w:lineRule="auto"/>
              <w:rPr>
                <w:rFonts w:ascii="Calibri" w:eastAsia="Calibri" w:hAnsi="Calibri" w:cs="Times New Roman"/>
                <w:sz w:val="24"/>
                <w:szCs w:val="24"/>
              </w:rPr>
            </w:pPr>
            <w:proofErr w:type="spellStart"/>
            <w:r w:rsidRPr="00CF1D1E">
              <w:rPr>
                <w:rFonts w:ascii="Calibri" w:eastAsia="Calibri" w:hAnsi="Calibri" w:cs="Times New Roman"/>
                <w:sz w:val="24"/>
                <w:szCs w:val="24"/>
              </w:rPr>
              <w:t>vanillic</w:t>
            </w:r>
            <w:proofErr w:type="spellEnd"/>
            <w:r w:rsidRPr="00CF1D1E">
              <w:rPr>
                <w:rFonts w:ascii="Calibri" w:eastAsia="Calibri" w:hAnsi="Calibri" w:cs="Times New Roman"/>
                <w:sz w:val="24"/>
                <w:szCs w:val="24"/>
              </w:rPr>
              <w:t xml:space="preserve"> acid m/z 167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m/z 108</w:t>
            </w:r>
          </w:p>
        </w:tc>
      </w:tr>
      <w:tr w:rsidR="00CF1D1E" w:rsidRPr="00CF1D1E" w:rsidTr="00C8289C">
        <w:tc>
          <w:tcPr>
            <w:tcW w:w="3953" w:type="dxa"/>
          </w:tcPr>
          <w:p w:rsidR="00CF1D1E" w:rsidRPr="00CF1D1E" w:rsidRDefault="00CF1D1E" w:rsidP="00CF1D1E">
            <w:pPr>
              <w:spacing w:line="360" w:lineRule="auto"/>
              <w:rPr>
                <w:rFonts w:ascii="Calibri" w:eastAsia="Calibri" w:hAnsi="Calibri" w:cs="Times New Roman"/>
                <w:sz w:val="24"/>
                <w:szCs w:val="24"/>
              </w:rPr>
            </w:pPr>
            <w:proofErr w:type="spellStart"/>
            <w:r w:rsidRPr="00CF1D1E">
              <w:rPr>
                <w:rFonts w:ascii="Calibri" w:eastAsia="Calibri" w:hAnsi="Calibri" w:cs="Times New Roman"/>
                <w:sz w:val="24"/>
                <w:szCs w:val="24"/>
              </w:rPr>
              <w:t>caffeic</w:t>
            </w:r>
            <w:proofErr w:type="spellEnd"/>
            <w:r w:rsidRPr="00CF1D1E">
              <w:rPr>
                <w:rFonts w:ascii="Calibri" w:eastAsia="Calibri" w:hAnsi="Calibri" w:cs="Times New Roman"/>
                <w:sz w:val="24"/>
                <w:szCs w:val="24"/>
              </w:rPr>
              <w:t xml:space="preserve"> acid m/z 179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m/z 135</w:t>
            </w:r>
          </w:p>
        </w:tc>
      </w:tr>
      <w:tr w:rsidR="00CF1D1E" w:rsidRPr="00CF1D1E" w:rsidTr="00C8289C">
        <w:tc>
          <w:tcPr>
            <w:tcW w:w="3953" w:type="dxa"/>
          </w:tcPr>
          <w:p w:rsidR="00CF1D1E" w:rsidRPr="00CF1D1E" w:rsidRDefault="00CF1D1E" w:rsidP="00CF1D1E">
            <w:pPr>
              <w:spacing w:line="360" w:lineRule="auto"/>
              <w:rPr>
                <w:rFonts w:ascii="Calibri" w:eastAsia="Calibri" w:hAnsi="Calibri" w:cs="Times New Roman"/>
                <w:sz w:val="24"/>
                <w:szCs w:val="24"/>
              </w:rPr>
            </w:pPr>
            <w:r w:rsidRPr="000F4027">
              <w:rPr>
                <w:rFonts w:ascii="Calibri" w:eastAsia="Calibri" w:hAnsi="Calibri" w:cs="Times New Roman"/>
                <w:sz w:val="24"/>
                <w:szCs w:val="24"/>
              </w:rPr>
              <w:t>trans</w:t>
            </w:r>
            <w:r w:rsidRPr="00CF1D1E">
              <w:rPr>
                <w:rFonts w:ascii="Calibri" w:eastAsia="Calibri" w:hAnsi="Calibri" w:cs="Times New Roman"/>
                <w:sz w:val="24"/>
                <w:szCs w:val="24"/>
              </w:rPr>
              <w:t xml:space="preserve"> </w:t>
            </w:r>
            <w:proofErr w:type="spellStart"/>
            <w:r w:rsidRPr="00CF1D1E">
              <w:rPr>
                <w:rFonts w:ascii="Calibri" w:eastAsia="Calibri" w:hAnsi="Calibri" w:cs="Times New Roman"/>
                <w:sz w:val="24"/>
                <w:szCs w:val="24"/>
              </w:rPr>
              <w:t>ferulic</w:t>
            </w:r>
            <w:proofErr w:type="spellEnd"/>
            <w:r w:rsidRPr="00CF1D1E">
              <w:rPr>
                <w:rFonts w:ascii="Calibri" w:eastAsia="Calibri" w:hAnsi="Calibri" w:cs="Times New Roman"/>
                <w:sz w:val="24"/>
                <w:szCs w:val="24"/>
              </w:rPr>
              <w:t xml:space="preserve"> acid m/z 193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m/z 178</w:t>
            </w:r>
          </w:p>
        </w:tc>
      </w:tr>
      <w:tr w:rsidR="00CF1D1E" w:rsidRPr="00CF1D1E" w:rsidTr="00C8289C">
        <w:tc>
          <w:tcPr>
            <w:tcW w:w="3953"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(-)-epicatechin m/z 289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m/z 245</w:t>
            </w:r>
          </w:p>
        </w:tc>
      </w:tr>
      <w:tr w:rsidR="00CF1D1E" w:rsidRPr="00CF1D1E" w:rsidTr="00C8289C">
        <w:tc>
          <w:tcPr>
            <w:tcW w:w="3953"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quercetin m/z 301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m/z 179</w:t>
            </w:r>
          </w:p>
        </w:tc>
      </w:tr>
      <w:tr w:rsidR="00CF1D1E" w:rsidRPr="00CF1D1E" w:rsidTr="00C8289C">
        <w:tc>
          <w:tcPr>
            <w:tcW w:w="3953"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Sinapic acid m/z 223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m/z 208</w:t>
            </w:r>
          </w:p>
        </w:tc>
      </w:tr>
    </w:tbl>
    <w:p w:rsidR="00CF1D1E" w:rsidRPr="00CF1D1E" w:rsidRDefault="00CF1D1E" w:rsidP="00CF1D1E">
      <w:pPr>
        <w:spacing w:line="360" w:lineRule="auto"/>
        <w:rPr>
          <w:rFonts w:ascii="Calibri" w:eastAsia="Calibri" w:hAnsi="Calibri" w:cs="Times New Roman"/>
          <w:sz w:val="20"/>
          <w:szCs w:val="20"/>
        </w:rPr>
      </w:pPr>
    </w:p>
    <w:p w:rsidR="00CF1D1E" w:rsidRDefault="00CF1D1E" w:rsidP="00CF1D1E">
      <w:pPr>
        <w:spacing w:line="360" w:lineRule="auto"/>
        <w:rPr>
          <w:rFonts w:ascii="Calibri" w:eastAsia="Calibri" w:hAnsi="Calibri" w:cs="Times New Roman"/>
          <w:sz w:val="20"/>
          <w:szCs w:val="20"/>
        </w:rPr>
      </w:pPr>
      <w:r w:rsidRPr="00CF1D1E">
        <w:rPr>
          <w:rFonts w:ascii="Calibri" w:eastAsia="Calibri" w:hAnsi="Calibri" w:cs="Times New Roman"/>
          <w:sz w:val="20"/>
          <w:szCs w:val="20"/>
        </w:rPr>
        <w:t>Tab.5 Xevo-TQXS MRM transitions</w:t>
      </w:r>
    </w:p>
    <w:p w:rsidR="00852D7A" w:rsidRPr="00CF1D1E" w:rsidRDefault="00852D7A" w:rsidP="00CF1D1E">
      <w:pPr>
        <w:spacing w:line="360" w:lineRule="auto"/>
        <w:rPr>
          <w:rFonts w:ascii="Calibri" w:eastAsia="Calibri" w:hAnsi="Calibri" w:cs="Times New Roman"/>
          <w:sz w:val="20"/>
          <w:szCs w:val="20"/>
        </w:rPr>
      </w:pPr>
    </w:p>
    <w:p w:rsidR="00CF1D1E" w:rsidRPr="00CF1D1E" w:rsidRDefault="00852D7A" w:rsidP="00852D7A">
      <w:pPr>
        <w:spacing w:line="360" w:lineRule="auto"/>
        <w:jc w:val="both"/>
        <w:rPr>
          <w:rFonts w:ascii="Calibri" w:eastAsia="Calibri" w:hAnsi="Calibri" w:cs="Times New Roman"/>
          <w:sz w:val="24"/>
          <w:szCs w:val="24"/>
        </w:rPr>
      </w:pPr>
      <w:r>
        <w:rPr>
          <w:rFonts w:ascii="Calibri" w:eastAsia="Calibri" w:hAnsi="Calibri" w:cs="Times New Roman"/>
          <w:sz w:val="24"/>
          <w:szCs w:val="24"/>
        </w:rPr>
        <w:tab/>
      </w:r>
      <w:r w:rsidR="00CF1D1E" w:rsidRPr="00CF1D1E">
        <w:rPr>
          <w:rFonts w:ascii="Calibri" w:eastAsia="Calibri" w:hAnsi="Calibri" w:cs="Times New Roman"/>
          <w:sz w:val="24"/>
          <w:szCs w:val="24"/>
        </w:rPr>
        <w:t xml:space="preserve">Sinapic acid </w:t>
      </w:r>
      <w:r>
        <w:rPr>
          <w:rFonts w:ascii="Calibri" w:eastAsia="Calibri" w:hAnsi="Calibri" w:cs="Times New Roman"/>
          <w:sz w:val="24"/>
          <w:szCs w:val="24"/>
        </w:rPr>
        <w:t xml:space="preserve">was also included in </w:t>
      </w:r>
      <w:r w:rsidR="00CF1D1E" w:rsidRPr="00CF1D1E">
        <w:rPr>
          <w:rFonts w:ascii="Calibri" w:eastAsia="Calibri" w:hAnsi="Calibri" w:cs="Times New Roman"/>
          <w:sz w:val="24"/>
          <w:szCs w:val="24"/>
        </w:rPr>
        <w:t>the standard at this stage</w:t>
      </w:r>
      <w:r>
        <w:rPr>
          <w:rFonts w:ascii="Calibri" w:eastAsia="Calibri" w:hAnsi="Calibri" w:cs="Times New Roman"/>
          <w:sz w:val="24"/>
          <w:szCs w:val="24"/>
        </w:rPr>
        <w:t xml:space="preserve"> as it had been tentatively identified in the </w:t>
      </w:r>
      <w:r w:rsidR="000F4027">
        <w:rPr>
          <w:rFonts w:ascii="Calibri" w:eastAsia="Calibri" w:hAnsi="Calibri" w:cs="Times New Roman"/>
          <w:sz w:val="24"/>
          <w:szCs w:val="24"/>
        </w:rPr>
        <w:t>HDMS</w:t>
      </w:r>
      <w:r w:rsidR="000F4027" w:rsidRPr="000F4027">
        <w:rPr>
          <w:rFonts w:ascii="Calibri" w:eastAsia="Calibri" w:hAnsi="Calibri" w:cs="Times New Roman"/>
          <w:sz w:val="24"/>
          <w:szCs w:val="24"/>
          <w:vertAlign w:val="superscript"/>
        </w:rPr>
        <w:t>e</w:t>
      </w:r>
      <w:r w:rsidR="000F4027">
        <w:rPr>
          <w:rFonts w:ascii="Calibri" w:eastAsia="Calibri" w:hAnsi="Calibri" w:cs="Times New Roman"/>
          <w:sz w:val="24"/>
          <w:szCs w:val="24"/>
        </w:rPr>
        <w:t xml:space="preserve"> </w:t>
      </w:r>
      <w:r>
        <w:rPr>
          <w:rFonts w:ascii="Calibri" w:eastAsia="Calibri" w:hAnsi="Calibri" w:cs="Times New Roman"/>
          <w:sz w:val="24"/>
          <w:szCs w:val="24"/>
        </w:rPr>
        <w:t xml:space="preserve">discovery work </w:t>
      </w:r>
      <w:r w:rsidR="000F4027">
        <w:rPr>
          <w:rFonts w:ascii="Calibri" w:eastAsia="Calibri" w:hAnsi="Calibri" w:cs="Times New Roman"/>
          <w:sz w:val="24"/>
          <w:szCs w:val="24"/>
        </w:rPr>
        <w:t>(</w:t>
      </w:r>
      <w:r w:rsidR="00915262">
        <w:rPr>
          <w:rFonts w:ascii="Calibri" w:eastAsia="Calibri" w:hAnsi="Calibri" w:cs="Times New Roman"/>
          <w:sz w:val="24"/>
          <w:szCs w:val="24"/>
        </w:rPr>
        <w:t>p.35</w:t>
      </w:r>
      <w:r w:rsidR="00BA2FC3">
        <w:rPr>
          <w:rFonts w:ascii="Calibri" w:eastAsia="Calibri" w:hAnsi="Calibri" w:cs="Times New Roman"/>
          <w:sz w:val="24"/>
          <w:szCs w:val="24"/>
        </w:rPr>
        <w:t xml:space="preserve">, </w:t>
      </w:r>
      <w:r w:rsidR="000F4027" w:rsidRPr="000F4027">
        <w:rPr>
          <w:rFonts w:ascii="Calibri" w:eastAsia="Calibri" w:hAnsi="Calibri" w:cs="Times New Roman"/>
          <w:sz w:val="24"/>
          <w:szCs w:val="24"/>
        </w:rPr>
        <w:t>CSID10290</w:t>
      </w:r>
      <w:r w:rsidR="000F4027">
        <w:rPr>
          <w:rFonts w:ascii="Calibri" w:eastAsia="Calibri" w:hAnsi="Calibri" w:cs="Times New Roman"/>
          <w:sz w:val="24"/>
          <w:szCs w:val="24"/>
        </w:rPr>
        <w:t xml:space="preserve">, </w:t>
      </w:r>
      <w:r w:rsidR="000F4027" w:rsidRPr="000F4027">
        <w:rPr>
          <w:rFonts w:ascii="Calibri" w:eastAsia="Calibri" w:hAnsi="Calibri" w:cs="Times New Roman"/>
          <w:sz w:val="24"/>
          <w:szCs w:val="24"/>
        </w:rPr>
        <w:t>Sinapic acid</w:t>
      </w:r>
      <w:r w:rsidR="000F4027">
        <w:rPr>
          <w:rFonts w:ascii="Calibri" w:eastAsia="Calibri" w:hAnsi="Calibri" w:cs="Times New Roman"/>
          <w:sz w:val="24"/>
          <w:szCs w:val="24"/>
        </w:rPr>
        <w:t xml:space="preserve">, </w:t>
      </w:r>
      <w:r w:rsidR="00291367">
        <w:rPr>
          <w:rFonts w:ascii="Calibri" w:eastAsia="Calibri" w:hAnsi="Calibri" w:cs="Times New Roman"/>
          <w:sz w:val="24"/>
          <w:szCs w:val="24"/>
        </w:rPr>
        <w:t>[</w:t>
      </w:r>
      <w:r w:rsidR="000F4027" w:rsidRPr="000F4027">
        <w:rPr>
          <w:rFonts w:ascii="Calibri" w:eastAsia="Calibri" w:hAnsi="Calibri" w:cs="Times New Roman"/>
          <w:sz w:val="24"/>
          <w:szCs w:val="24"/>
        </w:rPr>
        <w:t>2M-H</w:t>
      </w:r>
      <w:r w:rsidR="00291367">
        <w:rPr>
          <w:rFonts w:ascii="Calibri" w:eastAsia="Calibri" w:hAnsi="Calibri" w:cs="Times New Roman"/>
          <w:sz w:val="24"/>
          <w:szCs w:val="24"/>
        </w:rPr>
        <w:t>]</w:t>
      </w:r>
      <w:r w:rsidR="00291367" w:rsidRPr="00291367">
        <w:rPr>
          <w:rFonts w:ascii="Calibri" w:eastAsia="Calibri" w:hAnsi="Calibri" w:cs="Times New Roman"/>
          <w:sz w:val="24"/>
          <w:szCs w:val="24"/>
          <w:vertAlign w:val="superscript"/>
        </w:rPr>
        <w:t>-</w:t>
      </w:r>
      <w:r w:rsidR="000F4027">
        <w:rPr>
          <w:rFonts w:ascii="Calibri" w:eastAsia="Calibri" w:hAnsi="Calibri" w:cs="Times New Roman"/>
          <w:sz w:val="24"/>
          <w:szCs w:val="24"/>
        </w:rPr>
        <w:t xml:space="preserve">, </w:t>
      </w:r>
      <w:r w:rsidR="000F4027" w:rsidRPr="000F4027">
        <w:rPr>
          <w:rFonts w:ascii="Calibri" w:eastAsia="Calibri" w:hAnsi="Calibri" w:cs="Times New Roman"/>
          <w:sz w:val="24"/>
          <w:szCs w:val="24"/>
        </w:rPr>
        <w:t>C</w:t>
      </w:r>
      <w:r w:rsidR="000F4027" w:rsidRPr="000F4027">
        <w:rPr>
          <w:rFonts w:ascii="Calibri" w:eastAsia="Calibri" w:hAnsi="Calibri" w:cs="Times New Roman"/>
          <w:sz w:val="24"/>
          <w:szCs w:val="24"/>
          <w:vertAlign w:val="subscript"/>
        </w:rPr>
        <w:t>11</w:t>
      </w:r>
      <w:r w:rsidR="000F4027" w:rsidRPr="000F4027">
        <w:rPr>
          <w:rFonts w:ascii="Calibri" w:eastAsia="Calibri" w:hAnsi="Calibri" w:cs="Times New Roman"/>
          <w:sz w:val="24"/>
          <w:szCs w:val="24"/>
        </w:rPr>
        <w:t>H</w:t>
      </w:r>
      <w:r w:rsidR="000F4027" w:rsidRPr="000F4027">
        <w:rPr>
          <w:rFonts w:ascii="Calibri" w:eastAsia="Calibri" w:hAnsi="Calibri" w:cs="Times New Roman"/>
          <w:sz w:val="24"/>
          <w:szCs w:val="24"/>
          <w:vertAlign w:val="subscript"/>
        </w:rPr>
        <w:t>12</w:t>
      </w:r>
      <w:r w:rsidR="000F4027" w:rsidRPr="000F4027">
        <w:rPr>
          <w:rFonts w:ascii="Calibri" w:eastAsia="Calibri" w:hAnsi="Calibri" w:cs="Times New Roman"/>
          <w:sz w:val="24"/>
          <w:szCs w:val="24"/>
        </w:rPr>
        <w:t>O</w:t>
      </w:r>
      <w:r w:rsidR="000F4027" w:rsidRPr="000F4027">
        <w:rPr>
          <w:rFonts w:ascii="Calibri" w:eastAsia="Calibri" w:hAnsi="Calibri" w:cs="Times New Roman"/>
          <w:sz w:val="24"/>
          <w:szCs w:val="24"/>
          <w:vertAlign w:val="subscript"/>
        </w:rPr>
        <w:t>5</w:t>
      </w:r>
      <w:r w:rsidR="000F4027">
        <w:rPr>
          <w:rFonts w:ascii="Calibri" w:eastAsia="Calibri" w:hAnsi="Calibri" w:cs="Times New Roman"/>
          <w:sz w:val="24"/>
          <w:szCs w:val="24"/>
        </w:rPr>
        <w:t xml:space="preserve">, score </w:t>
      </w:r>
      <w:r w:rsidR="000F4027" w:rsidRPr="000F4027">
        <w:rPr>
          <w:rFonts w:ascii="Calibri" w:eastAsia="Calibri" w:hAnsi="Calibri" w:cs="Times New Roman"/>
          <w:sz w:val="24"/>
          <w:szCs w:val="24"/>
        </w:rPr>
        <w:t>43.4</w:t>
      </w:r>
      <w:r w:rsidR="000F4027">
        <w:rPr>
          <w:rFonts w:ascii="Calibri" w:eastAsia="Calibri" w:hAnsi="Calibri" w:cs="Times New Roman"/>
          <w:sz w:val="24"/>
          <w:szCs w:val="24"/>
        </w:rPr>
        <w:t xml:space="preserve">) </w:t>
      </w:r>
      <w:r>
        <w:rPr>
          <w:rFonts w:ascii="Calibri" w:eastAsia="Calibri" w:hAnsi="Calibri" w:cs="Times New Roman"/>
          <w:sz w:val="24"/>
          <w:szCs w:val="24"/>
        </w:rPr>
        <w:t>and literature searches highlighted its potential therapeutic applications in the treatment of various diseases</w:t>
      </w:r>
      <w:r w:rsidR="00CF1D1E" w:rsidRPr="00CF1D1E">
        <w:rPr>
          <w:rFonts w:ascii="Calibri" w:eastAsia="Calibri" w:hAnsi="Calibri" w:cs="Times New Roman"/>
          <w:sz w:val="24"/>
          <w:szCs w:val="24"/>
        </w:rPr>
        <w:t xml:space="preserve">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{"citationItems":[{"id":"ITEM-1","itemData":{"DOI":"10.1111/1541-4337.12041","ISBN":"1541-4337","ISSN":"15414337","abstract":"Sinapic acid is widespread in the plant kingdom (fruits, vegetables, cereal grains, oilseed crops, and some spices and medicinal plants) and as such is common in the human diet. Derivatives of sinapic acid are characteristic compounds in the Brassicaceae family. Sinapic acid shows antioxidant, antimicrobial, anti-inflammatory, anticancer, and anti-anxiety activity. 4-Vinylsyringol (a decarboxylation product of sinapic acid) is a potent antioxidative and antimutagenic agent which suppresses carcinogenesis and the induction of inflammatory cytokines. Sinapine (sinapoyl choline) is considered to be an acetylcholinesterase inhibitor which might have therapeutic applications in various disease treatments. Mainly due to their antioxidative activity, these compounds have been suggested for potential use in food processing, cosmetics, and the pharmaceutical industry, and this review aims to summarize current knowledge on the natural sources, chemistry, and biological activity of these substances. Introduction","author":[{"dropping-particle":"","family":"Nićiforović","given":"Neda","non-dropping-particle":"","parse-names":false,"suffix":""},{"dropping-particle":"","family":"Abramovič","given":"Helena","non-dropping-particle":"","parse-names":false,"suffix":""}],"container-title":"Comprehensive Reviews in Food Science and Food Safety","id":"ITEM-1","issue":"1","issued":{"date-parts":[["2014"]]},"page":"34-51","title":"Sinapic acid and its derivatives: Natural sources and bioactivity","type":"article-journal","volume":"13"},"uris":["http://www.mendeley.com/documents/?uuid=cc48352e-1bcf-4779-aefc-c7f96b5256c6"]}],"mendeley":{"formattedCitation":"(Nićiforović &amp; Abramovič, 2014)","plainTextFormattedCitation":"(Nićiforović &amp; Abramovič, 2014)","previouslyFormattedCitation":"(Nićiforović &amp; Abramovič, 2014)"},"properties":{"noteIndex":0},"schema":"https://github.com/citation-style-language/schema/raw/master/csl-citation.json"}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(Nićiforović &amp; Abramovič, 2014)</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w:t>
      </w:r>
      <w:r w:rsidR="00685B74">
        <w:rPr>
          <w:rFonts w:ascii="Calibri" w:eastAsia="Calibri" w:hAnsi="Calibri" w:cs="Times New Roman"/>
          <w:sz w:val="24"/>
          <w:szCs w:val="24"/>
        </w:rPr>
        <w:t xml:space="preserve"> </w:t>
      </w:r>
    </w:p>
    <w:p w:rsidR="000A1C54" w:rsidRPr="00CF1D1E" w:rsidRDefault="000A1C54" w:rsidP="000A1C54">
      <w:pPr>
        <w:spacing w:line="360" w:lineRule="auto"/>
        <w:jc w:val="both"/>
        <w:rPr>
          <w:rFonts w:ascii="Calibri" w:eastAsia="Calibri" w:hAnsi="Calibri" w:cs="Times New Roman"/>
          <w:sz w:val="24"/>
          <w:szCs w:val="24"/>
        </w:rPr>
      </w:pPr>
      <w:r>
        <w:rPr>
          <w:rFonts w:ascii="Calibri" w:eastAsia="Calibri" w:hAnsi="Calibri" w:cs="Times New Roman"/>
          <w:sz w:val="24"/>
          <w:szCs w:val="24"/>
        </w:rPr>
        <w:lastRenderedPageBreak/>
        <w:tab/>
      </w:r>
      <w:r w:rsidR="00CF1D1E" w:rsidRPr="00CF1D1E">
        <w:rPr>
          <w:rFonts w:ascii="Calibri" w:eastAsia="Calibri" w:hAnsi="Calibri" w:cs="Times New Roman"/>
          <w:sz w:val="24"/>
          <w:szCs w:val="24"/>
        </w:rPr>
        <w:t>A</w:t>
      </w:r>
      <w:r w:rsidR="00852D7A">
        <w:rPr>
          <w:rFonts w:ascii="Calibri" w:eastAsia="Calibri" w:hAnsi="Calibri" w:cs="Times New Roman"/>
          <w:sz w:val="24"/>
          <w:szCs w:val="24"/>
        </w:rPr>
        <w:t xml:space="preserve"> Waters </w:t>
      </w:r>
      <w:r w:rsidR="00CF1D1E" w:rsidRPr="00CF1D1E">
        <w:rPr>
          <w:rFonts w:ascii="Calibri" w:eastAsia="Calibri" w:hAnsi="Calibri" w:cs="Times New Roman"/>
          <w:sz w:val="24"/>
          <w:szCs w:val="24"/>
        </w:rPr>
        <w:t>ESI source was used to transfer</w:t>
      </w:r>
      <w:r w:rsidR="000F4027">
        <w:rPr>
          <w:rFonts w:ascii="Calibri" w:eastAsia="Calibri" w:hAnsi="Calibri" w:cs="Times New Roman"/>
          <w:sz w:val="24"/>
          <w:szCs w:val="24"/>
        </w:rPr>
        <w:t xml:space="preserve"> eluted</w:t>
      </w:r>
      <w:r w:rsidR="00CF1D1E" w:rsidRPr="00CF1D1E">
        <w:rPr>
          <w:rFonts w:ascii="Calibri" w:eastAsia="Calibri" w:hAnsi="Calibri" w:cs="Times New Roman"/>
          <w:sz w:val="24"/>
          <w:szCs w:val="24"/>
        </w:rPr>
        <w:t xml:space="preserve"> ions</w:t>
      </w:r>
      <w:r w:rsidR="000F4027">
        <w:rPr>
          <w:rFonts w:ascii="Calibri" w:eastAsia="Calibri" w:hAnsi="Calibri" w:cs="Times New Roman"/>
          <w:sz w:val="24"/>
          <w:szCs w:val="24"/>
        </w:rPr>
        <w:t xml:space="preserve"> from the mobile phase</w:t>
      </w:r>
      <w:r w:rsidR="00CF1D1E" w:rsidRPr="00CF1D1E">
        <w:rPr>
          <w:rFonts w:ascii="Calibri" w:eastAsia="Calibri" w:hAnsi="Calibri" w:cs="Times New Roman"/>
          <w:sz w:val="24"/>
          <w:szCs w:val="24"/>
        </w:rPr>
        <w:t xml:space="preserve"> to the gas phase. These gas phase ions enter the mass spectrometer via the cone in the ion source. </w:t>
      </w:r>
      <w:r w:rsidRPr="00CF1D1E">
        <w:rPr>
          <w:rFonts w:ascii="Calibri" w:eastAsia="Calibri" w:hAnsi="Calibri" w:cs="Times New Roman"/>
          <w:sz w:val="24"/>
          <w:szCs w:val="24"/>
        </w:rPr>
        <w:t>The cone voltage used</w:t>
      </w:r>
      <w:r>
        <w:rPr>
          <w:rFonts w:ascii="Calibri" w:eastAsia="Calibri" w:hAnsi="Calibri" w:cs="Times New Roman"/>
          <w:sz w:val="24"/>
          <w:szCs w:val="24"/>
        </w:rPr>
        <w:t xml:space="preserve"> </w:t>
      </w:r>
      <w:r w:rsidRPr="00CF1D1E">
        <w:rPr>
          <w:rFonts w:ascii="Calibri" w:eastAsia="Calibri" w:hAnsi="Calibri" w:cs="Times New Roman"/>
          <w:sz w:val="24"/>
          <w:szCs w:val="24"/>
        </w:rPr>
        <w:t>was 20V and the collision energy was 30V for all components.</w:t>
      </w:r>
    </w:p>
    <w:p w:rsidR="000031CC"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A sample sequence was setup in the Waters MassLynx software. The sequence is a list of instructions for the autosampler including file names, MS methods, UPLC methods, injection volume and vial positions in the autosampler trays. Three dilutions of the standard stock solution were prepared. These were diluted with mobile phase in 10ml grade A volumetric flasks. The standards prepared were x10, x100 and x1000 dilutions of the stock solution. Bark extracts were diluted by 100 times, also using mobile phase. Standards and samples were injected (2μl) across the range of standards and samples multiple times. Standards were injected at regular intervals throughout the sequence as a check on consistency of response. Also blanks were injected after s</w:t>
      </w:r>
      <w:r w:rsidR="000031CC">
        <w:rPr>
          <w:rFonts w:ascii="Calibri" w:eastAsia="Calibri" w:hAnsi="Calibri" w:cs="Times New Roman"/>
          <w:sz w:val="24"/>
          <w:szCs w:val="24"/>
        </w:rPr>
        <w:t>tandards</w:t>
      </w:r>
      <w:r w:rsidRPr="00CF1D1E">
        <w:rPr>
          <w:rFonts w:ascii="Calibri" w:eastAsia="Calibri" w:hAnsi="Calibri" w:cs="Times New Roman"/>
          <w:sz w:val="24"/>
          <w:szCs w:val="24"/>
        </w:rPr>
        <w:t xml:space="preserve"> to illustrate that no carry-over was present, which would adversely affect the quality of quantification in this analysis. Fisher Scientific Optima</w:t>
      </w:r>
      <w:r w:rsidRPr="00CF1D1E">
        <w:rPr>
          <w:rFonts w:ascii="Calibri" w:eastAsia="Calibri" w:hAnsi="Calibri" w:cs="Times New Roman"/>
          <w:sz w:val="24"/>
          <w:szCs w:val="24"/>
          <w:vertAlign w:val="superscript"/>
        </w:rPr>
        <w:t>TM</w:t>
      </w:r>
      <w:r w:rsidRPr="00CF1D1E">
        <w:rPr>
          <w:rFonts w:ascii="Calibri" w:eastAsia="Calibri" w:hAnsi="Calibri" w:cs="Times New Roman"/>
          <w:sz w:val="24"/>
          <w:szCs w:val="24"/>
        </w:rPr>
        <w:t xml:space="preserve"> grade MS solvents and modifiers were used. </w:t>
      </w:r>
    </w:p>
    <w:p w:rsidR="000031CC"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Plastic was avoided wherever possible to reduce the risk of contamination from plasticisers. Mobile phases were prepared daily, also to reduce the risk of contamination, in this case primarily from microbial growth. </w:t>
      </w:r>
    </w:p>
    <w:p w:rsidR="000031CC"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Efficient online degassers within the pump module avoid the requirement to degas externally through sonication, filtration or a Helium sparge. The pump was primed daily </w:t>
      </w:r>
      <w:r w:rsidR="009C5901">
        <w:rPr>
          <w:rFonts w:ascii="Calibri" w:eastAsia="Calibri" w:hAnsi="Calibri" w:cs="Times New Roman"/>
          <w:sz w:val="24"/>
          <w:szCs w:val="24"/>
        </w:rPr>
        <w:t xml:space="preserve">prior to </w:t>
      </w:r>
      <w:r w:rsidRPr="00CF1D1E">
        <w:rPr>
          <w:rFonts w:ascii="Calibri" w:eastAsia="Calibri" w:hAnsi="Calibri" w:cs="Times New Roman"/>
          <w:sz w:val="24"/>
          <w:szCs w:val="24"/>
        </w:rPr>
        <w:t>running a sequence</w:t>
      </w:r>
      <w:r w:rsidR="009C5901">
        <w:rPr>
          <w:rFonts w:ascii="Calibri" w:eastAsia="Calibri" w:hAnsi="Calibri" w:cs="Times New Roman"/>
          <w:sz w:val="24"/>
          <w:szCs w:val="24"/>
        </w:rPr>
        <w:t xml:space="preserve"> of sample injections</w:t>
      </w:r>
      <w:r w:rsidRPr="00CF1D1E">
        <w:rPr>
          <w:rFonts w:ascii="Calibri" w:eastAsia="Calibri" w:hAnsi="Calibri" w:cs="Times New Roman"/>
          <w:sz w:val="24"/>
          <w:szCs w:val="24"/>
        </w:rPr>
        <w:t xml:space="preserve">; </w:t>
      </w:r>
      <w:r w:rsidR="009C5901">
        <w:rPr>
          <w:rFonts w:ascii="Calibri" w:eastAsia="Calibri" w:hAnsi="Calibri" w:cs="Times New Roman"/>
          <w:sz w:val="24"/>
          <w:szCs w:val="24"/>
        </w:rPr>
        <w:t>priming</w:t>
      </w:r>
      <w:r w:rsidRPr="00CF1D1E">
        <w:rPr>
          <w:rFonts w:ascii="Calibri" w:eastAsia="Calibri" w:hAnsi="Calibri" w:cs="Times New Roman"/>
          <w:sz w:val="24"/>
          <w:szCs w:val="24"/>
        </w:rPr>
        <w:t xml:space="preserve"> purges the system of air bubbles and pulls through fresh eluent. A delta value</w:t>
      </w:r>
      <w:r w:rsidR="00F72B36">
        <w:rPr>
          <w:rFonts w:ascii="Calibri" w:eastAsia="Calibri" w:hAnsi="Calibri" w:cs="Times New Roman"/>
          <w:sz w:val="24"/>
          <w:szCs w:val="24"/>
        </w:rPr>
        <w:t xml:space="preserve"> (change in pressure)</w:t>
      </w:r>
      <w:r w:rsidRPr="00CF1D1E">
        <w:rPr>
          <w:rFonts w:ascii="Calibri" w:eastAsia="Calibri" w:hAnsi="Calibri" w:cs="Times New Roman"/>
          <w:sz w:val="24"/>
          <w:szCs w:val="24"/>
        </w:rPr>
        <w:t xml:space="preserve"> of less than 20</w:t>
      </w:r>
      <w:r w:rsidR="00F72B36">
        <w:rPr>
          <w:rFonts w:ascii="Calibri" w:eastAsia="Calibri" w:hAnsi="Calibri" w:cs="Times New Roman"/>
          <w:sz w:val="24"/>
          <w:szCs w:val="24"/>
        </w:rPr>
        <w:t xml:space="preserve"> psi</w:t>
      </w:r>
      <w:r w:rsidRPr="00CF1D1E">
        <w:rPr>
          <w:rFonts w:ascii="Calibri" w:eastAsia="Calibri" w:hAnsi="Calibri" w:cs="Times New Roman"/>
          <w:sz w:val="24"/>
          <w:szCs w:val="24"/>
        </w:rPr>
        <w:t xml:space="preserve"> was achieved prior to beginning a sequence as an indication that a sufficient equilibration period had been observed.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All of these points are seen as good practice and greatly increase the likelihood of creating </w:t>
      </w:r>
      <w:r w:rsidR="000031CC">
        <w:rPr>
          <w:rFonts w:ascii="Calibri" w:eastAsia="Calibri" w:hAnsi="Calibri" w:cs="Times New Roman"/>
          <w:sz w:val="24"/>
          <w:szCs w:val="24"/>
        </w:rPr>
        <w:t>good</w:t>
      </w:r>
      <w:r w:rsidRPr="00CF1D1E">
        <w:rPr>
          <w:rFonts w:ascii="Calibri" w:eastAsia="Calibri" w:hAnsi="Calibri" w:cs="Times New Roman"/>
          <w:sz w:val="24"/>
          <w:szCs w:val="24"/>
        </w:rPr>
        <w:t xml:space="preserve"> quality data with consistent retention times and reliable calibrations. Quantification was achieved by comparison of sample peak areas to the areas of an external standard under the same conditions. Replicates were used in order to average out analytical variation.</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rPr>
          <w:rFonts w:ascii="Calibri" w:eastAsia="Calibri" w:hAnsi="Calibri" w:cs="Times New Roman"/>
          <w:b/>
          <w:sz w:val="36"/>
          <w:szCs w:val="36"/>
        </w:rPr>
      </w:pPr>
      <w:r w:rsidRPr="00CF1D1E">
        <w:rPr>
          <w:rFonts w:ascii="Calibri" w:eastAsia="Calibri" w:hAnsi="Calibri" w:cs="Times New Roman"/>
          <w:b/>
          <w:sz w:val="36"/>
          <w:szCs w:val="36"/>
        </w:rPr>
        <w:lastRenderedPageBreak/>
        <w:t>1.23 Synapt G2-Si Targeted Method (ToF-MRM)</w:t>
      </w:r>
    </w:p>
    <w:p w:rsidR="00CF1D1E" w:rsidRPr="00CF1D1E" w:rsidRDefault="00CF1D1E" w:rsidP="00CF1D1E">
      <w:pPr>
        <w:spacing w:line="360" w:lineRule="auto"/>
        <w:rPr>
          <w:rFonts w:ascii="Calibri" w:eastAsia="Calibri" w:hAnsi="Calibri" w:cs="Times New Roman"/>
          <w:b/>
          <w:sz w:val="36"/>
          <w:szCs w:val="36"/>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As will be seen in the result section, the quantification of quercetin by the Xevo-TQXS method previously described was unsuccessful due to an unusual chromatographic effect between the analyte and the Poroshell 120 SB-C18 column. The calibration was not linear for quercetin and therefore unusable. A new targeted method was developed, using the previous method as a starting point, in order to gain a useable linear quantification method for quercetin.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To avoid the chromatographic effect seen on the Agilent Poroshell 120 SB-C18 column </w:t>
      </w:r>
      <w:r w:rsidR="00BA2FC3">
        <w:rPr>
          <w:rFonts w:ascii="Calibri" w:eastAsia="Calibri" w:hAnsi="Calibri" w:cs="Times New Roman"/>
          <w:sz w:val="24"/>
          <w:szCs w:val="24"/>
        </w:rPr>
        <w:t>an</w:t>
      </w:r>
      <w:r w:rsidRPr="00CF1D1E">
        <w:rPr>
          <w:rFonts w:ascii="Calibri" w:eastAsia="Calibri" w:hAnsi="Calibri" w:cs="Times New Roman"/>
          <w:sz w:val="24"/>
          <w:szCs w:val="24"/>
        </w:rPr>
        <w:t xml:space="preserve"> Agilent XDB C18 with a 5μm standard particle was used</w:t>
      </w:r>
      <w:r w:rsidR="00BA2FC3">
        <w:rPr>
          <w:rFonts w:ascii="Calibri" w:eastAsia="Calibri" w:hAnsi="Calibri" w:cs="Times New Roman"/>
          <w:sz w:val="24"/>
          <w:szCs w:val="24"/>
        </w:rPr>
        <w:t xml:space="preserve"> instead</w:t>
      </w:r>
      <w:r w:rsidRPr="00CF1D1E">
        <w:rPr>
          <w:rFonts w:ascii="Calibri" w:eastAsia="Calibri" w:hAnsi="Calibri" w:cs="Times New Roman"/>
          <w:sz w:val="24"/>
          <w:szCs w:val="24"/>
        </w:rPr>
        <w:t xml:space="preserve"> with dimensions 4.6mm x 150mm. This was setup on a Waters (Milford, Massachusetts, USA) I-Class UPLC which was linked to a Synapt G2-Si mass spectrometer. This is a quadrupole time of flight instrument (</w:t>
      </w:r>
      <w:proofErr w:type="spellStart"/>
      <w:r w:rsidRPr="00CF1D1E">
        <w:rPr>
          <w:rFonts w:ascii="Calibri" w:eastAsia="Calibri" w:hAnsi="Calibri" w:cs="Times New Roman"/>
          <w:sz w:val="24"/>
          <w:szCs w:val="24"/>
        </w:rPr>
        <w:t>QToF</w:t>
      </w:r>
      <w:proofErr w:type="spellEnd"/>
      <w:r w:rsidRPr="00CF1D1E">
        <w:rPr>
          <w:rFonts w:ascii="Calibri" w:eastAsia="Calibri" w:hAnsi="Calibri" w:cs="Times New Roman"/>
          <w:sz w:val="24"/>
          <w:szCs w:val="24"/>
        </w:rPr>
        <w:t xml:space="preserve">) with the addition of ion mobility spectrometry (IMS). The IMS function was not required in this situation and was therefore not enabled.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Traditionally the Synapt G2-Si is used for discovery mode HDMS</w:t>
      </w:r>
      <w:r w:rsidRPr="00CF1D1E">
        <w:rPr>
          <w:rFonts w:ascii="Calibri" w:eastAsia="Calibri" w:hAnsi="Calibri" w:cs="Times New Roman"/>
          <w:sz w:val="24"/>
          <w:szCs w:val="24"/>
          <w:vertAlign w:val="superscript"/>
        </w:rPr>
        <w:t>e</w:t>
      </w:r>
      <w:r w:rsidRPr="00CF1D1E">
        <w:rPr>
          <w:rFonts w:ascii="Calibri" w:eastAsia="Calibri" w:hAnsi="Calibri" w:cs="Times New Roman"/>
          <w:sz w:val="24"/>
          <w:szCs w:val="24"/>
        </w:rPr>
        <w:t xml:space="preserve"> type experiments</w:t>
      </w:r>
      <w:r w:rsidR="00BA2FC3">
        <w:rPr>
          <w:rFonts w:ascii="Calibri" w:eastAsia="Calibri" w:hAnsi="Calibri" w:cs="Times New Roman"/>
          <w:sz w:val="24"/>
          <w:szCs w:val="24"/>
        </w:rPr>
        <w:t xml:space="preserve"> but this MS</w:t>
      </w:r>
      <w:r w:rsidRPr="00CF1D1E">
        <w:rPr>
          <w:rFonts w:ascii="Calibri" w:eastAsia="Calibri" w:hAnsi="Calibri" w:cs="Times New Roman"/>
          <w:sz w:val="24"/>
          <w:szCs w:val="24"/>
        </w:rPr>
        <w:t xml:space="preserve"> is capable of many different types of mass spec experiment including the ToF-MRM targeted approach. This is a break from traditional thinking but there are clear advantages using this approach as outlined in a Waters technology brief on this subject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{"citationItems":[{"id":"ITEM-1","itemData":{"abstract":"To enable routine quantification at very low limits while providing the sensitivity and selectivity benefits of high resolution MS and T-Wave™ ion mobility separations using the SYNAPT ® G2-Si MS acquisition modes, HD-MRM and Tof-MRM. BAc KG ROu N d High resolution mass spectrometers (HR-MS) combined with liquid chromatography (LC) systems are commonly used to acquire information rich qualitative data in fields as diverse as metabolite I.D., proteomics, metabonomics, biomarker discovery, biopharmaceutical characterization, polymer analysis, and petroleum analysis. Interest in the quantitative information that can be obtained during these mainly qualitative experiments has increased. Quan/Qual workflows, such as the Waters ® accurate mass screening platform solution based on MS E , have been successful in extending the capabilities of HR-MS; however, the majority of dedicated quantification is still performed on tandem quadrupole MS systems. These are typically used as they provide an ideal combination of high sensitivity, selectivity, robustness, reproducibility, and affordability for many routine quantitative assays. Tof-MRM and HD-MRM workflows enable users to carry out routine targeted quantification with more selectivity, sensitivity, and confidence than ever. Targeted High Resolution Quantification with Tof-MRM and HD-MRM Figure 1. Expected duty cycle enhancement factor (and therefore sensitivity) as a function of m/z. 0 2 4 6 8 10 12 14 16 50 200 3 50 500 6 50 800 9 50 1100 Enhancement Factor m/z Duty cyde Enhancement Factor as Function of m/z More recently, interest in targeted quantification on HR-MS has increased for a number of practical reasons. The ability to perform both qualitative and quantitative analyses on the same platform extends the versatility of an analytical instrument. Often, complex LC methods and other inlet options can be problematic to migrate due to shifts in RT and performance which then require re-optimization, consequently costing time and effort. In instances like these, the ability to perform the quantification in situ is extremely valuable. In addition to this, HR-MS may provide greater confidence in results by affording the scientist extra selectivity in the form of accurate mass, isotope ratios, and ion mobility separations.","author":[{"dropping-particle":"","family":"Tomczyk","given":"Nick","non-dropping-particle":"","parse-names":false,"suffix":""},{"dropping-particle":"","family":"Wallace","given":"Alistair","non-dropping-particle":"","parse-names":false,"suffix":""},{"dropping-particle":"","family":"Richardson","given":"Keith","non-dropping-particle":"","parse-names":false,"suffix":""},{"dropping-particle":"","family":"Grzyb","given":"Arkadiusz","non-dropping-particle":"","parse-names":false,"suffix":""},{"dropping-particle":"","family":"Wildgoose GOA","given":"Jason L","non-dropping-particle":"","parse-names":false,"suffix":""}],"id":"ITEM-1","issued":{"date-parts":[["2013"]]},"title":"Targeted Hi-Res Quantification on Synapt G2-Si","type":"article-journal"},"uris":["http://www.mendeley.com/documents/?uuid=51db7761-de2b-3733-a702-a2a4d9be5776"]}],"mendeley":{"formattedCitation":"(Tomczyk, Wallace, Richardson, Grzyb, &amp; Wildgoose GOA, 2013)","plainTextFormattedCitation":"(Tomczyk, Wallace, Richardson, Grzyb, &amp; Wildgoose GOA, 2013)","previouslyFormattedCitation":"(Tomczyk, Wallace, Richardson, Grzyb, &amp; Wildgoose GOA,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(Tomczyk, Wallace, Richardson, Grzyb, &amp; Wildgoose GOA,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In summary, as accurate mass is </w:t>
      </w:r>
      <w:r w:rsidR="00BA2FC3">
        <w:rPr>
          <w:rFonts w:ascii="Calibri" w:eastAsia="Calibri" w:hAnsi="Calibri" w:cs="Times New Roman"/>
          <w:sz w:val="24"/>
          <w:szCs w:val="24"/>
        </w:rPr>
        <w:t xml:space="preserve">a </w:t>
      </w:r>
      <w:r w:rsidRPr="00CF1D1E">
        <w:rPr>
          <w:rFonts w:ascii="Calibri" w:eastAsia="Calibri" w:hAnsi="Calibri" w:cs="Times New Roman"/>
          <w:sz w:val="24"/>
          <w:szCs w:val="24"/>
        </w:rPr>
        <w:t xml:space="preserve">key attribute of the Synapt G2-Si, due to its time of flight detector, methods created on this instrument can have much more selectivity as well as </w:t>
      </w:r>
      <w:r w:rsidR="009D0744">
        <w:rPr>
          <w:rFonts w:ascii="Calibri" w:eastAsia="Calibri" w:hAnsi="Calibri" w:cs="Times New Roman"/>
          <w:sz w:val="24"/>
          <w:szCs w:val="24"/>
        </w:rPr>
        <w:t>good</w:t>
      </w:r>
      <w:r w:rsidRPr="00CF1D1E">
        <w:rPr>
          <w:rFonts w:ascii="Calibri" w:eastAsia="Calibri" w:hAnsi="Calibri" w:cs="Times New Roman"/>
          <w:sz w:val="24"/>
          <w:szCs w:val="24"/>
        </w:rPr>
        <w:t xml:space="preserve"> sensitivity. An enhanced duty cycle is implemented to maximise instrument sensitivity during quantification. With the added ability to improve selectivity further by the use of ion mobility and isotope ratios, this is felt to be an enhancement of the traditional MRM method.  </w:t>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w:drawing>
          <wp:inline distT="0" distB="0" distL="0" distR="0" wp14:anchorId="06A1EE99" wp14:editId="0D4B18A2">
            <wp:extent cx="5810171" cy="309562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ynapt_g2-si.jpg"/>
                    <pic:cNvPicPr/>
                  </pic:nvPicPr>
                  <pic:blipFill>
                    <a:blip r:embed="rId25">
                      <a:extLst>
                        <a:ext uri="{28A0092B-C50C-407E-A947-70E740481C1C}">
                          <a14:useLocalDpi xmlns:a14="http://schemas.microsoft.com/office/drawing/2010/main" val="0"/>
                        </a:ext>
                      </a:extLst>
                    </a:blip>
                    <a:stretch>
                      <a:fillRect/>
                    </a:stretch>
                  </pic:blipFill>
                  <pic:spPr>
                    <a:xfrm>
                      <a:off x="0" y="0"/>
                      <a:ext cx="5821481" cy="3101651"/>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0"/>
          <w:szCs w:val="20"/>
        </w:rPr>
      </w:pPr>
      <w:r w:rsidRPr="00CF1D1E">
        <w:rPr>
          <w:rFonts w:ascii="Calibri" w:eastAsia="Calibri" w:hAnsi="Calibri" w:cs="Times New Roman"/>
          <w:sz w:val="20"/>
          <w:szCs w:val="20"/>
        </w:rPr>
        <w:t>Fig.11 Schematic of the Synapt G2-Si (Reproduced by kind permission of the Waters Technologies Corporation)</w:t>
      </w:r>
    </w:p>
    <w:p w:rsidR="00CF1D1E" w:rsidRPr="00CF1D1E" w:rsidRDefault="00CF1D1E" w:rsidP="00CF1D1E">
      <w:pPr>
        <w:spacing w:line="360" w:lineRule="auto"/>
        <w:rPr>
          <w:rFonts w:ascii="Calibri" w:eastAsia="Calibri" w:hAnsi="Calibri" w:cs="Times New Roman"/>
          <w:sz w:val="24"/>
          <w:szCs w:val="24"/>
        </w:rPr>
      </w:pPr>
    </w:p>
    <w:tbl>
      <w:tblPr>
        <w:tblStyle w:val="TableGrid"/>
        <w:tblW w:w="0" w:type="auto"/>
        <w:tblInd w:w="608" w:type="dxa"/>
        <w:tblLook w:val="04A0" w:firstRow="1" w:lastRow="0" w:firstColumn="1" w:lastColumn="0" w:noHBand="0" w:noVBand="1"/>
      </w:tblPr>
      <w:tblGrid>
        <w:gridCol w:w="8034"/>
      </w:tblGrid>
      <w:tr w:rsidR="00CF1D1E" w:rsidRPr="00CF1D1E" w:rsidTr="009D0744">
        <w:tc>
          <w:tcPr>
            <w:tcW w:w="8034" w:type="dxa"/>
          </w:tcPr>
          <w:p w:rsidR="00CF1D1E" w:rsidRPr="00CF1D1E" w:rsidRDefault="009D0744" w:rsidP="009D0744">
            <w:pPr>
              <w:spacing w:line="360" w:lineRule="auto"/>
              <w:rPr>
                <w:rFonts w:ascii="Calibri" w:eastAsia="Calibri" w:hAnsi="Calibri" w:cs="Times New Roman"/>
                <w:sz w:val="24"/>
                <w:szCs w:val="24"/>
              </w:rPr>
            </w:pPr>
            <w:r>
              <w:rPr>
                <w:rFonts w:ascii="Calibri" w:eastAsia="Calibri" w:hAnsi="Calibri" w:cs="Times New Roman"/>
                <w:sz w:val="24"/>
                <w:szCs w:val="24"/>
              </w:rPr>
              <w:t>Mobile phase</w:t>
            </w:r>
            <w:proofErr w:type="gramStart"/>
            <w:r>
              <w:rPr>
                <w:rFonts w:ascii="Calibri" w:eastAsia="Calibri" w:hAnsi="Calibri" w:cs="Times New Roman"/>
                <w:sz w:val="24"/>
                <w:szCs w:val="24"/>
              </w:rPr>
              <w:t>:</w:t>
            </w:r>
            <w:r w:rsidR="00CF1D1E" w:rsidRPr="00CF1D1E">
              <w:rPr>
                <w:rFonts w:ascii="Calibri" w:eastAsia="Calibri" w:hAnsi="Calibri" w:cs="Times New Roman"/>
                <w:sz w:val="24"/>
                <w:szCs w:val="24"/>
              </w:rPr>
              <w:t>60</w:t>
            </w:r>
            <w:proofErr w:type="gramEnd"/>
            <w:r>
              <w:rPr>
                <w:rFonts w:ascii="Calibri" w:eastAsia="Calibri" w:hAnsi="Calibri" w:cs="Times New Roman"/>
                <w:sz w:val="24"/>
                <w:szCs w:val="24"/>
              </w:rPr>
              <w:t>%A</w:t>
            </w:r>
            <w:r w:rsidR="00CF1D1E" w:rsidRPr="00CF1D1E">
              <w:rPr>
                <w:rFonts w:ascii="Calibri" w:eastAsia="Calibri" w:hAnsi="Calibri" w:cs="Times New Roman"/>
                <w:sz w:val="24"/>
                <w:szCs w:val="24"/>
              </w:rPr>
              <w:t>:40</w:t>
            </w:r>
            <w:r>
              <w:rPr>
                <w:rFonts w:ascii="Calibri" w:eastAsia="Calibri" w:hAnsi="Calibri" w:cs="Times New Roman"/>
                <w:sz w:val="24"/>
                <w:szCs w:val="24"/>
              </w:rPr>
              <w:t>%B. A=Water 0.1% Acetic Acid, B=</w:t>
            </w:r>
            <w:r w:rsidR="00CF1D1E" w:rsidRPr="00CF1D1E">
              <w:rPr>
                <w:rFonts w:ascii="Calibri" w:eastAsia="Calibri" w:hAnsi="Calibri" w:cs="Times New Roman"/>
                <w:sz w:val="24"/>
                <w:szCs w:val="24"/>
              </w:rPr>
              <w:t>A</w:t>
            </w:r>
            <w:r>
              <w:rPr>
                <w:rFonts w:ascii="Calibri" w:eastAsia="Calibri" w:hAnsi="Calibri" w:cs="Times New Roman"/>
                <w:sz w:val="24"/>
                <w:szCs w:val="24"/>
              </w:rPr>
              <w:t>CN</w:t>
            </w:r>
            <w:r w:rsidR="00CF1D1E" w:rsidRPr="00CF1D1E">
              <w:rPr>
                <w:rFonts w:ascii="Calibri" w:eastAsia="Calibri" w:hAnsi="Calibri" w:cs="Times New Roman"/>
                <w:sz w:val="24"/>
                <w:szCs w:val="24"/>
              </w:rPr>
              <w:t xml:space="preserve"> 0.1% Acetic Acid</w:t>
            </w:r>
          </w:p>
        </w:tc>
      </w:tr>
      <w:tr w:rsidR="00CF1D1E" w:rsidRPr="00CF1D1E" w:rsidTr="009D0744">
        <w:tc>
          <w:tcPr>
            <w:tcW w:w="8034"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Flow: 1.0 ml/min</w:t>
            </w:r>
          </w:p>
        </w:tc>
      </w:tr>
      <w:tr w:rsidR="00CF1D1E" w:rsidRPr="00CF1D1E" w:rsidTr="009D0744">
        <w:tc>
          <w:tcPr>
            <w:tcW w:w="8034"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Injection volume: 10μl</w:t>
            </w:r>
          </w:p>
        </w:tc>
      </w:tr>
      <w:tr w:rsidR="00CF1D1E" w:rsidRPr="00CF1D1E" w:rsidTr="009D0744">
        <w:tc>
          <w:tcPr>
            <w:tcW w:w="8034"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Column Oven: 40°C</w:t>
            </w:r>
          </w:p>
        </w:tc>
      </w:tr>
      <w:tr w:rsidR="00CF1D1E" w:rsidRPr="00CF1D1E" w:rsidTr="009D0744">
        <w:tc>
          <w:tcPr>
            <w:tcW w:w="8034"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Gradient: 60:40 initially to 0:100 over 5 min, back to 60:40 over 0.2 min.</w:t>
            </w:r>
          </w:p>
        </w:tc>
      </w:tr>
      <w:tr w:rsidR="00CF1D1E" w:rsidRPr="00CF1D1E" w:rsidTr="009D0744">
        <w:tc>
          <w:tcPr>
            <w:tcW w:w="8034"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Hold at this combination for 0.8 min to equilibrate prior to the next injection. </w:t>
            </w:r>
          </w:p>
        </w:tc>
      </w:tr>
    </w:tbl>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0"/>
          <w:szCs w:val="20"/>
        </w:rPr>
      </w:pPr>
      <w:r w:rsidRPr="00CF1D1E">
        <w:rPr>
          <w:rFonts w:ascii="Calibri" w:eastAsia="Calibri" w:hAnsi="Calibri" w:cs="Times New Roman"/>
          <w:sz w:val="20"/>
          <w:szCs w:val="20"/>
        </w:rPr>
        <w:t>Tab.6 I-Class UPLC conditions for the ToF-MRM acquisition.</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rPr>
          <w:rFonts w:ascii="Calibri" w:eastAsia="Calibri" w:hAnsi="Calibri" w:cs="Times New Roman"/>
          <w:sz w:val="24"/>
          <w:szCs w:val="24"/>
        </w:rPr>
      </w:pPr>
      <w:r w:rsidRPr="00CF1D1E">
        <w:rPr>
          <w:rFonts w:ascii="Calibri" w:eastAsia="Calibri" w:hAnsi="Calibri" w:cs="Times New Roman"/>
          <w:sz w:val="24"/>
          <w:szCs w:val="24"/>
        </w:rPr>
        <w:t>The Synapt G2-Si was setup with an MRM of 1 mass pair only in negative mode, the parent daughter transition was as follows;</w:t>
      </w:r>
    </w:p>
    <w:p w:rsidR="00CF1D1E" w:rsidRPr="00CF1D1E" w:rsidRDefault="00CF1D1E" w:rsidP="00CF1D1E">
      <w:pPr>
        <w:spacing w:line="360" w:lineRule="auto"/>
        <w:ind w:left="1440" w:firstLine="720"/>
        <w:rPr>
          <w:rFonts w:ascii="Calibri" w:eastAsia="Calibri" w:hAnsi="Calibri" w:cs="Times New Roman"/>
          <w:color w:val="FF0000"/>
          <w:sz w:val="24"/>
          <w:szCs w:val="24"/>
        </w:rPr>
      </w:pPr>
      <w:r w:rsidRPr="00CF1D1E">
        <w:rPr>
          <w:rFonts w:ascii="Calibri" w:eastAsia="Calibri" w:hAnsi="Calibri" w:cs="Times New Roman"/>
          <w:sz w:val="24"/>
          <w:szCs w:val="24"/>
        </w:rPr>
        <w:t>Quercetin m/z 301.</w:t>
      </w:r>
      <w:r w:rsidRPr="00CF1D1E">
        <w:rPr>
          <w:rFonts w:ascii="Calibri" w:eastAsia="Calibri" w:hAnsi="Calibri" w:cs="Times New Roman"/>
          <w:color w:val="000000"/>
          <w:sz w:val="24"/>
          <w:szCs w:val="24"/>
        </w:rPr>
        <w:t>04</w:t>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m/z 179.</w:t>
      </w:r>
      <w:r w:rsidRPr="00CF1D1E">
        <w:rPr>
          <w:rFonts w:ascii="Calibri" w:eastAsia="Calibri" w:hAnsi="Calibri" w:cs="Times New Roman"/>
          <w:color w:val="000000"/>
          <w:sz w:val="24"/>
          <w:szCs w:val="24"/>
        </w:rPr>
        <w:t>00</w:t>
      </w:r>
    </w:p>
    <w:p w:rsidR="00CF1D1E" w:rsidRPr="00CF1D1E" w:rsidRDefault="00CF1D1E" w:rsidP="00CF1D1E">
      <w:pPr>
        <w:spacing w:line="360" w:lineRule="auto"/>
        <w:jc w:val="both"/>
        <w:rPr>
          <w:rFonts w:ascii="Calibri" w:eastAsia="Calibri" w:hAnsi="Calibri" w:cs="Times New Roman"/>
          <w:color w:val="000000"/>
          <w:sz w:val="24"/>
          <w:szCs w:val="24"/>
        </w:rPr>
      </w:pPr>
      <w:r w:rsidRPr="00CF1D1E">
        <w:rPr>
          <w:rFonts w:ascii="Calibri" w:eastAsia="Calibri" w:hAnsi="Calibri" w:cs="Times New Roman"/>
          <w:color w:val="000000"/>
          <w:sz w:val="24"/>
          <w:szCs w:val="24"/>
        </w:rPr>
        <w:t xml:space="preserve">Acetonitrile (ACN) was used instead of methanol as this gave a slightly improved chromatographic peak on this column. The Synapt G2-Si was setup in ToF-MRM mode with </w:t>
      </w:r>
      <w:r w:rsidRPr="00CF1D1E">
        <w:rPr>
          <w:rFonts w:ascii="Calibri" w:eastAsia="Calibri" w:hAnsi="Calibri" w:cs="Times New Roman"/>
          <w:color w:val="000000"/>
          <w:sz w:val="24"/>
          <w:szCs w:val="24"/>
        </w:rPr>
        <w:lastRenderedPageBreak/>
        <w:t xml:space="preserve">the quercetin parent/daughter transition being its only focus. This resulted in a method of high sensitivity </w:t>
      </w:r>
      <w:r w:rsidR="00174D6A">
        <w:rPr>
          <w:rFonts w:ascii="Calibri" w:eastAsia="Calibri" w:hAnsi="Calibri" w:cs="Times New Roman"/>
          <w:color w:val="000000"/>
          <w:sz w:val="24"/>
          <w:szCs w:val="24"/>
        </w:rPr>
        <w:t>as well as</w:t>
      </w:r>
      <w:r w:rsidRPr="00CF1D1E">
        <w:rPr>
          <w:rFonts w:ascii="Calibri" w:eastAsia="Calibri" w:hAnsi="Calibri" w:cs="Times New Roman"/>
          <w:color w:val="000000"/>
          <w:sz w:val="24"/>
          <w:szCs w:val="24"/>
        </w:rPr>
        <w:t xml:space="preserve"> high specificity in which all other ions were ignored. In order to gain accurate mass on a ToF MS, the mass axis needed to be calibrated throughout the acquisition. This was achieved by the use of a second probe which enters the ESI source. A lockmass solution is infused through the second probe as the output of the UPLC enters simultaneously via the primary analytical probe. A metal baffle was set to quickly switch to the lockmass input once every 30 seconds during the run. The lockmass used was a 200pg/</w:t>
      </w:r>
      <w:r w:rsidRPr="00CF1D1E">
        <w:rPr>
          <w:rFonts w:ascii="Calibri" w:eastAsia="Calibri" w:hAnsi="Calibri" w:cs="Times New Roman"/>
          <w:sz w:val="24"/>
          <w:szCs w:val="24"/>
        </w:rPr>
        <w:t>μl</w:t>
      </w:r>
      <w:r w:rsidRPr="00CF1D1E">
        <w:rPr>
          <w:rFonts w:ascii="Calibri" w:eastAsia="Calibri" w:hAnsi="Calibri" w:cs="Times New Roman"/>
          <w:color w:val="000000"/>
          <w:sz w:val="24"/>
          <w:szCs w:val="24"/>
        </w:rPr>
        <w:t xml:space="preserve"> leucine encephalin solution which gives a known point of reference of m/z 554.2771 in negative mode. This was set to be automatically applied (m/z output corrected on the fly) in order to constantly correct the mass axis.  The </w:t>
      </w:r>
      <w:proofErr w:type="spellStart"/>
      <w:r w:rsidRPr="00CF1D1E">
        <w:rPr>
          <w:rFonts w:ascii="Calibri" w:eastAsia="Calibri" w:hAnsi="Calibri" w:cs="Times New Roman"/>
          <w:color w:val="000000"/>
          <w:sz w:val="24"/>
          <w:szCs w:val="24"/>
        </w:rPr>
        <w:t>LockSpray</w:t>
      </w:r>
      <w:proofErr w:type="spellEnd"/>
      <w:r w:rsidRPr="00CF1D1E">
        <w:rPr>
          <w:rFonts w:ascii="Calibri" w:eastAsia="Calibri" w:hAnsi="Calibri" w:cs="Times New Roman"/>
          <w:color w:val="000000"/>
          <w:sz w:val="24"/>
          <w:szCs w:val="24"/>
        </w:rPr>
        <w:t xml:space="preserve"> ion source was specifically designed for the Waters Z-Spray</w:t>
      </w:r>
      <w:r w:rsidRPr="00CF1D1E">
        <w:rPr>
          <w:rFonts w:ascii="Calibri" w:eastAsia="Calibri" w:hAnsi="Calibri" w:cs="Times New Roman"/>
          <w:color w:val="000000"/>
          <w:sz w:val="24"/>
          <w:szCs w:val="24"/>
          <w:vertAlign w:val="superscript"/>
        </w:rPr>
        <w:t>TM</w:t>
      </w:r>
      <w:r w:rsidRPr="00CF1D1E">
        <w:rPr>
          <w:rFonts w:ascii="Calibri" w:eastAsia="Calibri" w:hAnsi="Calibri" w:cs="Times New Roman"/>
          <w:color w:val="000000"/>
          <w:sz w:val="24"/>
          <w:szCs w:val="24"/>
        </w:rPr>
        <w:t xml:space="preserve"> API interface for LC-MS using ESI</w:t>
      </w:r>
      <w:r w:rsidR="002377DB">
        <w:rPr>
          <w:rFonts w:ascii="Calibri" w:eastAsia="Calibri" w:hAnsi="Calibri" w:cs="Times New Roman"/>
          <w:color w:val="000000"/>
          <w:sz w:val="24"/>
          <w:szCs w:val="24"/>
        </w:rPr>
        <w:t xml:space="preserve"> or APCI</w:t>
      </w:r>
      <w:r w:rsidRPr="00CF1D1E">
        <w:rPr>
          <w:rFonts w:ascii="Calibri" w:eastAsia="Calibri" w:hAnsi="Calibri" w:cs="Times New Roman"/>
          <w:color w:val="000000"/>
          <w:sz w:val="24"/>
          <w:szCs w:val="24"/>
        </w:rPr>
        <w:t xml:space="preserve"> (see Fig.12)</w:t>
      </w:r>
    </w:p>
    <w:p w:rsidR="00CF1D1E" w:rsidRPr="00CF1D1E" w:rsidRDefault="00CF1D1E" w:rsidP="00CF1D1E">
      <w:pPr>
        <w:spacing w:line="360" w:lineRule="auto"/>
        <w:ind w:left="1440" w:firstLine="720"/>
        <w:rPr>
          <w:rFonts w:ascii="Calibri" w:eastAsia="Calibri" w:hAnsi="Calibri" w:cs="Times New Roman"/>
          <w:color w:val="000000"/>
          <w:sz w:val="24"/>
          <w:szCs w:val="24"/>
        </w:rPr>
      </w:pPr>
      <w:r w:rsidRPr="00CF1D1E">
        <w:rPr>
          <w:rFonts w:ascii="Calibri" w:eastAsia="Calibri" w:hAnsi="Calibri" w:cs="Times New Roman"/>
          <w:color w:val="000000"/>
          <w:sz w:val="24"/>
          <w:szCs w:val="24"/>
        </w:rPr>
        <w:t xml:space="preserve">    </w:t>
      </w:r>
      <w:r w:rsidRPr="00CF1D1E">
        <w:rPr>
          <w:rFonts w:ascii="Calibri" w:eastAsia="Calibri" w:hAnsi="Calibri" w:cs="Times New Roman"/>
          <w:noProof/>
          <w:color w:val="000000"/>
          <w:sz w:val="24"/>
          <w:szCs w:val="24"/>
          <w:lang w:eastAsia="en-GB"/>
        </w:rPr>
        <w:drawing>
          <wp:inline distT="0" distB="0" distL="0" distR="0" wp14:anchorId="14FCC968" wp14:editId="40C76A5B">
            <wp:extent cx="2258674" cy="433046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5004" cy="4380942"/>
                    </a:xfrm>
                    <a:prstGeom prst="rect">
                      <a:avLst/>
                    </a:prstGeom>
                    <a:noFill/>
                    <a:ln>
                      <a:noFill/>
                    </a:ln>
                  </pic:spPr>
                </pic:pic>
              </a:graphicData>
            </a:graphic>
          </wp:inline>
        </w:drawing>
      </w:r>
      <w:r w:rsidRPr="00CF1D1E">
        <w:rPr>
          <w:rFonts w:ascii="Calibri" w:eastAsia="Calibri" w:hAnsi="Calibri" w:cs="Times New Roman"/>
          <w:color w:val="000000"/>
          <w:sz w:val="24"/>
          <w:szCs w:val="24"/>
        </w:rPr>
        <w:t xml:space="preserve">        </w:t>
      </w:r>
    </w:p>
    <w:p w:rsidR="00CF1D1E" w:rsidRPr="00CF1D1E" w:rsidRDefault="00CF1D1E" w:rsidP="00CF1D1E">
      <w:pPr>
        <w:spacing w:line="360" w:lineRule="auto"/>
        <w:ind w:left="720" w:firstLine="720"/>
        <w:rPr>
          <w:rFonts w:ascii="Calibri" w:eastAsia="Calibri" w:hAnsi="Calibri" w:cs="Times New Roman"/>
          <w:color w:val="000000"/>
          <w:sz w:val="24"/>
          <w:szCs w:val="24"/>
        </w:rPr>
      </w:pPr>
      <w:r w:rsidRPr="00CF1D1E">
        <w:rPr>
          <w:rFonts w:ascii="Calibri" w:eastAsia="Calibri" w:hAnsi="Calibri" w:cs="Times New Roman"/>
          <w:color w:val="000000"/>
          <w:sz w:val="24"/>
          <w:szCs w:val="24"/>
        </w:rPr>
        <w:t xml:space="preserve">     </w:t>
      </w:r>
    </w:p>
    <w:p w:rsidR="00CF1D1E" w:rsidRPr="00CF1D1E" w:rsidRDefault="00F45F36" w:rsidP="00CF1D1E">
      <w:pPr>
        <w:spacing w:line="360" w:lineRule="auto"/>
        <w:rPr>
          <w:rFonts w:ascii="Calibri" w:eastAsia="Calibri" w:hAnsi="Calibri" w:cs="Times New Roman"/>
          <w:sz w:val="24"/>
          <w:szCs w:val="24"/>
        </w:rPr>
      </w:pPr>
      <w:r>
        <w:rPr>
          <w:rFonts w:ascii="Calibri" w:eastAsia="Calibri" w:hAnsi="Calibri" w:cs="Times New Roman"/>
          <w:color w:val="000000"/>
          <w:sz w:val="20"/>
          <w:szCs w:val="20"/>
        </w:rPr>
        <w:t xml:space="preserve">Fig.12 </w:t>
      </w:r>
      <w:r w:rsidR="00CF1D1E" w:rsidRPr="00CF1D1E">
        <w:rPr>
          <w:rFonts w:ascii="Calibri" w:eastAsia="Calibri" w:hAnsi="Calibri" w:cs="Times New Roman"/>
          <w:color w:val="000000"/>
          <w:sz w:val="20"/>
          <w:szCs w:val="20"/>
        </w:rPr>
        <w:t>Waters Z-Spray</w:t>
      </w:r>
      <w:r w:rsidR="00CF1D1E" w:rsidRPr="00CF1D1E">
        <w:rPr>
          <w:rFonts w:ascii="Calibri" w:eastAsia="Calibri" w:hAnsi="Calibri" w:cs="Times New Roman"/>
          <w:color w:val="000000"/>
          <w:sz w:val="20"/>
          <w:szCs w:val="20"/>
          <w:vertAlign w:val="superscript"/>
        </w:rPr>
        <w:t>TM</w:t>
      </w:r>
      <w:r w:rsidR="00CF1D1E" w:rsidRPr="00CF1D1E">
        <w:rPr>
          <w:rFonts w:ascii="Calibri" w:eastAsia="Calibri" w:hAnsi="Calibri" w:cs="Times New Roman"/>
          <w:color w:val="000000"/>
          <w:sz w:val="20"/>
          <w:szCs w:val="20"/>
        </w:rPr>
        <w:t xml:space="preserve"> API interface for LC-MS using ESI</w:t>
      </w:r>
      <w:r w:rsidR="00CF1D1E" w:rsidRPr="00CF1D1E">
        <w:rPr>
          <w:rFonts w:ascii="Calibri" w:eastAsia="Calibri" w:hAnsi="Calibri" w:cs="Times New Roman"/>
          <w:sz w:val="20"/>
          <w:szCs w:val="20"/>
        </w:rPr>
        <w:t xml:space="preserve"> (Reproduced by kind permission of the Waters Technologies Corporation).</w:t>
      </w:r>
      <w:r w:rsidR="00CF1D1E" w:rsidRPr="00CF1D1E">
        <w:rPr>
          <w:rFonts w:ascii="Calibri" w:eastAsia="Calibri" w:hAnsi="Calibri" w:cs="Times New Roman"/>
          <w:color w:val="000000"/>
          <w:sz w:val="20"/>
          <w:szCs w:val="20"/>
        </w:rPr>
        <w:t xml:space="preserve">               </w:t>
      </w:r>
      <w:r w:rsidR="00CF1D1E" w:rsidRPr="00CF1D1E">
        <w:rPr>
          <w:rFonts w:ascii="Calibri" w:eastAsia="Calibri" w:hAnsi="Calibri" w:cs="Times New Roman"/>
          <w:sz w:val="24"/>
          <w:szCs w:val="24"/>
        </w:rPr>
        <w:t xml:space="preserve">               </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              </w:t>
      </w:r>
      <w:r w:rsidR="002377DB">
        <w:rPr>
          <w:rFonts w:ascii="Calibri" w:eastAsia="Calibri" w:hAnsi="Calibri" w:cs="Times New Roman"/>
          <w:sz w:val="24"/>
          <w:szCs w:val="24"/>
        </w:rPr>
        <w:t>A</w:t>
      </w:r>
      <w:r w:rsidRPr="00CF1D1E">
        <w:rPr>
          <w:rFonts w:ascii="Calibri" w:eastAsia="Calibri" w:hAnsi="Calibri" w:cs="Times New Roman"/>
          <w:sz w:val="24"/>
          <w:szCs w:val="24"/>
        </w:rPr>
        <w:t>djustments were made to the UPLC method used in the Xevo TQ-XS MRM method in order to accommodate the different column and change to acetonitrile</w:t>
      </w:r>
      <w:r w:rsidR="00174D6A">
        <w:rPr>
          <w:rFonts w:ascii="Calibri" w:eastAsia="Calibri" w:hAnsi="Calibri" w:cs="Times New Roman"/>
          <w:sz w:val="24"/>
          <w:szCs w:val="24"/>
        </w:rPr>
        <w:t xml:space="preserve"> as the mobile phase</w:t>
      </w:r>
      <w:r w:rsidRPr="00CF1D1E">
        <w:rPr>
          <w:rFonts w:ascii="Calibri" w:eastAsia="Calibri" w:hAnsi="Calibri" w:cs="Times New Roman"/>
          <w:sz w:val="24"/>
          <w:szCs w:val="24"/>
        </w:rPr>
        <w:t>. The method was developed by injection of a quercetin external standard and adjustments made to flow and mobile phase gradient in order to achieve good chromatography in a reasonable time.  Once this was achieved, a sequence was created in MassLynx to inject a series of standard dilutions and sample extracts. Blanks were acquired after standards to show that carryover was not distorting the quantification of the extracts. Quantification was achieved by comparison of sample peak areas to the areas of an external standard under the same conditions. Replicates were used in order to average out analytical variation.</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b/>
          <w:sz w:val="36"/>
          <w:szCs w:val="36"/>
        </w:rPr>
      </w:pPr>
      <w:r w:rsidRPr="00CF1D1E">
        <w:rPr>
          <w:rFonts w:ascii="Calibri" w:eastAsia="Calibri" w:hAnsi="Calibri" w:cs="Times New Roman"/>
          <w:b/>
          <w:sz w:val="36"/>
          <w:szCs w:val="36"/>
        </w:rPr>
        <w:t xml:space="preserve">1.24 Q Exactive </w:t>
      </w:r>
      <w:proofErr w:type="gramStart"/>
      <w:r w:rsidRPr="00CF1D1E">
        <w:rPr>
          <w:rFonts w:ascii="Calibri" w:eastAsia="Calibri" w:hAnsi="Calibri" w:cs="Times New Roman"/>
          <w:b/>
          <w:sz w:val="36"/>
          <w:szCs w:val="36"/>
        </w:rPr>
        <w:t>Plus</w:t>
      </w:r>
      <w:proofErr w:type="gramEnd"/>
      <w:r w:rsidRPr="00CF1D1E">
        <w:rPr>
          <w:rFonts w:ascii="Calibri" w:eastAsia="Calibri" w:hAnsi="Calibri" w:cs="Times New Roman"/>
          <w:b/>
          <w:sz w:val="36"/>
          <w:szCs w:val="36"/>
        </w:rPr>
        <w:t xml:space="preserve"> Targeted Method (PRM)</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3"/>
          <w:szCs w:val="23"/>
        </w:rPr>
        <w:tab/>
      </w:r>
      <w:r w:rsidRPr="00CF1D1E">
        <w:rPr>
          <w:rFonts w:ascii="Calibri" w:eastAsia="Calibri" w:hAnsi="Calibri" w:cs="Times New Roman"/>
          <w:sz w:val="24"/>
          <w:szCs w:val="24"/>
        </w:rPr>
        <w:t>The discovery mode experiment performed in section 1.21 was used as a tentative identification guide to choosing polyphenolic compounds that could be specifically targeted. Four analytes were chosen based on factors such as high confidence score, good abundance and also their reported</w:t>
      </w:r>
      <w:r w:rsidR="009C6B01">
        <w:rPr>
          <w:rFonts w:ascii="Calibri" w:eastAsia="Calibri" w:hAnsi="Calibri" w:cs="Times New Roman"/>
          <w:sz w:val="24"/>
          <w:szCs w:val="24"/>
        </w:rPr>
        <w:t xml:space="preserve"> health benefits</w:t>
      </w:r>
      <w:r w:rsidRPr="00CF1D1E">
        <w:rPr>
          <w:rFonts w:ascii="Calibri" w:eastAsia="Calibri" w:hAnsi="Calibri" w:cs="Times New Roman"/>
          <w:sz w:val="24"/>
          <w:szCs w:val="24"/>
        </w:rPr>
        <w:t xml:space="preserve"> in literature. It should also be noted that discovery mode d</w:t>
      </w:r>
      <w:r w:rsidR="00EA4A66">
        <w:rPr>
          <w:rFonts w:ascii="Calibri" w:eastAsia="Calibri" w:hAnsi="Calibri" w:cs="Times New Roman"/>
          <w:sz w:val="24"/>
          <w:szCs w:val="24"/>
        </w:rPr>
        <w:t>ata from a range of extracts in</w:t>
      </w:r>
      <w:r w:rsidRPr="00CF1D1E">
        <w:rPr>
          <w:rFonts w:ascii="Calibri" w:eastAsia="Calibri" w:hAnsi="Calibri" w:cs="Times New Roman"/>
          <w:sz w:val="24"/>
          <w:szCs w:val="24"/>
        </w:rPr>
        <w:t xml:space="preserve"> chapter</w:t>
      </w:r>
      <w:r w:rsidR="00EA4A66">
        <w:rPr>
          <w:rFonts w:ascii="Calibri" w:eastAsia="Calibri" w:hAnsi="Calibri" w:cs="Times New Roman"/>
          <w:sz w:val="24"/>
          <w:szCs w:val="24"/>
        </w:rPr>
        <w:t xml:space="preserve"> 2</w:t>
      </w:r>
      <w:r w:rsidRPr="00CF1D1E">
        <w:rPr>
          <w:rFonts w:ascii="Calibri" w:eastAsia="Calibri" w:hAnsi="Calibri" w:cs="Times New Roman"/>
          <w:sz w:val="24"/>
          <w:szCs w:val="24"/>
        </w:rPr>
        <w:t xml:space="preserve"> wa</w:t>
      </w:r>
      <w:r w:rsidR="00EA4A66">
        <w:rPr>
          <w:rFonts w:ascii="Calibri" w:eastAsia="Calibri" w:hAnsi="Calibri" w:cs="Times New Roman"/>
          <w:sz w:val="24"/>
          <w:szCs w:val="24"/>
        </w:rPr>
        <w:t>s also included in the process</w:t>
      </w:r>
      <w:r w:rsidRPr="00CF1D1E">
        <w:rPr>
          <w:rFonts w:ascii="Calibri" w:eastAsia="Calibri" w:hAnsi="Calibri" w:cs="Times New Roman"/>
          <w:sz w:val="24"/>
          <w:szCs w:val="24"/>
        </w:rPr>
        <w:t xml:space="preserve"> of choosing analytes to target. Furthe</w:t>
      </w:r>
      <w:r w:rsidR="00733454">
        <w:rPr>
          <w:rFonts w:ascii="Calibri" w:eastAsia="Calibri" w:hAnsi="Calibri" w:cs="Times New Roman"/>
          <w:sz w:val="24"/>
          <w:szCs w:val="24"/>
        </w:rPr>
        <w:t xml:space="preserve">rmore, it must be stated that </w:t>
      </w:r>
      <w:r w:rsidRPr="00CF1D1E">
        <w:rPr>
          <w:rFonts w:ascii="Calibri" w:eastAsia="Calibri" w:hAnsi="Calibri" w:cs="Times New Roman"/>
          <w:sz w:val="24"/>
          <w:szCs w:val="24"/>
        </w:rPr>
        <w:t>the</w:t>
      </w:r>
      <w:r w:rsidR="00733454">
        <w:rPr>
          <w:rFonts w:ascii="Calibri" w:eastAsia="Calibri" w:hAnsi="Calibri" w:cs="Times New Roman"/>
          <w:sz w:val="24"/>
          <w:szCs w:val="24"/>
        </w:rPr>
        <w:t xml:space="preserve"> cost of purchasing</w:t>
      </w:r>
      <w:r w:rsidRPr="00CF1D1E">
        <w:rPr>
          <w:rFonts w:ascii="Calibri" w:eastAsia="Calibri" w:hAnsi="Calibri" w:cs="Times New Roman"/>
          <w:sz w:val="24"/>
          <w:szCs w:val="24"/>
        </w:rPr>
        <w:t xml:space="preserve"> standards was a</w:t>
      </w:r>
      <w:r w:rsidR="00733454">
        <w:rPr>
          <w:rFonts w:ascii="Calibri" w:eastAsia="Calibri" w:hAnsi="Calibri" w:cs="Times New Roman"/>
          <w:sz w:val="24"/>
          <w:szCs w:val="24"/>
        </w:rPr>
        <w:t>lso a</w:t>
      </w:r>
      <w:r w:rsidRPr="00CF1D1E">
        <w:rPr>
          <w:rFonts w:ascii="Calibri" w:eastAsia="Calibri" w:hAnsi="Calibri" w:cs="Times New Roman"/>
          <w:sz w:val="24"/>
          <w:szCs w:val="24"/>
        </w:rPr>
        <w:t xml:space="preserve"> factor in decision making.</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t xml:space="preserve">Paeonol (2’-hydroxy-4’-methoxyacetophenone) was the first of 4 components chosen to target. This component has been shown to play a significant role in Chinese medicine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{"citationItems":[{"id":"ITEM-1","itemData":{"DOI":"10.1002/rcm","ISBN":"1097-0231 (Electronic)\\r0951-4198 (Linking)","ISSN":"0951-4198","PMID":"21108305","abstract":"Cortex Moutan is a well-known traditional Chinese medicine derived from Paeonia suffruticosa ANDREWS. However, root cortices of P. delavayi and P. decomposita also are used under the name of this drug in some regions such as Yunnan and Sichuan Provinces, respectively. In order to make a comparison of their chemical constituents, the compounds of the three Paeonia species were analyzed by high-performance liquid chromatography-diode array detection/electrospray ionization and quadrupole-time-of-flight tandem mass spectrometry (HPLC-DAD/ESI-MS2).","author":[{"dropping-particle":"","family":"Shun-jun Xu1, 2, Liu Yang3, Xing Zeng3","given":"Mian Zhang1 and Zheng-tao Wang1*","non-dropping-particle":"","parse-names":false,"suffix":""}],"container-title":"Rapid communications in mass spectrometry : RCM","id":"ITEM-1","issued":{"date-parts":[["2006"]]},"title":"Characterization of compounds in the Chinese herbal drug Mu-Dan-Pi by liquid chromatography coupled to electrospray ionization mass spectrometry","type":"article-journal"},"uris":["http://www.mendeley.com/documents/?uuid=c6103e70-f3b8-4b44-9639-aa13060bd937"]},{"id":"ITEM-2","itemData":{"DOI":"10.1016/j.biopha.2017.06.052","ISSN":"19506007","abstract":"Pulmonary fibrosis (PF) is a lethal, chronic and progressive respiratory disease leading to interstitial lung damage and serious breathing problems. The pathogenic mechanism involves activation, migration, proliferation and differentiation of fibroblasts into myofibroblats inducing extracellular matrix accumulation that destroy lung parenchyma. Available antifibrotic treatment options are limited to Pirfenidone and Nintedanib that prevent deterioration without an improvement of this disease. The use of plant extracts and natural bioactive compounds for the treatment of PF has been known for more than thirty years in China. Nowadays, phytotherapy has gained a considerable attention in the treatment of PF both in vivo and in vitro using bleomycin (BLM)-induced lung inflammation, oxidative stress and pulmonary fibrosis in rats. In this review, we aimed to focus on the protective effects and the mechanisms of action of several plant extracts described by various research works for the treatment of PF.","author":[{"dropping-particle":"","family":"Bahri","given":"Sana","non-dropping-particle":"","parse-names":false,"suffix":""},{"dropping-particle":"","family":"Ali","given":"Ridha","non-dropping-particle":"Ben","parse-names":false,"suffix":""},{"dropping-particle":"","family":"Abidi","given":"Anouar","non-dropping-particle":"","parse-names":false,"suffix":""},{"dropping-particle":"","family":"Jameleddine","given":"Saloua","non-dropping-particle":"","parse-names":false,"suffix":""}],"container-title":"Biomedicine and Pharmacotherapy","id":"ITEM-2","issued":{"date-parts":[["2017"]]},"page":"666-673","publisher":"Elsevier Masson SAS","title":"The efficacy of plant extract and bioactive compounds approaches in the treatment of pulmonary fibrosis: A systematic review","type":"article-journal","volume":"93"},"uris":["http://www.mendeley.com/documents/?uuid=1b0c9491-f7f6-4eab-b875-25168e6e9181"]},{"id":"ITEM-3","itemData":{"DOI":"10.1016/j.jchromb.2017.09.015","ISSN":"1873376X","abstract":"Paeonol, an active constituent in the root bark of Paeonia suffruticosa Andrews, is used to treat inflammation, headache and other diseases in clinic. Though the data on pharmacological researches of paeonol abounds, its metabolic profile is not so clear. It is essential to systematically characterize the in vivo metabolites in order to better understand its mechanism of action. In this study, ultra performance liquid chromatography coupled with electrospray ionization quadrupole time-of-flight tandem mass spectrometry (UPLC-ESI-Q/TOF-MS) with an integrative strategy was developed for analysis of paeonol metabolites. As a result, based on seven reference substances isolated or synthesized, twenty-five metabolites were detected and identified in urine, feces, bile and plasma of rats after oral administration of paeonol. To the best of our knowledge, 14 of these metabolites have not been reported previously. In addition, the dominating metabolic fates were oxidation, demethylation, hydrogenation, glucuronic acid and sulfate conjugations, and hydrogenation of paeonol was reported for the first time. This research provides scientific and reliable support for full understanding of the metabolic profiling of paeonol.","author":[{"dropping-particle":"","family":"Ding","given":"Li Qin","non-dropping-particle":"","parse-names":false,"suffix":""},{"dropping-particle":"","family":"Qiu","given":"Tian Yi","non-dropping-particle":"","parse-names":false,"suffix":""},{"dropping-particle":"","family":"Liu","given":"Zhao Xi","non-dropping-particle":"","parse-names":false,"suffix":""},{"dropping-particle":"","family":"Chen","given":"Li Xia","non-dropping-particle":"","parse-names":false,"suffix":""},{"dropping-particle":"","family":"Oppong","given":"Mahmood Brobbey","non-dropping-particle":"","parse-names":false,"suffix":""},{"dropping-particle":"","family":"Zhang","given":"De Qin","non-dropping-particle":"","parse-names":false,"suffix":""},{"dropping-particle":"","family":"Zhang","given":"Bo li","non-dropping-particle":"","parse-names":false,"suffix":""},{"dropping-particle":"","family":"Bai","given":"Gang","non-dropping-particle":"","parse-names":false,"suffix":""},{"dropping-particle":"","family":"Qiu","given":"Feng","non-dropping-particle":"","parse-names":false,"suffix":""}],"container-title":"Journal of Chromatography B: Analytical Technologies in the Biomedical and Life Sciences","id":"ITEM-3","issue":"312","issued":{"date-parts":[["2017"]]},"page":"70-78","publisher":"Elsevier","title":"Systematic characterization of the metabolites of paeonol in rats using ultra performance liquid chromatography coupled with electrospray ionization quadrupole time-of-flight tandem mass spectrometry with an integrative strategy","type":"article-journal","volume":"1065-1066"},"uris":["http://www.mendeley.com/documents/?uuid=e18c0184-2d40-4330-878f-de371f5509fc"]}],"mendeley":{"formattedCitation":"(Bahri, Ben Ali, Abidi, &amp; Jameleddine, 2017; Ding et al., 2017; Shun-jun Xu1, 2, Liu Yang3, Xing Zeng3, 2006)","plainTextFormattedCitation":"(Bahri, Ben Ali, Abidi, &amp; Jameleddine, 2017; Ding et al., 2017; Shun-jun Xu1, 2, Liu Yang3, Xing Zeng3, 2006)","previouslyFormattedCitation":"(Bahri, Ben Ali, Abidi, &amp; Jameleddine, 2017; Ding et al., 2017; Shun-jun Xu1, 2, Liu Yang3, Xing Zeng3, 2006)"},"properties":{"noteIndex":0},"schema":"https://github.com/citation-style-language/schema/raw/master/csl-citation.json"}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(Bahri, Ben Ali, Abidi, &amp; Jameleddine, 2017; Ding </w:t>
      </w:r>
      <w:r w:rsidR="00941740" w:rsidRPr="00C2398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2017; Shun-jun Xu1, 2, Liu Yang3, Xing Zeng3, 2006)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left="1440" w:firstLine="720"/>
        <w:rPr>
          <w:rFonts w:ascii="Calibri" w:eastAsia="Calibri" w:hAnsi="Calibri" w:cs="Times New Roman"/>
          <w:sz w:val="24"/>
          <w:szCs w:val="24"/>
        </w:rPr>
      </w:pPr>
      <w:r w:rsidRPr="00CF1D1E">
        <w:rPr>
          <w:rFonts w:ascii="Calibri" w:eastAsia="Calibri" w:hAnsi="Calibri" w:cs="Times New Roman"/>
          <w:noProof/>
          <w:lang w:eastAsia="en-GB"/>
        </w:rPr>
        <w:drawing>
          <wp:inline distT="0" distB="0" distL="0" distR="0" wp14:anchorId="3D47FB27" wp14:editId="0D7AD5B2">
            <wp:extent cx="1968500" cy="1412343"/>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7"/>
                    <a:stretch>
                      <a:fillRect/>
                    </a:stretch>
                  </pic:blipFill>
                  <pic:spPr>
                    <a:xfrm>
                      <a:off x="0" y="0"/>
                      <a:ext cx="1983560" cy="1423148"/>
                    </a:xfrm>
                    <a:prstGeom prst="rect">
                      <a:avLst/>
                    </a:prstGeom>
                  </pic:spPr>
                </pic:pic>
              </a:graphicData>
            </a:graphic>
          </wp:inline>
        </w:drawing>
      </w:r>
      <w:r w:rsidRPr="00CF1D1E">
        <w:rPr>
          <w:rFonts w:ascii="Calibri" w:eastAsia="Calibri" w:hAnsi="Calibri" w:cs="Times New Roman"/>
          <w:sz w:val="24"/>
          <w:szCs w:val="24"/>
        </w:rPr>
        <w:t xml:space="preserve">                  </w:t>
      </w:r>
    </w:p>
    <w:p w:rsidR="00CF1D1E" w:rsidRPr="00CF1D1E" w:rsidRDefault="00CF1D1E" w:rsidP="00CF1D1E">
      <w:pPr>
        <w:spacing w:line="360" w:lineRule="auto"/>
        <w:rPr>
          <w:rFonts w:ascii="Calibri" w:eastAsia="Calibri" w:hAnsi="Calibri" w:cs="Times New Roman"/>
          <w:sz w:val="20"/>
          <w:szCs w:val="20"/>
        </w:rPr>
      </w:pPr>
      <w:r w:rsidRPr="00CF1D1E">
        <w:rPr>
          <w:rFonts w:ascii="Calibri" w:eastAsia="Calibri" w:hAnsi="Calibri" w:cs="Times New Roman"/>
          <w:sz w:val="20"/>
          <w:szCs w:val="20"/>
        </w:rPr>
        <w:t>Fig.13 Molecular structure of Paeonol (2’-hydroxy-4’-methoxyacetophenone)</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lastRenderedPageBreak/>
        <w:tab/>
        <w:t xml:space="preserve">S-equol was also identified by the discovery mode process on the Synapt G2-Si. This component has become of key focus in the debate about the Western diet and the significance of microbiota in human health. The polyphenol diadzein can be metabolised to S-equol in the intestines by the correct bacterial flora. The correct flora are only observed in 30 to 50% of individuals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{"citationItems":[{"id":"ITEM-1","itemData":{"DOI":"10.1079/BJN20051565","ISBN":"0007-1145 (Print)\\r0007-1145 (Linking)","ISSN":"0007-1145","PMID":"16351761","abstract":"Particular intestinal bacteria are capable of metabolizing the soya isoflavone daidzein to equol and/or O-desmethylangolensin (O-DMA), and the presence of these metabolites in urine after soya consumption are markers of particular intestinal bacteria profiles. Prevalences of equol producers and O-DMA producers are approximately 30-50 % and 80-90 %, respectively, and limited observations have suggested that these daidzein-metabolizing phenotypes are stable within individuals over time. Characterizing stability of these phenotypes is important to understand their potential as markers of long-term exposure to particular intestinal bacteria and their associations with disease risk. We evaluated concordance within an individual for the equol-producer and O-DMA-producer phenotypes measured at two time points (T1, T2), 1-3 years apart. Phenotypes were ascertained by analysing equol and O-DMA using GC-MS in a spot urine sample collected after 3 d soya (source of daidzein) supplementation. In ninety-two individuals without recent (within 3 months before phenotyping) or current antibiotics use, 41 % were equol producers at T1 and 45 % were equol producers at T2, and 90 % were O-DMA producers at T1 and 95 % were O-DMA producers at T2. The percentage agreement for the equol-producer phenotype was 82 and for the O-DMA-producer phenotype was 89. These results indicate that these phenotypes are stable in most individuals over time, suggesting that they provide a useful biomarker for evaluating disease risk associated with harbouring particular intestinal bacteria responsible for, or associated with, the metabolism of the soya isoflavone daidzein.","author":[{"dropping-particle":"","family":"Frankenfeld","given":"Cara L","non-dropping-particle":"","parse-names":false,"suffix":""},{"dropping-particle":"","family":"Atkinson","given":"Charlotte","non-dropping-particle":"","parse-names":false,"suffix":""},{"dropping-particle":"","family":"Thomas","given":"Wendy K","non-dropping-particle":"","parse-names":false,"suffix":""},{"dropping-particle":"","family":"Gonzalez","given":"Alex","non-dropping-particle":"","parse-names":false,"suffix":""},{"dropping-particle":"","family":"Jokela","given":"Tuija","non-dropping-particle":"","parse-names":false,"suffix":""},{"dropping-particle":"","family":"Wähälä","given":"Kristiina","non-dropping-particle":"","parse-names":false,"suffix":""},{"dropping-particle":"","family":"Schwartz","given":"Stephen M","non-dropping-particle":"","parse-names":false,"suffix":""},{"dropping-particle":"","family":"Li","given":"Shuying S","non-dropping-particle":"","parse-names":false,"suffix":""},{"dropping-particle":"","family":"Lampe","given":"Johanna W","non-dropping-particle":"","parse-names":false,"suffix":""}],"container-title":"The British journal of nutrition","id":"ITEM-1","issue":"6","issued":{"date-parts":[["2005"]]},"page":"873-876","title":"High concordance of daidzein-metabolizing phenotypes in individuals measured 1 to 3 years apart.","type":"article-journal","volume":"94"},"uris":["http://www.mendeley.com/documents/?uuid=ff985e1c-d5c3-4365-9689-5793e7f5c5ad"]}],"mendeley":{"formattedCitation":"(Frankenfeld et al., 2005)","plainTextFormattedCitation":"(Frankenfeld et al., 2005)","previouslyFormattedCitation":"(Frankenfeld et al., 2005)"},"properties":{"noteIndex":0},"schema":"https://github.com/citation-style-language/schema/raw/master/csl-citation.json"}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(Frankenfeld </w:t>
      </w:r>
      <w:r w:rsidR="00941740" w:rsidRPr="0091526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2005)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S-Equol is a selective oestrogen agonist and is thought to have a role in reducing menopausal symptoms in general and much interest has been shown in developing S-Equol as an alternative hormone therapy to protect against osteoporosis in postmenopausal women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{"citationItems":[{"id":"ITEM-1","itemData":{"DOI":"10.1016/j.fct.2012.03.048","ISSN":"02786915","PMID":"22449546","abstract":"S-equol is a selective estrogen receptor β (ERβ) agonist which is produced in certain individuals after ingestion of its precursor daidzein, an isoflavone present in soy. S-equol is thought to provide certain health benefits, including reduced menopausal symptoms. The metabolic profile of S-equol was determined in vivo in Sprague-Dawley rats and cynomolgus monkeys, and in vitro using hepatocytes from rat, monkey, and human. High resolution MS fragmentation patterns indicated that the major metabolite of S-equol in rat plasma and urine was the 4'-glucuronide conjugate, with lesser amounts of unconjugated S-equol, the 7-sulfate conjugate, and the 4'-glucuronide-7-sulfate diconjugate. Monkeys also showed extensive metabolism, with the major species in plasma being the 4'-glucuronide and the 7-sulfate-4'-glucuronide diconjugate; urine contained primarily the 4'-glucuronide, as seen in the rat. In vitro metabolism by hepatocytes was extensive and similar in all species, with fragmentation patterns also indicating that the 4'-glucuronide was the major metabolite. No oxidative metabolites of [14C] S-equol were detected in either in vivo or in vitro studies. These findings show that glucuronidation is the primary pathway for the metabolism of S-equol in rat, monkey and man, and that all metabolic routes of S-equol observed in vitro were also observed in vivo. © 2012 Elsevier Ltd.","author":[{"dropping-particle":"","family":"Schwen","given":"Richard J.","non-dropping-particle":"","parse-names":false,"suffix":""},{"dropping-particle":"","family":"Nguyen","given":"Linh","non-dropping-particle":"","parse-names":false,"suffix":""},{"dropping-particle":"","family":"Jackson","given":"Richard L.","non-dropping-particle":"","parse-names":false,"suffix":""}],"container-title":"Food and Chemical Toxicology","id":"ITEM-1","issue":"6","issued":{"date-parts":[["2012"]]},"page":"2074-2083","publisher":"Elsevier Ltd","title":"Elucidation of the metabolic pathway of S-equol in rat, monkey and man","type":"article-journal","volume":"50"},"uris":["http://www.mendeley.com/documents/?uuid=48202ef9-5cc8-44c5-bb30-a6a516d9e916"]}],"mendeley":{"formattedCitation":"(Schwen, Nguyen, &amp; Jackson, 2012)","plainTextFormattedCitation":"(Schwen, Nguyen, &amp; Jackson, 2012)","previouslyFormattedCitation":"(Schwen, Nguyen, &amp; Jackson, 2012)"},"properties":{"noteIndex":0},"schema":"https://github.com/citation-style-language/schema/raw/master/csl-citation.json"}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(Schwen, Nguyen, &amp; Jackson, 2012)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ab/>
        <w:t xml:space="preserve"> </w:t>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ab/>
        <w:t xml:space="preserve">          </w:t>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noProof/>
          <w:lang w:eastAsia="en-GB"/>
        </w:rPr>
        <w:drawing>
          <wp:inline distT="0" distB="0" distL="0" distR="0" wp14:anchorId="3C64CEED" wp14:editId="02633BF5">
            <wp:extent cx="2527300" cy="1394616"/>
            <wp:effectExtent l="0" t="0" r="635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8"/>
                    <a:stretch>
                      <a:fillRect/>
                    </a:stretch>
                  </pic:blipFill>
                  <pic:spPr>
                    <a:xfrm>
                      <a:off x="0" y="0"/>
                      <a:ext cx="2548967" cy="1406572"/>
                    </a:xfrm>
                    <a:prstGeom prst="rect">
                      <a:avLst/>
                    </a:prstGeom>
                  </pic:spPr>
                </pic:pic>
              </a:graphicData>
            </a:graphic>
          </wp:inline>
        </w:drawing>
      </w:r>
      <w:r w:rsidRPr="00CF1D1E">
        <w:rPr>
          <w:rFonts w:ascii="Calibri" w:eastAsia="Calibri" w:hAnsi="Calibri" w:cs="Times New Roman"/>
          <w:sz w:val="24"/>
          <w:szCs w:val="24"/>
        </w:rPr>
        <w:t xml:space="preserve">        </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9B705E" w:rsidP="00CF1D1E">
      <w:pPr>
        <w:spacing w:line="360" w:lineRule="auto"/>
        <w:rPr>
          <w:rFonts w:ascii="Calibri" w:eastAsia="Calibri" w:hAnsi="Calibri" w:cs="Times New Roman"/>
          <w:sz w:val="20"/>
          <w:szCs w:val="20"/>
        </w:rPr>
      </w:pPr>
      <w:r>
        <w:rPr>
          <w:rFonts w:ascii="Calibri" w:eastAsia="Calibri" w:hAnsi="Calibri" w:cs="Times New Roman"/>
          <w:sz w:val="20"/>
          <w:szCs w:val="20"/>
        </w:rPr>
        <w:t>Fig.</w:t>
      </w:r>
      <w:r w:rsidR="00871AF5">
        <w:rPr>
          <w:rFonts w:ascii="Calibri" w:eastAsia="Calibri" w:hAnsi="Calibri" w:cs="Times New Roman"/>
          <w:sz w:val="20"/>
          <w:szCs w:val="20"/>
        </w:rPr>
        <w:t xml:space="preserve">14 </w:t>
      </w:r>
      <w:r w:rsidR="00CF1D1E" w:rsidRPr="00CF1D1E">
        <w:rPr>
          <w:rFonts w:ascii="Calibri" w:eastAsia="Calibri" w:hAnsi="Calibri" w:cs="Times New Roman"/>
          <w:sz w:val="20"/>
          <w:szCs w:val="20"/>
        </w:rPr>
        <w:t>Molecular structure of S-Equol</w:t>
      </w:r>
    </w:p>
    <w:p w:rsidR="00CF1D1E" w:rsidRPr="00CF1D1E" w:rsidRDefault="00CF1D1E" w:rsidP="00CF1D1E">
      <w:pPr>
        <w:spacing w:line="360" w:lineRule="auto"/>
        <w:rPr>
          <w:rFonts w:ascii="Calibri" w:eastAsia="Calibri" w:hAnsi="Calibri" w:cs="Times New Roman"/>
          <w:sz w:val="20"/>
          <w:szCs w:val="20"/>
        </w:rPr>
      </w:pP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t xml:space="preserve">(-)-Epigallocatechin-3-gallate (EGCG) was the third molecule chosen for this targeted method. Literature highlighting the benefits of EGCG is prolific. A key point of focus being green tea of which EGCG is a major component. EGCG is also found as a significant component in other tea types such as Oolong, white, yellow and purple (see chapter 3). Links to the prevention of cancer and heart disease are often made amongst many other conditions.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{"citationItems":[{"id":"ITEM-1","itemData":{"author":[{"dropping-particle":"","family":"Lambert","given":"Joshua D","non-dropping-particle":"","parse-names":false,"suffix":""},{"dropping-particle":"","family":"Sang","given":"Shengmin","non-dropping-particle":"","parse-names":false,"suffix":""},{"dropping-particle":"","family":"Yang","given":"Chung S","non-dropping-particle":"","parse-names":false,"suffix":""}],"id":"ITEM-1","issue":"6","issued":{"date-parts":[["2007"]]},"page":"819-825","title":"reviews Biotransformation of Green Tea Polyphenols and the Biological Activities of Those Metabolites","type":"article-journal","volume":"4"},"uris":["http://www.mendeley.com/documents/?uuid=e69ae656-d888-4a57-9737-cdd7f5758525"]},{"id":"ITEM-2","itemData":{"DOI":"10.1016/j.phrs.2011.02.007","ISBN":"1043-6618","ISSN":"10436618","PMID":"21371557","abstract":"Tea (Camellia sinensis, Theaceae) is one of the most widely consumed beverages in the world. The three major types of tea, green tea, oolong tea, and black tea, differ in terms of the manufacture and chemical composition. There are numerous studies in humans, animal models, and cell lines to suggest potential health benefits from the consumption of tea, including prevention of cancer and heart diseases. Many of the health benefits have been attributed to the polyphenolic constituents in tea. Catechins and their dimers (theaflavins) and polymers (thearubigins) have been identified as the major components in tea. Methylation, glucuronidation, sulfation, and ring-fission metabolism represent the major metabolic pathways for tea catechins. The present review summarizes the data concerning the chemistry and biotransformation of tea constituents. © 2011 Elsevier Ltd.","author":[{"dropping-particle":"","family":"Sang","given":"Shengmin","non-dropping-particle":"","parse-names":false,"suffix":""},{"dropping-particle":"","family":"Lambert","given":"Joshua D.","non-dropping-particle":"","parse-names":false,"suffix":""},{"dropping-particle":"","family":"Ho","given":"Chi Tang","non-dropping-particle":"","parse-names":false,"suffix":""},{"dropping-particle":"","family":"Yang","given":"Chung S.","non-dropping-particle":"","parse-names":false,"suffix":""}],"container-title":"Pharmacological Research","id":"ITEM-2","issue":"2","issued":{"date-parts":[["2011"]]},"page":"87-99","publisher":"Elsevier Ltd","title":"The chemistry and biotransformation of tea constituents","type":"article-journal","volume":"64"},"uris":["http://www.mendeley.com/documents/?uuid=8499a68d-8e21-4563-8cc8-796f57f7158f"]}],"mendeley":{"formattedCitation":"(Lambert, Sang, &amp; Yang, 2007; Sang et al., 2011)","plainTextFormattedCitation":"(Lambert, Sang, &amp; Yang, 2007; Sang et al., 2011)","previouslyFormattedCitation":"(Lambert, Sang, &amp; Yang, 2007; Sang et al., 2011)"},"properties":{"noteIndex":0},"schema":"https://github.com/citation-style-language/schema/raw/master/csl-citation.json"}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(Lambert, Sang, &amp; Yang, 2007; Sang </w:t>
      </w:r>
      <w:r w:rsidR="00941740" w:rsidRPr="0091526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lastRenderedPageBreak/>
        <w:tab/>
      </w:r>
      <w:r w:rsidRPr="00CF1D1E">
        <w:rPr>
          <w:rFonts w:ascii="Calibri" w:eastAsia="Calibri" w:hAnsi="Calibri" w:cs="Times New Roman"/>
          <w:sz w:val="24"/>
          <w:szCs w:val="24"/>
        </w:rPr>
        <w:tab/>
      </w:r>
      <w:r w:rsidRPr="00CF1D1E">
        <w:rPr>
          <w:rFonts w:ascii="Calibri" w:eastAsia="Calibri" w:hAnsi="Calibri" w:cs="Times New Roman"/>
          <w:noProof/>
          <w:lang w:eastAsia="en-GB"/>
        </w:rPr>
        <w:drawing>
          <wp:inline distT="0" distB="0" distL="0" distR="0" wp14:anchorId="33FFE206" wp14:editId="7A8EC69D">
            <wp:extent cx="3048000" cy="278612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a:stretch>
                      <a:fillRect/>
                    </a:stretch>
                  </pic:blipFill>
                  <pic:spPr>
                    <a:xfrm>
                      <a:off x="0" y="0"/>
                      <a:ext cx="3052988" cy="2790680"/>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F45F36" w:rsidP="00CF1D1E">
      <w:pPr>
        <w:spacing w:line="360" w:lineRule="auto"/>
        <w:rPr>
          <w:rFonts w:ascii="Calibri" w:eastAsia="Calibri" w:hAnsi="Calibri" w:cs="Times New Roman"/>
          <w:sz w:val="20"/>
          <w:szCs w:val="20"/>
        </w:rPr>
      </w:pPr>
      <w:r>
        <w:rPr>
          <w:rFonts w:ascii="Calibri" w:eastAsia="Calibri" w:hAnsi="Calibri" w:cs="Times New Roman"/>
          <w:sz w:val="20"/>
          <w:szCs w:val="20"/>
        </w:rPr>
        <w:t xml:space="preserve">Fig.15 </w:t>
      </w:r>
      <w:r w:rsidR="00CF1D1E" w:rsidRPr="00CF1D1E">
        <w:rPr>
          <w:rFonts w:ascii="Calibri" w:eastAsia="Calibri" w:hAnsi="Calibri" w:cs="Times New Roman"/>
          <w:sz w:val="20"/>
          <w:szCs w:val="20"/>
        </w:rPr>
        <w:t>Molecular structure of (-)-Epigallocatechin-3-gallate (EGCG)</w:t>
      </w:r>
    </w:p>
    <w:p w:rsidR="00CF1D1E" w:rsidRPr="00CF1D1E" w:rsidRDefault="00CF1D1E" w:rsidP="00CF1D1E">
      <w:pPr>
        <w:spacing w:line="360" w:lineRule="auto"/>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t xml:space="preserve">Finally, Rutin, also called </w:t>
      </w:r>
      <w:proofErr w:type="spellStart"/>
      <w:r w:rsidRPr="00CF1D1E">
        <w:rPr>
          <w:rFonts w:ascii="Calibri" w:eastAsia="Calibri" w:hAnsi="Calibri" w:cs="Times New Roman"/>
          <w:sz w:val="24"/>
          <w:szCs w:val="24"/>
        </w:rPr>
        <w:t>rutoside</w:t>
      </w:r>
      <w:proofErr w:type="spellEnd"/>
      <w:r w:rsidRPr="00CF1D1E">
        <w:rPr>
          <w:rFonts w:ascii="Calibri" w:eastAsia="Calibri" w:hAnsi="Calibri" w:cs="Times New Roman"/>
          <w:sz w:val="24"/>
          <w:szCs w:val="24"/>
        </w:rPr>
        <w:t xml:space="preserve">, quercetin-3-O-rutinoside and </w:t>
      </w:r>
      <w:proofErr w:type="spellStart"/>
      <w:r w:rsidRPr="00CF1D1E">
        <w:rPr>
          <w:rFonts w:ascii="Calibri" w:eastAsia="Calibri" w:hAnsi="Calibri" w:cs="Times New Roman"/>
          <w:sz w:val="24"/>
          <w:szCs w:val="24"/>
        </w:rPr>
        <w:t>sophorin</w:t>
      </w:r>
      <w:proofErr w:type="spellEnd"/>
      <w:r w:rsidRPr="00CF1D1E">
        <w:rPr>
          <w:rFonts w:ascii="Calibri" w:eastAsia="Calibri" w:hAnsi="Calibri" w:cs="Times New Roman"/>
          <w:sz w:val="24"/>
          <w:szCs w:val="24"/>
        </w:rPr>
        <w:t xml:space="preserve"> was chosen as the 4</w:t>
      </w:r>
      <w:r w:rsidRPr="00CF1D1E">
        <w:rPr>
          <w:rFonts w:ascii="Calibri" w:eastAsia="Calibri" w:hAnsi="Calibri" w:cs="Times New Roman"/>
          <w:sz w:val="24"/>
          <w:szCs w:val="24"/>
          <w:vertAlign w:val="superscript"/>
        </w:rPr>
        <w:t>th</w:t>
      </w:r>
      <w:r w:rsidRPr="00CF1D1E">
        <w:rPr>
          <w:rFonts w:ascii="Calibri" w:eastAsia="Calibri" w:hAnsi="Calibri" w:cs="Times New Roman"/>
          <w:sz w:val="24"/>
          <w:szCs w:val="24"/>
        </w:rPr>
        <w:t xml:space="preserve"> analyte to be targeted. This glycoside combines the polyphenol quercetin and the disaccharide rutinose. It has been widely used in treatment of chronic venous insufficiency and also many other illnesses including glaucoma, varicose veins and cirrhosis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{"citationItems":[{"id":"ITEM-1","itemData":{"DOI":"10.1093/chromsci/bmu078","ISSN":"0021-9665","abstract":"A sensitive and rapid ultra performance liquid chromatography tandem mass spectrometry (UPLC-MS-MS) method for the determination of rutin in rat plasma was developed and validated. After addition of tolbutamide as internal standard (IS), protein precipitation by acetonitrile was used as sample preparation. The chromatographic separation was performed on an Acquity UPLC BEH C18 column (2.1 × 50 mm, 1.7 μm particle size), using acetonitrile-0.1% formic acid as the mobile phase with gradient elution, delivered at a flow-rate of 0.4 mL/min. Mass spectrometric analysis was performed using a XEVO TQD mass spectrometer coupled with an electro-spray ionization (ESI) source in the positive ion mode. The MRM transitions of m/z 610.91→302.98 and m/z 271.2→155.1 were used to quantify for rutin and tolbutamide, respectively. This assay method has been fully validated in terms of specificity, linearity, recovery and matrix effect, accuracy, precision and stability. Calibration curves were linear in the concentration ranges of 25-2000 ng/mL for rutin. Only 3 min was needed for an analytical run. This developed method was successfully used for determination of rutin in rat plasma for pharmacokinetic study. © The Author 2014. Published by Oxford University Press.","author":[{"dropping-particle":"","family":"Chen","given":"M.","non-dropping-particle":"","parse-names":false,"suffix":""},{"dropping-particle":"","family":"Zhang","given":"X.","non-dropping-particle":"","parse-names":false,"suffix":""},{"dropping-particle":"","family":"Wang","given":"H.","non-dropping-particle":"","parse-names":false,"suffix":""},{"dropping-particle":"","family":"Lin","given":"B.","non-dropping-particle":"","parse-names":false,"suffix":""},{"dropping-particle":"","family":"Wang","given":"S.","non-dropping-particle":"","parse-names":false,"suffix":""},{"dropping-particle":"","family":"Hu","given":"G.","non-dropping-particle":"","parse-names":false,"suffix":""}],"container-title":"Journal of Chromatographic Science","id":"ITEM-1","issue":"4","issued":{"date-parts":[["2015"]]},"page":"519-525","title":"Determination of Rutin in Rat Plasma by Ultra Performance Liquid Chromatography Tandem Mass Spectrometry and Application to Pharmacokinetic Study","type":"article-journal","volume":"53"},"uris":["http://www.mendeley.com/documents/?uuid=bbd3c016-a4e2-4457-89f4-fee4186587a1"]}],"mendeley":{"formattedCitation":"(Chen et al., 2015)","plainTextFormattedCitation":"(Chen et al., 2015)","previouslyFormattedCitation":"(Chen et al.,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(Chen </w:t>
      </w:r>
      <w:r w:rsidR="00941740" w:rsidRPr="00C2398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noProof/>
          <w:lang w:eastAsia="en-GB"/>
        </w:rPr>
        <w:drawing>
          <wp:inline distT="0" distB="0" distL="0" distR="0" wp14:anchorId="52665BFC" wp14:editId="3BE3C291">
            <wp:extent cx="3592174" cy="2047875"/>
            <wp:effectExtent l="0" t="0" r="889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0"/>
                    <a:stretch>
                      <a:fillRect/>
                    </a:stretch>
                  </pic:blipFill>
                  <pic:spPr>
                    <a:xfrm>
                      <a:off x="0" y="0"/>
                      <a:ext cx="3592174" cy="2047875"/>
                    </a:xfrm>
                    <a:prstGeom prst="rect">
                      <a:avLst/>
                    </a:prstGeom>
                  </pic:spPr>
                </pic:pic>
              </a:graphicData>
            </a:graphic>
          </wp:inline>
        </w:drawing>
      </w:r>
    </w:p>
    <w:p w:rsidR="00CF1D1E" w:rsidRPr="00CF1D1E" w:rsidRDefault="00871AF5" w:rsidP="00CF1D1E">
      <w:pPr>
        <w:spacing w:line="360" w:lineRule="auto"/>
        <w:rPr>
          <w:rFonts w:ascii="Calibri" w:eastAsia="Calibri" w:hAnsi="Calibri" w:cs="Times New Roman"/>
          <w:sz w:val="24"/>
          <w:szCs w:val="24"/>
        </w:rPr>
      </w:pPr>
      <w:r>
        <w:rPr>
          <w:rFonts w:ascii="Calibri" w:eastAsia="Calibri" w:hAnsi="Calibri" w:cs="Times New Roman"/>
          <w:sz w:val="20"/>
          <w:szCs w:val="20"/>
        </w:rPr>
        <w:t xml:space="preserve">Fig.16 </w:t>
      </w:r>
      <w:r w:rsidR="00CF1D1E" w:rsidRPr="00CF1D1E">
        <w:rPr>
          <w:rFonts w:ascii="Calibri" w:eastAsia="Calibri" w:hAnsi="Calibri" w:cs="Times New Roman"/>
          <w:sz w:val="20"/>
          <w:szCs w:val="20"/>
        </w:rPr>
        <w:t xml:space="preserve">Molecular structure of Rutin, also called </w:t>
      </w:r>
      <w:proofErr w:type="spellStart"/>
      <w:r w:rsidR="00CF1D1E" w:rsidRPr="00CF1D1E">
        <w:rPr>
          <w:rFonts w:ascii="Calibri" w:eastAsia="Calibri" w:hAnsi="Calibri" w:cs="Times New Roman"/>
          <w:sz w:val="20"/>
          <w:szCs w:val="20"/>
        </w:rPr>
        <w:t>rutoside</w:t>
      </w:r>
      <w:proofErr w:type="spellEnd"/>
      <w:r w:rsidR="00CF1D1E" w:rsidRPr="00CF1D1E">
        <w:rPr>
          <w:rFonts w:ascii="Calibri" w:eastAsia="Calibri" w:hAnsi="Calibri" w:cs="Times New Roman"/>
          <w:sz w:val="20"/>
          <w:szCs w:val="20"/>
        </w:rPr>
        <w:t xml:space="preserve">, quercetin-3-O-rutinoside and </w:t>
      </w:r>
      <w:proofErr w:type="spellStart"/>
      <w:r w:rsidR="00CF1D1E" w:rsidRPr="00CF1D1E">
        <w:rPr>
          <w:rFonts w:ascii="Calibri" w:eastAsia="Calibri" w:hAnsi="Calibri" w:cs="Times New Roman"/>
          <w:sz w:val="20"/>
          <w:szCs w:val="20"/>
        </w:rPr>
        <w:t>sophorin</w:t>
      </w:r>
      <w:proofErr w:type="spellEnd"/>
      <w:r w:rsidR="00CF1D1E" w:rsidRPr="00CF1D1E">
        <w:rPr>
          <w:rFonts w:ascii="Calibri" w:eastAsia="Calibri" w:hAnsi="Calibri" w:cs="Times New Roman"/>
          <w:sz w:val="20"/>
          <w:szCs w:val="20"/>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The system used for this external standard targeted analysis was a Vanquish UHPLC linked to a Q Exactive Plus mass spectrometer (Thermo Scientific Ltd, Waltham, Massachusetts). The conditions below are similar to that of the targeted analysis performed on the Xevo TQ-XS. Slight modifications were made to accommodate a Waters Cortecs UPLC Shield RP18 2.7u x 2.1mm x 100mm superficially porous column. The stationary phase is modified compared to a standard C18. The Shield RP18 column incorporates an imbedded polar carbamate group into the bonded phase ligand which provides alternative selectivity for phenolic compounds. A Waters Vanguard guard column system was used to protect the analytical column. A specific cartridge with the same stationary phase as the analytical column was used.</w:t>
      </w:r>
    </w:p>
    <w:p w:rsidR="00CF1D1E" w:rsidRPr="00CF1D1E" w:rsidRDefault="00CF1D1E" w:rsidP="00CF1D1E">
      <w:pPr>
        <w:spacing w:line="360" w:lineRule="auto"/>
        <w:rPr>
          <w:rFonts w:ascii="Calibri" w:eastAsia="Calibri" w:hAnsi="Calibri" w:cs="Times New Roman"/>
          <w:sz w:val="24"/>
          <w:szCs w:val="24"/>
        </w:rPr>
      </w:pPr>
    </w:p>
    <w:tbl>
      <w:tblPr>
        <w:tblStyle w:val="TableGrid"/>
        <w:tblW w:w="0" w:type="auto"/>
        <w:tblInd w:w="465" w:type="dxa"/>
        <w:tblLook w:val="04A0" w:firstRow="1" w:lastRow="0" w:firstColumn="1" w:lastColumn="0" w:noHBand="0" w:noVBand="1"/>
      </w:tblPr>
      <w:tblGrid>
        <w:gridCol w:w="8177"/>
      </w:tblGrid>
      <w:tr w:rsidR="00CF1D1E" w:rsidRPr="00CF1D1E" w:rsidTr="00E909AE">
        <w:tc>
          <w:tcPr>
            <w:tcW w:w="8177"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Mobile phase: 70</w:t>
            </w:r>
            <w:r w:rsidR="002377DB">
              <w:rPr>
                <w:rFonts w:ascii="Calibri" w:eastAsia="Calibri" w:hAnsi="Calibri" w:cs="Times New Roman"/>
                <w:sz w:val="24"/>
                <w:szCs w:val="24"/>
              </w:rPr>
              <w:t>%A</w:t>
            </w:r>
            <w:proofErr w:type="gramStart"/>
            <w:r w:rsidRPr="00CF1D1E">
              <w:rPr>
                <w:rFonts w:ascii="Calibri" w:eastAsia="Calibri" w:hAnsi="Calibri" w:cs="Times New Roman"/>
                <w:sz w:val="24"/>
                <w:szCs w:val="24"/>
              </w:rPr>
              <w:t>:30</w:t>
            </w:r>
            <w:proofErr w:type="gramEnd"/>
            <w:r w:rsidR="002377DB">
              <w:rPr>
                <w:rFonts w:ascii="Calibri" w:eastAsia="Calibri" w:hAnsi="Calibri" w:cs="Times New Roman"/>
                <w:sz w:val="24"/>
                <w:szCs w:val="24"/>
              </w:rPr>
              <w:t>%B. A=</w:t>
            </w:r>
            <w:r w:rsidRPr="00CF1D1E">
              <w:rPr>
                <w:rFonts w:ascii="Calibri" w:eastAsia="Calibri" w:hAnsi="Calibri" w:cs="Times New Roman"/>
                <w:sz w:val="24"/>
                <w:szCs w:val="24"/>
              </w:rPr>
              <w:t>Wa</w:t>
            </w:r>
            <w:r w:rsidR="002377DB">
              <w:rPr>
                <w:rFonts w:ascii="Calibri" w:eastAsia="Calibri" w:hAnsi="Calibri" w:cs="Times New Roman"/>
                <w:sz w:val="24"/>
                <w:szCs w:val="24"/>
              </w:rPr>
              <w:t>ter 0.1% Acetic Acid, B=MeOH</w:t>
            </w:r>
            <w:r w:rsidRPr="00CF1D1E">
              <w:rPr>
                <w:rFonts w:ascii="Calibri" w:eastAsia="Calibri" w:hAnsi="Calibri" w:cs="Times New Roman"/>
                <w:sz w:val="24"/>
                <w:szCs w:val="24"/>
              </w:rPr>
              <w:t xml:space="preserve"> 0.1% Acetic Acid</w:t>
            </w:r>
          </w:p>
        </w:tc>
      </w:tr>
      <w:tr w:rsidR="00CF1D1E" w:rsidRPr="00CF1D1E" w:rsidTr="00E909AE">
        <w:tc>
          <w:tcPr>
            <w:tcW w:w="8177"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Flow: 0.55 ml/min</w:t>
            </w:r>
          </w:p>
        </w:tc>
      </w:tr>
      <w:tr w:rsidR="00CF1D1E" w:rsidRPr="00CF1D1E" w:rsidTr="00E909AE">
        <w:tc>
          <w:tcPr>
            <w:tcW w:w="8177"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Column Oven: 40°C</w:t>
            </w:r>
          </w:p>
        </w:tc>
      </w:tr>
      <w:tr w:rsidR="00CF1D1E" w:rsidRPr="00CF1D1E" w:rsidTr="00E909AE">
        <w:tc>
          <w:tcPr>
            <w:tcW w:w="8177"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Injection volume: 1μl           </w:t>
            </w:r>
          </w:p>
        </w:tc>
      </w:tr>
      <w:tr w:rsidR="00CF1D1E" w:rsidRPr="00CF1D1E" w:rsidTr="00E909AE">
        <w:tc>
          <w:tcPr>
            <w:tcW w:w="8177"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Gradient: 70:30 initially to 1:99 over 4 min, back to 70:30 over 0.2 min.</w:t>
            </w:r>
          </w:p>
        </w:tc>
      </w:tr>
      <w:tr w:rsidR="00CF1D1E" w:rsidRPr="00CF1D1E" w:rsidTr="00E909AE">
        <w:tc>
          <w:tcPr>
            <w:tcW w:w="8177"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Hold at this combination for 0.8 min to equilibrate prior to the next injection. </w:t>
            </w:r>
          </w:p>
        </w:tc>
      </w:tr>
    </w:tbl>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rPr>
          <w:rFonts w:ascii="Calibri" w:eastAsia="Calibri" w:hAnsi="Calibri" w:cs="Times New Roman"/>
          <w:sz w:val="20"/>
          <w:szCs w:val="20"/>
        </w:rPr>
      </w:pPr>
      <w:r w:rsidRPr="00CF1D1E">
        <w:rPr>
          <w:rFonts w:ascii="Calibri" w:eastAsia="Calibri" w:hAnsi="Calibri" w:cs="Times New Roman"/>
          <w:sz w:val="20"/>
          <w:szCs w:val="20"/>
        </w:rPr>
        <w:t>Tab.7 Vanquish UHPLC method conditions</w:t>
      </w:r>
    </w:p>
    <w:p w:rsidR="00CF1D1E" w:rsidRPr="00CF1D1E" w:rsidRDefault="00CF1D1E" w:rsidP="00CF1D1E">
      <w:pPr>
        <w:spacing w:line="360" w:lineRule="auto"/>
        <w:rPr>
          <w:rFonts w:ascii="Calibri" w:eastAsia="Calibri" w:hAnsi="Calibri" w:cs="Times New Roman"/>
          <w:sz w:val="20"/>
          <w:szCs w:val="20"/>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The Q Exactive Plus which is a hybrid quadrupole-orbitrap MS. An orbitrap is a type of ion trap MS. It has an outer barrel-electrode and a coaxial inner spindle-electrode</w:t>
      </w:r>
      <w:r w:rsidR="009B705E">
        <w:rPr>
          <w:rFonts w:ascii="Calibri" w:eastAsia="Calibri" w:hAnsi="Calibri" w:cs="Times New Roman"/>
          <w:sz w:val="24"/>
          <w:szCs w:val="24"/>
        </w:rPr>
        <w:t>,</w:t>
      </w:r>
      <w:r w:rsidRPr="00CF1D1E">
        <w:rPr>
          <w:rFonts w:ascii="Calibri" w:eastAsia="Calibri" w:hAnsi="Calibri" w:cs="Times New Roman"/>
          <w:sz w:val="24"/>
          <w:szCs w:val="24"/>
        </w:rPr>
        <w:t xml:space="preserve"> which is able to trap ions in an orbital motion around the inner electrode. An image current from the trapped ions is created which is subsequently converted to a mass spectrum using a Fourier transform</w:t>
      </w:r>
      <w:r w:rsidR="009B705E">
        <w:rPr>
          <w:rFonts w:ascii="Calibri" w:eastAsia="Calibri" w:hAnsi="Calibri" w:cs="Times New Roman"/>
          <w:sz w:val="24"/>
          <w:szCs w:val="24"/>
        </w:rPr>
        <w:t>ation</w:t>
      </w:r>
      <w:r w:rsidRPr="00CF1D1E">
        <w:rPr>
          <w:rFonts w:ascii="Calibri" w:eastAsia="Calibri" w:hAnsi="Calibri" w:cs="Times New Roman"/>
          <w:sz w:val="24"/>
          <w:szCs w:val="24"/>
        </w:rPr>
        <w:t xml:space="preserve"> of the signal. A quadrupole is used for precursor selection and transmission prior to the orbitrap.  Please see the schematic below (Fig.17).</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w:drawing>
          <wp:inline distT="0" distB="0" distL="0" distR="0" wp14:anchorId="2BABFD5C" wp14:editId="00236D3F">
            <wp:extent cx="5731510" cy="341312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Q Exactive_Final_No Background Dark Torquoise AG.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3413125"/>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sz w:val="20"/>
          <w:szCs w:val="20"/>
        </w:rPr>
      </w:pPr>
    </w:p>
    <w:p w:rsidR="00CF1D1E" w:rsidRPr="00CF1D1E" w:rsidRDefault="00CF1D1E" w:rsidP="00CF1D1E">
      <w:pPr>
        <w:spacing w:line="360" w:lineRule="auto"/>
        <w:rPr>
          <w:rFonts w:ascii="Calibri" w:eastAsia="Calibri" w:hAnsi="Calibri" w:cs="Times New Roman"/>
          <w:sz w:val="20"/>
          <w:szCs w:val="20"/>
        </w:rPr>
      </w:pPr>
      <w:r w:rsidRPr="00CF1D1E">
        <w:rPr>
          <w:rFonts w:ascii="Calibri" w:eastAsia="Calibri" w:hAnsi="Calibri" w:cs="Times New Roman"/>
          <w:sz w:val="20"/>
          <w:szCs w:val="20"/>
        </w:rPr>
        <w:t xml:space="preserve">Fig.17 Schematic of the Q Exactive </w:t>
      </w:r>
      <w:proofErr w:type="gramStart"/>
      <w:r w:rsidRPr="00CF1D1E">
        <w:rPr>
          <w:rFonts w:ascii="Calibri" w:eastAsia="Calibri" w:hAnsi="Calibri" w:cs="Times New Roman"/>
          <w:sz w:val="20"/>
          <w:szCs w:val="20"/>
        </w:rPr>
        <w:t>Plus</w:t>
      </w:r>
      <w:proofErr w:type="gramEnd"/>
      <w:r w:rsidRPr="00CF1D1E">
        <w:rPr>
          <w:rFonts w:ascii="Calibri" w:eastAsia="Calibri" w:hAnsi="Calibri" w:cs="Times New Roman"/>
          <w:sz w:val="20"/>
          <w:szCs w:val="20"/>
        </w:rPr>
        <w:t xml:space="preserve"> MS</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i/>
          <w:sz w:val="20"/>
          <w:szCs w:val="20"/>
        </w:rPr>
        <w:t>Andy Gahan (www.thepixelbullies.com) [CC BY-SA 4.0 (https://creativecommons.org/licenses/by-sa/4.0)]</w:t>
      </w:r>
    </w:p>
    <w:p w:rsidR="00CF1D1E" w:rsidRPr="00CF1D1E" w:rsidRDefault="00CF1D1E" w:rsidP="00CF1D1E">
      <w:pPr>
        <w:spacing w:line="360" w:lineRule="auto"/>
        <w:rPr>
          <w:rFonts w:ascii="Calibri" w:eastAsia="Calibri" w:hAnsi="Calibri" w:cs="Times New Roman"/>
          <w:sz w:val="20"/>
          <w:szCs w:val="20"/>
        </w:rPr>
      </w:pP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This high resolution MS is capable of performing data independent analysis for a discovery workflow and also targeted analysis for quantification with the added benefit of accurate mass. A parallel reaction monitoring (PRM) experiment was chosen here. Even though a maximum resolution of 280,000 is available for selection, it is necessary to achieve a practical balance. “How much resolution is actually required?” is a valid question to ask </w:t>
      </w:r>
      <w:proofErr w:type="gramStart"/>
      <w:r w:rsidRPr="00CF1D1E">
        <w:rPr>
          <w:rFonts w:ascii="Calibri" w:eastAsia="Calibri" w:hAnsi="Calibri" w:cs="Times New Roman"/>
          <w:sz w:val="24"/>
          <w:szCs w:val="24"/>
        </w:rPr>
        <w:t>here.</w:t>
      </w:r>
      <w:proofErr w:type="gramEnd"/>
      <w:r w:rsidRPr="00CF1D1E">
        <w:rPr>
          <w:rFonts w:ascii="Calibri" w:eastAsia="Calibri" w:hAnsi="Calibri" w:cs="Times New Roman"/>
          <w:sz w:val="24"/>
          <w:szCs w:val="24"/>
        </w:rPr>
        <w:t xml:space="preserve"> It was observed that too high a resolution gave a lower signal to noise ratio and also did not provide enough data points across the peaks of interest to achieve good quality quantification. Hence at resolution of 35,000 was found to be the right balance on this occasion. Other MS settings were AGC target 2e5, Maximum IT 110ms, Loop Count 100, Isolation window 0.4m/z and </w:t>
      </w:r>
      <w:proofErr w:type="spellStart"/>
      <w:r w:rsidRPr="00CF1D1E">
        <w:rPr>
          <w:rFonts w:ascii="Calibri" w:eastAsia="Calibri" w:hAnsi="Calibri" w:cs="Times New Roman"/>
          <w:sz w:val="24"/>
          <w:szCs w:val="24"/>
        </w:rPr>
        <w:t>nce</w:t>
      </w:r>
      <w:proofErr w:type="spellEnd"/>
      <w:r w:rsidRPr="00CF1D1E">
        <w:rPr>
          <w:rFonts w:ascii="Calibri" w:eastAsia="Calibri" w:hAnsi="Calibri" w:cs="Times New Roman"/>
          <w:sz w:val="24"/>
          <w:szCs w:val="24"/>
        </w:rPr>
        <w:t>: 35. A mass tolerance of 5ppm was used during data processing. This analysis, as with the previous experiments, was carried out in negative mode. The following [M-H</w:t>
      </w:r>
      <w:proofErr w:type="gramStart"/>
      <w:r w:rsidRPr="00CF1D1E">
        <w:rPr>
          <w:rFonts w:ascii="Calibri" w:eastAsia="Calibri" w:hAnsi="Calibri" w:cs="Times New Roman"/>
          <w:sz w:val="24"/>
          <w:szCs w:val="24"/>
        </w:rPr>
        <w:t>]</w:t>
      </w:r>
      <w:r w:rsidRPr="00CF1D1E">
        <w:rPr>
          <w:rFonts w:ascii="Calibri" w:eastAsia="Calibri" w:hAnsi="Calibri" w:cs="Times New Roman"/>
          <w:sz w:val="24"/>
          <w:szCs w:val="24"/>
          <w:vertAlign w:val="superscript"/>
        </w:rPr>
        <w:t>-</w:t>
      </w:r>
      <w:proofErr w:type="gramEnd"/>
      <w:r w:rsidRPr="00CF1D1E">
        <w:rPr>
          <w:rFonts w:ascii="Calibri" w:eastAsia="Calibri" w:hAnsi="Calibri" w:cs="Times New Roman"/>
          <w:sz w:val="24"/>
          <w:szCs w:val="24"/>
          <w:vertAlign w:val="superscript"/>
        </w:rPr>
        <w:t xml:space="preserve">  </w:t>
      </w:r>
      <w:r w:rsidRPr="00CF1D1E">
        <w:rPr>
          <w:rFonts w:ascii="Calibri" w:eastAsia="Calibri" w:hAnsi="Calibri" w:cs="Times New Roman"/>
          <w:sz w:val="24"/>
          <w:szCs w:val="24"/>
        </w:rPr>
        <w:t>parent/daughter transitions were used for the analytes in the PRM method inclusion list.</w:t>
      </w:r>
    </w:p>
    <w:tbl>
      <w:tblPr>
        <w:tblStyle w:val="TableGrid"/>
        <w:tblW w:w="0" w:type="auto"/>
        <w:tblInd w:w="1031" w:type="dxa"/>
        <w:tblLook w:val="04A0" w:firstRow="1" w:lastRow="0" w:firstColumn="1" w:lastColumn="0" w:noHBand="0" w:noVBand="1"/>
      </w:tblPr>
      <w:tblGrid>
        <w:gridCol w:w="4673"/>
        <w:gridCol w:w="2268"/>
      </w:tblGrid>
      <w:tr w:rsidR="00CF1D1E" w:rsidRPr="00CF1D1E" w:rsidTr="00C8289C">
        <w:tc>
          <w:tcPr>
            <w:tcW w:w="4673"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Paeonol   165.0552 m/z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150.0321 m/z</w:t>
            </w:r>
          </w:p>
        </w:tc>
        <w:tc>
          <w:tcPr>
            <w:tcW w:w="2268"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Collision energy 22</w:t>
            </w:r>
          </w:p>
        </w:tc>
      </w:tr>
      <w:tr w:rsidR="00CF1D1E" w:rsidRPr="00CF1D1E" w:rsidTr="00C8289C">
        <w:tc>
          <w:tcPr>
            <w:tcW w:w="4673"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S-Equol    241.0870 m/z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121.0295 m/z</w:t>
            </w:r>
          </w:p>
        </w:tc>
        <w:tc>
          <w:tcPr>
            <w:tcW w:w="2268"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Collision energy 18</w:t>
            </w:r>
          </w:p>
        </w:tc>
      </w:tr>
      <w:tr w:rsidR="00CF1D1E" w:rsidRPr="00CF1D1E" w:rsidTr="00C8289C">
        <w:tc>
          <w:tcPr>
            <w:tcW w:w="4673"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EGCG        457.0776 m/z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169.0145 m/z</w:t>
            </w:r>
          </w:p>
        </w:tc>
        <w:tc>
          <w:tcPr>
            <w:tcW w:w="2268"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Collision energy 10</w:t>
            </w:r>
          </w:p>
        </w:tc>
      </w:tr>
      <w:tr w:rsidR="00CF1D1E" w:rsidRPr="00CF1D1E" w:rsidTr="00C8289C">
        <w:tc>
          <w:tcPr>
            <w:tcW w:w="4673"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Rutin         609.1461 m/z   </w:t>
            </w:r>
            <w:r w:rsidRPr="00CF1D1E">
              <w:rPr>
                <w:rFonts w:ascii="Calibri" w:eastAsia="Calibri" w:hAnsi="Calibri" w:cs="Times New Roman"/>
                <w:sz w:val="24"/>
                <w:szCs w:val="24"/>
              </w:rPr>
              <w:sym w:font="Wingdings" w:char="F0E0"/>
            </w:r>
            <w:r w:rsidRPr="00CF1D1E">
              <w:rPr>
                <w:rFonts w:ascii="Calibri" w:eastAsia="Calibri" w:hAnsi="Calibri" w:cs="Times New Roman"/>
                <w:sz w:val="24"/>
                <w:szCs w:val="24"/>
              </w:rPr>
              <w:t xml:space="preserve">    301.0354 m/z</w:t>
            </w:r>
          </w:p>
        </w:tc>
        <w:tc>
          <w:tcPr>
            <w:tcW w:w="2268" w:type="dxa"/>
          </w:tcPr>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Collision energy 25</w:t>
            </w:r>
          </w:p>
        </w:tc>
      </w:tr>
    </w:tbl>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left="720" w:firstLine="720"/>
        <w:rPr>
          <w:rFonts w:ascii="Calibri" w:eastAsia="Calibri" w:hAnsi="Calibri" w:cs="Times New Roman"/>
          <w:sz w:val="20"/>
          <w:szCs w:val="20"/>
        </w:rPr>
      </w:pPr>
      <w:r w:rsidRPr="00CF1D1E">
        <w:rPr>
          <w:rFonts w:ascii="Calibri" w:eastAsia="Calibri" w:hAnsi="Calibri" w:cs="Times New Roman"/>
          <w:sz w:val="20"/>
          <w:szCs w:val="20"/>
        </w:rPr>
        <w:t>Tab.8 PRM transitions and collision energies</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A stock solution was prepared from standard components purchased from Sigma-Aldrich and Fisher Scientific. Dilutions were carried out at 5 levels. Each standard level was run in duplicate. This gave a total of 12 points on the regression curve, which was used to determine the coefficient of determination (R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and to ultimately calculate the sample results. Samples were prepared as in the previous sections and run in triplicate. Data was processed using </w:t>
      </w:r>
      <w:proofErr w:type="spellStart"/>
      <w:r w:rsidRPr="00CF1D1E">
        <w:rPr>
          <w:rFonts w:ascii="Calibri" w:eastAsia="Calibri" w:hAnsi="Calibri" w:cs="Times New Roman"/>
          <w:sz w:val="24"/>
          <w:szCs w:val="24"/>
        </w:rPr>
        <w:t>Xcalibur</w:t>
      </w:r>
      <w:proofErr w:type="spellEnd"/>
      <w:r w:rsidRPr="00CF1D1E">
        <w:rPr>
          <w:rFonts w:ascii="Calibri" w:eastAsia="Calibri" w:hAnsi="Calibri" w:cs="Times New Roman"/>
          <w:sz w:val="24"/>
          <w:szCs w:val="24"/>
        </w:rPr>
        <w:t xml:space="preserve"> software v4 and Microsoft Excel.</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numPr>
          <w:ilvl w:val="1"/>
          <w:numId w:val="2"/>
        </w:numPr>
        <w:spacing w:line="360" w:lineRule="auto"/>
        <w:contextualSpacing/>
        <w:rPr>
          <w:rFonts w:ascii="Calibri" w:eastAsia="Calibri" w:hAnsi="Calibri" w:cs="Times New Roman"/>
          <w:b/>
          <w:sz w:val="44"/>
          <w:szCs w:val="44"/>
        </w:rPr>
      </w:pPr>
      <w:r w:rsidRPr="00CF1D1E">
        <w:rPr>
          <w:rFonts w:ascii="Calibri" w:eastAsia="Calibri" w:hAnsi="Calibri" w:cs="Times New Roman"/>
          <w:b/>
          <w:sz w:val="44"/>
          <w:szCs w:val="44"/>
        </w:rPr>
        <w:lastRenderedPageBreak/>
        <w:t>Results</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In this section the results are displayed in the same order as the previously described methods</w:t>
      </w:r>
      <w:r w:rsidR="00293EA4">
        <w:rPr>
          <w:rFonts w:ascii="Calibri" w:eastAsia="Calibri" w:hAnsi="Calibri" w:cs="Times New Roman"/>
          <w:sz w:val="24"/>
          <w:szCs w:val="24"/>
        </w:rPr>
        <w:t>.</w:t>
      </w:r>
      <w:r w:rsidRPr="00CF1D1E">
        <w:rPr>
          <w:rFonts w:ascii="Calibri" w:eastAsia="Calibri" w:hAnsi="Calibri" w:cs="Times New Roman"/>
          <w:sz w:val="24"/>
          <w:szCs w:val="24"/>
        </w:rPr>
        <w:t xml:space="preserve"> Addition data, including abundance </w:t>
      </w:r>
      <w:r w:rsidR="00FE464A">
        <w:rPr>
          <w:rFonts w:ascii="Calibri" w:eastAsia="Calibri" w:hAnsi="Calibri" w:cs="Times New Roman"/>
          <w:sz w:val="24"/>
          <w:szCs w:val="24"/>
        </w:rPr>
        <w:t>values, is available in the appendices</w:t>
      </w:r>
      <w:r w:rsidR="00EE2DED">
        <w:rPr>
          <w:rFonts w:ascii="Calibri" w:eastAsia="Calibri" w:hAnsi="Calibri" w:cs="Times New Roman"/>
          <w:sz w:val="24"/>
          <w:szCs w:val="24"/>
        </w:rPr>
        <w:t xml:space="preserve"> </w:t>
      </w:r>
      <w:r w:rsidR="00FE464A">
        <w:rPr>
          <w:rFonts w:ascii="Calibri" w:eastAsia="Calibri" w:hAnsi="Calibri" w:cs="Times New Roman"/>
          <w:sz w:val="24"/>
          <w:szCs w:val="24"/>
        </w:rPr>
        <w:t>(</w:t>
      </w:r>
      <w:r w:rsidRPr="00CF1D1E">
        <w:rPr>
          <w:rFonts w:ascii="Calibri" w:eastAsia="Calibri" w:hAnsi="Calibri" w:cs="Times New Roman"/>
          <w:sz w:val="24"/>
          <w:szCs w:val="24"/>
        </w:rPr>
        <w:t>A</w:t>
      </w:r>
      <w:r w:rsidR="00EE2DED">
        <w:rPr>
          <w:rFonts w:ascii="Calibri" w:eastAsia="Calibri" w:hAnsi="Calibri" w:cs="Times New Roman"/>
          <w:sz w:val="24"/>
          <w:szCs w:val="24"/>
        </w:rPr>
        <w:t>1 p.252</w:t>
      </w:r>
      <w:r w:rsidR="00FE464A">
        <w:rPr>
          <w:rFonts w:ascii="Calibri" w:eastAsia="Calibri" w:hAnsi="Calibri" w:cs="Times New Roman"/>
          <w:sz w:val="24"/>
          <w:szCs w:val="24"/>
        </w:rPr>
        <w:t>)</w:t>
      </w:r>
      <w:r w:rsidRPr="00CF1D1E">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36"/>
          <w:szCs w:val="36"/>
        </w:rPr>
      </w:pPr>
      <w:r w:rsidRPr="00CF1D1E">
        <w:rPr>
          <w:rFonts w:ascii="Calibri" w:eastAsia="Calibri" w:hAnsi="Calibri" w:cs="Times New Roman"/>
          <w:b/>
          <w:color w:val="000000"/>
          <w:sz w:val="36"/>
          <w:szCs w:val="36"/>
        </w:rPr>
        <w:t>1.31 Synapt G2-Si Untargeted Method (HDMS</w:t>
      </w:r>
      <w:r w:rsidRPr="00CF1D1E">
        <w:rPr>
          <w:rFonts w:ascii="Calibri" w:eastAsia="Calibri" w:hAnsi="Calibri" w:cs="Times New Roman"/>
          <w:b/>
          <w:color w:val="000000"/>
          <w:sz w:val="36"/>
          <w:szCs w:val="36"/>
          <w:vertAlign w:val="superscript"/>
        </w:rPr>
        <w:t>e</w:t>
      </w:r>
      <w:r w:rsidRPr="00CF1D1E">
        <w:rPr>
          <w:rFonts w:ascii="Calibri" w:eastAsia="Calibri" w:hAnsi="Calibri" w:cs="Times New Roman"/>
          <w:b/>
          <w:color w:val="000000"/>
          <w:sz w:val="36"/>
          <w:szCs w:val="36"/>
        </w:rPr>
        <w:t xml:space="preserve">)     </w:t>
      </w:r>
    </w:p>
    <w:p w:rsidR="00CF1D1E" w:rsidRPr="00CF1D1E" w:rsidRDefault="00CF1D1E" w:rsidP="00CF1D1E">
      <w:pPr>
        <w:spacing w:after="0" w:line="240" w:lineRule="auto"/>
        <w:rPr>
          <w:rFonts w:ascii="Calibri" w:eastAsia="Times New Roman" w:hAnsi="Calibri" w:cs="Times New Roman"/>
          <w:color w:val="000000"/>
          <w:lang w:eastAsia="en-GB"/>
        </w:rPr>
        <w:sectPr w:rsidR="00CF1D1E" w:rsidRPr="00CF1D1E" w:rsidSect="0066774B">
          <w:footerReference w:type="default" r:id="rId32"/>
          <w:pgSz w:w="11906" w:h="16838" w:code="9"/>
          <w:pgMar w:top="1440" w:right="1440" w:bottom="1440" w:left="1440" w:header="709" w:footer="709" w:gutter="0"/>
          <w:pgNumType w:start="1"/>
          <w:cols w:space="708"/>
          <w:docGrid w:linePitch="360"/>
        </w:sectPr>
      </w:pPr>
    </w:p>
    <w:tbl>
      <w:tblPr>
        <w:tblW w:w="9087" w:type="dxa"/>
        <w:tblBorders>
          <w:insideH w:val="single" w:sz="4" w:space="0" w:color="auto"/>
          <w:insideV w:val="single" w:sz="4" w:space="0" w:color="auto"/>
        </w:tblBorders>
        <w:tblLook w:val="04A0" w:firstRow="1" w:lastRow="0" w:firstColumn="1" w:lastColumn="0" w:noHBand="0" w:noVBand="1"/>
      </w:tblPr>
      <w:tblGrid>
        <w:gridCol w:w="1518"/>
        <w:gridCol w:w="4428"/>
        <w:gridCol w:w="1142"/>
        <w:gridCol w:w="1286"/>
        <w:gridCol w:w="713"/>
      </w:tblGrid>
      <w:tr w:rsidR="00CF1D1E" w:rsidRPr="00CF1D1E" w:rsidTr="007B66EE">
        <w:trPr>
          <w:trHeight w:val="34"/>
        </w:trPr>
        <w:tc>
          <w:tcPr>
            <w:tcW w:w="1518"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Accepted ID</w:t>
            </w:r>
          </w:p>
        </w:tc>
        <w:tc>
          <w:tcPr>
            <w:tcW w:w="4428"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Description</w:t>
            </w:r>
          </w:p>
        </w:tc>
        <w:tc>
          <w:tcPr>
            <w:tcW w:w="1142"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Adducts</w:t>
            </w:r>
          </w:p>
        </w:tc>
        <w:tc>
          <w:tcPr>
            <w:tcW w:w="1286"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Formula</w:t>
            </w:r>
          </w:p>
        </w:tc>
        <w:tc>
          <w:tcPr>
            <w:tcW w:w="713"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Score</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trans-</w:t>
            </w:r>
            <w:proofErr w:type="spellStart"/>
            <w:r w:rsidRPr="00CF1D1E">
              <w:rPr>
                <w:rFonts w:ascii="Calibri" w:eastAsia="Times New Roman" w:hAnsi="Calibri" w:cs="Times New Roman"/>
                <w:color w:val="000000"/>
                <w:lang w:eastAsia="en-GB"/>
              </w:rPr>
              <w:t>caffeic</w:t>
            </w:r>
            <w:proofErr w:type="spellEnd"/>
            <w:r w:rsidRPr="00CF1D1E">
              <w:rPr>
                <w:rFonts w:ascii="Calibri" w:eastAsia="Times New Roman" w:hAnsi="Calibri" w:cs="Times New Roman"/>
                <w:color w:val="000000"/>
                <w:lang w:eastAsia="en-GB"/>
              </w:rPr>
              <w:t xml:space="preserve"> acid</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C9H8O4</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58.3</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Tyrosol</w:t>
            </w:r>
            <w:proofErr w:type="spellEnd"/>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C8H10O2</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58.0</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(E)-p-</w:t>
            </w:r>
            <w:proofErr w:type="spellStart"/>
            <w:r w:rsidRPr="00CF1D1E">
              <w:rPr>
                <w:rFonts w:ascii="Calibri" w:eastAsia="Times New Roman" w:hAnsi="Calibri" w:cs="Times New Roman"/>
                <w:color w:val="000000"/>
                <w:lang w:eastAsia="en-GB"/>
              </w:rPr>
              <w:t>coumaric</w:t>
            </w:r>
            <w:proofErr w:type="spellEnd"/>
            <w:r w:rsidRPr="00CF1D1E">
              <w:rPr>
                <w:rFonts w:ascii="Calibri" w:eastAsia="Times New Roman" w:hAnsi="Calibri" w:cs="Times New Roman"/>
                <w:color w:val="000000"/>
                <w:lang w:eastAsia="en-GB"/>
              </w:rPr>
              <w:t xml:space="preserve"> acid</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C9H8O3</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58.0</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c>
          <w:tcPr>
            <w:tcW w:w="4428" w:type="dxa"/>
            <w:shd w:val="clear" w:color="auto" w:fill="auto"/>
            <w:noWrap/>
            <w:vAlign w:val="bottom"/>
            <w:hideMark/>
          </w:tcPr>
          <w:p w:rsidR="00CF1D1E" w:rsidRPr="00CF1D1E" w:rsidRDefault="00DA6B0E" w:rsidP="00CF1D1E">
            <w:pPr>
              <w:spacing w:after="0" w:line="240" w:lineRule="auto"/>
              <w:rPr>
                <w:rFonts w:ascii="Calibri" w:eastAsia="Times New Roman" w:hAnsi="Calibri" w:cs="Times New Roman"/>
                <w:color w:val="000000"/>
                <w:lang w:eastAsia="en-GB"/>
              </w:rPr>
            </w:pPr>
            <w:proofErr w:type="spellStart"/>
            <w:r w:rsidRPr="00DA6B0E">
              <w:rPr>
                <w:rFonts w:ascii="Calibri" w:eastAsia="Times New Roman" w:hAnsi="Calibri" w:cs="Times New Roman"/>
                <w:color w:val="000000"/>
                <w:lang w:eastAsia="en-GB"/>
              </w:rPr>
              <w:t>Dihydrodaidzein</w:t>
            </w:r>
            <w:proofErr w:type="spellEnd"/>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C15H12O4</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57.5</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CSID24844949</w:t>
            </w:r>
          </w:p>
        </w:tc>
        <w:tc>
          <w:tcPr>
            <w:tcW w:w="4428" w:type="dxa"/>
            <w:shd w:val="clear" w:color="auto" w:fill="auto"/>
            <w:noWrap/>
            <w:vAlign w:val="bottom"/>
            <w:hideMark/>
          </w:tcPr>
          <w:p w:rsidR="00CF1D1E" w:rsidRPr="00CF1D1E" w:rsidRDefault="00DA6B0E" w:rsidP="00CF1D1E">
            <w:pPr>
              <w:spacing w:after="0" w:line="240" w:lineRule="auto"/>
              <w:rPr>
                <w:rFonts w:ascii="Calibri" w:eastAsia="Times New Roman" w:hAnsi="Calibri" w:cs="Times New Roman"/>
                <w:color w:val="000000"/>
                <w:lang w:eastAsia="en-GB"/>
              </w:rPr>
            </w:pPr>
            <w:r w:rsidRPr="00DA6B0E">
              <w:rPr>
                <w:rFonts w:ascii="Calibri" w:eastAsia="Times New Roman" w:hAnsi="Calibri" w:cs="Times New Roman"/>
                <w:color w:val="000000"/>
                <w:lang w:eastAsia="en-GB"/>
              </w:rPr>
              <w:t>Quercetin 4'-O-glucuronide</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C21H18O13</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57.3</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CSID10181341</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Phenylacetic</w:t>
            </w:r>
            <w:proofErr w:type="spellEnd"/>
            <w:r w:rsidRPr="00CF1D1E">
              <w:rPr>
                <w:rFonts w:ascii="Calibri" w:eastAsia="Times New Roman" w:hAnsi="Calibri" w:cs="Times New Roman"/>
                <w:color w:val="000000"/>
                <w:lang w:eastAsia="en-GB"/>
              </w:rPr>
              <w:t xml:space="preserve"> acid</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C8H8O2</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56.9</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CSID23254884</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Isopropyl 3-(3,4-dihydroxyphenyl)-2-hydroxypropanoate</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C12H16O5</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56.8</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c>
          <w:tcPr>
            <w:tcW w:w="4428" w:type="dxa"/>
            <w:shd w:val="clear" w:color="auto" w:fill="auto"/>
            <w:noWrap/>
            <w:vAlign w:val="bottom"/>
            <w:hideMark/>
          </w:tcPr>
          <w:p w:rsidR="00CF1D1E" w:rsidRPr="00CF1D1E" w:rsidRDefault="00DA6B0E" w:rsidP="00CF1D1E">
            <w:pPr>
              <w:spacing w:after="0" w:line="240" w:lineRule="auto"/>
              <w:rPr>
                <w:rFonts w:ascii="Calibri" w:eastAsia="Times New Roman" w:hAnsi="Calibri" w:cs="Times New Roman"/>
                <w:color w:val="000000"/>
                <w:lang w:eastAsia="en-GB"/>
              </w:rPr>
            </w:pPr>
            <w:r w:rsidRPr="00DA6B0E">
              <w:rPr>
                <w:rFonts w:ascii="Calibri" w:eastAsia="Times New Roman" w:hAnsi="Calibri" w:cs="Times New Roman"/>
                <w:color w:val="000000"/>
                <w:lang w:eastAsia="en-GB"/>
              </w:rPr>
              <w:t>7-Hydroxymatairesinol</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C20H22O7</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56.5</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isorhamnetin</w:t>
            </w:r>
            <w:proofErr w:type="spellEnd"/>
            <w:r w:rsidRPr="00CF1D1E">
              <w:rPr>
                <w:rFonts w:ascii="Calibri" w:eastAsia="Times New Roman" w:hAnsi="Calibri" w:cs="Times New Roman"/>
                <w:color w:val="000000"/>
                <w:lang w:eastAsia="en-GB"/>
              </w:rPr>
              <w:t xml:space="preserve"> 3-glucoside</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C22H22O12</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56.3</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1-(2,4-Dihydroxy-5-methoxyphenyl)-2-(4-hydroxyphenyl)-1-propanone</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C16H16O5</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55.4</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c>
          <w:tcPr>
            <w:tcW w:w="4428" w:type="dxa"/>
            <w:shd w:val="clear" w:color="auto" w:fill="auto"/>
            <w:noWrap/>
            <w:vAlign w:val="bottom"/>
            <w:hideMark/>
          </w:tcPr>
          <w:p w:rsidR="00CF1D1E" w:rsidRPr="00CF1D1E" w:rsidRDefault="00BB589E" w:rsidP="00CF1D1E">
            <w:pPr>
              <w:spacing w:after="0" w:line="240" w:lineRule="auto"/>
              <w:rPr>
                <w:rFonts w:ascii="Calibri" w:eastAsia="Times New Roman" w:hAnsi="Calibri" w:cs="Times New Roman"/>
                <w:color w:val="000000"/>
                <w:lang w:eastAsia="en-GB"/>
              </w:rPr>
            </w:pPr>
            <w:r w:rsidRPr="00BB589E">
              <w:rPr>
                <w:rFonts w:ascii="Calibri" w:eastAsia="Times New Roman" w:hAnsi="Calibri" w:cs="Times New Roman"/>
                <w:i/>
                <w:color w:val="000000"/>
                <w:lang w:eastAsia="en-GB"/>
              </w:rPr>
              <w:t>trans</w:t>
            </w:r>
            <w:r w:rsidRPr="00BB589E">
              <w:rPr>
                <w:rFonts w:ascii="Calibri" w:eastAsia="Times New Roman" w:hAnsi="Calibri" w:cs="Times New Roman"/>
                <w:color w:val="000000"/>
                <w:lang w:eastAsia="en-GB"/>
              </w:rPr>
              <w:t>-5-O-(4-coumaroyl)-D-</w:t>
            </w:r>
            <w:proofErr w:type="spellStart"/>
            <w:r w:rsidRPr="00BB589E">
              <w:rPr>
                <w:rFonts w:ascii="Calibri" w:eastAsia="Times New Roman" w:hAnsi="Calibri" w:cs="Times New Roman"/>
                <w:color w:val="000000"/>
                <w:lang w:eastAsia="en-GB"/>
              </w:rPr>
              <w:t>quinic</w:t>
            </w:r>
            <w:proofErr w:type="spellEnd"/>
            <w:r w:rsidRPr="00BB589E">
              <w:rPr>
                <w:rFonts w:ascii="Calibri" w:eastAsia="Times New Roman" w:hAnsi="Calibri" w:cs="Times New Roman"/>
                <w:color w:val="000000"/>
                <w:lang w:eastAsia="en-GB"/>
              </w:rPr>
              <w:t xml:space="preserve"> acid</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C16H18O8</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55.1</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Eriodictyol</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C15H12O6</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53.9</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(+)-Procyanidin B2</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C30H26O12</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53.6</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CSID30777607</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(3S,4S)-3-(4-Hydroxyphenyl)-4,7-chromanediol</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C15H14O4</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53.5</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Daidzin</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C21H20O9</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53.3</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Eriodictyol</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C15H12O6</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53.1</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c>
          <w:tcPr>
            <w:tcW w:w="4428" w:type="dxa"/>
            <w:shd w:val="clear" w:color="auto" w:fill="auto"/>
            <w:noWrap/>
            <w:vAlign w:val="bottom"/>
            <w:hideMark/>
          </w:tcPr>
          <w:p w:rsidR="00CF1D1E" w:rsidRPr="00CF1D1E" w:rsidRDefault="003D7F17" w:rsidP="00CF1D1E">
            <w:pPr>
              <w:spacing w:after="0" w:line="240" w:lineRule="auto"/>
              <w:rPr>
                <w:rFonts w:ascii="Calibri" w:eastAsia="Times New Roman" w:hAnsi="Calibri" w:cs="Times New Roman"/>
                <w:color w:val="000000"/>
                <w:lang w:eastAsia="en-GB"/>
              </w:rPr>
            </w:pPr>
            <w:proofErr w:type="spellStart"/>
            <w:r w:rsidRPr="003D7F17">
              <w:rPr>
                <w:rFonts w:ascii="Calibri" w:eastAsia="Times New Roman" w:hAnsi="Calibri" w:cs="Times New Roman"/>
                <w:color w:val="000000"/>
                <w:lang w:eastAsia="en-GB"/>
              </w:rPr>
              <w:t>Dihydroformononetin</w:t>
            </w:r>
            <w:proofErr w:type="spellEnd"/>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C16H14O4</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52.8</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(+)-Procyanidin B2</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C30H26O12</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51.9</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c>
          <w:tcPr>
            <w:tcW w:w="4428" w:type="dxa"/>
            <w:shd w:val="clear" w:color="auto" w:fill="auto"/>
            <w:noWrap/>
            <w:vAlign w:val="bottom"/>
            <w:hideMark/>
          </w:tcPr>
          <w:p w:rsidR="00CF1D1E" w:rsidRPr="00CF1D1E" w:rsidRDefault="00DA6B0E" w:rsidP="00CF1D1E">
            <w:pPr>
              <w:spacing w:after="0" w:line="240" w:lineRule="auto"/>
              <w:rPr>
                <w:rFonts w:ascii="Calibri" w:eastAsia="Times New Roman" w:hAnsi="Calibri" w:cs="Times New Roman"/>
                <w:color w:val="000000"/>
                <w:lang w:eastAsia="en-GB"/>
              </w:rPr>
            </w:pPr>
            <w:proofErr w:type="spellStart"/>
            <w:r w:rsidRPr="00DA6B0E">
              <w:rPr>
                <w:rFonts w:ascii="Calibri" w:eastAsia="Times New Roman" w:hAnsi="Calibri" w:cs="Times New Roman"/>
                <w:color w:val="000000"/>
                <w:lang w:eastAsia="en-GB"/>
              </w:rPr>
              <w:t>Dihydrodaidzein</w:t>
            </w:r>
            <w:proofErr w:type="spellEnd"/>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C15H12O4</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51.0</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Ourateacatechin</w:t>
            </w:r>
            <w:proofErr w:type="spellEnd"/>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C16H16O7</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50.8</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c>
          <w:tcPr>
            <w:tcW w:w="4428" w:type="dxa"/>
            <w:shd w:val="clear" w:color="auto" w:fill="auto"/>
            <w:noWrap/>
            <w:vAlign w:val="bottom"/>
            <w:hideMark/>
          </w:tcPr>
          <w:p w:rsidR="00CF1D1E" w:rsidRPr="00CF1D1E" w:rsidRDefault="00BB589E" w:rsidP="00CF1D1E">
            <w:pPr>
              <w:spacing w:after="0" w:line="240" w:lineRule="auto"/>
              <w:rPr>
                <w:rFonts w:ascii="Calibri" w:eastAsia="Times New Roman" w:hAnsi="Calibri" w:cs="Times New Roman"/>
                <w:color w:val="000000"/>
                <w:lang w:eastAsia="en-GB"/>
              </w:rPr>
            </w:pPr>
            <w:proofErr w:type="spellStart"/>
            <w:r w:rsidRPr="00BB589E">
              <w:rPr>
                <w:rFonts w:ascii="Calibri" w:eastAsia="Times New Roman" w:hAnsi="Calibri" w:cs="Times New Roman"/>
                <w:color w:val="000000"/>
                <w:lang w:eastAsia="en-GB"/>
              </w:rPr>
              <w:t>Dihydrodaidzein</w:t>
            </w:r>
            <w:proofErr w:type="spellEnd"/>
            <w:r w:rsidRPr="00BB589E">
              <w:rPr>
                <w:rFonts w:ascii="Calibri" w:eastAsia="Times New Roman" w:hAnsi="Calibri" w:cs="Times New Roman"/>
                <w:color w:val="000000"/>
                <w:lang w:eastAsia="en-GB"/>
              </w:rPr>
              <w:t xml:space="preserve"> 7-glucuronide</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C21H20O10</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50.7</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c>
          <w:tcPr>
            <w:tcW w:w="4428" w:type="dxa"/>
            <w:shd w:val="clear" w:color="auto" w:fill="auto"/>
            <w:noWrap/>
            <w:vAlign w:val="bottom"/>
            <w:hideMark/>
          </w:tcPr>
          <w:p w:rsidR="00CF1D1E" w:rsidRPr="00CF1D1E" w:rsidRDefault="00DA6B0E" w:rsidP="00CF1D1E">
            <w:pPr>
              <w:spacing w:after="0" w:line="240" w:lineRule="auto"/>
              <w:rPr>
                <w:rFonts w:ascii="Calibri" w:eastAsia="Times New Roman" w:hAnsi="Calibri" w:cs="Times New Roman"/>
                <w:color w:val="000000"/>
                <w:lang w:eastAsia="en-GB"/>
              </w:rPr>
            </w:pPr>
            <w:proofErr w:type="spellStart"/>
            <w:r w:rsidRPr="00DA6B0E">
              <w:rPr>
                <w:rFonts w:ascii="Calibri" w:eastAsia="Times New Roman" w:hAnsi="Calibri" w:cs="Times New Roman"/>
                <w:color w:val="000000"/>
                <w:lang w:eastAsia="en-GB"/>
              </w:rPr>
              <w:t>Dihydrodaidzein</w:t>
            </w:r>
            <w:proofErr w:type="spellEnd"/>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C15H12O4</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49.4</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c>
          <w:tcPr>
            <w:tcW w:w="4428" w:type="dxa"/>
            <w:shd w:val="clear" w:color="auto" w:fill="auto"/>
            <w:noWrap/>
            <w:vAlign w:val="bottom"/>
            <w:hideMark/>
          </w:tcPr>
          <w:p w:rsidR="00CF1D1E" w:rsidRPr="00CF1D1E" w:rsidRDefault="00CF1D1E" w:rsidP="00BB589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t>
            </w:r>
            <w:r w:rsidR="00BB589E">
              <w:rPr>
                <w:rFonts w:ascii="Calibri" w:eastAsia="Times New Roman" w:hAnsi="Calibri" w:cs="Times New Roman"/>
                <w:color w:val="000000"/>
                <w:lang w:eastAsia="en-GB"/>
              </w:rPr>
              <w:t>-</w:t>
            </w:r>
            <w:r w:rsidRPr="00CF1D1E">
              <w:rPr>
                <w:rFonts w:ascii="Calibri" w:eastAsia="Times New Roman" w:hAnsi="Calibri" w:cs="Times New Roman"/>
                <w:color w:val="000000"/>
                <w:lang w:eastAsia="en-GB"/>
              </w:rPr>
              <w:t>)-Epicatechin</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C15H14O6</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49.2</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c>
          <w:tcPr>
            <w:tcW w:w="4428" w:type="dxa"/>
            <w:shd w:val="clear" w:color="auto" w:fill="auto"/>
            <w:noWrap/>
            <w:vAlign w:val="bottom"/>
            <w:hideMark/>
          </w:tcPr>
          <w:p w:rsidR="00CF1D1E" w:rsidRPr="00CF1D1E" w:rsidRDefault="00393B56" w:rsidP="00CF1D1E">
            <w:pPr>
              <w:spacing w:after="0" w:line="240" w:lineRule="auto"/>
              <w:rPr>
                <w:rFonts w:ascii="Calibri" w:eastAsia="Times New Roman" w:hAnsi="Calibri" w:cs="Times New Roman"/>
                <w:color w:val="000000"/>
                <w:lang w:eastAsia="en-GB"/>
              </w:rPr>
            </w:pPr>
            <w:r w:rsidRPr="00393B56">
              <w:rPr>
                <w:rFonts w:ascii="Calibri" w:eastAsia="Times New Roman" w:hAnsi="Calibri" w:cs="Times New Roman"/>
                <w:color w:val="000000"/>
                <w:lang w:eastAsia="en-GB"/>
              </w:rPr>
              <w:t>5,7-Dihydroxy-8,4'-dimethoxyisoflavone</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C17H14O7</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48.8</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tectoridin</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C22H22O11</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48.2</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CSID4444051</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Quercetin</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C15H10O7</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48.0</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Ourateacatechin</w:t>
            </w:r>
            <w:proofErr w:type="spellEnd"/>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C16H16O7</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47.6</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Benzoic acid</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C7H6O2</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47.1</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DA6B0E">
              <w:rPr>
                <w:rFonts w:ascii="Calibri" w:eastAsia="Times New Roman" w:hAnsi="Calibri" w:cs="Times New Roman"/>
                <w:color w:val="000000"/>
                <w:lang w:eastAsia="en-GB"/>
              </w:rPr>
              <w:t>7-Hydroxymatairesinol</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C20H22O7</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46.9</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CSID391108</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Pr>
                <w:rFonts w:ascii="Calibri" w:eastAsia="Times New Roman" w:hAnsi="Calibri" w:cs="Times New Roman"/>
                <w:color w:val="000000"/>
                <w:lang w:eastAsia="en-GB"/>
              </w:rPr>
              <w:t>Dalbergione</w:t>
            </w:r>
            <w:proofErr w:type="spellEnd"/>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C16H12O4</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46.6</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CSID24844949</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DA6B0E">
              <w:rPr>
                <w:rFonts w:ascii="Calibri" w:eastAsia="Times New Roman" w:hAnsi="Calibri" w:cs="Times New Roman"/>
                <w:color w:val="000000"/>
                <w:lang w:eastAsia="en-GB"/>
              </w:rPr>
              <w:t>Quercetin 4'-O-glucuronide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C21H18O13</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46.5</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CSID30777630</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Glycitein</w:t>
            </w:r>
            <w:proofErr w:type="spellEnd"/>
            <w:r w:rsidRPr="00CF1D1E">
              <w:rPr>
                <w:rFonts w:ascii="Calibri" w:eastAsia="Times New Roman" w:hAnsi="Calibri" w:cs="Times New Roman"/>
                <w:color w:val="000000"/>
                <w:lang w:eastAsia="en-GB"/>
              </w:rPr>
              <w:t xml:space="preserve"> 4'-O-glucuronide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C22H20O11</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46.0</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BB589E">
              <w:rPr>
                <w:rFonts w:ascii="Calibri" w:eastAsia="Times New Roman" w:hAnsi="Calibri" w:cs="Times New Roman"/>
                <w:color w:val="000000"/>
                <w:lang w:eastAsia="en-GB"/>
              </w:rPr>
              <w:t>2'-Hydroxyenterolactone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C18H18O5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45.4</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Hesperidin</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C28H34O15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45.3</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Genistein</w:t>
            </w:r>
            <w:proofErr w:type="spellEnd"/>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C15H10O5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45.3</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(E)-p-</w:t>
            </w:r>
            <w:proofErr w:type="spellStart"/>
            <w:r w:rsidRPr="00CF1D1E">
              <w:rPr>
                <w:rFonts w:ascii="Calibri" w:eastAsia="Times New Roman" w:hAnsi="Calibri" w:cs="Times New Roman"/>
                <w:color w:val="000000"/>
                <w:lang w:eastAsia="en-GB"/>
              </w:rPr>
              <w:t>coumaric</w:t>
            </w:r>
            <w:proofErr w:type="spellEnd"/>
            <w:r w:rsidRPr="00CF1D1E">
              <w:rPr>
                <w:rFonts w:ascii="Calibri" w:eastAsia="Times New Roman" w:hAnsi="Calibri" w:cs="Times New Roman"/>
                <w:color w:val="000000"/>
                <w:lang w:eastAsia="en-GB"/>
              </w:rPr>
              <w:t xml:space="preserve"> acid</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C9H8O3</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44.6</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Homovanillic</w:t>
            </w:r>
            <w:proofErr w:type="spellEnd"/>
            <w:r w:rsidRPr="00CF1D1E">
              <w:rPr>
                <w:rFonts w:ascii="Calibri" w:eastAsia="Times New Roman" w:hAnsi="Calibri" w:cs="Times New Roman"/>
                <w:color w:val="000000"/>
                <w:lang w:eastAsia="en-GB"/>
              </w:rPr>
              <w:t xml:space="preserve"> acid</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C9H10O4</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44.2</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B47371">
              <w:rPr>
                <w:rFonts w:ascii="Calibri" w:eastAsia="Times New Roman" w:hAnsi="Calibri" w:cs="Times New Roman"/>
                <w:color w:val="000000"/>
                <w:lang w:eastAsia="en-GB"/>
              </w:rPr>
              <w:t>5'-Methoxy-O-desmethylangolensin</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C16H16O5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44.2</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BB589E">
              <w:rPr>
                <w:rFonts w:ascii="Calibri" w:eastAsia="Times New Roman" w:hAnsi="Calibri" w:cs="Times New Roman"/>
                <w:color w:val="000000"/>
                <w:lang w:eastAsia="en-GB"/>
              </w:rPr>
              <w:t>2'-Hydroxyenterolactone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C18H18O5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44.2</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BB589E">
              <w:rPr>
                <w:rFonts w:ascii="Calibri" w:eastAsia="Times New Roman" w:hAnsi="Calibri" w:cs="Times New Roman"/>
                <w:color w:val="000000"/>
                <w:lang w:eastAsia="en-GB"/>
              </w:rPr>
              <w:t>2'-Hydroxyenterolactone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C18H18O5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43.8</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CSID10290</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Sinapic acid</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C11H12O5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43.4</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isorhamnetin</w:t>
            </w:r>
            <w:proofErr w:type="spellEnd"/>
            <w:r w:rsidRPr="00CF1D1E">
              <w:rPr>
                <w:rFonts w:ascii="Calibri" w:eastAsia="Times New Roman" w:hAnsi="Calibri" w:cs="Times New Roman"/>
                <w:color w:val="000000"/>
                <w:lang w:eastAsia="en-GB"/>
              </w:rPr>
              <w:t xml:space="preserve"> 3-glucoside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C22H22O12</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43.4</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CSID97034</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(-)-Epicatechin-3-O-gallate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C22H18O10</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43.4</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6B4E16">
              <w:rPr>
                <w:rFonts w:ascii="Calibri" w:eastAsia="Times New Roman" w:hAnsi="Calibri" w:cs="Times New Roman"/>
                <w:color w:val="000000"/>
                <w:lang w:eastAsia="en-GB"/>
              </w:rPr>
              <w:t>Violanone</w:t>
            </w:r>
            <w:proofErr w:type="spellEnd"/>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C17H16O6</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43.3</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CSID28982</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4-Ethylphenol</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C8H10O</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43.3</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(+)-Procyanidin B2</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C30H26O12</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43.2</w:t>
            </w:r>
          </w:p>
        </w:tc>
      </w:tr>
      <w:tr w:rsidR="007B66EE" w:rsidRPr="00CF1D1E" w:rsidTr="007B66EE">
        <w:trPr>
          <w:trHeight w:val="34"/>
        </w:trPr>
        <w:tc>
          <w:tcPr>
            <w:tcW w:w="1518" w:type="dxa"/>
            <w:tcBorders>
              <w:top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c>
          <w:tcPr>
            <w:tcW w:w="4428" w:type="dxa"/>
            <w:tcBorders>
              <w:top w:val="single" w:sz="4" w:space="0" w:color="auto"/>
              <w:left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trans-</w:t>
            </w:r>
            <w:proofErr w:type="spellStart"/>
            <w:r w:rsidRPr="00CF1D1E">
              <w:rPr>
                <w:rFonts w:ascii="Calibri" w:eastAsia="Times New Roman" w:hAnsi="Calibri" w:cs="Times New Roman"/>
                <w:color w:val="000000"/>
                <w:lang w:eastAsia="en-GB"/>
              </w:rPr>
              <w:t>caffeic</w:t>
            </w:r>
            <w:proofErr w:type="spellEnd"/>
            <w:r w:rsidRPr="00CF1D1E">
              <w:rPr>
                <w:rFonts w:ascii="Calibri" w:eastAsia="Times New Roman" w:hAnsi="Calibri" w:cs="Times New Roman"/>
                <w:color w:val="000000"/>
                <w:lang w:eastAsia="en-GB"/>
              </w:rPr>
              <w:t xml:space="preserve"> acid</w:t>
            </w:r>
          </w:p>
        </w:tc>
        <w:tc>
          <w:tcPr>
            <w:tcW w:w="1142" w:type="dxa"/>
            <w:tcBorders>
              <w:top w:val="single" w:sz="4" w:space="0" w:color="auto"/>
              <w:left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C9H8O4</w:t>
            </w:r>
          </w:p>
        </w:tc>
        <w:tc>
          <w:tcPr>
            <w:tcW w:w="713" w:type="dxa"/>
            <w:tcBorders>
              <w:top w:val="single" w:sz="4" w:space="0" w:color="auto"/>
              <w:left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43.2</w:t>
            </w:r>
          </w:p>
        </w:tc>
      </w:tr>
    </w:tbl>
    <w:p w:rsidR="00313A86" w:rsidRDefault="00313A86" w:rsidP="00CF1D1E">
      <w:pPr>
        <w:rPr>
          <w:rFonts w:ascii="Calibri" w:eastAsia="Calibri" w:hAnsi="Calibri" w:cs="Times New Roman"/>
          <w:sz w:val="20"/>
          <w:szCs w:val="20"/>
        </w:rPr>
      </w:pPr>
    </w:p>
    <w:p w:rsidR="00CF1D1E" w:rsidRPr="00CF1D1E" w:rsidRDefault="00E37C91" w:rsidP="00CF1D1E">
      <w:pPr>
        <w:rPr>
          <w:rFonts w:ascii="Calibri" w:eastAsia="Calibri" w:hAnsi="Calibri" w:cs="Times New Roman"/>
        </w:rPr>
      </w:pPr>
      <w:proofErr w:type="gramStart"/>
      <w:r w:rsidRPr="00CF1D1E">
        <w:rPr>
          <w:rFonts w:ascii="Calibri" w:eastAsia="Calibri" w:hAnsi="Calibri" w:cs="Times New Roman"/>
          <w:sz w:val="20"/>
          <w:szCs w:val="20"/>
        </w:rPr>
        <w:t xml:space="preserve">Tab.9  </w:t>
      </w:r>
      <w:r>
        <w:rPr>
          <w:rFonts w:ascii="Calibri" w:eastAsia="Calibri" w:hAnsi="Calibri" w:cs="Times New Roman"/>
          <w:sz w:val="20"/>
          <w:szCs w:val="20"/>
        </w:rPr>
        <w:t>Continued</w:t>
      </w:r>
      <w:proofErr w:type="gramEnd"/>
      <w:r w:rsidR="00CF1D1E" w:rsidRPr="00CF1D1E">
        <w:rPr>
          <w:rFonts w:ascii="Calibri" w:eastAsia="Calibri" w:hAnsi="Calibri" w:cs="Times New Roman"/>
        </w:rPr>
        <w:br w:type="page"/>
      </w:r>
    </w:p>
    <w:tbl>
      <w:tblPr>
        <w:tblW w:w="9087" w:type="dxa"/>
        <w:tblBorders>
          <w:insideH w:val="single" w:sz="4" w:space="0" w:color="auto"/>
          <w:insideV w:val="single" w:sz="4" w:space="0" w:color="auto"/>
        </w:tblBorders>
        <w:tblLook w:val="04A0" w:firstRow="1" w:lastRow="0" w:firstColumn="1" w:lastColumn="0" w:noHBand="0" w:noVBand="1"/>
      </w:tblPr>
      <w:tblGrid>
        <w:gridCol w:w="1518"/>
        <w:gridCol w:w="4428"/>
        <w:gridCol w:w="1142"/>
        <w:gridCol w:w="1286"/>
        <w:gridCol w:w="713"/>
      </w:tblGrid>
      <w:tr w:rsidR="00CF1D1E" w:rsidRPr="00CF1D1E" w:rsidTr="007B66EE">
        <w:trPr>
          <w:trHeight w:val="34"/>
        </w:trPr>
        <w:tc>
          <w:tcPr>
            <w:tcW w:w="1518"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Accepted ID</w:t>
            </w:r>
          </w:p>
        </w:tc>
        <w:tc>
          <w:tcPr>
            <w:tcW w:w="4428"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Description</w:t>
            </w:r>
          </w:p>
        </w:tc>
        <w:tc>
          <w:tcPr>
            <w:tcW w:w="1142"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Adducts</w:t>
            </w:r>
          </w:p>
        </w:tc>
        <w:tc>
          <w:tcPr>
            <w:tcW w:w="128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Formula</w:t>
            </w:r>
          </w:p>
        </w:tc>
        <w:tc>
          <w:tcPr>
            <w:tcW w:w="713"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Score</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CSID4444361</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isoquercetin</w:t>
            </w:r>
            <w:proofErr w:type="spellEnd"/>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C21H20O12</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43.1</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CSID30777621</w:t>
            </w:r>
          </w:p>
        </w:tc>
        <w:tc>
          <w:tcPr>
            <w:tcW w:w="4428" w:type="dxa"/>
            <w:shd w:val="clear" w:color="auto" w:fill="auto"/>
            <w:noWrap/>
            <w:vAlign w:val="bottom"/>
            <w:hideMark/>
          </w:tcPr>
          <w:p w:rsidR="00CF1D1E" w:rsidRPr="00CF1D1E" w:rsidRDefault="006B4E16" w:rsidP="00CF1D1E">
            <w:pPr>
              <w:spacing w:after="0" w:line="240" w:lineRule="auto"/>
              <w:rPr>
                <w:rFonts w:ascii="Calibri" w:eastAsia="Times New Roman" w:hAnsi="Calibri" w:cs="Times New Roman"/>
                <w:color w:val="000000"/>
                <w:lang w:eastAsia="en-GB"/>
              </w:rPr>
            </w:pPr>
            <w:r w:rsidRPr="006B4E16">
              <w:rPr>
                <w:rFonts w:ascii="Calibri" w:eastAsia="Times New Roman" w:hAnsi="Calibri" w:cs="Times New Roman"/>
                <w:color w:val="000000"/>
                <w:lang w:eastAsia="en-GB"/>
              </w:rPr>
              <w:t>Epicatechin 3'-glucuronide</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C21H22O12</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43.0</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3,5-O-dicaffeoylquinic acid</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43.0</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c>
          <w:tcPr>
            <w:tcW w:w="4428" w:type="dxa"/>
            <w:shd w:val="clear" w:color="auto" w:fill="auto"/>
            <w:noWrap/>
            <w:vAlign w:val="bottom"/>
            <w:hideMark/>
          </w:tcPr>
          <w:p w:rsidR="00CF1D1E" w:rsidRPr="00CF1D1E" w:rsidRDefault="006B4E16" w:rsidP="00CF1D1E">
            <w:pPr>
              <w:spacing w:after="0" w:line="240" w:lineRule="auto"/>
              <w:rPr>
                <w:rFonts w:ascii="Calibri" w:eastAsia="Times New Roman" w:hAnsi="Calibri" w:cs="Times New Roman"/>
                <w:color w:val="000000"/>
                <w:lang w:eastAsia="en-GB"/>
              </w:rPr>
            </w:pPr>
            <w:r w:rsidRPr="006B4E16">
              <w:rPr>
                <w:rFonts w:ascii="Calibri" w:eastAsia="Times New Roman" w:hAnsi="Calibri" w:cs="Times New Roman"/>
                <w:color w:val="000000"/>
                <w:lang w:eastAsia="en-GB"/>
              </w:rPr>
              <w:t>3,4-Dicaffeoylquinic acid</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42.7</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CSID30777581</w:t>
            </w:r>
          </w:p>
        </w:tc>
        <w:tc>
          <w:tcPr>
            <w:tcW w:w="4428" w:type="dxa"/>
            <w:shd w:val="clear" w:color="auto" w:fill="auto"/>
            <w:noWrap/>
            <w:vAlign w:val="bottom"/>
            <w:hideMark/>
          </w:tcPr>
          <w:p w:rsidR="00CF1D1E" w:rsidRPr="00CF1D1E" w:rsidRDefault="006B4E16" w:rsidP="00CF1D1E">
            <w:pPr>
              <w:spacing w:after="0" w:line="240" w:lineRule="auto"/>
              <w:rPr>
                <w:rFonts w:ascii="Calibri" w:eastAsia="Times New Roman" w:hAnsi="Calibri" w:cs="Times New Roman"/>
                <w:color w:val="000000"/>
                <w:lang w:eastAsia="en-GB"/>
              </w:rPr>
            </w:pPr>
            <w:r w:rsidRPr="006B4E16">
              <w:rPr>
                <w:rFonts w:ascii="Calibri" w:eastAsia="Times New Roman" w:hAnsi="Calibri" w:cs="Times New Roman"/>
                <w:color w:val="000000"/>
                <w:lang w:eastAsia="en-GB"/>
              </w:rPr>
              <w:t>(-)-Epigallocatechin 3'-glucuronide</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C21H22O13</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42.7</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c>
          <w:tcPr>
            <w:tcW w:w="442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Daidzin</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C21H20O9</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42.5</w:t>
            </w:r>
          </w:p>
        </w:tc>
      </w:tr>
      <w:tr w:rsidR="00CF1D1E" w:rsidRPr="00CF1D1E" w:rsidTr="007B66EE">
        <w:trPr>
          <w:trHeight w:val="34"/>
        </w:trPr>
        <w:tc>
          <w:tcPr>
            <w:tcW w:w="151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c>
          <w:tcPr>
            <w:tcW w:w="4428" w:type="dxa"/>
            <w:shd w:val="clear" w:color="auto" w:fill="auto"/>
            <w:noWrap/>
            <w:vAlign w:val="bottom"/>
            <w:hideMark/>
          </w:tcPr>
          <w:p w:rsidR="00CF1D1E" w:rsidRPr="00CF1D1E" w:rsidRDefault="00C556F9" w:rsidP="00CF1D1E">
            <w:pPr>
              <w:spacing w:after="0" w:line="240" w:lineRule="auto"/>
              <w:rPr>
                <w:rFonts w:ascii="Calibri" w:eastAsia="Times New Roman" w:hAnsi="Calibri" w:cs="Times New Roman"/>
                <w:color w:val="000000"/>
                <w:lang w:eastAsia="en-GB"/>
              </w:rPr>
            </w:pPr>
            <w:proofErr w:type="spellStart"/>
            <w:r w:rsidRPr="00C556F9">
              <w:rPr>
                <w:rFonts w:ascii="Calibri" w:eastAsia="Times New Roman" w:hAnsi="Calibri" w:cs="Times New Roman"/>
                <w:color w:val="000000"/>
                <w:lang w:eastAsia="en-GB"/>
              </w:rPr>
              <w:t>Dihydrocaffeic</w:t>
            </w:r>
            <w:proofErr w:type="spellEnd"/>
            <w:r w:rsidRPr="00C556F9">
              <w:rPr>
                <w:rFonts w:ascii="Calibri" w:eastAsia="Times New Roman" w:hAnsi="Calibri" w:cs="Times New Roman"/>
                <w:color w:val="000000"/>
                <w:lang w:eastAsia="en-GB"/>
              </w:rPr>
              <w:t xml:space="preserve"> acid 3-O-glucuronide</w:t>
            </w:r>
          </w:p>
        </w:tc>
        <w:tc>
          <w:tcPr>
            <w:tcW w:w="114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C15H18O10</w:t>
            </w:r>
          </w:p>
        </w:tc>
        <w:tc>
          <w:tcPr>
            <w:tcW w:w="71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42.4</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E34027">
              <w:rPr>
                <w:rFonts w:ascii="Calibri" w:eastAsia="Times New Roman" w:hAnsi="Calibri" w:cs="Times New Roman"/>
                <w:color w:val="000000"/>
                <w:lang w:eastAsia="en-GB"/>
              </w:rPr>
              <w:t>2'-Hydroxyenterolactone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C18H18O5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42.3</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CSID30777622</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E53DD3">
              <w:rPr>
                <w:rFonts w:ascii="Calibri" w:eastAsia="Times New Roman" w:hAnsi="Calibri" w:cs="Times New Roman"/>
                <w:color w:val="000000"/>
                <w:lang w:eastAsia="en-GB"/>
              </w:rPr>
              <w:t>(-)-Epicatechin 7-O-glucuronide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C21H22O12</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42.0</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CSID388690</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w:t>
            </w:r>
            <w:proofErr w:type="spellStart"/>
            <w:r w:rsidRPr="00CF1D1E">
              <w:rPr>
                <w:rFonts w:ascii="Calibri" w:eastAsia="Times New Roman" w:hAnsi="Calibri" w:cs="Times New Roman"/>
                <w:color w:val="000000"/>
                <w:lang w:eastAsia="en-GB"/>
              </w:rPr>
              <w:t>Mandelic</w:t>
            </w:r>
            <w:proofErr w:type="spellEnd"/>
            <w:r w:rsidRPr="00CF1D1E">
              <w:rPr>
                <w:rFonts w:ascii="Calibri" w:eastAsia="Times New Roman" w:hAnsi="Calibri" w:cs="Times New Roman"/>
                <w:color w:val="000000"/>
                <w:lang w:eastAsia="en-GB"/>
              </w:rPr>
              <w:t xml:space="preserve"> Acid</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C8H8O3</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41.9</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BB589E">
              <w:rPr>
                <w:rFonts w:ascii="Calibri" w:eastAsia="Times New Roman" w:hAnsi="Calibri" w:cs="Times New Roman"/>
                <w:color w:val="000000"/>
                <w:lang w:eastAsia="en-GB"/>
              </w:rPr>
              <w:t>Dihydrodaidzein</w:t>
            </w:r>
            <w:proofErr w:type="spellEnd"/>
            <w:r w:rsidRPr="00BB589E">
              <w:rPr>
                <w:rFonts w:ascii="Calibri" w:eastAsia="Times New Roman" w:hAnsi="Calibri" w:cs="Times New Roman"/>
                <w:color w:val="000000"/>
                <w:lang w:eastAsia="en-GB"/>
              </w:rPr>
              <w:t xml:space="preserve"> 7-glucuronide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C21H20O10</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41.9</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CSID4444973</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Isorhamnetin</w:t>
            </w:r>
            <w:proofErr w:type="spellEnd"/>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C16H12O7</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41.8</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6B4E16">
              <w:rPr>
                <w:rFonts w:ascii="Calibri" w:eastAsia="Times New Roman" w:hAnsi="Calibri" w:cs="Times New Roman"/>
                <w:color w:val="000000"/>
                <w:lang w:eastAsia="en-GB"/>
              </w:rPr>
              <w:t>Violanone</w:t>
            </w:r>
            <w:proofErr w:type="spellEnd"/>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C17H16O6</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41.7</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(+)-Procyanidin B2</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C30H26O12</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41.6</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Matairesinol</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C20H22O6</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41.6</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CSID30776738</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5-(3,4-Dihydroxyphenyl)</w:t>
            </w:r>
            <w:proofErr w:type="spellStart"/>
            <w:r w:rsidRPr="00CF1D1E">
              <w:rPr>
                <w:rFonts w:ascii="Calibri" w:eastAsia="Times New Roman" w:hAnsi="Calibri" w:cs="Times New Roman"/>
                <w:color w:val="000000"/>
                <w:lang w:eastAsia="en-GB"/>
              </w:rPr>
              <w:t>pentanoic</w:t>
            </w:r>
            <w:proofErr w:type="spellEnd"/>
            <w:r w:rsidRPr="00CF1D1E">
              <w:rPr>
                <w:rFonts w:ascii="Calibri" w:eastAsia="Times New Roman" w:hAnsi="Calibri" w:cs="Times New Roman"/>
                <w:color w:val="000000"/>
                <w:lang w:eastAsia="en-GB"/>
              </w:rPr>
              <w:t xml:space="preserve"> acid</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C11H14O4</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41.6</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Pr>
                <w:rFonts w:ascii="Calibri" w:eastAsia="Times New Roman" w:hAnsi="Calibri" w:cs="Times New Roman"/>
                <w:color w:val="000000"/>
                <w:lang w:eastAsia="en-GB"/>
              </w:rPr>
              <w:t>I</w:t>
            </w:r>
            <w:r w:rsidRPr="00E53DD3">
              <w:rPr>
                <w:rFonts w:ascii="Calibri" w:eastAsia="Times New Roman" w:hAnsi="Calibri" w:cs="Times New Roman"/>
                <w:color w:val="000000"/>
                <w:lang w:eastAsia="en-GB"/>
              </w:rPr>
              <w:t>risolidone</w:t>
            </w:r>
            <w:proofErr w:type="spellEnd"/>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C17H14O6</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41.6</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5-[(E)-2-(3-Hydroxy-4-methoxyphenyl)vinyl]-3-(hydroxymethyl)-2-methoxyphenol</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C17H18O5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41.5</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CSID35015219</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5-(3,5-Dihydroxybenzyl)dihydro-2(3H)-furanone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C11H12O4</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41.5</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Ourateacatechin</w:t>
            </w:r>
            <w:proofErr w:type="spellEnd"/>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C16H16O7</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41.5</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(-)-Epigallocatechin</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C15H14O7</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41.1</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Homovanillyl</w:t>
            </w:r>
            <w:proofErr w:type="spellEnd"/>
            <w:r w:rsidRPr="00CF1D1E">
              <w:rPr>
                <w:rFonts w:ascii="Calibri" w:eastAsia="Times New Roman" w:hAnsi="Calibri" w:cs="Times New Roman"/>
                <w:color w:val="000000"/>
                <w:lang w:eastAsia="en-GB"/>
              </w:rPr>
              <w:t xml:space="preserve"> alcohol</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C9H12O3</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41.1</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3D7F17">
              <w:rPr>
                <w:rFonts w:ascii="Calibri" w:eastAsia="Times New Roman" w:hAnsi="Calibri" w:cs="Times New Roman"/>
                <w:color w:val="000000"/>
                <w:lang w:eastAsia="en-GB"/>
              </w:rPr>
              <w:t>Dihydroformononetin</w:t>
            </w:r>
            <w:proofErr w:type="spellEnd"/>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C16H14O4</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41.0</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CSID19283896</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2-(4-Hydroxyphenyl)-1-(2,4,6-trihydroxyphenyl)-1-propanone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C15H14O5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41.0</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(E)-p-</w:t>
            </w:r>
            <w:proofErr w:type="spellStart"/>
            <w:r w:rsidRPr="00CF1D1E">
              <w:rPr>
                <w:rFonts w:ascii="Calibri" w:eastAsia="Times New Roman" w:hAnsi="Calibri" w:cs="Times New Roman"/>
                <w:color w:val="000000"/>
                <w:lang w:eastAsia="en-GB"/>
              </w:rPr>
              <w:t>coumaric</w:t>
            </w:r>
            <w:proofErr w:type="spellEnd"/>
            <w:r w:rsidRPr="00CF1D1E">
              <w:rPr>
                <w:rFonts w:ascii="Calibri" w:eastAsia="Times New Roman" w:hAnsi="Calibri" w:cs="Times New Roman"/>
                <w:color w:val="000000"/>
                <w:lang w:eastAsia="en-GB"/>
              </w:rPr>
              <w:t xml:space="preserve"> acid</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C9H8O3</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40.9</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(E)-p-</w:t>
            </w:r>
            <w:proofErr w:type="spellStart"/>
            <w:r w:rsidRPr="00CF1D1E">
              <w:rPr>
                <w:rFonts w:ascii="Calibri" w:eastAsia="Times New Roman" w:hAnsi="Calibri" w:cs="Times New Roman"/>
                <w:color w:val="000000"/>
                <w:lang w:eastAsia="en-GB"/>
              </w:rPr>
              <w:t>coumaric</w:t>
            </w:r>
            <w:proofErr w:type="spellEnd"/>
            <w:r w:rsidRPr="00CF1D1E">
              <w:rPr>
                <w:rFonts w:ascii="Calibri" w:eastAsia="Times New Roman" w:hAnsi="Calibri" w:cs="Times New Roman"/>
                <w:color w:val="000000"/>
                <w:lang w:eastAsia="en-GB"/>
              </w:rPr>
              <w:t xml:space="preserve"> acid</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C9H8O3</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40.8</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CSID26367754</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3-(4-Hydroxyphenyl)-6-methoxy-7-chromanol</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C16H16O4</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40.8</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CSID7975151</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E53DD3">
              <w:rPr>
                <w:rFonts w:ascii="Calibri" w:eastAsia="Times New Roman" w:hAnsi="Calibri" w:cs="Times New Roman"/>
                <w:color w:val="000000"/>
                <w:lang w:eastAsia="en-GB"/>
              </w:rPr>
              <w:t>3-O-Feruloylquinic acid</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C17H20O9</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40.6</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393B56">
              <w:rPr>
                <w:rFonts w:ascii="Calibri" w:eastAsia="Times New Roman" w:hAnsi="Calibri" w:cs="Times New Roman"/>
                <w:color w:val="000000"/>
                <w:lang w:eastAsia="en-GB"/>
              </w:rPr>
              <w:t>5,7-Dihydroxy-8,4'-dimethoxyisoflavone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C17H14O7</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40.6</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trans-</w:t>
            </w:r>
            <w:proofErr w:type="spellStart"/>
            <w:r w:rsidRPr="00CF1D1E">
              <w:rPr>
                <w:rFonts w:ascii="Calibri" w:eastAsia="Times New Roman" w:hAnsi="Calibri" w:cs="Times New Roman"/>
                <w:color w:val="000000"/>
                <w:lang w:eastAsia="en-GB"/>
              </w:rPr>
              <w:t>caffeic</w:t>
            </w:r>
            <w:proofErr w:type="spellEnd"/>
            <w:r w:rsidRPr="00CF1D1E">
              <w:rPr>
                <w:rFonts w:ascii="Calibri" w:eastAsia="Times New Roman" w:hAnsi="Calibri" w:cs="Times New Roman"/>
                <w:color w:val="000000"/>
                <w:lang w:eastAsia="en-GB"/>
              </w:rPr>
              <w:t xml:space="preserve"> acid</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C9H8O4</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40.5</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CSID26368740</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4-(7-Hydroxy-3,4-dihydro-2H-chromen-3-yl)-1,2-benzenediol</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C15H14O4</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40.5</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proofErr w:type="spellStart"/>
            <w:r w:rsidRPr="0073298A">
              <w:rPr>
                <w:rFonts w:ascii="Calibri" w:eastAsia="Times New Roman" w:hAnsi="Calibri" w:cs="Times New Roman"/>
                <w:color w:val="000000"/>
                <w:lang w:eastAsia="en-GB"/>
              </w:rPr>
              <w:t>Urolithin</w:t>
            </w:r>
            <w:proofErr w:type="spellEnd"/>
            <w:r w:rsidRPr="0073298A">
              <w:rPr>
                <w:rFonts w:ascii="Calibri" w:eastAsia="Times New Roman" w:hAnsi="Calibri" w:cs="Times New Roman"/>
                <w:color w:val="000000"/>
                <w:lang w:eastAsia="en-GB"/>
              </w:rPr>
              <w:t xml:space="preserve"> B 3-O-glucuronide</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C19H16O9</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40.5</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(E)-p-</w:t>
            </w:r>
            <w:proofErr w:type="spellStart"/>
            <w:r w:rsidRPr="00CF1D1E">
              <w:rPr>
                <w:rFonts w:ascii="Calibri" w:eastAsia="Times New Roman" w:hAnsi="Calibri" w:cs="Times New Roman"/>
                <w:color w:val="000000"/>
                <w:lang w:eastAsia="en-GB"/>
              </w:rPr>
              <w:t>coumaric</w:t>
            </w:r>
            <w:proofErr w:type="spellEnd"/>
            <w:r w:rsidRPr="00CF1D1E">
              <w:rPr>
                <w:rFonts w:ascii="Calibri" w:eastAsia="Times New Roman" w:hAnsi="Calibri" w:cs="Times New Roman"/>
                <w:color w:val="000000"/>
                <w:lang w:eastAsia="en-GB"/>
              </w:rPr>
              <w:t xml:space="preserve"> acid</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C9H8O3</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40.5</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5-[(E)-2-(3-Hydroxy-4-methoxyphenyl)vinyl]-3-(hydroxymethyl)-2-methoxyphenol</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C17H18O5</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40.3</w:t>
            </w:r>
          </w:p>
        </w:tc>
      </w:tr>
      <w:tr w:rsidR="007B66EE" w:rsidRPr="00CF1D1E" w:rsidTr="007B66EE">
        <w:trPr>
          <w:trHeight w:val="34"/>
        </w:trPr>
        <w:tc>
          <w:tcPr>
            <w:tcW w:w="1518" w:type="dxa"/>
            <w:tcBorders>
              <w:top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c>
          <w:tcPr>
            <w:tcW w:w="4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(+)-Procyanidin B2</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C30H26O12</w:t>
            </w:r>
          </w:p>
        </w:tc>
        <w:tc>
          <w:tcPr>
            <w:tcW w:w="713" w:type="dxa"/>
            <w:tcBorders>
              <w:top w:val="single" w:sz="4" w:space="0" w:color="auto"/>
              <w:left w:val="single" w:sz="4" w:space="0" w:color="auto"/>
              <w:bottom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40.1</w:t>
            </w:r>
          </w:p>
        </w:tc>
      </w:tr>
      <w:tr w:rsidR="007B66EE" w:rsidRPr="00CF1D1E" w:rsidTr="007B66EE">
        <w:trPr>
          <w:trHeight w:val="34"/>
        </w:trPr>
        <w:tc>
          <w:tcPr>
            <w:tcW w:w="1518" w:type="dxa"/>
            <w:tcBorders>
              <w:top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CSID4444051</w:t>
            </w:r>
          </w:p>
        </w:tc>
        <w:tc>
          <w:tcPr>
            <w:tcW w:w="4428" w:type="dxa"/>
            <w:tcBorders>
              <w:top w:val="single" w:sz="4" w:space="0" w:color="auto"/>
              <w:left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Quercetin</w:t>
            </w:r>
          </w:p>
        </w:tc>
        <w:tc>
          <w:tcPr>
            <w:tcW w:w="1142" w:type="dxa"/>
            <w:tcBorders>
              <w:top w:val="single" w:sz="4" w:space="0" w:color="auto"/>
              <w:left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right w:val="single" w:sz="4" w:space="0" w:color="auto"/>
            </w:tcBorders>
            <w:shd w:val="clear" w:color="auto" w:fill="auto"/>
            <w:noWrap/>
            <w:vAlign w:val="bottom"/>
            <w:hideMark/>
          </w:tcPr>
          <w:p w:rsidR="007B66EE" w:rsidRPr="00CF1D1E" w:rsidRDefault="007B66EE"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C15H10O7</w:t>
            </w:r>
          </w:p>
        </w:tc>
        <w:tc>
          <w:tcPr>
            <w:tcW w:w="713" w:type="dxa"/>
            <w:tcBorders>
              <w:top w:val="single" w:sz="4" w:space="0" w:color="auto"/>
              <w:left w:val="single" w:sz="4" w:space="0" w:color="auto"/>
            </w:tcBorders>
            <w:shd w:val="clear" w:color="auto" w:fill="auto"/>
            <w:noWrap/>
            <w:vAlign w:val="bottom"/>
            <w:hideMark/>
          </w:tcPr>
          <w:p w:rsidR="007B66EE" w:rsidRPr="00CF1D1E" w:rsidRDefault="007B66EE"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40.0</w:t>
            </w:r>
          </w:p>
        </w:tc>
      </w:tr>
    </w:tbl>
    <w:p w:rsidR="00C556F9" w:rsidRDefault="00C556F9" w:rsidP="00CF1D1E">
      <w:pPr>
        <w:rPr>
          <w:rFonts w:ascii="Calibri" w:eastAsia="Calibri" w:hAnsi="Calibri" w:cs="Times New Roman"/>
          <w:sz w:val="20"/>
          <w:szCs w:val="20"/>
        </w:rPr>
      </w:pPr>
    </w:p>
    <w:p w:rsidR="007B66EE" w:rsidRDefault="007B66EE" w:rsidP="007B66EE">
      <w:pPr>
        <w:spacing w:line="360" w:lineRule="auto"/>
        <w:jc w:val="both"/>
        <w:rPr>
          <w:rFonts w:ascii="Calibri" w:eastAsia="Calibri" w:hAnsi="Calibri" w:cs="Times New Roman"/>
          <w:sz w:val="20"/>
          <w:szCs w:val="20"/>
        </w:rPr>
      </w:pPr>
    </w:p>
    <w:p w:rsidR="007B66EE" w:rsidRPr="00CF1D1E" w:rsidRDefault="007B66EE" w:rsidP="007B66EE">
      <w:pPr>
        <w:spacing w:line="360" w:lineRule="auto"/>
        <w:jc w:val="both"/>
        <w:rPr>
          <w:rFonts w:ascii="Calibri" w:eastAsia="Calibri" w:hAnsi="Calibri" w:cs="Times New Roman"/>
          <w:sz w:val="20"/>
          <w:szCs w:val="20"/>
        </w:rPr>
      </w:pPr>
      <w:r>
        <w:rPr>
          <w:rFonts w:ascii="Calibri" w:eastAsia="Calibri" w:hAnsi="Calibri" w:cs="Times New Roman"/>
          <w:sz w:val="20"/>
          <w:szCs w:val="20"/>
        </w:rPr>
        <w:t xml:space="preserve">Tab.9 </w:t>
      </w:r>
      <w:r w:rsidRPr="00CF1D1E">
        <w:rPr>
          <w:rFonts w:ascii="Calibri" w:eastAsia="Calibri" w:hAnsi="Calibri" w:cs="Times New Roman"/>
          <w:sz w:val="20"/>
          <w:szCs w:val="20"/>
        </w:rPr>
        <w:t xml:space="preserve">The above table shows the ChemSpider ID, the chemical name, </w:t>
      </w:r>
      <w:proofErr w:type="gramStart"/>
      <w:r w:rsidRPr="00CF1D1E">
        <w:rPr>
          <w:rFonts w:ascii="Calibri" w:eastAsia="Calibri" w:hAnsi="Calibri" w:cs="Times New Roman"/>
          <w:sz w:val="20"/>
          <w:szCs w:val="20"/>
        </w:rPr>
        <w:t>the adduct</w:t>
      </w:r>
      <w:proofErr w:type="gramEnd"/>
      <w:r w:rsidRPr="00CF1D1E">
        <w:rPr>
          <w:rFonts w:ascii="Calibri" w:eastAsia="Calibri" w:hAnsi="Calibri" w:cs="Times New Roman"/>
          <w:sz w:val="20"/>
          <w:szCs w:val="20"/>
        </w:rPr>
        <w:t xml:space="preserve"> observed, the chemical formula and the score rating attributed by Progenesis QI</w:t>
      </w:r>
      <w:r>
        <w:rPr>
          <w:rFonts w:ascii="Calibri" w:eastAsia="Calibri" w:hAnsi="Calibri" w:cs="Times New Roman"/>
          <w:sz w:val="20"/>
          <w:szCs w:val="20"/>
        </w:rPr>
        <w:t xml:space="preserve"> when compared to Phenol-Explorer</w:t>
      </w:r>
      <w:r w:rsidRPr="00CF1D1E">
        <w:rPr>
          <w:rFonts w:ascii="Calibri" w:eastAsia="Calibri" w:hAnsi="Calibri" w:cs="Times New Roman"/>
          <w:sz w:val="20"/>
          <w:szCs w:val="20"/>
        </w:rPr>
        <w:t xml:space="preserve">. Only scores over 40 </w:t>
      </w:r>
      <w:r>
        <w:rPr>
          <w:rFonts w:ascii="Calibri" w:eastAsia="Calibri" w:hAnsi="Calibri" w:cs="Times New Roman"/>
          <w:sz w:val="20"/>
          <w:szCs w:val="20"/>
        </w:rPr>
        <w:t>are listed with</w:t>
      </w:r>
      <w:r w:rsidRPr="00CF1D1E">
        <w:rPr>
          <w:rFonts w:ascii="Calibri" w:eastAsia="Calibri" w:hAnsi="Calibri" w:cs="Times New Roman"/>
          <w:sz w:val="20"/>
          <w:szCs w:val="20"/>
        </w:rPr>
        <w:t xml:space="preserve"> the rest </w:t>
      </w:r>
      <w:r>
        <w:rPr>
          <w:rFonts w:ascii="Calibri" w:eastAsia="Calibri" w:hAnsi="Calibri" w:cs="Times New Roman"/>
          <w:sz w:val="20"/>
          <w:szCs w:val="20"/>
        </w:rPr>
        <w:t>being</w:t>
      </w:r>
      <w:r w:rsidRPr="00CF1D1E">
        <w:rPr>
          <w:rFonts w:ascii="Calibri" w:eastAsia="Calibri" w:hAnsi="Calibri" w:cs="Times New Roman"/>
          <w:sz w:val="20"/>
          <w:szCs w:val="20"/>
        </w:rPr>
        <w:t xml:space="preserve"> ignored. The higher the score the higher the confidence of a correct identification</w:t>
      </w:r>
      <w:r w:rsidR="00D10CCA">
        <w:rPr>
          <w:rFonts w:ascii="Calibri" w:eastAsia="Calibri" w:hAnsi="Calibri" w:cs="Times New Roman"/>
          <w:sz w:val="20"/>
          <w:szCs w:val="20"/>
        </w:rPr>
        <w:t xml:space="preserve"> (see p. 76</w:t>
      </w:r>
      <w:r>
        <w:rPr>
          <w:rFonts w:ascii="Calibri" w:eastAsia="Calibri" w:hAnsi="Calibri" w:cs="Times New Roman"/>
          <w:sz w:val="20"/>
          <w:szCs w:val="20"/>
        </w:rPr>
        <w:t>)</w:t>
      </w:r>
      <w:r w:rsidRPr="00CF1D1E">
        <w:rPr>
          <w:rFonts w:ascii="Calibri" w:eastAsia="Calibri" w:hAnsi="Calibri" w:cs="Times New Roman"/>
          <w:sz w:val="20"/>
          <w:szCs w:val="20"/>
        </w:rPr>
        <w:t>.</w:t>
      </w:r>
    </w:p>
    <w:p w:rsidR="00CF1D1E" w:rsidRPr="00CF1D1E" w:rsidRDefault="00CF1D1E" w:rsidP="00CF1D1E">
      <w:pPr>
        <w:rPr>
          <w:rFonts w:ascii="Calibri" w:eastAsia="Calibri" w:hAnsi="Calibri" w:cs="Times New Roman"/>
        </w:rPr>
      </w:pPr>
      <w:r w:rsidRPr="00CF1D1E">
        <w:rPr>
          <w:rFonts w:ascii="Calibri" w:eastAsia="Calibri" w:hAnsi="Calibri" w:cs="Times New Roman"/>
        </w:rPr>
        <w:br w:type="page"/>
      </w:r>
    </w:p>
    <w:p w:rsidR="00CF1D1E" w:rsidRPr="00CF1D1E" w:rsidRDefault="00344BEA" w:rsidP="00CF1D1E">
      <w:pPr>
        <w:rPr>
          <w:rFonts w:ascii="Calibri" w:eastAsia="Calibri" w:hAnsi="Calibri" w:cs="Times New Roman"/>
          <w:sz w:val="20"/>
          <w:szCs w:val="20"/>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709440" behindDoc="0" locked="0" layoutInCell="1" allowOverlap="1" wp14:anchorId="12FDB554" wp14:editId="2A22231F">
                <wp:simplePos x="0" y="0"/>
                <wp:positionH relativeFrom="column">
                  <wp:posOffset>4762500</wp:posOffset>
                </wp:positionH>
                <wp:positionV relativeFrom="paragraph">
                  <wp:posOffset>897255</wp:posOffset>
                </wp:positionV>
                <wp:extent cx="863600" cy="7025640"/>
                <wp:effectExtent l="0" t="0" r="0" b="3810"/>
                <wp:wrapSquare wrapText="bothSides"/>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0" cy="7025640"/>
                        </a:xfrm>
                        <a:prstGeom prst="rect">
                          <a:avLst/>
                        </a:prstGeom>
                        <a:solidFill>
                          <a:srgbClr val="FFFFFF"/>
                        </a:solidFill>
                        <a:ln w="9525">
                          <a:noFill/>
                          <a:miter lim="800000"/>
                          <a:headEnd/>
                          <a:tailEnd/>
                        </a:ln>
                      </wps:spPr>
                      <wps:txbx>
                        <w:txbxContent>
                          <w:p w:rsidR="00D842A6" w:rsidRDefault="00D842A6" w:rsidP="00344BEA">
                            <w:pPr>
                              <w:spacing w:line="360" w:lineRule="auto"/>
                              <w:jc w:val="both"/>
                              <w:rPr>
                                <w:sz w:val="20"/>
                                <w:szCs w:val="20"/>
                                <w:lang w:val="en"/>
                              </w:rPr>
                            </w:pPr>
                            <w:r>
                              <w:rPr>
                                <w:sz w:val="20"/>
                                <w:szCs w:val="20"/>
                                <w:lang w:val="en"/>
                              </w:rPr>
                              <w:t>Tab. 9a Heat map of average abundances of the polyphenols identified for the 4 sample types.</w:t>
                            </w:r>
                          </w:p>
                          <w:p w:rsidR="00D842A6" w:rsidRPr="00482B2E" w:rsidRDefault="00D842A6" w:rsidP="00344BEA">
                            <w:pPr>
                              <w:spacing w:line="360" w:lineRule="auto"/>
                              <w:jc w:val="both"/>
                              <w:rPr>
                                <w:sz w:val="20"/>
                                <w:szCs w:val="20"/>
                                <w:lang w:val="en"/>
                              </w:rPr>
                            </w:pPr>
                            <w:r>
                              <w:rPr>
                                <w:sz w:val="20"/>
                                <w:szCs w:val="20"/>
                                <w:lang w:val="en"/>
                              </w:rPr>
                              <w:t xml:space="preserve">Kindly created in Matlab by Elise. S. Potter </w:t>
                            </w:r>
                            <w:r w:rsidRPr="00C84B96">
                              <w:rPr>
                                <w:sz w:val="20"/>
                                <w:szCs w:val="20"/>
                                <w:lang w:val="en"/>
                              </w:rPr>
                              <w:t>[CC BY-SA 4.0 (https://creativecommons.org/licenses/by-sa/4.0)]</w:t>
                            </w:r>
                          </w:p>
                          <w:p w:rsidR="00D842A6" w:rsidRDefault="00D842A6" w:rsidP="00344BEA"/>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DB554" id="_x0000_s1027" type="#_x0000_t202" style="position:absolute;margin-left:375pt;margin-top:70.65pt;width:68pt;height:553.2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" stroked="f">
                <v:textbox style="layout-flow:vertical;mso-layout-flow-alt:bottom-to-top">
                  <w:txbxContent>
                    <w:p w:rsidR="00D842A6" w:rsidRDefault="00D842A6" w:rsidP="00344BEA">
                      <w:pPr>
                        <w:spacing w:line="360" w:lineRule="auto"/>
                        <w:jc w:val="both"/>
                        <w:rPr>
                          <w:sz w:val="20"/>
                          <w:szCs w:val="20"/>
                          <w:lang w:val="en"/>
                        </w:rPr>
                      </w:pPr>
                      <w:r>
                        <w:rPr>
                          <w:sz w:val="20"/>
                          <w:szCs w:val="20"/>
                          <w:lang w:val="en"/>
                        </w:rPr>
                        <w:t>Tab. 9a Heat map of average abundances of the polyphenols identified for the 4 sample types.</w:t>
                      </w:r>
                    </w:p>
                    <w:p w:rsidR="00D842A6" w:rsidRPr="00482B2E" w:rsidRDefault="00D842A6" w:rsidP="00344BEA">
                      <w:pPr>
                        <w:spacing w:line="360" w:lineRule="auto"/>
                        <w:jc w:val="both"/>
                        <w:rPr>
                          <w:sz w:val="20"/>
                          <w:szCs w:val="20"/>
                          <w:lang w:val="en"/>
                        </w:rPr>
                      </w:pPr>
                      <w:r>
                        <w:rPr>
                          <w:sz w:val="20"/>
                          <w:szCs w:val="20"/>
                          <w:lang w:val="en"/>
                        </w:rPr>
                        <w:t xml:space="preserve">Kindly created in Matlab by Elise. S. Potter </w:t>
                      </w:r>
                      <w:r w:rsidRPr="00C84B96">
                        <w:rPr>
                          <w:sz w:val="20"/>
                          <w:szCs w:val="20"/>
                          <w:lang w:val="en"/>
                        </w:rPr>
                        <w:t>[CC BY-SA 4.0 (https://creativecommons.org/licenses/by-sa/4.0)]</w:t>
                      </w:r>
                    </w:p>
                    <w:p w:rsidR="00D842A6" w:rsidRDefault="00D842A6" w:rsidP="00344BEA"/>
                  </w:txbxContent>
                </v:textbox>
                <w10:wrap type="square"/>
              </v:shape>
            </w:pict>
          </mc:Fallback>
        </mc:AlternateContent>
      </w:r>
      <w:r>
        <w:rPr>
          <w:rFonts w:ascii="Calibri" w:eastAsia="Calibri" w:hAnsi="Calibri" w:cs="Times New Roman"/>
          <w:noProof/>
          <w:sz w:val="20"/>
          <w:szCs w:val="20"/>
          <w:lang w:eastAsia="en-GB"/>
        </w:rPr>
        <w:drawing>
          <wp:inline distT="0" distB="0" distL="0" distR="0">
            <wp:extent cx="9146626" cy="4458803"/>
            <wp:effectExtent l="952"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heatmapwinter.png"/>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146626" cy="4458803"/>
                    </a:xfrm>
                    <a:prstGeom prst="rect">
                      <a:avLst/>
                    </a:prstGeom>
                  </pic:spPr>
                </pic:pic>
              </a:graphicData>
            </a:graphic>
          </wp:inline>
        </w:drawing>
      </w:r>
      <w:r w:rsidR="00CF1D1E" w:rsidRPr="00CF1D1E">
        <w:rPr>
          <w:rFonts w:ascii="Calibri" w:eastAsia="Calibri" w:hAnsi="Calibri" w:cs="Times New Roman"/>
          <w:sz w:val="20"/>
          <w:szCs w:val="20"/>
        </w:rPr>
        <w:br w:type="page"/>
      </w:r>
    </w:p>
    <w:p w:rsid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noProof/>
          <w:sz w:val="24"/>
          <w:szCs w:val="24"/>
          <w:lang w:eastAsia="en-GB"/>
        </w:rPr>
        <w:lastRenderedPageBreak/>
        <w:drawing>
          <wp:inline distT="0" distB="0" distL="0" distR="0" wp14:anchorId="6A22AD8D" wp14:editId="4F68E5BF">
            <wp:extent cx="6362700" cy="823394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DMSe chromatograms .png"/>
                    <pic:cNvPicPr/>
                  </pic:nvPicPr>
                  <pic:blipFill>
                    <a:blip r:embed="rId34">
                      <a:extLst>
                        <a:ext uri="{28A0092B-C50C-407E-A947-70E740481C1C}">
                          <a14:useLocalDpi xmlns:a14="http://schemas.microsoft.com/office/drawing/2010/main" val="0"/>
                        </a:ext>
                      </a:extLst>
                    </a:blip>
                    <a:stretch>
                      <a:fillRect/>
                    </a:stretch>
                  </pic:blipFill>
                  <pic:spPr>
                    <a:xfrm>
                      <a:off x="0" y="0"/>
                      <a:ext cx="6369134" cy="8242272"/>
                    </a:xfrm>
                    <a:prstGeom prst="rect">
                      <a:avLst/>
                    </a:prstGeom>
                  </pic:spPr>
                </pic:pic>
              </a:graphicData>
            </a:graphic>
          </wp:inline>
        </w:drawing>
      </w:r>
      <w:r w:rsidR="00001C5D">
        <w:rPr>
          <w:rFonts w:ascii="Calibri" w:eastAsia="Calibri" w:hAnsi="Calibri" w:cs="Times New Roman"/>
          <w:sz w:val="20"/>
          <w:szCs w:val="20"/>
        </w:rPr>
        <w:t>Fig.18</w:t>
      </w:r>
      <w:r w:rsidR="00F45F36">
        <w:rPr>
          <w:rFonts w:ascii="Calibri" w:eastAsia="Calibri" w:hAnsi="Calibri" w:cs="Times New Roman"/>
          <w:sz w:val="20"/>
          <w:szCs w:val="20"/>
        </w:rPr>
        <w:t xml:space="preserve"> </w:t>
      </w:r>
      <w:r w:rsidR="00264559">
        <w:rPr>
          <w:rFonts w:ascii="Calibri" w:eastAsia="Calibri" w:hAnsi="Calibri" w:cs="Times New Roman"/>
          <w:sz w:val="20"/>
          <w:szCs w:val="20"/>
        </w:rPr>
        <w:t>S</w:t>
      </w:r>
      <w:r w:rsidRPr="00CF1D1E">
        <w:rPr>
          <w:rFonts w:ascii="Calibri" w:eastAsia="Calibri" w:hAnsi="Calibri" w:cs="Times New Roman"/>
          <w:sz w:val="20"/>
          <w:szCs w:val="20"/>
        </w:rPr>
        <w:t>ample chromatograms acquired during</w:t>
      </w:r>
      <w:r w:rsidR="00001C5D">
        <w:rPr>
          <w:rFonts w:ascii="Calibri" w:eastAsia="Calibri" w:hAnsi="Calibri" w:cs="Times New Roman"/>
          <w:sz w:val="20"/>
          <w:szCs w:val="20"/>
        </w:rPr>
        <w:t xml:space="preserve"> a 5 minute</w:t>
      </w:r>
      <w:r w:rsidRPr="00CF1D1E">
        <w:rPr>
          <w:rFonts w:ascii="Calibri" w:eastAsia="Calibri" w:hAnsi="Calibri" w:cs="Times New Roman"/>
          <w:sz w:val="20"/>
          <w:szCs w:val="20"/>
        </w:rPr>
        <w:t xml:space="preserve"> HDMSe</w:t>
      </w:r>
      <w:r w:rsidR="00001C5D">
        <w:rPr>
          <w:rFonts w:ascii="Calibri" w:eastAsia="Calibri" w:hAnsi="Calibri" w:cs="Times New Roman"/>
          <w:sz w:val="20"/>
          <w:szCs w:val="20"/>
        </w:rPr>
        <w:t xml:space="preserve"> mode acquisition</w:t>
      </w:r>
      <w:r w:rsidRPr="00CF1D1E">
        <w:rPr>
          <w:rFonts w:ascii="Calibri" w:eastAsia="Calibri" w:hAnsi="Calibri" w:cs="Times New Roman"/>
          <w:sz w:val="20"/>
          <w:szCs w:val="20"/>
        </w:rPr>
        <w:t>. From top to bottom; Py</w:t>
      </w:r>
      <w:r w:rsidR="00AF0FAF">
        <w:rPr>
          <w:rFonts w:ascii="Calibri" w:eastAsia="Calibri" w:hAnsi="Calibri" w:cs="Times New Roman"/>
          <w:sz w:val="20"/>
          <w:szCs w:val="20"/>
        </w:rPr>
        <w:t>c</w:t>
      </w:r>
      <w:r w:rsidRPr="00CF1D1E">
        <w:rPr>
          <w:rFonts w:ascii="Calibri" w:eastAsia="Calibri" w:hAnsi="Calibri" w:cs="Times New Roman"/>
          <w:sz w:val="20"/>
          <w:szCs w:val="20"/>
        </w:rPr>
        <w:t>nogenol, Scots Pine, Oak and Lodge pole pine.</w:t>
      </w:r>
    </w:p>
    <w:p w:rsidR="00632BF1" w:rsidRDefault="00632BF1">
      <w:pPr>
        <w:rPr>
          <w:rFonts w:ascii="Calibri" w:eastAsia="Calibri" w:hAnsi="Calibri" w:cs="Times New Roman"/>
          <w:sz w:val="20"/>
          <w:szCs w:val="20"/>
        </w:rPr>
      </w:pPr>
      <w:r>
        <w:rPr>
          <w:rFonts w:ascii="Calibri" w:eastAsia="Calibri" w:hAnsi="Calibri" w:cs="Times New Roman"/>
          <w:sz w:val="20"/>
          <w:szCs w:val="20"/>
        </w:rPr>
        <w:br w:type="page"/>
      </w:r>
    </w:p>
    <w:p w:rsidR="00632BF1" w:rsidRPr="00CF1D1E" w:rsidRDefault="00632BF1" w:rsidP="00CF1D1E">
      <w:pPr>
        <w:spacing w:line="360" w:lineRule="auto"/>
        <w:jc w:val="both"/>
        <w:rPr>
          <w:rFonts w:ascii="Calibri" w:eastAsia="Calibri" w:hAnsi="Calibri" w:cs="Times New Roman"/>
          <w:sz w:val="20"/>
          <w:szCs w:val="20"/>
        </w:rPr>
      </w:pP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36"/>
          <w:szCs w:val="36"/>
        </w:rPr>
      </w:pPr>
      <w:r w:rsidRPr="00CF1D1E">
        <w:rPr>
          <w:rFonts w:ascii="Calibri" w:eastAsia="Calibri" w:hAnsi="Calibri" w:cs="Times New Roman"/>
          <w:b/>
          <w:color w:val="000000"/>
          <w:sz w:val="36"/>
          <w:szCs w:val="36"/>
        </w:rPr>
        <w:t xml:space="preserve">1.32 Xevo TQ-XS Targeted Method (MRM) </w:t>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36"/>
          <w:szCs w:val="36"/>
        </w:rPr>
      </w:pPr>
      <w:r w:rsidRPr="00CF1D1E">
        <w:rPr>
          <w:rFonts w:ascii="Calibri" w:eastAsia="Calibri" w:hAnsi="Calibri" w:cs="Times New Roman"/>
          <w:b/>
          <w:color w:val="000000"/>
          <w:sz w:val="36"/>
          <w:szCs w:val="36"/>
        </w:rPr>
        <w:t xml:space="preserve">         </w:t>
      </w:r>
      <w:r w:rsidRPr="00CF1D1E">
        <w:rPr>
          <w:rFonts w:ascii="Times New Roman" w:eastAsia="Calibri" w:hAnsi="Times New Roman" w:cs="Times New Roman"/>
          <w:noProof/>
          <w:color w:val="000000"/>
          <w:sz w:val="24"/>
          <w:szCs w:val="24"/>
          <w:lang w:eastAsia="en-GB"/>
        </w:rPr>
        <w:drawing>
          <wp:inline distT="0" distB="0" distL="0" distR="0" wp14:anchorId="0642AB5A" wp14:editId="46B462CD">
            <wp:extent cx="4162425" cy="60674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62425" cy="6067425"/>
                    </a:xfrm>
                    <a:prstGeom prst="rect">
                      <a:avLst/>
                    </a:prstGeom>
                  </pic:spPr>
                </pic:pic>
              </a:graphicData>
            </a:graphic>
          </wp:inline>
        </w:drawing>
      </w:r>
      <w:r w:rsidRPr="00CF1D1E">
        <w:rPr>
          <w:rFonts w:ascii="Calibri" w:eastAsia="Calibri" w:hAnsi="Calibri" w:cs="Times New Roman"/>
          <w:b/>
          <w:color w:val="000000"/>
          <w:sz w:val="36"/>
          <w:szCs w:val="36"/>
        </w:rPr>
        <w:t xml:space="preserve">    </w:t>
      </w:r>
    </w:p>
    <w:p w:rsidR="00CF1D1E" w:rsidRPr="00CF1D1E" w:rsidRDefault="00CF1D1E" w:rsidP="00CF1D1E">
      <w:pPr>
        <w:autoSpaceDE w:val="0"/>
        <w:autoSpaceDN w:val="0"/>
        <w:adjustRightInd w:val="0"/>
        <w:spacing w:after="0" w:line="720"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Fig.19 </w:t>
      </w:r>
      <w:r w:rsidR="00264559">
        <w:rPr>
          <w:rFonts w:ascii="Calibri" w:eastAsia="Calibri" w:hAnsi="Calibri" w:cs="Times New Roman"/>
          <w:color w:val="000000"/>
          <w:sz w:val="20"/>
          <w:szCs w:val="20"/>
        </w:rPr>
        <w:t>S</w:t>
      </w:r>
      <w:r w:rsidRPr="00CF1D1E">
        <w:rPr>
          <w:rFonts w:ascii="Calibri" w:eastAsia="Calibri" w:hAnsi="Calibri" w:cs="Times New Roman"/>
          <w:color w:val="000000"/>
          <w:sz w:val="20"/>
          <w:szCs w:val="20"/>
        </w:rPr>
        <w:t>tandard of 7 analytes showing the extracted ions for each.</w:t>
      </w:r>
    </w:p>
    <w:p w:rsidR="00CF1D1E" w:rsidRPr="00CF1D1E" w:rsidRDefault="00CF1D1E" w:rsidP="00CF1D1E">
      <w:pPr>
        <w:rPr>
          <w:rFonts w:ascii="Calibri" w:eastAsia="Calibri" w:hAnsi="Calibri" w:cs="Times New Roman"/>
          <w:color w:val="000000"/>
          <w:sz w:val="24"/>
          <w:szCs w:val="24"/>
        </w:rPr>
      </w:pPr>
      <w:r w:rsidRPr="00CF1D1E">
        <w:rPr>
          <w:rFonts w:ascii="Calibri" w:eastAsia="Calibri" w:hAnsi="Calibri" w:cs="Times New Roman"/>
        </w:rPr>
        <w:br w:type="page"/>
      </w:r>
    </w:p>
    <w:p w:rsidR="00CF1D1E" w:rsidRPr="00CF1D1E" w:rsidRDefault="00CF1D1E" w:rsidP="00CF1D1E">
      <w:pPr>
        <w:autoSpaceDE w:val="0"/>
        <w:autoSpaceDN w:val="0"/>
        <w:adjustRightInd w:val="0"/>
        <w:spacing w:after="0" w:line="720" w:lineRule="auto"/>
        <w:rPr>
          <w:rFonts w:ascii="Calibri" w:eastAsia="Calibri" w:hAnsi="Calibri" w:cs="Times New Roman"/>
          <w:color w:val="000000"/>
          <w:sz w:val="24"/>
          <w:szCs w:val="24"/>
        </w:rPr>
      </w:pPr>
      <w:r w:rsidRPr="00CF1D1E">
        <w:rPr>
          <w:rFonts w:ascii="Calibri" w:eastAsia="Calibri" w:hAnsi="Calibri" w:cs="Times New Roman"/>
          <w:color w:val="000000"/>
          <w:sz w:val="24"/>
          <w:szCs w:val="24"/>
        </w:rPr>
        <w:lastRenderedPageBreak/>
        <w:t xml:space="preserve">        </w:t>
      </w:r>
      <w:r w:rsidRPr="00CF1D1E">
        <w:rPr>
          <w:rFonts w:ascii="Times New Roman" w:eastAsia="Calibri" w:hAnsi="Times New Roman" w:cs="Times New Roman"/>
          <w:noProof/>
          <w:color w:val="000000"/>
          <w:sz w:val="24"/>
          <w:szCs w:val="24"/>
          <w:lang w:eastAsia="en-GB"/>
        </w:rPr>
        <w:drawing>
          <wp:inline distT="0" distB="0" distL="0" distR="0" wp14:anchorId="113F3AC7" wp14:editId="41BE91C6">
            <wp:extent cx="5036024" cy="726283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11450" cy="7371616"/>
                    </a:xfrm>
                    <a:prstGeom prst="rect">
                      <a:avLst/>
                    </a:prstGeom>
                  </pic:spPr>
                </pic:pic>
              </a:graphicData>
            </a:graphic>
          </wp:inline>
        </w:drawing>
      </w:r>
    </w:p>
    <w:p w:rsidR="00CF1D1E" w:rsidRPr="00CF1D1E" w:rsidRDefault="00CF1D1E" w:rsidP="00CF1D1E">
      <w:pPr>
        <w:autoSpaceDE w:val="0"/>
        <w:autoSpaceDN w:val="0"/>
        <w:adjustRightInd w:val="0"/>
        <w:spacing w:after="0" w:line="720" w:lineRule="auto"/>
        <w:rPr>
          <w:rFonts w:ascii="Calibri" w:eastAsia="Calibri" w:hAnsi="Calibri" w:cs="Times New Roman"/>
          <w:color w:val="000000"/>
          <w:sz w:val="20"/>
          <w:szCs w:val="20"/>
        </w:rPr>
      </w:pPr>
      <w:r w:rsidRPr="00CF1D1E">
        <w:rPr>
          <w:rFonts w:ascii="Calibri" w:eastAsia="Calibri" w:hAnsi="Calibri" w:cs="Times New Roman"/>
          <w:color w:val="000000"/>
          <w:sz w:val="24"/>
          <w:szCs w:val="24"/>
        </w:rPr>
        <w:t xml:space="preserve">             </w:t>
      </w:r>
      <w:r w:rsidRPr="00CF1D1E">
        <w:rPr>
          <w:rFonts w:ascii="Calibri" w:eastAsia="Calibri" w:hAnsi="Calibri" w:cs="Times New Roman"/>
          <w:color w:val="000000"/>
          <w:sz w:val="20"/>
          <w:szCs w:val="20"/>
        </w:rPr>
        <w:t xml:space="preserve">Fig.20 </w:t>
      </w:r>
      <w:r w:rsidR="00264559">
        <w:rPr>
          <w:rFonts w:ascii="Calibri" w:eastAsia="Calibri" w:hAnsi="Calibri" w:cs="Times New Roman"/>
          <w:color w:val="000000"/>
          <w:sz w:val="20"/>
          <w:szCs w:val="20"/>
        </w:rPr>
        <w:t>S</w:t>
      </w:r>
      <w:r w:rsidRPr="00CF1D1E">
        <w:rPr>
          <w:rFonts w:ascii="Calibri" w:eastAsia="Calibri" w:hAnsi="Calibri" w:cs="Times New Roman"/>
          <w:color w:val="000000"/>
          <w:sz w:val="20"/>
          <w:szCs w:val="20"/>
        </w:rPr>
        <w:t>tandard of 7 analytes showing signal to noise ratio of all 7 analytes.</w:t>
      </w:r>
    </w:p>
    <w:p w:rsidR="00CF1D1E" w:rsidRPr="00CF1D1E" w:rsidRDefault="00CF1D1E" w:rsidP="00CF1D1E">
      <w:pPr>
        <w:rPr>
          <w:rFonts w:ascii="Calibri" w:eastAsia="Calibri" w:hAnsi="Calibri" w:cs="Times New Roman"/>
          <w:color w:val="000000"/>
          <w:sz w:val="20"/>
          <w:szCs w:val="20"/>
        </w:rPr>
      </w:pPr>
      <w:r w:rsidRPr="00CF1D1E">
        <w:rPr>
          <w:rFonts w:ascii="Calibri" w:eastAsia="Calibri" w:hAnsi="Calibri" w:cs="Times New Roman"/>
          <w:sz w:val="20"/>
          <w:szCs w:val="20"/>
        </w:rPr>
        <w:br w:type="page"/>
      </w:r>
    </w:p>
    <w:p w:rsidR="00CF1D1E" w:rsidRPr="00CF1D1E" w:rsidRDefault="00CF1D1E" w:rsidP="00CF1D1E">
      <w:pPr>
        <w:autoSpaceDE w:val="0"/>
        <w:autoSpaceDN w:val="0"/>
        <w:adjustRightInd w:val="0"/>
        <w:spacing w:after="0" w:line="720" w:lineRule="auto"/>
        <w:rPr>
          <w:rFonts w:ascii="Calibri" w:eastAsia="Calibri" w:hAnsi="Calibri" w:cs="Times New Roman"/>
          <w:color w:val="000000"/>
          <w:sz w:val="24"/>
          <w:szCs w:val="24"/>
        </w:rPr>
      </w:pPr>
      <w:r w:rsidRPr="00CF1D1E">
        <w:rPr>
          <w:rFonts w:ascii="Calibri" w:eastAsia="Calibri" w:hAnsi="Calibri" w:cs="Times New Roman"/>
          <w:color w:val="000000"/>
          <w:sz w:val="24"/>
          <w:szCs w:val="24"/>
        </w:rPr>
        <w:lastRenderedPageBreak/>
        <w:t xml:space="preserve">     </w:t>
      </w:r>
      <w:r w:rsidRPr="00CF1D1E">
        <w:rPr>
          <w:rFonts w:ascii="Times New Roman" w:eastAsia="Calibri" w:hAnsi="Times New Roman" w:cs="Times New Roman"/>
          <w:noProof/>
          <w:color w:val="000000"/>
          <w:sz w:val="24"/>
          <w:szCs w:val="24"/>
          <w:lang w:eastAsia="en-GB"/>
        </w:rPr>
        <w:drawing>
          <wp:inline distT="0" distB="0" distL="0" distR="0" wp14:anchorId="46EB3C96" wp14:editId="4980104C">
            <wp:extent cx="5104263" cy="7366381"/>
            <wp:effectExtent l="0" t="0" r="127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19150" cy="7387866"/>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Fig.21 </w:t>
      </w:r>
      <w:r w:rsidR="00AA662D" w:rsidRPr="00CF1D1E">
        <w:rPr>
          <w:rFonts w:ascii="Calibri" w:eastAsia="Calibri" w:hAnsi="Calibri" w:cs="Times New Roman"/>
          <w:color w:val="000000"/>
          <w:sz w:val="20"/>
          <w:szCs w:val="20"/>
        </w:rPr>
        <w:t>Lodge pole pine bark</w:t>
      </w:r>
      <w:r w:rsidR="00AA662D">
        <w:rPr>
          <w:rFonts w:ascii="Calibri" w:eastAsia="Calibri" w:hAnsi="Calibri" w:cs="Times New Roman"/>
          <w:color w:val="000000"/>
          <w:sz w:val="20"/>
          <w:szCs w:val="20"/>
        </w:rPr>
        <w:t>,</w:t>
      </w:r>
      <w:r w:rsidR="00AA662D" w:rsidRPr="00CF1D1E">
        <w:rPr>
          <w:rFonts w:ascii="Calibri" w:eastAsia="Calibri" w:hAnsi="Calibri" w:cs="Times New Roman"/>
          <w:color w:val="000000"/>
          <w:sz w:val="20"/>
          <w:szCs w:val="20"/>
        </w:rPr>
        <w:t xml:space="preserve"> </w:t>
      </w:r>
      <w:r w:rsidR="00AA662D">
        <w:rPr>
          <w:rFonts w:ascii="Calibri" w:eastAsia="Calibri" w:hAnsi="Calibri" w:cs="Times New Roman"/>
          <w:color w:val="000000"/>
          <w:sz w:val="20"/>
          <w:szCs w:val="20"/>
        </w:rPr>
        <w:t>extracted</w:t>
      </w:r>
      <w:r w:rsidRPr="00CF1D1E">
        <w:rPr>
          <w:rFonts w:ascii="Calibri" w:eastAsia="Calibri" w:hAnsi="Calibri" w:cs="Times New Roman"/>
          <w:color w:val="000000"/>
          <w:sz w:val="20"/>
          <w:szCs w:val="20"/>
        </w:rPr>
        <w:t xml:space="preserve"> ion chromatogram of the 7 targeted analytes</w:t>
      </w:r>
      <w:r w:rsidR="00AA662D">
        <w:rPr>
          <w:rFonts w:ascii="Calibri" w:eastAsia="Calibri" w:hAnsi="Calibri" w:cs="Times New Roman"/>
          <w:color w:val="000000"/>
          <w:sz w:val="20"/>
          <w:szCs w:val="20"/>
        </w:rPr>
        <w:t>.</w:t>
      </w:r>
    </w:p>
    <w:p w:rsidR="00CF1D1E" w:rsidRPr="00CF1D1E" w:rsidRDefault="00CF1D1E" w:rsidP="00CF1D1E">
      <w:pPr>
        <w:rPr>
          <w:rFonts w:ascii="Calibri" w:eastAsia="Calibri" w:hAnsi="Calibri" w:cs="Times New Roman"/>
          <w:b/>
          <w:color w:val="000000"/>
          <w:sz w:val="36"/>
          <w:szCs w:val="36"/>
        </w:rPr>
      </w:pPr>
      <w:r w:rsidRPr="00CF1D1E">
        <w:rPr>
          <w:rFonts w:ascii="Calibri" w:eastAsia="Calibri" w:hAnsi="Calibri" w:cs="Times New Roman"/>
          <w:b/>
          <w:sz w:val="36"/>
          <w:szCs w:val="36"/>
        </w:rPr>
        <w:br w:type="page"/>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36"/>
          <w:szCs w:val="36"/>
        </w:rPr>
      </w:pPr>
      <w:r w:rsidRPr="00CF1D1E">
        <w:rPr>
          <w:rFonts w:ascii="Calibri" w:eastAsia="Calibri" w:hAnsi="Calibri" w:cs="Times New Roman"/>
          <w:b/>
          <w:color w:val="000000"/>
          <w:sz w:val="36"/>
          <w:szCs w:val="36"/>
        </w:rPr>
        <w:lastRenderedPageBreak/>
        <w:t xml:space="preserve">     </w:t>
      </w:r>
      <w:r w:rsidRPr="00CF1D1E">
        <w:rPr>
          <w:rFonts w:ascii="Times New Roman" w:eastAsia="Calibri" w:hAnsi="Times New Roman" w:cs="Times New Roman"/>
          <w:noProof/>
          <w:color w:val="000000"/>
          <w:sz w:val="24"/>
          <w:szCs w:val="24"/>
          <w:lang w:eastAsia="en-GB"/>
        </w:rPr>
        <w:drawing>
          <wp:inline distT="0" distB="0" distL="0" distR="0" wp14:anchorId="50FE0A3A" wp14:editId="3CDB2C03">
            <wp:extent cx="5360276" cy="7595727"/>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81398" cy="7625658"/>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Fig.22 </w:t>
      </w:r>
      <w:r w:rsidR="00AA662D" w:rsidRPr="00CF1D1E">
        <w:rPr>
          <w:rFonts w:ascii="Calibri" w:eastAsia="Calibri" w:hAnsi="Calibri" w:cs="Times New Roman"/>
          <w:color w:val="000000"/>
          <w:sz w:val="20"/>
          <w:szCs w:val="20"/>
        </w:rPr>
        <w:t>Oak bark</w:t>
      </w:r>
      <w:r w:rsidR="00AA662D">
        <w:rPr>
          <w:rFonts w:ascii="Calibri" w:eastAsia="Calibri" w:hAnsi="Calibri" w:cs="Times New Roman"/>
          <w:color w:val="000000"/>
          <w:sz w:val="20"/>
          <w:szCs w:val="20"/>
        </w:rPr>
        <w:t xml:space="preserve">, </w:t>
      </w:r>
      <w:r w:rsidRPr="00CF1D1E">
        <w:rPr>
          <w:rFonts w:ascii="Calibri" w:eastAsia="Calibri" w:hAnsi="Calibri" w:cs="Times New Roman"/>
          <w:color w:val="000000"/>
          <w:sz w:val="20"/>
          <w:szCs w:val="20"/>
        </w:rPr>
        <w:t>extracted ion chromat</w:t>
      </w:r>
      <w:r w:rsidR="00AA662D">
        <w:rPr>
          <w:rFonts w:ascii="Calibri" w:eastAsia="Calibri" w:hAnsi="Calibri" w:cs="Times New Roman"/>
          <w:color w:val="000000"/>
          <w:sz w:val="20"/>
          <w:szCs w:val="20"/>
        </w:rPr>
        <w:t>ogram of the 7 targeted analytes</w:t>
      </w:r>
      <w:r w:rsidRPr="00CF1D1E">
        <w:rPr>
          <w:rFonts w:ascii="Calibri" w:eastAsia="Calibri" w:hAnsi="Calibri" w:cs="Times New Roman"/>
          <w:color w:val="000000"/>
          <w:sz w:val="20"/>
          <w:szCs w:val="20"/>
        </w:rPr>
        <w:t>.</w:t>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0"/>
          <w:szCs w:val="20"/>
        </w:rPr>
      </w:pPr>
    </w:p>
    <w:p w:rsidR="00CF1D1E" w:rsidRPr="00CF1D1E" w:rsidRDefault="00CF1D1E" w:rsidP="00CF1D1E">
      <w:pPr>
        <w:rPr>
          <w:rFonts w:ascii="Calibri" w:eastAsia="Calibri" w:hAnsi="Calibri" w:cs="Times New Roman"/>
          <w:color w:val="000000"/>
          <w:sz w:val="24"/>
          <w:szCs w:val="24"/>
        </w:rPr>
      </w:pPr>
      <w:r w:rsidRPr="00CF1D1E">
        <w:rPr>
          <w:rFonts w:ascii="Calibri" w:eastAsia="Calibri" w:hAnsi="Calibri" w:cs="Times New Roman"/>
        </w:rPr>
        <w:br w:type="page"/>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3F3439DE" wp14:editId="519CDE20">
            <wp:extent cx="5153891" cy="7392685"/>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81058" cy="7431653"/>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Fig.23 Scots pine bark</w:t>
      </w:r>
      <w:r w:rsidR="00AA662D">
        <w:rPr>
          <w:rFonts w:ascii="Calibri" w:eastAsia="Calibri" w:hAnsi="Calibri" w:cs="Times New Roman"/>
          <w:color w:val="000000"/>
          <w:sz w:val="20"/>
          <w:szCs w:val="20"/>
        </w:rPr>
        <w:t xml:space="preserve">, </w:t>
      </w:r>
      <w:r w:rsidR="00AA662D" w:rsidRPr="00CF1D1E">
        <w:rPr>
          <w:rFonts w:ascii="Calibri" w:eastAsia="Calibri" w:hAnsi="Calibri" w:cs="Times New Roman"/>
          <w:color w:val="000000"/>
          <w:sz w:val="20"/>
          <w:szCs w:val="20"/>
        </w:rPr>
        <w:t>extracted ion chromat</w:t>
      </w:r>
      <w:r w:rsidR="00AA662D">
        <w:rPr>
          <w:rFonts w:ascii="Calibri" w:eastAsia="Calibri" w:hAnsi="Calibri" w:cs="Times New Roman"/>
          <w:color w:val="000000"/>
          <w:sz w:val="20"/>
          <w:szCs w:val="20"/>
        </w:rPr>
        <w:t>ogram of the 7 targeted analytes</w:t>
      </w:r>
      <w:r w:rsidRPr="00CF1D1E">
        <w:rPr>
          <w:rFonts w:ascii="Calibri" w:eastAsia="Calibri" w:hAnsi="Calibri" w:cs="Times New Roman"/>
          <w:color w:val="000000"/>
          <w:sz w:val="20"/>
          <w:szCs w:val="20"/>
        </w:rPr>
        <w:t>.</w:t>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rPr>
          <w:rFonts w:ascii="Calibri" w:eastAsia="Calibri" w:hAnsi="Calibri" w:cs="Times New Roman"/>
          <w:color w:val="000000"/>
          <w:sz w:val="24"/>
          <w:szCs w:val="24"/>
        </w:rPr>
      </w:pPr>
      <w:r w:rsidRPr="00CF1D1E">
        <w:rPr>
          <w:rFonts w:ascii="Calibri" w:eastAsia="Calibri" w:hAnsi="Calibri" w:cs="Times New Roman"/>
        </w:rPr>
        <w:br w:type="page"/>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0A0261B9" wp14:editId="186B9F7F">
            <wp:extent cx="5652655" cy="802804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71111" cy="8054251"/>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Fig.24 Pycnogenol tablet</w:t>
      </w:r>
      <w:r w:rsidR="00AA662D">
        <w:rPr>
          <w:rFonts w:ascii="Calibri" w:eastAsia="Calibri" w:hAnsi="Calibri" w:cs="Times New Roman"/>
          <w:color w:val="000000"/>
          <w:sz w:val="20"/>
          <w:szCs w:val="20"/>
        </w:rPr>
        <w:t xml:space="preserve">, </w:t>
      </w:r>
      <w:r w:rsidR="00AA662D" w:rsidRPr="00CF1D1E">
        <w:rPr>
          <w:rFonts w:ascii="Calibri" w:eastAsia="Calibri" w:hAnsi="Calibri" w:cs="Times New Roman"/>
          <w:color w:val="000000"/>
          <w:sz w:val="20"/>
          <w:szCs w:val="20"/>
        </w:rPr>
        <w:t>extracted ion chromat</w:t>
      </w:r>
      <w:r w:rsidR="00AA662D">
        <w:rPr>
          <w:rFonts w:ascii="Calibri" w:eastAsia="Calibri" w:hAnsi="Calibri" w:cs="Times New Roman"/>
          <w:color w:val="000000"/>
          <w:sz w:val="20"/>
          <w:szCs w:val="20"/>
        </w:rPr>
        <w:t>ogram of the 7 targeted analytes</w:t>
      </w:r>
      <w:r w:rsidRPr="00CF1D1E">
        <w:rPr>
          <w:rFonts w:ascii="Calibri" w:eastAsia="Calibri" w:hAnsi="Calibri" w:cs="Times New Roman"/>
          <w:color w:val="000000"/>
          <w:sz w:val="20"/>
          <w:szCs w:val="20"/>
        </w:rPr>
        <w:t xml:space="preserve"> used as a qualitative reference.</w:t>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sectPr w:rsidR="00CF1D1E" w:rsidRPr="00CF1D1E" w:rsidSect="00AE168D">
          <w:footerReference w:type="default" r:id="rId41"/>
          <w:pgSz w:w="11906" w:h="16838"/>
          <w:pgMar w:top="567" w:right="567" w:bottom="567" w:left="1440" w:header="709" w:footer="709" w:gutter="0"/>
          <w:cols w:space="708"/>
          <w:docGrid w:linePitch="360"/>
        </w:sect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73D281D5" wp14:editId="6DCBB925">
            <wp:extent cx="6268405" cy="2623279"/>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18798" cy="2644368"/>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76"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Tab.10 </w:t>
      </w:r>
      <w:r w:rsidR="00A77435">
        <w:rPr>
          <w:rFonts w:ascii="Calibri" w:eastAsia="Calibri" w:hAnsi="Calibri" w:cs="Times New Roman"/>
          <w:color w:val="000000"/>
          <w:sz w:val="20"/>
          <w:szCs w:val="20"/>
        </w:rPr>
        <w:t>C</w:t>
      </w:r>
      <w:r w:rsidRPr="00CF1D1E">
        <w:rPr>
          <w:rFonts w:ascii="Calibri" w:eastAsia="Calibri" w:hAnsi="Calibri" w:cs="Times New Roman"/>
          <w:color w:val="000000"/>
          <w:sz w:val="20"/>
          <w:szCs w:val="20"/>
        </w:rPr>
        <w:t>alibration and quantification of (-)-epicatechin in the 3 bark extracts and also Pycnogenol as a qualitative reference. LOQ, LOD and the coefficient of determination (R</w:t>
      </w:r>
      <w:r w:rsidRPr="00CF1D1E">
        <w:rPr>
          <w:rFonts w:ascii="Calibri" w:eastAsia="Calibri" w:hAnsi="Calibri" w:cs="Times New Roman"/>
          <w:color w:val="000000"/>
          <w:sz w:val="20"/>
          <w:szCs w:val="20"/>
          <w:vertAlign w:val="superscript"/>
        </w:rPr>
        <w:t>2</w:t>
      </w:r>
      <w:r w:rsidRPr="00CF1D1E">
        <w:rPr>
          <w:rFonts w:ascii="Calibri" w:eastAsia="Calibri" w:hAnsi="Calibri" w:cs="Times New Roman"/>
          <w:color w:val="000000"/>
          <w:sz w:val="20"/>
          <w:szCs w:val="20"/>
        </w:rPr>
        <w:t>) are also provided.</w:t>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r w:rsidRPr="00CF1D1E">
        <w:rPr>
          <w:rFonts w:ascii="Times New Roman" w:eastAsia="Calibri" w:hAnsi="Times New Roman" w:cs="Times New Roman"/>
          <w:noProof/>
          <w:color w:val="000000"/>
          <w:sz w:val="24"/>
          <w:szCs w:val="24"/>
          <w:lang w:eastAsia="en-GB"/>
        </w:rPr>
        <w:drawing>
          <wp:inline distT="0" distB="0" distL="0" distR="0" wp14:anchorId="3B8AA884" wp14:editId="516FB555">
            <wp:extent cx="6169930" cy="280316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95271" cy="2814673"/>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76"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Tab.11 </w:t>
      </w:r>
      <w:r w:rsidR="00A77435">
        <w:rPr>
          <w:rFonts w:ascii="Calibri" w:eastAsia="Calibri" w:hAnsi="Calibri" w:cs="Times New Roman"/>
          <w:color w:val="000000"/>
          <w:sz w:val="20"/>
          <w:szCs w:val="20"/>
        </w:rPr>
        <w:t>C</w:t>
      </w:r>
      <w:r w:rsidRPr="00CF1D1E">
        <w:rPr>
          <w:rFonts w:ascii="Calibri" w:eastAsia="Calibri" w:hAnsi="Calibri" w:cs="Times New Roman"/>
          <w:color w:val="000000"/>
          <w:sz w:val="20"/>
          <w:szCs w:val="20"/>
        </w:rPr>
        <w:t>alibration and quantification of Caffeic acid in the 3 bark extracts and also Pycnogenol as a qualitative reference. LOQ, LOD and the coefficient of determination (R</w:t>
      </w:r>
      <w:r w:rsidRPr="00CF1D1E">
        <w:rPr>
          <w:rFonts w:ascii="Calibri" w:eastAsia="Calibri" w:hAnsi="Calibri" w:cs="Times New Roman"/>
          <w:color w:val="000000"/>
          <w:sz w:val="20"/>
          <w:szCs w:val="20"/>
          <w:vertAlign w:val="superscript"/>
        </w:rPr>
        <w:t>2</w:t>
      </w:r>
      <w:r w:rsidRPr="00CF1D1E">
        <w:rPr>
          <w:rFonts w:ascii="Calibri" w:eastAsia="Calibri" w:hAnsi="Calibri" w:cs="Times New Roman"/>
          <w:color w:val="000000"/>
          <w:sz w:val="20"/>
          <w:szCs w:val="20"/>
        </w:rPr>
        <w:t>) are also provided.</w:t>
      </w:r>
    </w:p>
    <w:p w:rsidR="00CF1D1E" w:rsidRPr="00CF1D1E" w:rsidRDefault="00CF1D1E" w:rsidP="00CF1D1E">
      <w:pPr>
        <w:autoSpaceDE w:val="0"/>
        <w:autoSpaceDN w:val="0"/>
        <w:adjustRightInd w:val="0"/>
        <w:spacing w:after="0" w:line="276"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Figures shown in red are below the calculated LOD.</w:t>
      </w:r>
    </w:p>
    <w:p w:rsidR="00CF1D1E" w:rsidRPr="00CF1D1E" w:rsidRDefault="00CF1D1E" w:rsidP="00CF1D1E">
      <w:pPr>
        <w:rPr>
          <w:rFonts w:ascii="Calibri" w:eastAsia="Calibri" w:hAnsi="Calibri" w:cs="Times New Roman"/>
          <w:color w:val="000000"/>
          <w:sz w:val="20"/>
          <w:szCs w:val="20"/>
        </w:rPr>
      </w:pPr>
      <w:r w:rsidRPr="00CF1D1E">
        <w:rPr>
          <w:rFonts w:ascii="Calibri" w:eastAsia="Calibri" w:hAnsi="Calibri" w:cs="Times New Roman"/>
          <w:sz w:val="20"/>
          <w:szCs w:val="20"/>
        </w:rPr>
        <w:br w:type="page"/>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458C4E80" wp14:editId="32AC6F6C">
            <wp:extent cx="5939127" cy="278817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6959" cy="2791847"/>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76"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Tab.12 </w:t>
      </w:r>
      <w:r w:rsidR="00A77435">
        <w:rPr>
          <w:rFonts w:ascii="Calibri" w:eastAsia="Calibri" w:hAnsi="Calibri" w:cs="Times New Roman"/>
          <w:color w:val="000000"/>
          <w:sz w:val="20"/>
          <w:szCs w:val="20"/>
        </w:rPr>
        <w:t>C</w:t>
      </w:r>
      <w:r w:rsidRPr="00CF1D1E">
        <w:rPr>
          <w:rFonts w:ascii="Calibri" w:eastAsia="Calibri" w:hAnsi="Calibri" w:cs="Times New Roman"/>
          <w:color w:val="000000"/>
          <w:sz w:val="20"/>
          <w:szCs w:val="20"/>
        </w:rPr>
        <w:t xml:space="preserve">alibration and quantification of </w:t>
      </w:r>
      <w:proofErr w:type="gramStart"/>
      <w:r w:rsidRPr="00CF1D1E">
        <w:rPr>
          <w:rFonts w:ascii="Calibri" w:eastAsia="Calibri" w:hAnsi="Calibri" w:cs="Times New Roman"/>
          <w:color w:val="000000"/>
          <w:sz w:val="20"/>
          <w:szCs w:val="20"/>
        </w:rPr>
        <w:t>Vanillic</w:t>
      </w:r>
      <w:proofErr w:type="gramEnd"/>
      <w:r w:rsidRPr="00CF1D1E">
        <w:rPr>
          <w:rFonts w:ascii="Calibri" w:eastAsia="Calibri" w:hAnsi="Calibri" w:cs="Times New Roman"/>
          <w:color w:val="000000"/>
          <w:sz w:val="20"/>
          <w:szCs w:val="20"/>
        </w:rPr>
        <w:t xml:space="preserve"> acid in the 3 bark extracts and also Pycnogenol as a qualitative reference. LOQ, LOD and the coefficient of determination (R</w:t>
      </w:r>
      <w:r w:rsidRPr="00CF1D1E">
        <w:rPr>
          <w:rFonts w:ascii="Calibri" w:eastAsia="Calibri" w:hAnsi="Calibri" w:cs="Times New Roman"/>
          <w:color w:val="000000"/>
          <w:sz w:val="20"/>
          <w:szCs w:val="20"/>
          <w:vertAlign w:val="superscript"/>
        </w:rPr>
        <w:t>2</w:t>
      </w:r>
      <w:r w:rsidRPr="00CF1D1E">
        <w:rPr>
          <w:rFonts w:ascii="Calibri" w:eastAsia="Calibri" w:hAnsi="Calibri" w:cs="Times New Roman"/>
          <w:color w:val="000000"/>
          <w:sz w:val="20"/>
          <w:szCs w:val="20"/>
        </w:rPr>
        <w:t>) are also provided.</w:t>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r w:rsidRPr="00CF1D1E">
        <w:rPr>
          <w:rFonts w:ascii="Times New Roman" w:eastAsia="Calibri" w:hAnsi="Times New Roman" w:cs="Times New Roman"/>
          <w:noProof/>
          <w:color w:val="000000"/>
          <w:sz w:val="24"/>
          <w:szCs w:val="24"/>
          <w:lang w:eastAsia="en-GB"/>
        </w:rPr>
        <w:drawing>
          <wp:inline distT="0" distB="0" distL="0" distR="0" wp14:anchorId="1C3B63CB" wp14:editId="2D702941">
            <wp:extent cx="5906125" cy="2779256"/>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26984" cy="2789072"/>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76" w:lineRule="auto"/>
        <w:rPr>
          <w:rFonts w:ascii="Calibri" w:eastAsia="Calibri" w:hAnsi="Calibri" w:cs="Times New Roman"/>
          <w:color w:val="000000"/>
          <w:sz w:val="24"/>
          <w:szCs w:val="24"/>
        </w:rPr>
      </w:pPr>
    </w:p>
    <w:p w:rsidR="00CF1D1E" w:rsidRPr="00CF1D1E" w:rsidRDefault="00F45F36" w:rsidP="00CF1D1E">
      <w:pPr>
        <w:autoSpaceDE w:val="0"/>
        <w:autoSpaceDN w:val="0"/>
        <w:adjustRightInd w:val="0"/>
        <w:spacing w:after="0" w:line="276" w:lineRule="auto"/>
        <w:jc w:val="both"/>
        <w:rPr>
          <w:rFonts w:ascii="Calibri" w:eastAsia="Calibri" w:hAnsi="Calibri" w:cs="Times New Roman"/>
          <w:color w:val="000000"/>
          <w:sz w:val="20"/>
          <w:szCs w:val="20"/>
        </w:rPr>
      </w:pPr>
      <w:r>
        <w:rPr>
          <w:rFonts w:ascii="Calibri" w:eastAsia="Calibri" w:hAnsi="Calibri" w:cs="Times New Roman"/>
          <w:color w:val="000000"/>
          <w:sz w:val="20"/>
          <w:szCs w:val="20"/>
        </w:rPr>
        <w:t xml:space="preserve">Tab.13 </w:t>
      </w:r>
      <w:r w:rsidR="00A77435">
        <w:rPr>
          <w:rFonts w:ascii="Calibri" w:eastAsia="Calibri" w:hAnsi="Calibri" w:cs="Times New Roman"/>
          <w:color w:val="000000"/>
          <w:sz w:val="20"/>
          <w:szCs w:val="20"/>
        </w:rPr>
        <w:t>C</w:t>
      </w:r>
      <w:r w:rsidR="00CF1D1E" w:rsidRPr="00CF1D1E">
        <w:rPr>
          <w:rFonts w:ascii="Calibri" w:eastAsia="Calibri" w:hAnsi="Calibri" w:cs="Times New Roman"/>
          <w:color w:val="000000"/>
          <w:sz w:val="20"/>
          <w:szCs w:val="20"/>
        </w:rPr>
        <w:t>alibration and quantification of p-</w:t>
      </w:r>
      <w:proofErr w:type="spellStart"/>
      <w:r w:rsidR="00CF1D1E" w:rsidRPr="00CF1D1E">
        <w:rPr>
          <w:rFonts w:ascii="Calibri" w:eastAsia="Calibri" w:hAnsi="Calibri" w:cs="Times New Roman"/>
          <w:color w:val="000000"/>
          <w:sz w:val="20"/>
          <w:szCs w:val="20"/>
        </w:rPr>
        <w:t>coumaric</w:t>
      </w:r>
      <w:proofErr w:type="spellEnd"/>
      <w:r w:rsidR="00CF1D1E" w:rsidRPr="00CF1D1E">
        <w:rPr>
          <w:rFonts w:ascii="Calibri" w:eastAsia="Calibri" w:hAnsi="Calibri" w:cs="Times New Roman"/>
          <w:color w:val="000000"/>
          <w:sz w:val="20"/>
          <w:szCs w:val="20"/>
        </w:rPr>
        <w:t xml:space="preserve"> acid in the 3 bark extracts and also Pycnogenol as a qualitative reference. LOQ, LOD and the coefficient of determination (R</w:t>
      </w:r>
      <w:r w:rsidR="00CF1D1E" w:rsidRPr="00CF1D1E">
        <w:rPr>
          <w:rFonts w:ascii="Calibri" w:eastAsia="Calibri" w:hAnsi="Calibri" w:cs="Times New Roman"/>
          <w:color w:val="000000"/>
          <w:sz w:val="20"/>
          <w:szCs w:val="20"/>
          <w:vertAlign w:val="superscript"/>
        </w:rPr>
        <w:t>2</w:t>
      </w:r>
      <w:r w:rsidR="00CF1D1E" w:rsidRPr="00CF1D1E">
        <w:rPr>
          <w:rFonts w:ascii="Calibri" w:eastAsia="Calibri" w:hAnsi="Calibri" w:cs="Times New Roman"/>
          <w:color w:val="000000"/>
          <w:sz w:val="20"/>
          <w:szCs w:val="20"/>
        </w:rPr>
        <w:t>) are also provided.</w:t>
      </w:r>
    </w:p>
    <w:p w:rsidR="00CF1D1E" w:rsidRPr="00CF1D1E" w:rsidRDefault="00CF1D1E" w:rsidP="00CF1D1E">
      <w:pPr>
        <w:autoSpaceDE w:val="0"/>
        <w:autoSpaceDN w:val="0"/>
        <w:adjustRightInd w:val="0"/>
        <w:spacing w:after="0" w:line="276" w:lineRule="auto"/>
        <w:rPr>
          <w:rFonts w:ascii="Calibri" w:eastAsia="Calibri" w:hAnsi="Calibri" w:cs="Times New Roman"/>
          <w:color w:val="000000"/>
          <w:sz w:val="24"/>
          <w:szCs w:val="24"/>
        </w:rPr>
      </w:pPr>
    </w:p>
    <w:p w:rsidR="00CF1D1E" w:rsidRPr="00CF1D1E" w:rsidRDefault="00CF1D1E" w:rsidP="00CF1D1E">
      <w:pPr>
        <w:rPr>
          <w:rFonts w:ascii="Calibri" w:eastAsia="Calibri" w:hAnsi="Calibri" w:cs="Times New Roman"/>
          <w:color w:val="000000"/>
          <w:sz w:val="24"/>
          <w:szCs w:val="24"/>
        </w:rPr>
      </w:pPr>
      <w:r w:rsidRPr="00CF1D1E">
        <w:rPr>
          <w:rFonts w:ascii="Calibri" w:eastAsia="Calibri" w:hAnsi="Calibri" w:cs="Times New Roman"/>
        </w:rPr>
        <w:br w:type="page"/>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42EB7988" wp14:editId="5EA224DB">
            <wp:extent cx="5771213" cy="2748988"/>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84339" cy="2755240"/>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76"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Tab.14 </w:t>
      </w:r>
      <w:r w:rsidR="00A77435">
        <w:rPr>
          <w:rFonts w:ascii="Calibri" w:eastAsia="Calibri" w:hAnsi="Calibri" w:cs="Times New Roman"/>
          <w:color w:val="000000"/>
          <w:sz w:val="20"/>
          <w:szCs w:val="20"/>
        </w:rPr>
        <w:t>C</w:t>
      </w:r>
      <w:r w:rsidRPr="00CF1D1E">
        <w:rPr>
          <w:rFonts w:ascii="Calibri" w:eastAsia="Calibri" w:hAnsi="Calibri" w:cs="Times New Roman"/>
          <w:color w:val="000000"/>
          <w:sz w:val="20"/>
          <w:szCs w:val="20"/>
        </w:rPr>
        <w:t>alibration and quantification of trans-</w:t>
      </w:r>
      <w:proofErr w:type="spellStart"/>
      <w:r w:rsidRPr="00CF1D1E">
        <w:rPr>
          <w:rFonts w:ascii="Calibri" w:eastAsia="Calibri" w:hAnsi="Calibri" w:cs="Times New Roman"/>
          <w:color w:val="000000"/>
          <w:sz w:val="20"/>
          <w:szCs w:val="20"/>
        </w:rPr>
        <w:t>ferulic</w:t>
      </w:r>
      <w:proofErr w:type="spellEnd"/>
      <w:r w:rsidRPr="00CF1D1E">
        <w:rPr>
          <w:rFonts w:ascii="Calibri" w:eastAsia="Calibri" w:hAnsi="Calibri" w:cs="Times New Roman"/>
          <w:color w:val="000000"/>
          <w:sz w:val="20"/>
          <w:szCs w:val="20"/>
        </w:rPr>
        <w:t xml:space="preserve"> acid in the 3 bark extracts and also Pycnogenol as a qualitative reference. LOQ, LOD and the coefficient of determination (R</w:t>
      </w:r>
      <w:r w:rsidRPr="00CF1D1E">
        <w:rPr>
          <w:rFonts w:ascii="Calibri" w:eastAsia="Calibri" w:hAnsi="Calibri" w:cs="Times New Roman"/>
          <w:color w:val="000000"/>
          <w:sz w:val="20"/>
          <w:szCs w:val="20"/>
          <w:vertAlign w:val="superscript"/>
        </w:rPr>
        <w:t>2</w:t>
      </w:r>
      <w:r w:rsidRPr="00CF1D1E">
        <w:rPr>
          <w:rFonts w:ascii="Calibri" w:eastAsia="Calibri" w:hAnsi="Calibri" w:cs="Times New Roman"/>
          <w:color w:val="000000"/>
          <w:sz w:val="20"/>
          <w:szCs w:val="20"/>
        </w:rPr>
        <w:t>) are also provided.</w:t>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r w:rsidRPr="00CF1D1E">
        <w:rPr>
          <w:rFonts w:ascii="Times New Roman" w:eastAsia="Calibri" w:hAnsi="Times New Roman" w:cs="Times New Roman"/>
          <w:noProof/>
          <w:color w:val="000000"/>
          <w:sz w:val="24"/>
          <w:szCs w:val="24"/>
          <w:lang w:eastAsia="en-GB"/>
        </w:rPr>
        <w:drawing>
          <wp:inline distT="0" distB="0" distL="0" distR="0" wp14:anchorId="0D6CC638" wp14:editId="20FD11F6">
            <wp:extent cx="5770880" cy="2614897"/>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91321" cy="2624159"/>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76"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Tab.15 </w:t>
      </w:r>
      <w:r w:rsidR="00A77435">
        <w:rPr>
          <w:rFonts w:ascii="Calibri" w:eastAsia="Calibri" w:hAnsi="Calibri" w:cs="Times New Roman"/>
          <w:color w:val="000000"/>
          <w:sz w:val="20"/>
          <w:szCs w:val="20"/>
        </w:rPr>
        <w:t>C</w:t>
      </w:r>
      <w:r w:rsidRPr="00CF1D1E">
        <w:rPr>
          <w:rFonts w:ascii="Calibri" w:eastAsia="Calibri" w:hAnsi="Calibri" w:cs="Times New Roman"/>
          <w:color w:val="000000"/>
          <w:sz w:val="20"/>
          <w:szCs w:val="20"/>
        </w:rPr>
        <w:t>alibration and quantification of sinapic acid in the 3 bark extracts and also Pycnogenol as a qualitative reference. LOQ, LOD and the coefficient of determination (R</w:t>
      </w:r>
      <w:r w:rsidRPr="00CF1D1E">
        <w:rPr>
          <w:rFonts w:ascii="Calibri" w:eastAsia="Calibri" w:hAnsi="Calibri" w:cs="Times New Roman"/>
          <w:color w:val="000000"/>
          <w:sz w:val="20"/>
          <w:szCs w:val="20"/>
          <w:vertAlign w:val="superscript"/>
        </w:rPr>
        <w:t>2</w:t>
      </w:r>
      <w:r w:rsidRPr="00CF1D1E">
        <w:rPr>
          <w:rFonts w:ascii="Calibri" w:eastAsia="Calibri" w:hAnsi="Calibri" w:cs="Times New Roman"/>
          <w:color w:val="000000"/>
          <w:sz w:val="20"/>
          <w:szCs w:val="20"/>
        </w:rPr>
        <w:t>) are also provided.</w:t>
      </w:r>
    </w:p>
    <w:p w:rsidR="00CF1D1E" w:rsidRPr="00CF1D1E" w:rsidRDefault="00CF1D1E" w:rsidP="00CF1D1E">
      <w:pPr>
        <w:autoSpaceDE w:val="0"/>
        <w:autoSpaceDN w:val="0"/>
        <w:adjustRightInd w:val="0"/>
        <w:spacing w:after="0" w:line="276"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27A6C603" wp14:editId="44072B0B">
            <wp:extent cx="5846164" cy="2808026"/>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70837" cy="2819877"/>
                    </a:xfrm>
                    <a:prstGeom prst="rect">
                      <a:avLst/>
                    </a:prstGeom>
                  </pic:spPr>
                </pic:pic>
              </a:graphicData>
            </a:graphic>
          </wp:inline>
        </w:drawing>
      </w: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4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76"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Tab.16 </w:t>
      </w:r>
      <w:r w:rsidR="00A77435">
        <w:rPr>
          <w:rFonts w:ascii="Calibri" w:eastAsia="Calibri" w:hAnsi="Calibri" w:cs="Times New Roman"/>
          <w:color w:val="000000"/>
          <w:sz w:val="20"/>
          <w:szCs w:val="20"/>
        </w:rPr>
        <w:t>C</w:t>
      </w:r>
      <w:r w:rsidRPr="00CF1D1E">
        <w:rPr>
          <w:rFonts w:ascii="Calibri" w:eastAsia="Calibri" w:hAnsi="Calibri" w:cs="Times New Roman"/>
          <w:color w:val="000000"/>
          <w:sz w:val="20"/>
          <w:szCs w:val="20"/>
        </w:rPr>
        <w:t>alibration and quantification of Quercetin in the 3 bark extracts and also Pycnogenol as a qualitative reference. LOQ, LOD and the coefficient of determination (R</w:t>
      </w:r>
      <w:r w:rsidRPr="00CF1D1E">
        <w:rPr>
          <w:rFonts w:ascii="Calibri" w:eastAsia="Calibri" w:hAnsi="Calibri" w:cs="Times New Roman"/>
          <w:color w:val="000000"/>
          <w:sz w:val="20"/>
          <w:szCs w:val="20"/>
          <w:vertAlign w:val="superscript"/>
        </w:rPr>
        <w:t>2</w:t>
      </w:r>
      <w:r w:rsidRPr="00CF1D1E">
        <w:rPr>
          <w:rFonts w:ascii="Calibri" w:eastAsia="Calibri" w:hAnsi="Calibri" w:cs="Times New Roman"/>
          <w:color w:val="000000"/>
          <w:sz w:val="20"/>
          <w:szCs w:val="20"/>
        </w:rPr>
        <w:t>) are also provided.</w:t>
      </w:r>
    </w:p>
    <w:p w:rsidR="00CF1D1E" w:rsidRPr="00CF1D1E" w:rsidRDefault="00CF1D1E" w:rsidP="00CF1D1E">
      <w:pPr>
        <w:autoSpaceDE w:val="0"/>
        <w:autoSpaceDN w:val="0"/>
        <w:adjustRightInd w:val="0"/>
        <w:spacing w:after="0" w:line="276" w:lineRule="auto"/>
        <w:jc w:val="both"/>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276" w:lineRule="auto"/>
        <w:jc w:val="both"/>
        <w:rPr>
          <w:rFonts w:ascii="Calibri" w:eastAsia="Calibri" w:hAnsi="Calibri" w:cs="Times New Roman"/>
          <w:color w:val="000000"/>
          <w:sz w:val="20"/>
          <w:szCs w:val="20"/>
        </w:rPr>
      </w:pPr>
    </w:p>
    <w:p w:rsidR="00CF1D1E" w:rsidRPr="00CF1D1E" w:rsidRDefault="00C91D32" w:rsidP="00CF1D1E">
      <w:pPr>
        <w:autoSpaceDE w:val="0"/>
        <w:autoSpaceDN w:val="0"/>
        <w:adjustRightInd w:val="0"/>
        <w:spacing w:after="0" w:line="276" w:lineRule="auto"/>
        <w:jc w:val="both"/>
        <w:rPr>
          <w:rFonts w:ascii="Calibri" w:eastAsia="Calibri" w:hAnsi="Calibri" w:cs="Times New Roman"/>
          <w:color w:val="000000"/>
          <w:sz w:val="24"/>
          <w:szCs w:val="24"/>
        </w:rPr>
      </w:pPr>
      <w:r>
        <w:rPr>
          <w:rFonts w:ascii="Calibri" w:eastAsia="Calibri" w:hAnsi="Calibri" w:cs="Times New Roman"/>
          <w:color w:val="000000"/>
          <w:sz w:val="24"/>
          <w:szCs w:val="24"/>
        </w:rPr>
        <w:t xml:space="preserve">The quercetin </w:t>
      </w:r>
      <w:r w:rsidR="00CF1D1E" w:rsidRPr="00CF1D1E">
        <w:rPr>
          <w:rFonts w:ascii="Calibri" w:eastAsia="Calibri" w:hAnsi="Calibri" w:cs="Times New Roman"/>
          <w:color w:val="000000"/>
          <w:sz w:val="24"/>
          <w:szCs w:val="24"/>
        </w:rPr>
        <w:t xml:space="preserve">results have been included for completeness as it illustrates how the method fails when applied to </w:t>
      </w:r>
      <w:r>
        <w:rPr>
          <w:rFonts w:ascii="Calibri" w:eastAsia="Calibri" w:hAnsi="Calibri" w:cs="Times New Roman"/>
          <w:color w:val="000000"/>
          <w:sz w:val="24"/>
          <w:szCs w:val="24"/>
        </w:rPr>
        <w:t>the</w:t>
      </w:r>
      <w:r w:rsidR="00CF1D1E" w:rsidRPr="00CF1D1E">
        <w:rPr>
          <w:rFonts w:ascii="Calibri" w:eastAsia="Calibri" w:hAnsi="Calibri" w:cs="Times New Roman"/>
          <w:color w:val="000000"/>
          <w:sz w:val="24"/>
          <w:szCs w:val="24"/>
        </w:rPr>
        <w:t xml:space="preserve"> analysis</w:t>
      </w:r>
      <w:r>
        <w:rPr>
          <w:rFonts w:ascii="Calibri" w:eastAsia="Calibri" w:hAnsi="Calibri" w:cs="Times New Roman"/>
          <w:color w:val="000000"/>
          <w:sz w:val="24"/>
          <w:szCs w:val="24"/>
        </w:rPr>
        <w:t xml:space="preserve"> of this component (R</w:t>
      </w:r>
      <w:r w:rsidRPr="00C91D32">
        <w:rPr>
          <w:rFonts w:ascii="Calibri" w:eastAsia="Calibri" w:hAnsi="Calibri" w:cs="Times New Roman"/>
          <w:color w:val="000000"/>
          <w:sz w:val="24"/>
          <w:szCs w:val="24"/>
          <w:vertAlign w:val="superscript"/>
        </w:rPr>
        <w:t>2</w:t>
      </w:r>
      <w:r>
        <w:rPr>
          <w:rFonts w:ascii="Calibri" w:eastAsia="Calibri" w:hAnsi="Calibri" w:cs="Times New Roman"/>
          <w:color w:val="000000"/>
          <w:sz w:val="24"/>
          <w:szCs w:val="24"/>
        </w:rPr>
        <w:t xml:space="preserve"> = 0.0399)</w:t>
      </w:r>
      <w:r w:rsidR="00CF1D1E" w:rsidRPr="00CF1D1E">
        <w:rPr>
          <w:rFonts w:ascii="Calibri" w:eastAsia="Calibri" w:hAnsi="Calibri" w:cs="Times New Roman"/>
          <w:color w:val="000000"/>
          <w:sz w:val="24"/>
          <w:szCs w:val="24"/>
        </w:rPr>
        <w:t xml:space="preserve">. There is a lack of linearity which shows that this method cannot be used for quercetin quantification. This issue was resolved as described in the next section. </w:t>
      </w:r>
    </w:p>
    <w:p w:rsidR="00CF1D1E" w:rsidRPr="00CF1D1E" w:rsidRDefault="00CF1D1E" w:rsidP="00CF1D1E">
      <w:pPr>
        <w:autoSpaceDE w:val="0"/>
        <w:autoSpaceDN w:val="0"/>
        <w:adjustRightInd w:val="0"/>
        <w:spacing w:after="0" w:line="720" w:lineRule="auto"/>
        <w:jc w:val="both"/>
        <w:rPr>
          <w:rFonts w:ascii="Calibri" w:eastAsia="Calibri" w:hAnsi="Calibri" w:cs="Times New Roman"/>
          <w:color w:val="000000"/>
          <w:sz w:val="24"/>
          <w:szCs w:val="24"/>
        </w:rPr>
      </w:pPr>
    </w:p>
    <w:p w:rsidR="00CF1D1E" w:rsidRPr="00CF1D1E" w:rsidRDefault="00CF1D1E" w:rsidP="00CF1D1E">
      <w:pPr>
        <w:rPr>
          <w:rFonts w:ascii="Calibri" w:eastAsia="Calibri" w:hAnsi="Calibri" w:cs="Times New Roman"/>
          <w:color w:val="000000"/>
          <w:sz w:val="24"/>
          <w:szCs w:val="24"/>
        </w:rPr>
      </w:pPr>
      <w:r w:rsidRPr="00CF1D1E">
        <w:rPr>
          <w:rFonts w:ascii="Calibri" w:eastAsia="Calibri" w:hAnsi="Calibri" w:cs="Times New Roman"/>
        </w:rPr>
        <w:br w:type="page"/>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36"/>
          <w:szCs w:val="36"/>
        </w:rPr>
      </w:pPr>
      <w:r w:rsidRPr="00CF1D1E">
        <w:rPr>
          <w:rFonts w:ascii="Calibri" w:eastAsia="Calibri" w:hAnsi="Calibri" w:cs="Times New Roman"/>
          <w:b/>
          <w:color w:val="000000"/>
          <w:sz w:val="36"/>
          <w:szCs w:val="36"/>
        </w:rPr>
        <w:lastRenderedPageBreak/>
        <w:t>1.33 Synapt G</w:t>
      </w:r>
      <w:r w:rsidR="00845ADF">
        <w:rPr>
          <w:rFonts w:ascii="Calibri" w:eastAsia="Calibri" w:hAnsi="Calibri" w:cs="Times New Roman"/>
          <w:b/>
          <w:color w:val="000000"/>
          <w:sz w:val="36"/>
          <w:szCs w:val="36"/>
        </w:rPr>
        <w:t>2-Si Targeted Method (Q-ToF MRM</w:t>
      </w:r>
      <w:r w:rsidRPr="00CF1D1E">
        <w:rPr>
          <w:rFonts w:ascii="Calibri" w:eastAsia="Calibri" w:hAnsi="Calibri" w:cs="Times New Roman"/>
          <w:b/>
          <w:color w:val="000000"/>
          <w:sz w:val="36"/>
          <w:szCs w:val="36"/>
        </w:rPr>
        <w:t xml:space="preserve">)   </w:t>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36"/>
          <w:szCs w:val="36"/>
        </w:rPr>
      </w:pPr>
      <w:r w:rsidRPr="00CF1D1E">
        <w:rPr>
          <w:rFonts w:ascii="Times New Roman" w:eastAsia="Calibri" w:hAnsi="Times New Roman" w:cs="Times New Roman"/>
          <w:noProof/>
          <w:color w:val="000000"/>
          <w:sz w:val="24"/>
          <w:szCs w:val="24"/>
          <w:lang w:eastAsia="en-GB"/>
        </w:rPr>
        <w:drawing>
          <wp:inline distT="0" distB="0" distL="0" distR="0" wp14:anchorId="620B298C" wp14:editId="6145D6EB">
            <wp:extent cx="5954411" cy="4646401"/>
            <wp:effectExtent l="0" t="0" r="825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20928" cy="4698306"/>
                    </a:xfrm>
                    <a:prstGeom prst="rect">
                      <a:avLst/>
                    </a:prstGeom>
                  </pic:spPr>
                </pic:pic>
              </a:graphicData>
            </a:graphic>
          </wp:inline>
        </w:drawing>
      </w:r>
    </w:p>
    <w:p w:rsidR="00CF1D1E" w:rsidRPr="00CF1D1E" w:rsidRDefault="00CF1D1E" w:rsidP="00CF1D1E">
      <w:pPr>
        <w:autoSpaceDE w:val="0"/>
        <w:autoSpaceDN w:val="0"/>
        <w:adjustRightInd w:val="0"/>
        <w:spacing w:after="0" w:line="276"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Fig.25 </w:t>
      </w:r>
      <w:r w:rsidR="00C91D32">
        <w:rPr>
          <w:rFonts w:ascii="Calibri" w:eastAsia="Calibri" w:hAnsi="Calibri" w:cs="Times New Roman"/>
          <w:color w:val="000000"/>
          <w:sz w:val="20"/>
          <w:szCs w:val="20"/>
        </w:rPr>
        <w:t>Eight</w:t>
      </w:r>
      <w:r w:rsidRPr="00CF1D1E">
        <w:rPr>
          <w:rFonts w:ascii="Calibri" w:eastAsia="Calibri" w:hAnsi="Calibri" w:cs="Times New Roman"/>
          <w:color w:val="000000"/>
          <w:sz w:val="20"/>
          <w:szCs w:val="20"/>
        </w:rPr>
        <w:t xml:space="preserve"> quercetin calibration standards run at 4 different concentrations.</w:t>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24"/>
          <w:szCs w:val="24"/>
        </w:rPr>
      </w:pPr>
    </w:p>
    <w:p w:rsidR="00CF1D1E" w:rsidRPr="00CF1D1E" w:rsidRDefault="00CF1D1E" w:rsidP="00CF1D1E">
      <w:pPr>
        <w:rPr>
          <w:rFonts w:ascii="Calibri" w:eastAsia="Calibri" w:hAnsi="Calibri" w:cs="Times New Roman"/>
          <w:b/>
          <w:color w:val="000000"/>
          <w:sz w:val="36"/>
          <w:szCs w:val="36"/>
        </w:rPr>
      </w:pPr>
      <w:r w:rsidRPr="00CF1D1E">
        <w:rPr>
          <w:rFonts w:ascii="Calibri" w:eastAsia="Calibri" w:hAnsi="Calibri" w:cs="Times New Roman"/>
          <w:b/>
          <w:sz w:val="36"/>
          <w:szCs w:val="36"/>
        </w:rPr>
        <w:br w:type="page"/>
      </w:r>
    </w:p>
    <w:p w:rsidR="00CF1D1E" w:rsidRPr="00CF1D1E" w:rsidRDefault="00CF1D1E" w:rsidP="00CF1D1E">
      <w:pPr>
        <w:rPr>
          <w:rFonts w:ascii="Calibri" w:eastAsia="Calibri" w:hAnsi="Calibri" w:cs="Times New Roman"/>
          <w:b/>
          <w:sz w:val="36"/>
          <w:szCs w:val="36"/>
        </w:rPr>
      </w:pPr>
      <w:r w:rsidRPr="00CF1D1E">
        <w:rPr>
          <w:rFonts w:ascii="Calibri" w:eastAsia="Calibri" w:hAnsi="Calibri" w:cs="Times New Roman"/>
          <w:noProof/>
          <w:lang w:eastAsia="en-GB"/>
        </w:rPr>
        <w:lastRenderedPageBreak/>
        <w:drawing>
          <wp:inline distT="0" distB="0" distL="0" distR="0" wp14:anchorId="4F52E743" wp14:editId="3A7ED2C7">
            <wp:extent cx="6089483" cy="7942804"/>
            <wp:effectExtent l="0" t="0" r="6985"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2958" cy="7986466"/>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 xml:space="preserve">Fig.26 </w:t>
      </w:r>
      <w:r w:rsidR="00C91D32">
        <w:rPr>
          <w:rFonts w:ascii="Calibri" w:eastAsia="Calibri" w:hAnsi="Calibri" w:cs="Times New Roman"/>
          <w:sz w:val="20"/>
          <w:szCs w:val="20"/>
        </w:rPr>
        <w:t>S</w:t>
      </w:r>
      <w:r w:rsidRPr="00CF1D1E">
        <w:rPr>
          <w:rFonts w:ascii="Calibri" w:eastAsia="Calibri" w:hAnsi="Calibri" w:cs="Times New Roman"/>
          <w:sz w:val="20"/>
          <w:szCs w:val="20"/>
        </w:rPr>
        <w:t>ignal to noise measurement of quercetin at 0.20mg/l.</w:t>
      </w:r>
    </w:p>
    <w:p w:rsidR="00CF1D1E" w:rsidRPr="00CF1D1E" w:rsidRDefault="00CF1D1E" w:rsidP="00CF1D1E">
      <w:pPr>
        <w:rPr>
          <w:rFonts w:ascii="Calibri" w:eastAsia="Calibri" w:hAnsi="Calibri" w:cs="Times New Roman"/>
          <w:b/>
          <w:color w:val="000000"/>
          <w:sz w:val="20"/>
          <w:szCs w:val="20"/>
        </w:rPr>
      </w:pPr>
      <w:r w:rsidRPr="00CF1D1E">
        <w:rPr>
          <w:rFonts w:ascii="Calibri" w:eastAsia="Calibri" w:hAnsi="Calibri" w:cs="Times New Roman"/>
          <w:b/>
          <w:sz w:val="20"/>
          <w:szCs w:val="20"/>
        </w:rPr>
        <w:br w:type="page"/>
      </w:r>
    </w:p>
    <w:p w:rsidR="00CF1D1E" w:rsidRPr="00CF1D1E" w:rsidRDefault="00CF1D1E" w:rsidP="00CF1D1E">
      <w:pPr>
        <w:autoSpaceDE w:val="0"/>
        <w:autoSpaceDN w:val="0"/>
        <w:adjustRightInd w:val="0"/>
        <w:spacing w:after="0" w:line="720" w:lineRule="auto"/>
        <w:rPr>
          <w:rFonts w:ascii="Calibri" w:eastAsia="Calibri" w:hAnsi="Calibri" w:cs="Times New Roman"/>
          <w:color w:val="000000"/>
          <w:sz w:val="20"/>
          <w:szCs w:val="20"/>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2E68E32D" wp14:editId="08E008BF">
            <wp:extent cx="6112087" cy="7923686"/>
            <wp:effectExtent l="0" t="0" r="3175"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50449" cy="7973419"/>
                    </a:xfrm>
                    <a:prstGeom prst="rect">
                      <a:avLst/>
                    </a:prstGeom>
                  </pic:spPr>
                </pic:pic>
              </a:graphicData>
            </a:graphic>
          </wp:inline>
        </w:drawing>
      </w:r>
      <w:r w:rsidRPr="00CF1D1E">
        <w:rPr>
          <w:rFonts w:ascii="Calibri" w:eastAsia="Calibri" w:hAnsi="Calibri" w:cs="Times New Roman"/>
          <w:color w:val="000000"/>
          <w:sz w:val="20"/>
          <w:szCs w:val="20"/>
        </w:rPr>
        <w:t xml:space="preserve">Fig.27 </w:t>
      </w:r>
      <w:r w:rsidR="00C91D32">
        <w:rPr>
          <w:rFonts w:ascii="Calibri" w:eastAsia="Calibri" w:hAnsi="Calibri" w:cs="Times New Roman"/>
          <w:color w:val="000000"/>
          <w:sz w:val="20"/>
          <w:szCs w:val="20"/>
        </w:rPr>
        <w:t>L</w:t>
      </w:r>
      <w:r w:rsidRPr="00CF1D1E">
        <w:rPr>
          <w:rFonts w:ascii="Calibri" w:eastAsia="Calibri" w:hAnsi="Calibri" w:cs="Times New Roman"/>
          <w:color w:val="000000"/>
          <w:sz w:val="20"/>
          <w:szCs w:val="20"/>
        </w:rPr>
        <w:t>odge pole pine extract targeted analysis for quercetin.</w:t>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20"/>
          <w:szCs w:val="20"/>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15BC413C" wp14:editId="721F56F6">
            <wp:extent cx="6125021" cy="7931192"/>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58554" cy="7974614"/>
                    </a:xfrm>
                    <a:prstGeom prst="rect">
                      <a:avLst/>
                    </a:prstGeom>
                  </pic:spPr>
                </pic:pic>
              </a:graphicData>
            </a:graphic>
          </wp:inline>
        </w:drawing>
      </w:r>
      <w:r w:rsidRPr="00CF1D1E">
        <w:rPr>
          <w:rFonts w:ascii="Calibri" w:eastAsia="Calibri" w:hAnsi="Calibri" w:cs="Times New Roman"/>
          <w:b/>
          <w:color w:val="000000"/>
          <w:sz w:val="36"/>
          <w:szCs w:val="36"/>
        </w:rPr>
        <w:t xml:space="preserve">           </w:t>
      </w:r>
      <w:r w:rsidRPr="00CF1D1E">
        <w:rPr>
          <w:rFonts w:ascii="Calibri" w:eastAsia="Calibri" w:hAnsi="Calibri" w:cs="Times New Roman"/>
          <w:color w:val="000000"/>
          <w:sz w:val="20"/>
          <w:szCs w:val="20"/>
        </w:rPr>
        <w:t>Fig.28 100 x diluted lodge pole pine extract targeted analysis for quercetin.</w:t>
      </w:r>
    </w:p>
    <w:p w:rsidR="00CF1D1E" w:rsidRPr="00CF1D1E" w:rsidRDefault="00E90FC7" w:rsidP="00CF1D1E">
      <w:pPr>
        <w:autoSpaceDE w:val="0"/>
        <w:autoSpaceDN w:val="0"/>
        <w:adjustRightInd w:val="0"/>
        <w:spacing w:after="0" w:line="720" w:lineRule="auto"/>
        <w:rPr>
          <w:rFonts w:ascii="Calibri" w:eastAsia="Calibri" w:hAnsi="Calibri" w:cs="Times New Roman"/>
          <w:color w:val="000000"/>
          <w:sz w:val="24"/>
          <w:szCs w:val="24"/>
        </w:rPr>
      </w:pPr>
      <w:r>
        <w:rPr>
          <w:rFonts w:ascii="Calibri" w:eastAsia="Calibri" w:hAnsi="Calibri" w:cs="Times New Roman"/>
          <w:noProof/>
          <w:color w:val="000000"/>
          <w:sz w:val="24"/>
          <w:szCs w:val="24"/>
          <w:lang w:eastAsia="en-GB"/>
        </w:rPr>
        <w:lastRenderedPageBreak/>
        <w:drawing>
          <wp:inline distT="0" distB="0" distL="0" distR="0">
            <wp:extent cx="6131859" cy="2318215"/>
            <wp:effectExtent l="0" t="0" r="2540" b="635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Fig 29 with labels.png"/>
                    <pic:cNvPicPr/>
                  </pic:nvPicPr>
                  <pic:blipFill>
                    <a:blip r:embed="rId53">
                      <a:extLst>
                        <a:ext uri="{28A0092B-C50C-407E-A947-70E740481C1C}">
                          <a14:useLocalDpi xmlns:a14="http://schemas.microsoft.com/office/drawing/2010/main" val="0"/>
                        </a:ext>
                      </a:extLst>
                    </a:blip>
                    <a:stretch>
                      <a:fillRect/>
                    </a:stretch>
                  </pic:blipFill>
                  <pic:spPr>
                    <a:xfrm>
                      <a:off x="0" y="0"/>
                      <a:ext cx="6200454" cy="2344148"/>
                    </a:xfrm>
                    <a:prstGeom prst="rect">
                      <a:avLst/>
                    </a:prstGeom>
                  </pic:spPr>
                </pic:pic>
              </a:graphicData>
            </a:graphic>
          </wp:inline>
        </w:drawing>
      </w: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4"/>
          <w:szCs w:val="24"/>
        </w:rPr>
      </w:pPr>
    </w:p>
    <w:p w:rsidR="00CF1D1E" w:rsidRPr="00CF1D1E" w:rsidRDefault="008610DD" w:rsidP="00CF1D1E">
      <w:pPr>
        <w:autoSpaceDE w:val="0"/>
        <w:autoSpaceDN w:val="0"/>
        <w:adjustRightInd w:val="0"/>
        <w:spacing w:after="0" w:line="360" w:lineRule="auto"/>
        <w:jc w:val="both"/>
        <w:rPr>
          <w:rFonts w:ascii="Calibri" w:eastAsia="Calibri" w:hAnsi="Calibri" w:cs="Times New Roman"/>
          <w:color w:val="000000"/>
          <w:sz w:val="20"/>
          <w:szCs w:val="20"/>
        </w:rPr>
      </w:pPr>
      <w:r>
        <w:rPr>
          <w:rFonts w:ascii="Calibri" w:eastAsia="Calibri" w:hAnsi="Calibri" w:cs="Times New Roman"/>
          <w:color w:val="000000"/>
          <w:sz w:val="20"/>
          <w:szCs w:val="20"/>
        </w:rPr>
        <w:t xml:space="preserve">Fig.29 </w:t>
      </w:r>
      <w:proofErr w:type="gramStart"/>
      <w:r w:rsidR="00CF1D1E" w:rsidRPr="00CF1D1E">
        <w:rPr>
          <w:rFonts w:ascii="Calibri" w:eastAsia="Calibri" w:hAnsi="Calibri" w:cs="Times New Roman"/>
          <w:color w:val="000000"/>
          <w:sz w:val="20"/>
          <w:szCs w:val="20"/>
        </w:rPr>
        <w:t>The</w:t>
      </w:r>
      <w:proofErr w:type="gramEnd"/>
      <w:r w:rsidR="00CF1D1E" w:rsidRPr="00CF1D1E">
        <w:rPr>
          <w:rFonts w:ascii="Calibri" w:eastAsia="Calibri" w:hAnsi="Calibri" w:cs="Times New Roman"/>
          <w:color w:val="000000"/>
          <w:sz w:val="20"/>
          <w:szCs w:val="20"/>
        </w:rPr>
        <w:t xml:space="preserve"> top 2 chromatograms</w:t>
      </w:r>
      <w:r w:rsidR="00E90FC7">
        <w:rPr>
          <w:rFonts w:ascii="Calibri" w:eastAsia="Calibri" w:hAnsi="Calibri" w:cs="Times New Roman"/>
          <w:color w:val="000000"/>
          <w:sz w:val="20"/>
          <w:szCs w:val="20"/>
        </w:rPr>
        <w:t xml:space="preserve"> (a and b)</w:t>
      </w:r>
      <w:r w:rsidR="00CF1D1E" w:rsidRPr="00CF1D1E">
        <w:rPr>
          <w:rFonts w:ascii="Calibri" w:eastAsia="Calibri" w:hAnsi="Calibri" w:cs="Times New Roman"/>
          <w:color w:val="000000"/>
          <w:sz w:val="20"/>
          <w:szCs w:val="20"/>
        </w:rPr>
        <w:t xml:space="preserve"> show the analysis of the Oak bark extract. The bottom 2</w:t>
      </w:r>
      <w:r w:rsidR="00E90FC7">
        <w:rPr>
          <w:rFonts w:ascii="Calibri" w:eastAsia="Calibri" w:hAnsi="Calibri" w:cs="Times New Roman"/>
          <w:color w:val="000000"/>
          <w:sz w:val="20"/>
          <w:szCs w:val="20"/>
        </w:rPr>
        <w:t xml:space="preserve"> (c and d)</w:t>
      </w:r>
      <w:r w:rsidR="00CF1D1E" w:rsidRPr="00CF1D1E">
        <w:rPr>
          <w:rFonts w:ascii="Calibri" w:eastAsia="Calibri" w:hAnsi="Calibri" w:cs="Times New Roman"/>
          <w:color w:val="000000"/>
          <w:sz w:val="20"/>
          <w:szCs w:val="20"/>
        </w:rPr>
        <w:t xml:space="preserve"> are lodge pole pine </w:t>
      </w:r>
      <w:r w:rsidR="007B0057">
        <w:rPr>
          <w:rFonts w:ascii="Calibri" w:eastAsia="Calibri" w:hAnsi="Calibri" w:cs="Times New Roman"/>
          <w:color w:val="000000"/>
          <w:sz w:val="20"/>
          <w:szCs w:val="20"/>
        </w:rPr>
        <w:t>included for</w:t>
      </w:r>
      <w:r w:rsidR="00CF1D1E" w:rsidRPr="00CF1D1E">
        <w:rPr>
          <w:rFonts w:ascii="Calibri" w:eastAsia="Calibri" w:hAnsi="Calibri" w:cs="Times New Roman"/>
          <w:color w:val="000000"/>
          <w:sz w:val="20"/>
          <w:szCs w:val="20"/>
        </w:rPr>
        <w:t xml:space="preserve"> comparative purposes.  This shows no peak at the retention time of quercetin in the Oak bark extract.</w:t>
      </w: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4"/>
          <w:szCs w:val="24"/>
        </w:rPr>
      </w:pPr>
    </w:p>
    <w:p w:rsidR="00CF1D1E" w:rsidRPr="00CF1D1E" w:rsidRDefault="00CF1D1E" w:rsidP="00CF1D1E">
      <w:pPr>
        <w:rPr>
          <w:rFonts w:ascii="Calibri" w:eastAsia="Calibri" w:hAnsi="Calibri" w:cs="Times New Roman"/>
          <w:color w:val="000000"/>
          <w:sz w:val="24"/>
          <w:szCs w:val="24"/>
        </w:rPr>
      </w:pPr>
      <w:r w:rsidRPr="00CF1D1E">
        <w:rPr>
          <w:rFonts w:ascii="Calibri" w:eastAsia="Calibri" w:hAnsi="Calibri" w:cs="Times New Roman"/>
        </w:rPr>
        <w:br w:type="page"/>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36"/>
          <w:szCs w:val="36"/>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503C8A3B" wp14:editId="3D8FCA6E">
            <wp:extent cx="6248525" cy="819954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81162" cy="8242368"/>
                    </a:xfrm>
                    <a:prstGeom prst="rect">
                      <a:avLst/>
                    </a:prstGeom>
                  </pic:spPr>
                </pic:pic>
              </a:graphicData>
            </a:graphic>
          </wp:inline>
        </w:drawing>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20"/>
          <w:szCs w:val="20"/>
        </w:rPr>
      </w:pPr>
      <w:r w:rsidRPr="00CF1D1E">
        <w:rPr>
          <w:rFonts w:ascii="Calibri" w:eastAsia="Calibri" w:hAnsi="Calibri" w:cs="Times New Roman"/>
          <w:color w:val="000000"/>
          <w:sz w:val="24"/>
          <w:szCs w:val="24"/>
        </w:rPr>
        <w:t xml:space="preserve">                      </w:t>
      </w:r>
      <w:r w:rsidR="004D49A9">
        <w:rPr>
          <w:rFonts w:ascii="Calibri" w:eastAsia="Calibri" w:hAnsi="Calibri" w:cs="Times New Roman"/>
          <w:color w:val="000000"/>
          <w:sz w:val="20"/>
          <w:szCs w:val="20"/>
        </w:rPr>
        <w:t>Fig.30 Scots P</w:t>
      </w:r>
      <w:r w:rsidRPr="00CF1D1E">
        <w:rPr>
          <w:rFonts w:ascii="Calibri" w:eastAsia="Calibri" w:hAnsi="Calibri" w:cs="Times New Roman"/>
          <w:color w:val="000000"/>
          <w:sz w:val="20"/>
          <w:szCs w:val="20"/>
        </w:rPr>
        <w:t>ine extract targeted analysis for quercetin.</w:t>
      </w:r>
    </w:p>
    <w:p w:rsidR="00CF1D1E" w:rsidRPr="00CF1D1E" w:rsidRDefault="00CF1D1E" w:rsidP="00CF1D1E">
      <w:pPr>
        <w:autoSpaceDE w:val="0"/>
        <w:autoSpaceDN w:val="0"/>
        <w:adjustRightInd w:val="0"/>
        <w:spacing w:after="0" w:line="720" w:lineRule="auto"/>
        <w:rPr>
          <w:rFonts w:ascii="Calibri" w:eastAsia="Calibri" w:hAnsi="Calibri" w:cs="Times New Roman"/>
          <w:color w:val="000000"/>
          <w:sz w:val="24"/>
          <w:szCs w:val="24"/>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5055C55C" wp14:editId="05814DBE">
            <wp:extent cx="6189990" cy="8213474"/>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15485" cy="8247303"/>
                    </a:xfrm>
                    <a:prstGeom prst="rect">
                      <a:avLst/>
                    </a:prstGeom>
                  </pic:spPr>
                </pic:pic>
              </a:graphicData>
            </a:graphic>
          </wp:inline>
        </w:drawing>
      </w:r>
      <w:r w:rsidRPr="00CF1D1E">
        <w:rPr>
          <w:rFonts w:ascii="Calibri" w:eastAsia="Calibri" w:hAnsi="Calibri" w:cs="Times New Roman"/>
          <w:color w:val="000000"/>
          <w:sz w:val="20"/>
          <w:szCs w:val="20"/>
        </w:rPr>
        <w:t>Fig.31 Pycnogenol extract targeted analysis for quercetin used only for reference purposes</w:t>
      </w:r>
      <w:r w:rsidRPr="00CF1D1E">
        <w:rPr>
          <w:rFonts w:ascii="Calibri" w:eastAsia="Calibri" w:hAnsi="Calibri" w:cs="Times New Roman"/>
          <w:color w:val="000000"/>
          <w:sz w:val="24"/>
          <w:szCs w:val="24"/>
        </w:rPr>
        <w:t>.</w:t>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36"/>
          <w:szCs w:val="36"/>
        </w:rPr>
      </w:pPr>
      <w:r w:rsidRPr="00CF1D1E">
        <w:rPr>
          <w:rFonts w:ascii="Calibri" w:eastAsia="Calibri" w:hAnsi="Calibri" w:cs="Times New Roman"/>
          <w:b/>
          <w:color w:val="000000"/>
          <w:sz w:val="36"/>
          <w:szCs w:val="36"/>
        </w:rPr>
        <w:lastRenderedPageBreak/>
        <w:t xml:space="preserve">                </w:t>
      </w:r>
      <w:r w:rsidRPr="00CF1D1E">
        <w:rPr>
          <w:rFonts w:ascii="Times New Roman" w:eastAsia="Calibri" w:hAnsi="Times New Roman" w:cs="Times New Roman"/>
          <w:noProof/>
          <w:color w:val="000000"/>
          <w:sz w:val="24"/>
          <w:szCs w:val="24"/>
          <w:lang w:eastAsia="en-GB"/>
        </w:rPr>
        <w:drawing>
          <wp:inline distT="0" distB="0" distL="0" distR="0" wp14:anchorId="4C90140A" wp14:editId="4E5DAF4E">
            <wp:extent cx="4267200" cy="32289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67200" cy="3228975"/>
                    </a:xfrm>
                    <a:prstGeom prst="rect">
                      <a:avLst/>
                    </a:prstGeom>
                  </pic:spPr>
                </pic:pic>
              </a:graphicData>
            </a:graphic>
          </wp:inline>
        </w:drawing>
      </w:r>
    </w:p>
    <w:p w:rsidR="00CF1D1E" w:rsidRPr="00CF1D1E" w:rsidRDefault="004D49A9" w:rsidP="00CF1D1E">
      <w:pPr>
        <w:autoSpaceDE w:val="0"/>
        <w:autoSpaceDN w:val="0"/>
        <w:adjustRightInd w:val="0"/>
        <w:spacing w:after="0" w:line="276" w:lineRule="auto"/>
        <w:jc w:val="both"/>
        <w:rPr>
          <w:rFonts w:ascii="Calibri" w:eastAsia="Calibri" w:hAnsi="Calibri" w:cs="Times New Roman"/>
          <w:color w:val="000000"/>
          <w:sz w:val="20"/>
          <w:szCs w:val="20"/>
        </w:rPr>
      </w:pPr>
      <w:r>
        <w:rPr>
          <w:rFonts w:ascii="Calibri" w:eastAsia="Calibri" w:hAnsi="Calibri" w:cs="Times New Roman"/>
          <w:color w:val="000000"/>
          <w:sz w:val="20"/>
          <w:szCs w:val="20"/>
        </w:rPr>
        <w:t>Tab.17</w:t>
      </w:r>
      <w:r w:rsidR="00C45501">
        <w:rPr>
          <w:rFonts w:ascii="Calibri" w:eastAsia="Calibri" w:hAnsi="Calibri" w:cs="Times New Roman"/>
          <w:color w:val="000000"/>
          <w:sz w:val="20"/>
          <w:szCs w:val="20"/>
        </w:rPr>
        <w:t xml:space="preserve"> </w:t>
      </w:r>
      <w:r w:rsidR="00C45501" w:rsidRPr="00C45501">
        <w:rPr>
          <w:rFonts w:ascii="Calibri" w:eastAsia="Calibri" w:hAnsi="Calibri" w:cs="Times New Roman"/>
          <w:color w:val="000000"/>
          <w:sz w:val="20"/>
          <w:szCs w:val="20"/>
        </w:rPr>
        <w:t>Areas &amp; concentrations of quercetin standards and bark extracts</w:t>
      </w:r>
      <w:r w:rsidR="00CF1D1E" w:rsidRPr="00CF1D1E">
        <w:rPr>
          <w:rFonts w:ascii="Calibri" w:eastAsia="Calibri" w:hAnsi="Calibri" w:cs="Times New Roman"/>
          <w:color w:val="000000"/>
          <w:sz w:val="20"/>
          <w:szCs w:val="20"/>
        </w:rPr>
        <w:t xml:space="preserve">. * refers </w:t>
      </w:r>
      <w:r>
        <w:rPr>
          <w:rFonts w:ascii="Calibri" w:eastAsia="Calibri" w:hAnsi="Calibri" w:cs="Times New Roman"/>
          <w:color w:val="000000"/>
          <w:sz w:val="20"/>
          <w:szCs w:val="20"/>
        </w:rPr>
        <w:t>to</w:t>
      </w:r>
      <w:r w:rsidR="00CF1D1E" w:rsidRPr="00CF1D1E">
        <w:rPr>
          <w:rFonts w:ascii="Calibri" w:eastAsia="Calibri" w:hAnsi="Calibri" w:cs="Times New Roman"/>
          <w:color w:val="000000"/>
          <w:sz w:val="20"/>
          <w:szCs w:val="20"/>
        </w:rPr>
        <w:t xml:space="preserve"> these samples </w:t>
      </w:r>
      <w:r>
        <w:rPr>
          <w:rFonts w:ascii="Calibri" w:eastAsia="Calibri" w:hAnsi="Calibri" w:cs="Times New Roman"/>
          <w:color w:val="000000"/>
          <w:sz w:val="20"/>
          <w:szCs w:val="20"/>
        </w:rPr>
        <w:t xml:space="preserve">having </w:t>
      </w:r>
      <w:r w:rsidR="00CF1D1E" w:rsidRPr="00CF1D1E">
        <w:rPr>
          <w:rFonts w:ascii="Calibri" w:eastAsia="Calibri" w:hAnsi="Calibri" w:cs="Times New Roman"/>
          <w:color w:val="000000"/>
          <w:sz w:val="20"/>
          <w:szCs w:val="20"/>
        </w:rPr>
        <w:t>had a further 100 fold dilution in order to bring the results with the range of the calibration standards.</w:t>
      </w:r>
    </w:p>
    <w:p w:rsidR="00CF1D1E" w:rsidRPr="00CF1D1E" w:rsidRDefault="00CF1D1E" w:rsidP="00CF1D1E">
      <w:pPr>
        <w:rPr>
          <w:rFonts w:ascii="Calibri" w:eastAsia="Calibri" w:hAnsi="Calibri" w:cs="Times New Roman"/>
          <w:color w:val="000000"/>
          <w:sz w:val="24"/>
          <w:szCs w:val="24"/>
        </w:rPr>
      </w:pPr>
      <w:r w:rsidRPr="00CF1D1E">
        <w:rPr>
          <w:rFonts w:ascii="Calibri" w:eastAsia="Calibri" w:hAnsi="Calibri" w:cs="Times New Roman"/>
        </w:rPr>
        <w:br w:type="page"/>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36"/>
          <w:szCs w:val="36"/>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7B1B1DD9" wp14:editId="5A54F7DB">
            <wp:extent cx="6276975" cy="37433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76975" cy="3743325"/>
                    </a:xfrm>
                    <a:prstGeom prst="rect">
                      <a:avLst/>
                    </a:prstGeom>
                  </pic:spPr>
                </pic:pic>
              </a:graphicData>
            </a:graphic>
          </wp:inline>
        </w:drawing>
      </w:r>
    </w:p>
    <w:p w:rsidR="00CF1D1E" w:rsidRPr="00CF1D1E" w:rsidRDefault="00CF1D1E" w:rsidP="00CF1D1E">
      <w:pPr>
        <w:autoSpaceDE w:val="0"/>
        <w:autoSpaceDN w:val="0"/>
        <w:adjustRightInd w:val="0"/>
        <w:spacing w:after="0" w:line="276"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Tab.18 </w:t>
      </w:r>
      <w:r w:rsidR="00D41123">
        <w:rPr>
          <w:rFonts w:ascii="Calibri" w:eastAsia="Calibri" w:hAnsi="Calibri" w:cs="Times New Roman"/>
          <w:color w:val="000000"/>
          <w:sz w:val="20"/>
          <w:szCs w:val="20"/>
        </w:rPr>
        <w:t>C</w:t>
      </w:r>
      <w:r w:rsidRPr="00CF1D1E">
        <w:rPr>
          <w:rFonts w:ascii="Calibri" w:eastAsia="Calibri" w:hAnsi="Calibri" w:cs="Times New Roman"/>
          <w:color w:val="000000"/>
          <w:sz w:val="20"/>
          <w:szCs w:val="20"/>
        </w:rPr>
        <w:t>alibration and quantification of quercetin in the 3 bark extracts and also Pycnogenol as a qualitative reference. LOQ, LOD and the coefficient of determination (R</w:t>
      </w:r>
      <w:r w:rsidRPr="00CF1D1E">
        <w:rPr>
          <w:rFonts w:ascii="Calibri" w:eastAsia="Calibri" w:hAnsi="Calibri" w:cs="Times New Roman"/>
          <w:color w:val="000000"/>
          <w:sz w:val="20"/>
          <w:szCs w:val="20"/>
          <w:vertAlign w:val="superscript"/>
        </w:rPr>
        <w:t>2</w:t>
      </w:r>
      <w:r w:rsidRPr="00CF1D1E">
        <w:rPr>
          <w:rFonts w:ascii="Calibri" w:eastAsia="Calibri" w:hAnsi="Calibri" w:cs="Times New Roman"/>
          <w:color w:val="000000"/>
          <w:sz w:val="20"/>
          <w:szCs w:val="20"/>
        </w:rPr>
        <w:t>) are also provided.</w:t>
      </w:r>
    </w:p>
    <w:p w:rsidR="00CF1D1E" w:rsidRPr="00CF1D1E" w:rsidRDefault="00CF1D1E" w:rsidP="00CF1D1E">
      <w:pPr>
        <w:autoSpaceDE w:val="0"/>
        <w:autoSpaceDN w:val="0"/>
        <w:adjustRightInd w:val="0"/>
        <w:spacing w:after="0" w:line="276"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It </w:t>
      </w:r>
      <w:r w:rsidR="00D41123">
        <w:rPr>
          <w:rFonts w:ascii="Calibri" w:eastAsia="Calibri" w:hAnsi="Calibri" w:cs="Times New Roman"/>
          <w:color w:val="000000"/>
          <w:sz w:val="20"/>
          <w:szCs w:val="20"/>
        </w:rPr>
        <w:t>is</w:t>
      </w:r>
      <w:r w:rsidRPr="00CF1D1E">
        <w:rPr>
          <w:rFonts w:ascii="Calibri" w:eastAsia="Calibri" w:hAnsi="Calibri" w:cs="Times New Roman"/>
          <w:color w:val="000000"/>
          <w:sz w:val="20"/>
          <w:szCs w:val="20"/>
        </w:rPr>
        <w:t xml:space="preserve"> seen that this method is linear </w:t>
      </w:r>
      <w:r w:rsidR="00D41123">
        <w:rPr>
          <w:rFonts w:ascii="Calibri" w:eastAsia="Calibri" w:hAnsi="Calibri" w:cs="Times New Roman"/>
          <w:color w:val="000000"/>
          <w:sz w:val="20"/>
          <w:szCs w:val="20"/>
        </w:rPr>
        <w:t>(R</w:t>
      </w:r>
      <w:r w:rsidR="00D41123" w:rsidRPr="00D41123">
        <w:rPr>
          <w:rFonts w:ascii="Calibri" w:eastAsia="Calibri" w:hAnsi="Calibri" w:cs="Times New Roman"/>
          <w:color w:val="000000"/>
          <w:sz w:val="20"/>
          <w:szCs w:val="20"/>
          <w:vertAlign w:val="superscript"/>
        </w:rPr>
        <w:t>2</w:t>
      </w:r>
      <w:r w:rsidR="00D41123">
        <w:rPr>
          <w:rFonts w:ascii="Calibri" w:eastAsia="Calibri" w:hAnsi="Calibri" w:cs="Times New Roman"/>
          <w:color w:val="000000"/>
          <w:sz w:val="20"/>
          <w:szCs w:val="20"/>
        </w:rPr>
        <w:t xml:space="preserve"> = 0.9935) </w:t>
      </w:r>
      <w:r w:rsidR="00BA3833">
        <w:rPr>
          <w:rFonts w:ascii="Calibri" w:eastAsia="Calibri" w:hAnsi="Calibri" w:cs="Times New Roman"/>
          <w:color w:val="000000"/>
          <w:sz w:val="20"/>
          <w:szCs w:val="20"/>
        </w:rPr>
        <w:t>with</w:t>
      </w:r>
      <w:r w:rsidRPr="00CF1D1E">
        <w:rPr>
          <w:rFonts w:ascii="Calibri" w:eastAsia="Calibri" w:hAnsi="Calibri" w:cs="Times New Roman"/>
          <w:color w:val="000000"/>
          <w:sz w:val="20"/>
          <w:szCs w:val="20"/>
        </w:rPr>
        <w:t xml:space="preserve"> the issues seen in the previous method </w:t>
      </w:r>
      <w:r w:rsidR="00BA3833">
        <w:rPr>
          <w:rFonts w:ascii="Calibri" w:eastAsia="Calibri" w:hAnsi="Calibri" w:cs="Times New Roman"/>
          <w:color w:val="000000"/>
          <w:sz w:val="20"/>
          <w:szCs w:val="20"/>
        </w:rPr>
        <w:t>being</w:t>
      </w:r>
      <w:r w:rsidRPr="00CF1D1E">
        <w:rPr>
          <w:rFonts w:ascii="Calibri" w:eastAsia="Calibri" w:hAnsi="Calibri" w:cs="Times New Roman"/>
          <w:color w:val="000000"/>
          <w:sz w:val="20"/>
          <w:szCs w:val="20"/>
        </w:rPr>
        <w:t xml:space="preserve"> overcome for </w:t>
      </w:r>
      <w:r w:rsidR="00BA3833">
        <w:rPr>
          <w:rFonts w:ascii="Calibri" w:eastAsia="Calibri" w:hAnsi="Calibri" w:cs="Times New Roman"/>
          <w:color w:val="000000"/>
          <w:sz w:val="20"/>
          <w:szCs w:val="20"/>
        </w:rPr>
        <w:t>the</w:t>
      </w:r>
      <w:r w:rsidRPr="00CF1D1E">
        <w:rPr>
          <w:rFonts w:ascii="Calibri" w:eastAsia="Calibri" w:hAnsi="Calibri" w:cs="Times New Roman"/>
          <w:color w:val="000000"/>
          <w:sz w:val="20"/>
          <w:szCs w:val="20"/>
        </w:rPr>
        <w:t xml:space="preserve"> quantification</w:t>
      </w:r>
      <w:r w:rsidR="00BA3833">
        <w:rPr>
          <w:rFonts w:ascii="Calibri" w:eastAsia="Calibri" w:hAnsi="Calibri" w:cs="Times New Roman"/>
          <w:color w:val="000000"/>
          <w:sz w:val="20"/>
          <w:szCs w:val="20"/>
        </w:rPr>
        <w:t xml:space="preserve"> of </w:t>
      </w:r>
      <w:r w:rsidR="00BA3833" w:rsidRPr="00CF1D1E">
        <w:rPr>
          <w:rFonts w:ascii="Calibri" w:eastAsia="Calibri" w:hAnsi="Calibri" w:cs="Times New Roman"/>
          <w:color w:val="000000"/>
          <w:sz w:val="20"/>
          <w:szCs w:val="20"/>
        </w:rPr>
        <w:t>quercetin</w:t>
      </w:r>
      <w:r w:rsidRPr="00CF1D1E">
        <w:rPr>
          <w:rFonts w:ascii="Calibri" w:eastAsia="Calibri" w:hAnsi="Calibri" w:cs="Times New Roman"/>
          <w:color w:val="000000"/>
          <w:sz w:val="20"/>
          <w:szCs w:val="20"/>
        </w:rPr>
        <w:t>.</w:t>
      </w:r>
    </w:p>
    <w:p w:rsidR="00CF1D1E" w:rsidRPr="00CF1D1E" w:rsidRDefault="00CF1D1E" w:rsidP="00CF1D1E">
      <w:pPr>
        <w:rPr>
          <w:rFonts w:ascii="Calibri" w:eastAsia="Calibri" w:hAnsi="Calibri" w:cs="Times New Roman"/>
          <w:color w:val="000000"/>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rPr>
          <w:rFonts w:ascii="Calibri" w:eastAsia="Calibri" w:hAnsi="Calibri" w:cs="Times New Roman"/>
          <w:b/>
          <w:sz w:val="36"/>
          <w:szCs w:val="36"/>
        </w:rPr>
      </w:pPr>
      <w:r w:rsidRPr="00CF1D1E">
        <w:rPr>
          <w:rFonts w:ascii="Calibri" w:eastAsia="Calibri" w:hAnsi="Calibri" w:cs="Times New Roman"/>
          <w:b/>
          <w:sz w:val="36"/>
          <w:szCs w:val="36"/>
        </w:rPr>
        <w:lastRenderedPageBreak/>
        <w:t xml:space="preserve">1.34 Q Exactive </w:t>
      </w:r>
      <w:proofErr w:type="gramStart"/>
      <w:r w:rsidRPr="00CF1D1E">
        <w:rPr>
          <w:rFonts w:ascii="Calibri" w:eastAsia="Calibri" w:hAnsi="Calibri" w:cs="Times New Roman"/>
          <w:b/>
          <w:sz w:val="36"/>
          <w:szCs w:val="36"/>
        </w:rPr>
        <w:t>Plus</w:t>
      </w:r>
      <w:proofErr w:type="gramEnd"/>
      <w:r w:rsidRPr="00CF1D1E">
        <w:rPr>
          <w:rFonts w:ascii="Calibri" w:eastAsia="Calibri" w:hAnsi="Calibri" w:cs="Times New Roman"/>
          <w:b/>
          <w:sz w:val="36"/>
          <w:szCs w:val="36"/>
        </w:rPr>
        <w:t xml:space="preserve"> Targeted Method (PRM)</w:t>
      </w:r>
    </w:p>
    <w:p w:rsidR="00CF1D1E" w:rsidRPr="00CF1D1E" w:rsidRDefault="00CF1D1E" w:rsidP="00CF1D1E">
      <w:pPr>
        <w:spacing w:line="360" w:lineRule="auto"/>
        <w:rPr>
          <w:rFonts w:ascii="Calibri" w:eastAsia="Calibri" w:hAnsi="Calibri" w:cs="Times New Roman"/>
          <w:b/>
          <w:sz w:val="36"/>
          <w:szCs w:val="36"/>
        </w:rPr>
      </w:pP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4"/>
          <w:szCs w:val="24"/>
        </w:rPr>
      </w:pPr>
    </w:p>
    <w:p w:rsidR="00CF1D1E" w:rsidRPr="00CF1D1E" w:rsidRDefault="002267F8" w:rsidP="00CF1D1E">
      <w:pPr>
        <w:spacing w:line="360" w:lineRule="auto"/>
        <w:rPr>
          <w:rFonts w:ascii="Calibri" w:eastAsia="Calibri" w:hAnsi="Calibri" w:cs="Times New Roman"/>
          <w:sz w:val="24"/>
          <w:szCs w:val="24"/>
        </w:rPr>
      </w:pPr>
      <w:r>
        <w:rPr>
          <w:rFonts w:ascii="Calibri" w:eastAsia="Calibri" w:hAnsi="Calibri" w:cs="Times New Roman"/>
          <w:noProof/>
          <w:sz w:val="24"/>
          <w:szCs w:val="24"/>
          <w:lang w:eastAsia="en-GB"/>
        </w:rPr>
        <w:drawing>
          <wp:inline distT="0" distB="0" distL="0" distR="0">
            <wp:extent cx="5724525" cy="4429125"/>
            <wp:effectExtent l="0" t="0" r="9525" b="952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4525" cy="4429125"/>
                    </a:xfrm>
                    <a:prstGeom prst="rect">
                      <a:avLst/>
                    </a:prstGeom>
                    <a:noFill/>
                    <a:ln>
                      <a:noFill/>
                    </a:ln>
                  </pic:spPr>
                </pic:pic>
              </a:graphicData>
            </a:graphic>
          </wp:inline>
        </w:drawing>
      </w:r>
    </w:p>
    <w:p w:rsidR="00CF1D1E" w:rsidRPr="00CF1D1E" w:rsidRDefault="00CF1D1E" w:rsidP="00CF1D1E">
      <w:pPr>
        <w:spacing w:line="360" w:lineRule="auto"/>
        <w:ind w:firstLine="720"/>
        <w:rPr>
          <w:rFonts w:ascii="Calibri" w:eastAsia="Calibri" w:hAnsi="Calibri" w:cs="Times New Roman"/>
          <w:sz w:val="20"/>
          <w:szCs w:val="20"/>
        </w:rPr>
      </w:pPr>
      <w:proofErr w:type="gramStart"/>
      <w:r w:rsidRPr="00CF1D1E">
        <w:rPr>
          <w:rFonts w:ascii="Calibri" w:eastAsia="Calibri" w:hAnsi="Calibri" w:cs="Times New Roman"/>
          <w:sz w:val="20"/>
          <w:szCs w:val="20"/>
        </w:rPr>
        <w:t xml:space="preserve">Fig.32  </w:t>
      </w:r>
      <w:r w:rsidR="008E7F88">
        <w:rPr>
          <w:rFonts w:ascii="Calibri" w:eastAsia="Calibri" w:hAnsi="Calibri" w:cs="Times New Roman"/>
          <w:sz w:val="20"/>
          <w:szCs w:val="20"/>
        </w:rPr>
        <w:t>C</w:t>
      </w:r>
      <w:r w:rsidRPr="00CF1D1E">
        <w:rPr>
          <w:rFonts w:ascii="Calibri" w:eastAsia="Calibri" w:hAnsi="Calibri" w:cs="Times New Roman"/>
          <w:sz w:val="20"/>
          <w:szCs w:val="20"/>
        </w:rPr>
        <w:t>hromatogram</w:t>
      </w:r>
      <w:proofErr w:type="gramEnd"/>
      <w:r w:rsidRPr="00CF1D1E">
        <w:rPr>
          <w:rFonts w:ascii="Calibri" w:eastAsia="Calibri" w:hAnsi="Calibri" w:cs="Times New Roman"/>
          <w:sz w:val="20"/>
          <w:szCs w:val="20"/>
        </w:rPr>
        <w:t xml:space="preserve"> of a 7.1mg/l standard of Paeonol </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rPr>
          <w:rFonts w:ascii="Calibri" w:eastAsia="Calibri" w:hAnsi="Calibri" w:cs="Times New Roman"/>
          <w:sz w:val="24"/>
          <w:szCs w:val="24"/>
        </w:rPr>
      </w:pPr>
    </w:p>
    <w:p w:rsidR="00CF1D1E" w:rsidRPr="00CF1D1E" w:rsidRDefault="004F715D" w:rsidP="00CF1D1E">
      <w:pPr>
        <w:rPr>
          <w:rFonts w:ascii="Calibri" w:eastAsia="Calibri" w:hAnsi="Calibri" w:cs="Times New Roman"/>
          <w:sz w:val="24"/>
          <w:szCs w:val="24"/>
        </w:rPr>
      </w:pPr>
      <w:r>
        <w:rPr>
          <w:rFonts w:ascii="Calibri" w:eastAsia="Calibri" w:hAnsi="Calibri" w:cs="Times New Roman"/>
          <w:noProof/>
          <w:sz w:val="24"/>
          <w:szCs w:val="24"/>
          <w:lang w:eastAsia="en-GB"/>
        </w:rPr>
        <w:drawing>
          <wp:inline distT="0" distB="0" distL="0" distR="0">
            <wp:extent cx="5724525" cy="4333875"/>
            <wp:effectExtent l="0" t="0" r="9525"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4525" cy="433387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4"/>
          <w:szCs w:val="24"/>
        </w:rPr>
      </w:pPr>
    </w:p>
    <w:p w:rsidR="00CF1D1E" w:rsidRPr="00CF1D1E" w:rsidRDefault="008E7F88" w:rsidP="00CF1D1E">
      <w:pPr>
        <w:spacing w:line="360" w:lineRule="auto"/>
        <w:ind w:firstLine="720"/>
        <w:rPr>
          <w:rFonts w:ascii="Calibri" w:eastAsia="Calibri" w:hAnsi="Calibri" w:cs="Times New Roman"/>
          <w:sz w:val="20"/>
          <w:szCs w:val="20"/>
        </w:rPr>
      </w:pPr>
      <w:r>
        <w:rPr>
          <w:rFonts w:ascii="Calibri" w:eastAsia="Calibri" w:hAnsi="Calibri" w:cs="Times New Roman"/>
          <w:sz w:val="20"/>
          <w:szCs w:val="20"/>
        </w:rPr>
        <w:t>Fig.33 C</w:t>
      </w:r>
      <w:r w:rsidR="00CF1D1E" w:rsidRPr="00CF1D1E">
        <w:rPr>
          <w:rFonts w:ascii="Calibri" w:eastAsia="Calibri" w:hAnsi="Calibri" w:cs="Times New Roman"/>
          <w:sz w:val="20"/>
          <w:szCs w:val="20"/>
        </w:rPr>
        <w:t>hromatogram of a 3.8mg/l standard of S-Equol.</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4F715D" w:rsidP="00CF1D1E">
      <w:pPr>
        <w:rPr>
          <w:rFonts w:ascii="Calibri" w:eastAsia="Calibri" w:hAnsi="Calibri" w:cs="Times New Roman"/>
          <w:sz w:val="24"/>
          <w:szCs w:val="24"/>
        </w:rPr>
      </w:pPr>
      <w:r>
        <w:rPr>
          <w:rFonts w:ascii="Calibri" w:eastAsia="Calibri" w:hAnsi="Calibri" w:cs="Times New Roman"/>
          <w:noProof/>
          <w:sz w:val="24"/>
          <w:szCs w:val="24"/>
          <w:lang w:eastAsia="en-GB"/>
        </w:rPr>
        <w:lastRenderedPageBreak/>
        <w:drawing>
          <wp:inline distT="0" distB="0" distL="0" distR="0">
            <wp:extent cx="5734050" cy="436245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4050" cy="4362450"/>
                    </a:xfrm>
                    <a:prstGeom prst="rect">
                      <a:avLst/>
                    </a:prstGeom>
                    <a:noFill/>
                    <a:ln>
                      <a:noFill/>
                    </a:ln>
                  </pic:spPr>
                </pic:pic>
              </a:graphicData>
            </a:graphic>
          </wp:inline>
        </w:drawing>
      </w:r>
    </w:p>
    <w:p w:rsidR="00CF1D1E" w:rsidRPr="00CF1D1E" w:rsidRDefault="00CF1D1E" w:rsidP="00CF1D1E">
      <w:pPr>
        <w:spacing w:line="360" w:lineRule="auto"/>
        <w:ind w:firstLine="720"/>
        <w:rPr>
          <w:rFonts w:ascii="Calibri" w:eastAsia="Calibri" w:hAnsi="Calibri" w:cs="Times New Roman"/>
          <w:sz w:val="24"/>
          <w:szCs w:val="24"/>
        </w:rPr>
      </w:pPr>
    </w:p>
    <w:p w:rsidR="00CF1D1E" w:rsidRPr="00CF1D1E" w:rsidRDefault="008E7F88" w:rsidP="00CF1D1E">
      <w:pPr>
        <w:spacing w:line="360" w:lineRule="auto"/>
        <w:ind w:firstLine="720"/>
        <w:rPr>
          <w:rFonts w:ascii="Calibri" w:eastAsia="Calibri" w:hAnsi="Calibri" w:cs="Times New Roman"/>
          <w:sz w:val="20"/>
          <w:szCs w:val="20"/>
        </w:rPr>
      </w:pPr>
      <w:r>
        <w:rPr>
          <w:rFonts w:ascii="Calibri" w:eastAsia="Calibri" w:hAnsi="Calibri" w:cs="Times New Roman"/>
          <w:sz w:val="20"/>
          <w:szCs w:val="20"/>
        </w:rPr>
        <w:t>Fig.34 C</w:t>
      </w:r>
      <w:r w:rsidR="00CF1D1E" w:rsidRPr="00CF1D1E">
        <w:rPr>
          <w:rFonts w:ascii="Calibri" w:eastAsia="Calibri" w:hAnsi="Calibri" w:cs="Times New Roman"/>
          <w:sz w:val="20"/>
          <w:szCs w:val="20"/>
        </w:rPr>
        <w:t>hromatogram of a 1.3mg/l standard of EGCG.</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4F715D" w:rsidP="00CF1D1E">
      <w:pPr>
        <w:spacing w:line="360" w:lineRule="auto"/>
        <w:rPr>
          <w:rFonts w:ascii="Calibri" w:eastAsia="Calibri" w:hAnsi="Calibri" w:cs="Times New Roman"/>
          <w:sz w:val="24"/>
          <w:szCs w:val="24"/>
        </w:rPr>
      </w:pPr>
      <w:r>
        <w:rPr>
          <w:rFonts w:ascii="Calibri" w:eastAsia="Calibri" w:hAnsi="Calibri" w:cs="Times New Roman"/>
          <w:noProof/>
          <w:sz w:val="24"/>
          <w:szCs w:val="24"/>
          <w:lang w:eastAsia="en-GB"/>
        </w:rPr>
        <w:lastRenderedPageBreak/>
        <w:drawing>
          <wp:inline distT="0" distB="0" distL="0" distR="0">
            <wp:extent cx="5724525" cy="4381500"/>
            <wp:effectExtent l="0" t="0" r="952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525" cy="4381500"/>
                    </a:xfrm>
                    <a:prstGeom prst="rect">
                      <a:avLst/>
                    </a:prstGeom>
                    <a:noFill/>
                    <a:ln>
                      <a:noFill/>
                    </a:ln>
                  </pic:spPr>
                </pic:pic>
              </a:graphicData>
            </a:graphic>
          </wp:inline>
        </w:drawing>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8E7F88" w:rsidP="00CF1D1E">
      <w:pPr>
        <w:spacing w:line="360" w:lineRule="auto"/>
        <w:ind w:firstLine="720"/>
        <w:rPr>
          <w:rFonts w:ascii="Calibri" w:eastAsia="Calibri" w:hAnsi="Calibri" w:cs="Times New Roman"/>
          <w:sz w:val="20"/>
          <w:szCs w:val="20"/>
        </w:rPr>
      </w:pPr>
      <w:r>
        <w:rPr>
          <w:rFonts w:ascii="Calibri" w:eastAsia="Calibri" w:hAnsi="Calibri" w:cs="Times New Roman"/>
          <w:sz w:val="20"/>
          <w:szCs w:val="20"/>
        </w:rPr>
        <w:t>Fig.35 C</w:t>
      </w:r>
      <w:r w:rsidR="00CF1D1E" w:rsidRPr="00CF1D1E">
        <w:rPr>
          <w:rFonts w:ascii="Calibri" w:eastAsia="Calibri" w:hAnsi="Calibri" w:cs="Times New Roman"/>
          <w:sz w:val="20"/>
          <w:szCs w:val="20"/>
        </w:rPr>
        <w:t>hromatogram of a 4.5mg/l standard of Rutin.</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4F715D" w:rsidP="00CF1D1E">
      <w:pPr>
        <w:spacing w:line="360" w:lineRule="auto"/>
        <w:rPr>
          <w:rFonts w:ascii="Calibri" w:eastAsia="Calibri" w:hAnsi="Calibri" w:cs="Times New Roman"/>
          <w:sz w:val="24"/>
          <w:szCs w:val="24"/>
        </w:rPr>
      </w:pPr>
      <w:r>
        <w:rPr>
          <w:rFonts w:ascii="Calibri" w:eastAsia="Calibri" w:hAnsi="Calibri" w:cs="Times New Roman"/>
          <w:noProof/>
          <w:sz w:val="24"/>
          <w:szCs w:val="24"/>
          <w:lang w:eastAsia="en-GB"/>
        </w:rPr>
        <w:lastRenderedPageBreak/>
        <w:drawing>
          <wp:inline distT="0" distB="0" distL="0" distR="0">
            <wp:extent cx="5724525" cy="4467225"/>
            <wp:effectExtent l="0" t="0" r="9525" b="952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4525" cy="4467225"/>
                    </a:xfrm>
                    <a:prstGeom prst="rect">
                      <a:avLst/>
                    </a:prstGeom>
                    <a:noFill/>
                    <a:ln>
                      <a:noFill/>
                    </a:ln>
                  </pic:spPr>
                </pic:pic>
              </a:graphicData>
            </a:graphic>
          </wp:inline>
        </w:drawing>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p>
    <w:p w:rsidR="00CF1D1E" w:rsidRPr="00CF1D1E" w:rsidRDefault="008E7F88" w:rsidP="00CF1D1E">
      <w:pPr>
        <w:spacing w:line="360" w:lineRule="auto"/>
        <w:ind w:firstLine="720"/>
        <w:rPr>
          <w:rFonts w:ascii="Calibri" w:eastAsia="Calibri" w:hAnsi="Calibri" w:cs="Times New Roman"/>
          <w:sz w:val="20"/>
          <w:szCs w:val="20"/>
        </w:rPr>
      </w:pPr>
      <w:r>
        <w:rPr>
          <w:rFonts w:ascii="Calibri" w:eastAsia="Calibri" w:hAnsi="Calibri" w:cs="Times New Roman"/>
          <w:sz w:val="20"/>
          <w:szCs w:val="20"/>
        </w:rPr>
        <w:t>Fig.36 C</w:t>
      </w:r>
      <w:r w:rsidR="00CF1D1E" w:rsidRPr="00CF1D1E">
        <w:rPr>
          <w:rFonts w:ascii="Calibri" w:eastAsia="Calibri" w:hAnsi="Calibri" w:cs="Times New Roman"/>
          <w:sz w:val="20"/>
          <w:szCs w:val="20"/>
        </w:rPr>
        <w:t>hromatogram of a Lodge Pole Pine extract analysed for Rutin.</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  </w:t>
      </w:r>
      <w:r w:rsidR="00F14893">
        <w:rPr>
          <w:rFonts w:ascii="Calibri" w:eastAsia="Calibri" w:hAnsi="Calibri" w:cs="Times New Roman"/>
          <w:noProof/>
          <w:sz w:val="24"/>
          <w:szCs w:val="24"/>
          <w:lang w:eastAsia="en-GB"/>
        </w:rPr>
        <w:drawing>
          <wp:inline distT="0" distB="0" distL="0" distR="0">
            <wp:extent cx="5417185" cy="7708900"/>
            <wp:effectExtent l="0" t="0" r="0" b="635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17185" cy="7708900"/>
                    </a:xfrm>
                    <a:prstGeom prst="rect">
                      <a:avLst/>
                    </a:prstGeom>
                    <a:noFill/>
                    <a:ln>
                      <a:noFill/>
                    </a:ln>
                  </pic:spPr>
                </pic:pic>
              </a:graphicData>
            </a:graphic>
          </wp:inline>
        </w:drawing>
      </w:r>
    </w:p>
    <w:p w:rsidR="00CF1D1E" w:rsidRPr="00CF1D1E" w:rsidRDefault="008E7F88" w:rsidP="00CF1D1E">
      <w:pPr>
        <w:spacing w:line="360" w:lineRule="auto"/>
        <w:rPr>
          <w:rFonts w:ascii="Calibri" w:eastAsia="Calibri" w:hAnsi="Calibri" w:cs="Times New Roman"/>
          <w:sz w:val="20"/>
          <w:szCs w:val="20"/>
          <w:vertAlign w:val="subscript"/>
        </w:rPr>
      </w:pPr>
      <w:r>
        <w:rPr>
          <w:rFonts w:ascii="Calibri" w:eastAsia="Calibri" w:hAnsi="Calibri" w:cs="Times New Roman"/>
          <w:sz w:val="20"/>
          <w:szCs w:val="20"/>
        </w:rPr>
        <w:t>Fig.</w:t>
      </w:r>
      <w:r w:rsidR="00CF1D1E" w:rsidRPr="00CF1D1E">
        <w:rPr>
          <w:rFonts w:ascii="Calibri" w:eastAsia="Calibri" w:hAnsi="Calibri" w:cs="Times New Roman"/>
          <w:sz w:val="20"/>
          <w:szCs w:val="20"/>
        </w:rPr>
        <w:t>37</w:t>
      </w:r>
      <w:r>
        <w:rPr>
          <w:rFonts w:ascii="Calibri" w:eastAsia="Calibri" w:hAnsi="Calibri" w:cs="Times New Roman"/>
          <w:sz w:val="20"/>
          <w:szCs w:val="20"/>
        </w:rPr>
        <w:t xml:space="preserve"> </w:t>
      </w:r>
      <w:r w:rsidR="00CF1D1E" w:rsidRPr="00CF1D1E">
        <w:rPr>
          <w:rFonts w:ascii="Calibri" w:eastAsia="Calibri" w:hAnsi="Calibri" w:cs="Times New Roman"/>
          <w:sz w:val="20"/>
          <w:szCs w:val="20"/>
        </w:rPr>
        <w:t>Mass spectrum of Paeonol showing the deprotonated p</w:t>
      </w:r>
      <w:r>
        <w:rPr>
          <w:rFonts w:ascii="Calibri" w:eastAsia="Calibri" w:hAnsi="Calibri" w:cs="Times New Roman"/>
          <w:sz w:val="20"/>
          <w:szCs w:val="20"/>
        </w:rPr>
        <w:t>arent ion and the daughter Ion</w:t>
      </w:r>
      <w:r w:rsidR="00F14893">
        <w:rPr>
          <w:rFonts w:ascii="Calibri" w:eastAsia="Calibri" w:hAnsi="Calibri" w:cs="Times New Roman"/>
          <w:sz w:val="20"/>
          <w:szCs w:val="20"/>
        </w:rPr>
        <w:t>s</w:t>
      </w:r>
      <w:r>
        <w:rPr>
          <w:rFonts w:ascii="Calibri" w:eastAsia="Calibri" w:hAnsi="Calibri" w:cs="Times New Roman"/>
          <w:sz w:val="20"/>
          <w:szCs w:val="20"/>
        </w:rPr>
        <w:t xml:space="preserve"> </w:t>
      </w:r>
      <w:r w:rsidR="00F14893">
        <w:rPr>
          <w:rFonts w:ascii="Calibri" w:eastAsia="Calibri" w:hAnsi="Calibri" w:cs="Times New Roman"/>
          <w:sz w:val="20"/>
          <w:szCs w:val="20"/>
        </w:rPr>
        <w:t>with annotated losses.</w:t>
      </w:r>
    </w:p>
    <w:p w:rsidR="00CF1D1E" w:rsidRPr="00CF1D1E" w:rsidRDefault="00CF1D1E" w:rsidP="00CF1D1E">
      <w:pPr>
        <w:rPr>
          <w:rFonts w:ascii="Calibri" w:eastAsia="Calibri" w:hAnsi="Calibri" w:cs="Times New Roman"/>
          <w:sz w:val="20"/>
          <w:szCs w:val="20"/>
          <w:vertAlign w:val="subscript"/>
        </w:rPr>
      </w:pPr>
      <w:r w:rsidRPr="00CF1D1E">
        <w:rPr>
          <w:rFonts w:ascii="Calibri" w:eastAsia="Calibri" w:hAnsi="Calibri" w:cs="Times New Roman"/>
          <w:sz w:val="20"/>
          <w:szCs w:val="20"/>
          <w:vertAlign w:val="subscript"/>
        </w:rPr>
        <w:br w:type="page"/>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 </w:t>
      </w:r>
      <w:r w:rsidR="006C2B00">
        <w:rPr>
          <w:rFonts w:ascii="Calibri" w:eastAsia="Calibri" w:hAnsi="Calibri" w:cs="Times New Roman"/>
          <w:noProof/>
          <w:sz w:val="24"/>
          <w:szCs w:val="24"/>
          <w:lang w:eastAsia="en-GB"/>
        </w:rPr>
        <w:drawing>
          <wp:inline distT="0" distB="0" distL="0" distR="0">
            <wp:extent cx="5185410" cy="7477125"/>
            <wp:effectExtent l="0" t="0" r="0" b="952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5410" cy="7477125"/>
                    </a:xfrm>
                    <a:prstGeom prst="rect">
                      <a:avLst/>
                    </a:prstGeom>
                    <a:noFill/>
                    <a:ln>
                      <a:noFill/>
                    </a:ln>
                  </pic:spPr>
                </pic:pic>
              </a:graphicData>
            </a:graphic>
          </wp:inline>
        </w:drawing>
      </w:r>
    </w:p>
    <w:p w:rsidR="00CF1D1E" w:rsidRPr="00CF1D1E" w:rsidRDefault="00CF1D1E" w:rsidP="00CF1D1E">
      <w:pPr>
        <w:jc w:val="both"/>
        <w:rPr>
          <w:rFonts w:ascii="Calibri" w:eastAsia="Calibri" w:hAnsi="Calibri" w:cs="Times New Roman"/>
          <w:sz w:val="24"/>
          <w:szCs w:val="24"/>
        </w:rPr>
      </w:pPr>
    </w:p>
    <w:p w:rsidR="00CF1D1E" w:rsidRPr="00CF1D1E" w:rsidRDefault="008E7F88" w:rsidP="00CF1D1E">
      <w:pPr>
        <w:jc w:val="both"/>
        <w:rPr>
          <w:rFonts w:ascii="Calibri" w:eastAsia="Calibri" w:hAnsi="Calibri" w:cs="Times New Roman"/>
          <w:sz w:val="20"/>
          <w:szCs w:val="20"/>
        </w:rPr>
      </w:pPr>
      <w:r>
        <w:rPr>
          <w:rFonts w:ascii="Calibri" w:eastAsia="Calibri" w:hAnsi="Calibri" w:cs="Times New Roman"/>
          <w:sz w:val="20"/>
          <w:szCs w:val="20"/>
        </w:rPr>
        <w:t xml:space="preserve">Fig.38 </w:t>
      </w:r>
      <w:r w:rsidR="00CF1D1E" w:rsidRPr="00CF1D1E">
        <w:rPr>
          <w:rFonts w:ascii="Calibri" w:eastAsia="Calibri" w:hAnsi="Calibri" w:cs="Times New Roman"/>
          <w:sz w:val="20"/>
          <w:szCs w:val="20"/>
        </w:rPr>
        <w:t>Mass spectrum of S-Equol showing the deprotonated p</w:t>
      </w:r>
      <w:r>
        <w:rPr>
          <w:rFonts w:ascii="Calibri" w:eastAsia="Calibri" w:hAnsi="Calibri" w:cs="Times New Roman"/>
          <w:sz w:val="20"/>
          <w:szCs w:val="20"/>
        </w:rPr>
        <w:t xml:space="preserve">arent ion and the daughter ion </w:t>
      </w:r>
      <w:r w:rsidR="00CF1D1E" w:rsidRPr="00CF1D1E">
        <w:rPr>
          <w:rFonts w:ascii="Calibri" w:eastAsia="Calibri" w:hAnsi="Calibri" w:cs="Times New Roman"/>
          <w:sz w:val="20"/>
          <w:szCs w:val="20"/>
        </w:rPr>
        <w:t>which is proposed to be the result of Retro-Diels–Alder (RDA) fragmentation of the C-ring.</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A74072" w:rsidRDefault="00A74072" w:rsidP="00CF1D1E">
      <w:pPr>
        <w:jc w:val="both"/>
        <w:rPr>
          <w:rFonts w:ascii="Calibri" w:eastAsia="Calibri" w:hAnsi="Calibri" w:cs="Times New Roman"/>
          <w:sz w:val="20"/>
          <w:szCs w:val="20"/>
        </w:rPr>
      </w:pPr>
      <w:r>
        <w:rPr>
          <w:rFonts w:ascii="Calibri" w:eastAsia="Calibri" w:hAnsi="Calibri" w:cs="Times New Roman"/>
          <w:noProof/>
          <w:sz w:val="20"/>
          <w:szCs w:val="20"/>
          <w:lang w:eastAsia="en-GB"/>
        </w:rPr>
        <w:lastRenderedPageBreak/>
        <w:drawing>
          <wp:inline distT="0" distB="0" distL="0" distR="0">
            <wp:extent cx="5486400" cy="7801610"/>
            <wp:effectExtent l="0" t="0" r="0" b="889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7801610"/>
                    </a:xfrm>
                    <a:prstGeom prst="rect">
                      <a:avLst/>
                    </a:prstGeom>
                    <a:noFill/>
                    <a:ln>
                      <a:noFill/>
                    </a:ln>
                  </pic:spPr>
                </pic:pic>
              </a:graphicData>
            </a:graphic>
          </wp:inline>
        </w:drawing>
      </w:r>
    </w:p>
    <w:p w:rsidR="00CF1D1E" w:rsidRPr="00CF1D1E" w:rsidRDefault="008E7F88" w:rsidP="00CF1D1E">
      <w:pPr>
        <w:jc w:val="both"/>
        <w:rPr>
          <w:rFonts w:ascii="Calibri" w:eastAsia="Calibri" w:hAnsi="Calibri" w:cs="Times New Roman"/>
          <w:sz w:val="20"/>
          <w:szCs w:val="20"/>
        </w:rPr>
      </w:pPr>
      <w:r>
        <w:rPr>
          <w:rFonts w:ascii="Calibri" w:eastAsia="Calibri" w:hAnsi="Calibri" w:cs="Times New Roman"/>
          <w:sz w:val="20"/>
          <w:szCs w:val="20"/>
        </w:rPr>
        <w:t xml:space="preserve">Fig.39 </w:t>
      </w:r>
      <w:r w:rsidR="00CF1D1E" w:rsidRPr="00CF1D1E">
        <w:rPr>
          <w:rFonts w:ascii="Calibri" w:eastAsia="Calibri" w:hAnsi="Calibri" w:cs="Times New Roman"/>
          <w:sz w:val="20"/>
          <w:szCs w:val="20"/>
        </w:rPr>
        <w:t>Mass spectrum of EGCG showing the deprotonated p</w:t>
      </w:r>
      <w:r w:rsidR="00A74072">
        <w:rPr>
          <w:rFonts w:ascii="Calibri" w:eastAsia="Calibri" w:hAnsi="Calibri" w:cs="Times New Roman"/>
          <w:sz w:val="20"/>
          <w:szCs w:val="20"/>
        </w:rPr>
        <w:t xml:space="preserve">arent ion and annotated fragments. The </w:t>
      </w:r>
      <w:r>
        <w:rPr>
          <w:rFonts w:ascii="Calibri" w:eastAsia="Calibri" w:hAnsi="Calibri" w:cs="Times New Roman"/>
          <w:sz w:val="20"/>
          <w:szCs w:val="20"/>
        </w:rPr>
        <w:t>daughter ion</w:t>
      </w:r>
      <w:r w:rsidR="00A74072">
        <w:rPr>
          <w:rFonts w:ascii="Calibri" w:eastAsia="Calibri" w:hAnsi="Calibri" w:cs="Times New Roman"/>
          <w:sz w:val="20"/>
          <w:szCs w:val="20"/>
        </w:rPr>
        <w:t xml:space="preserve"> at </w:t>
      </w:r>
      <w:r w:rsidR="00A74072" w:rsidRPr="00A74072">
        <w:rPr>
          <w:rFonts w:ascii="Calibri" w:eastAsia="Calibri" w:hAnsi="Calibri" w:cs="Times New Roman"/>
          <w:i/>
          <w:sz w:val="20"/>
          <w:szCs w:val="20"/>
        </w:rPr>
        <w:t>m/z</w:t>
      </w:r>
      <w:r w:rsidR="00A74072">
        <w:rPr>
          <w:rFonts w:ascii="Calibri" w:eastAsia="Calibri" w:hAnsi="Calibri" w:cs="Times New Roman"/>
          <w:sz w:val="20"/>
          <w:szCs w:val="20"/>
        </w:rPr>
        <w:t xml:space="preserve"> 169.0143 is due </w:t>
      </w:r>
      <w:r w:rsidR="00CF1D1E" w:rsidRPr="00CF1D1E">
        <w:rPr>
          <w:rFonts w:ascii="Calibri" w:eastAsia="Calibri" w:hAnsi="Calibri" w:cs="Times New Roman"/>
          <w:sz w:val="20"/>
          <w:szCs w:val="20"/>
        </w:rPr>
        <w:t>to the loss of the gallate moiety.</w:t>
      </w:r>
    </w:p>
    <w:p w:rsidR="00CF1D1E" w:rsidRPr="00CF1D1E" w:rsidRDefault="00CF1D1E" w:rsidP="00CF1D1E">
      <w:pPr>
        <w:ind w:left="720"/>
        <w:jc w:val="both"/>
        <w:rPr>
          <w:rFonts w:ascii="Calibri" w:eastAsia="Calibri" w:hAnsi="Calibri" w:cs="Times New Roman"/>
          <w:sz w:val="20"/>
          <w:szCs w:val="20"/>
        </w:rPr>
      </w:pPr>
      <w:r w:rsidRPr="00CF1D1E">
        <w:rPr>
          <w:rFonts w:ascii="Calibri" w:eastAsia="Calibri" w:hAnsi="Calibri" w:cs="Times New Roman"/>
          <w:sz w:val="24"/>
          <w:szCs w:val="24"/>
        </w:rPr>
        <w:br w:type="page"/>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 </w:t>
      </w:r>
      <w:r w:rsidR="00A21928">
        <w:rPr>
          <w:rFonts w:ascii="Calibri" w:eastAsia="Calibri" w:hAnsi="Calibri" w:cs="Times New Roman"/>
          <w:noProof/>
          <w:sz w:val="24"/>
          <w:szCs w:val="24"/>
          <w:lang w:eastAsia="en-GB"/>
        </w:rPr>
        <w:drawing>
          <wp:inline distT="0" distB="0" distL="0" distR="0">
            <wp:extent cx="5417185" cy="7778115"/>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17185" cy="7778115"/>
                    </a:xfrm>
                    <a:prstGeom prst="rect">
                      <a:avLst/>
                    </a:prstGeom>
                    <a:noFill/>
                    <a:ln>
                      <a:noFill/>
                    </a:ln>
                  </pic:spPr>
                </pic:pic>
              </a:graphicData>
            </a:graphic>
          </wp:inline>
        </w:drawing>
      </w:r>
    </w:p>
    <w:p w:rsidR="00CF1D1E" w:rsidRPr="00CF1D1E" w:rsidRDefault="008E7F88" w:rsidP="00CF1D1E">
      <w:pPr>
        <w:jc w:val="both"/>
        <w:rPr>
          <w:rFonts w:ascii="Calibri" w:eastAsia="Calibri" w:hAnsi="Calibri" w:cs="Times New Roman"/>
          <w:sz w:val="20"/>
          <w:szCs w:val="20"/>
        </w:rPr>
      </w:pPr>
      <w:r>
        <w:rPr>
          <w:rFonts w:ascii="Calibri" w:eastAsia="Calibri" w:hAnsi="Calibri" w:cs="Times New Roman"/>
          <w:sz w:val="20"/>
          <w:szCs w:val="20"/>
        </w:rPr>
        <w:t xml:space="preserve">Fig.40 </w:t>
      </w:r>
      <w:r w:rsidR="00CF1D1E" w:rsidRPr="00CF1D1E">
        <w:rPr>
          <w:rFonts w:ascii="Calibri" w:eastAsia="Calibri" w:hAnsi="Calibri" w:cs="Times New Roman"/>
          <w:sz w:val="20"/>
          <w:szCs w:val="20"/>
        </w:rPr>
        <w:t xml:space="preserve">Mass spectrum of Rutin showing the deprotonated parent ion and the daughter ion </w:t>
      </w:r>
      <w:r w:rsidR="00A21928">
        <w:rPr>
          <w:rFonts w:ascii="Calibri" w:eastAsia="Calibri" w:hAnsi="Calibri" w:cs="Times New Roman"/>
          <w:sz w:val="20"/>
          <w:szCs w:val="20"/>
        </w:rPr>
        <w:t xml:space="preserve">at </w:t>
      </w:r>
      <w:r w:rsidR="00A21928" w:rsidRPr="00A21928">
        <w:rPr>
          <w:rFonts w:ascii="Calibri" w:eastAsia="Calibri" w:hAnsi="Calibri" w:cs="Times New Roman"/>
          <w:i/>
          <w:sz w:val="20"/>
          <w:szCs w:val="20"/>
        </w:rPr>
        <w:t>m/z</w:t>
      </w:r>
      <w:r w:rsidR="00A21928">
        <w:rPr>
          <w:rFonts w:ascii="Calibri" w:eastAsia="Calibri" w:hAnsi="Calibri" w:cs="Times New Roman"/>
          <w:sz w:val="20"/>
          <w:szCs w:val="20"/>
        </w:rPr>
        <w:t xml:space="preserve"> 301.0354 which is due </w:t>
      </w:r>
      <w:r>
        <w:rPr>
          <w:rFonts w:ascii="Calibri" w:eastAsia="Calibri" w:hAnsi="Calibri" w:cs="Times New Roman"/>
          <w:sz w:val="20"/>
          <w:szCs w:val="20"/>
        </w:rPr>
        <w:t>to the loss of rutinose.</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rPr>
          <w:rFonts w:ascii="Calibri" w:eastAsia="Calibri" w:hAnsi="Calibri" w:cs="Times New Roman"/>
          <w:b/>
          <w:sz w:val="44"/>
          <w:szCs w:val="44"/>
        </w:rPr>
      </w:pPr>
      <w:r w:rsidRPr="00CF1D1E">
        <w:rPr>
          <w:rFonts w:ascii="Calibri" w:eastAsia="Calibri" w:hAnsi="Calibri" w:cs="Times New Roman"/>
          <w:noProof/>
          <w:lang w:eastAsia="en-GB"/>
        </w:rPr>
        <w:lastRenderedPageBreak/>
        <w:drawing>
          <wp:inline distT="0" distB="0" distL="0" distR="0" wp14:anchorId="35924158" wp14:editId="46E197F9">
            <wp:extent cx="5804595" cy="4208443"/>
            <wp:effectExtent l="0" t="0" r="5715"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23370" cy="4222055"/>
                    </a:xfrm>
                    <a:prstGeom prst="rect">
                      <a:avLst/>
                    </a:prstGeom>
                  </pic:spPr>
                </pic:pic>
              </a:graphicData>
            </a:graphic>
          </wp:inline>
        </w:drawing>
      </w:r>
    </w:p>
    <w:p w:rsidR="00CF1D1E" w:rsidRPr="00CF1D1E" w:rsidRDefault="00CF1D1E" w:rsidP="00CF1D1E">
      <w:pPr>
        <w:rPr>
          <w:rFonts w:ascii="Calibri" w:eastAsia="Calibri" w:hAnsi="Calibri" w:cs="Times New Roman"/>
          <w:b/>
          <w:sz w:val="44"/>
          <w:szCs w:val="44"/>
        </w:rPr>
      </w:pPr>
    </w:p>
    <w:p w:rsidR="00CF1D1E" w:rsidRPr="00CF1D1E" w:rsidRDefault="008E7F88" w:rsidP="00CF1D1E">
      <w:pPr>
        <w:autoSpaceDE w:val="0"/>
        <w:autoSpaceDN w:val="0"/>
        <w:adjustRightInd w:val="0"/>
        <w:spacing w:after="0" w:line="276" w:lineRule="auto"/>
        <w:jc w:val="both"/>
        <w:rPr>
          <w:rFonts w:ascii="Calibri" w:eastAsia="Calibri" w:hAnsi="Calibri" w:cs="Times New Roman"/>
          <w:color w:val="000000"/>
          <w:sz w:val="20"/>
          <w:szCs w:val="20"/>
        </w:rPr>
      </w:pPr>
      <w:r>
        <w:rPr>
          <w:rFonts w:ascii="Calibri" w:eastAsia="Calibri" w:hAnsi="Calibri" w:cs="Times New Roman"/>
          <w:color w:val="000000"/>
          <w:sz w:val="20"/>
          <w:szCs w:val="20"/>
        </w:rPr>
        <w:t>Tab.19 C</w:t>
      </w:r>
      <w:r w:rsidR="00CF1D1E" w:rsidRPr="00CF1D1E">
        <w:rPr>
          <w:rFonts w:ascii="Calibri" w:eastAsia="Calibri" w:hAnsi="Calibri" w:cs="Times New Roman"/>
          <w:color w:val="000000"/>
          <w:sz w:val="20"/>
          <w:szCs w:val="20"/>
        </w:rPr>
        <w:t>alibration and quantification of Paeonol in the 3 bark extracts and also Pycnogenol as a qualitative reference. LOQ, LOD and the coefficient of determination (R</w:t>
      </w:r>
      <w:r w:rsidR="00CF1D1E" w:rsidRPr="00CF1D1E">
        <w:rPr>
          <w:rFonts w:ascii="Calibri" w:eastAsia="Calibri" w:hAnsi="Calibri" w:cs="Times New Roman"/>
          <w:color w:val="000000"/>
          <w:sz w:val="20"/>
          <w:szCs w:val="20"/>
          <w:vertAlign w:val="superscript"/>
        </w:rPr>
        <w:t>2</w:t>
      </w:r>
      <w:r w:rsidR="00CF1D1E" w:rsidRPr="00CF1D1E">
        <w:rPr>
          <w:rFonts w:ascii="Calibri" w:eastAsia="Calibri" w:hAnsi="Calibri" w:cs="Times New Roman"/>
          <w:color w:val="000000"/>
          <w:sz w:val="20"/>
          <w:szCs w:val="20"/>
        </w:rPr>
        <w:t>) are also provided.</w:t>
      </w:r>
    </w:p>
    <w:p w:rsidR="00CF1D1E" w:rsidRPr="00CF1D1E" w:rsidRDefault="00CF1D1E" w:rsidP="00CF1D1E">
      <w:pPr>
        <w:rPr>
          <w:rFonts w:ascii="Calibri" w:eastAsia="Calibri" w:hAnsi="Calibri" w:cs="Times New Roman"/>
        </w:rPr>
      </w:pPr>
      <w:r w:rsidRPr="00CF1D1E">
        <w:rPr>
          <w:rFonts w:ascii="Calibri" w:eastAsia="Calibri" w:hAnsi="Calibri" w:cs="Times New Roman"/>
        </w:rPr>
        <w:br w:type="page"/>
      </w:r>
    </w:p>
    <w:p w:rsidR="00CF1D1E" w:rsidRPr="00CF1D1E" w:rsidRDefault="00CF1D1E" w:rsidP="00CF1D1E">
      <w:pPr>
        <w:spacing w:line="360" w:lineRule="auto"/>
        <w:rPr>
          <w:rFonts w:ascii="Calibri" w:eastAsia="Calibri" w:hAnsi="Calibri" w:cs="Times New Roman"/>
        </w:rPr>
      </w:pPr>
      <w:r w:rsidRPr="00CF1D1E">
        <w:rPr>
          <w:rFonts w:ascii="Calibri" w:eastAsia="Calibri" w:hAnsi="Calibri" w:cs="Times New Roman"/>
          <w:noProof/>
          <w:lang w:eastAsia="en-GB"/>
        </w:rPr>
        <w:lastRenderedPageBreak/>
        <w:drawing>
          <wp:inline distT="0" distB="0" distL="0" distR="0" wp14:anchorId="578FFE7A" wp14:editId="4A22720D">
            <wp:extent cx="5838940" cy="3727121"/>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64461" cy="3743411"/>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b/>
          <w:sz w:val="20"/>
          <w:szCs w:val="20"/>
        </w:rPr>
      </w:pPr>
      <w:r w:rsidRPr="00CF1D1E">
        <w:rPr>
          <w:rFonts w:ascii="Calibri" w:eastAsia="Calibri" w:hAnsi="Calibri" w:cs="Times New Roman"/>
          <w:sz w:val="20"/>
          <w:szCs w:val="20"/>
        </w:rPr>
        <w:t xml:space="preserve">Tab.20 </w:t>
      </w:r>
      <w:r w:rsidR="008E7F88">
        <w:rPr>
          <w:rFonts w:ascii="Calibri" w:eastAsia="Calibri" w:hAnsi="Calibri" w:cs="Times New Roman"/>
          <w:sz w:val="20"/>
          <w:szCs w:val="20"/>
        </w:rPr>
        <w:t>C</w:t>
      </w:r>
      <w:r w:rsidRPr="00CF1D1E">
        <w:rPr>
          <w:rFonts w:ascii="Calibri" w:eastAsia="Calibri" w:hAnsi="Calibri" w:cs="Times New Roman"/>
          <w:sz w:val="20"/>
          <w:szCs w:val="20"/>
        </w:rPr>
        <w:t>alibration and quantification of S-Equol in the 3 bark extracts and also Pycnogenol as a qualitative reference. LOQ, LOD and the coefficient of determination (R</w:t>
      </w:r>
      <w:r w:rsidRPr="00CF1D1E">
        <w:rPr>
          <w:rFonts w:ascii="Calibri" w:eastAsia="Calibri" w:hAnsi="Calibri" w:cs="Times New Roman"/>
          <w:sz w:val="20"/>
          <w:szCs w:val="20"/>
          <w:vertAlign w:val="superscript"/>
        </w:rPr>
        <w:t>2</w:t>
      </w:r>
      <w:r w:rsidRPr="00CF1D1E">
        <w:rPr>
          <w:rFonts w:ascii="Calibri" w:eastAsia="Calibri" w:hAnsi="Calibri" w:cs="Times New Roman"/>
          <w:sz w:val="20"/>
          <w:szCs w:val="20"/>
        </w:rPr>
        <w:t>) are also provided.</w:t>
      </w:r>
    </w:p>
    <w:p w:rsidR="00CF1D1E" w:rsidRPr="00CF1D1E" w:rsidRDefault="00CF1D1E" w:rsidP="00CF1D1E">
      <w:pPr>
        <w:rPr>
          <w:rFonts w:ascii="Calibri" w:eastAsia="Calibri" w:hAnsi="Calibri" w:cs="Times New Roman"/>
        </w:rPr>
      </w:pPr>
      <w:r w:rsidRPr="00CF1D1E">
        <w:rPr>
          <w:rFonts w:ascii="Calibri" w:eastAsia="Calibri" w:hAnsi="Calibri" w:cs="Times New Roman"/>
        </w:rPr>
        <w:br w:type="page"/>
      </w:r>
    </w:p>
    <w:p w:rsidR="00CF1D1E" w:rsidRPr="00CF1D1E" w:rsidRDefault="00CF1D1E" w:rsidP="00CF1D1E">
      <w:pPr>
        <w:spacing w:line="360" w:lineRule="auto"/>
        <w:rPr>
          <w:rFonts w:ascii="Calibri" w:eastAsia="Calibri" w:hAnsi="Calibri" w:cs="Times New Roman"/>
        </w:rPr>
      </w:pPr>
      <w:r w:rsidRPr="00CF1D1E">
        <w:rPr>
          <w:rFonts w:ascii="Calibri" w:eastAsia="Calibri" w:hAnsi="Calibri" w:cs="Times New Roman"/>
          <w:noProof/>
          <w:lang w:eastAsia="en-GB"/>
        </w:rPr>
        <w:lastRenderedPageBreak/>
        <w:drawing>
          <wp:inline distT="0" distB="0" distL="0" distR="0" wp14:anchorId="267E2D7F" wp14:editId="51A433A2">
            <wp:extent cx="5849957" cy="34566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75931" cy="3471992"/>
                    </a:xfrm>
                    <a:prstGeom prst="rect">
                      <a:avLst/>
                    </a:prstGeom>
                  </pic:spPr>
                </pic:pic>
              </a:graphicData>
            </a:graphic>
          </wp:inline>
        </w:drawing>
      </w:r>
    </w:p>
    <w:p w:rsidR="00CF1D1E" w:rsidRPr="00CF1D1E" w:rsidRDefault="00CF1D1E" w:rsidP="00CF1D1E">
      <w:pPr>
        <w:autoSpaceDE w:val="0"/>
        <w:autoSpaceDN w:val="0"/>
        <w:adjustRightInd w:val="0"/>
        <w:spacing w:after="0" w:line="276"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76"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276"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Tab.21 </w:t>
      </w:r>
      <w:r w:rsidR="008E7F88">
        <w:rPr>
          <w:rFonts w:ascii="Calibri" w:eastAsia="Calibri" w:hAnsi="Calibri" w:cs="Times New Roman"/>
          <w:color w:val="000000"/>
          <w:sz w:val="20"/>
          <w:szCs w:val="20"/>
        </w:rPr>
        <w:t>C</w:t>
      </w:r>
      <w:r w:rsidRPr="00CF1D1E">
        <w:rPr>
          <w:rFonts w:ascii="Calibri" w:eastAsia="Calibri" w:hAnsi="Calibri" w:cs="Times New Roman"/>
          <w:color w:val="000000"/>
          <w:sz w:val="20"/>
          <w:szCs w:val="20"/>
        </w:rPr>
        <w:t>alibration and quantification of EGCG in the 3 bark extracts and also Pycnogenol as a qualitative reference. LOQ, LOD and the coefficient of determination (R</w:t>
      </w:r>
      <w:r w:rsidRPr="00CF1D1E">
        <w:rPr>
          <w:rFonts w:ascii="Calibri" w:eastAsia="Calibri" w:hAnsi="Calibri" w:cs="Times New Roman"/>
          <w:color w:val="000000"/>
          <w:sz w:val="20"/>
          <w:szCs w:val="20"/>
          <w:vertAlign w:val="superscript"/>
        </w:rPr>
        <w:t>2</w:t>
      </w:r>
      <w:r w:rsidRPr="00CF1D1E">
        <w:rPr>
          <w:rFonts w:ascii="Calibri" w:eastAsia="Calibri" w:hAnsi="Calibri" w:cs="Times New Roman"/>
          <w:color w:val="000000"/>
          <w:sz w:val="20"/>
          <w:szCs w:val="20"/>
        </w:rPr>
        <w:t>) are also provided.</w:t>
      </w:r>
    </w:p>
    <w:p w:rsidR="00CF1D1E" w:rsidRPr="00CF1D1E" w:rsidRDefault="00CF1D1E" w:rsidP="00CF1D1E">
      <w:pPr>
        <w:rPr>
          <w:rFonts w:ascii="Calibri" w:eastAsia="Calibri" w:hAnsi="Calibri" w:cs="Times New Roman"/>
          <w:color w:val="000000"/>
          <w:sz w:val="24"/>
          <w:szCs w:val="24"/>
        </w:rPr>
      </w:pPr>
      <w:r w:rsidRPr="00CF1D1E">
        <w:rPr>
          <w:rFonts w:ascii="Calibri" w:eastAsia="Calibri" w:hAnsi="Calibri" w:cs="Times New Roman"/>
          <w:color w:val="000000"/>
          <w:sz w:val="24"/>
          <w:szCs w:val="24"/>
        </w:rPr>
        <w:br w:type="page"/>
      </w:r>
    </w:p>
    <w:p w:rsidR="00CF1D1E" w:rsidRPr="00CF1D1E" w:rsidRDefault="00CF1D1E" w:rsidP="00CF1D1E">
      <w:pPr>
        <w:spacing w:line="360" w:lineRule="auto"/>
        <w:rPr>
          <w:rFonts w:ascii="Calibri" w:eastAsia="Calibri" w:hAnsi="Calibri" w:cs="Times New Roman"/>
          <w:b/>
          <w:sz w:val="44"/>
          <w:szCs w:val="44"/>
        </w:rPr>
      </w:pPr>
      <w:r w:rsidRPr="00CF1D1E">
        <w:rPr>
          <w:rFonts w:ascii="Calibri" w:eastAsia="Calibri" w:hAnsi="Calibri" w:cs="Times New Roman"/>
          <w:noProof/>
          <w:lang w:eastAsia="en-GB"/>
        </w:rPr>
        <w:lastRenderedPageBreak/>
        <w:drawing>
          <wp:inline distT="0" distB="0" distL="0" distR="0" wp14:anchorId="235DA72B" wp14:editId="5AE2E3E0">
            <wp:extent cx="5950474" cy="351438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93007" cy="3539501"/>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 xml:space="preserve">Tab.22 </w:t>
      </w:r>
      <w:r w:rsidR="008E7F88">
        <w:rPr>
          <w:rFonts w:ascii="Calibri" w:eastAsia="Calibri" w:hAnsi="Calibri" w:cs="Times New Roman"/>
          <w:sz w:val="20"/>
          <w:szCs w:val="20"/>
        </w:rPr>
        <w:t>C</w:t>
      </w:r>
      <w:r w:rsidRPr="00CF1D1E">
        <w:rPr>
          <w:rFonts w:ascii="Calibri" w:eastAsia="Calibri" w:hAnsi="Calibri" w:cs="Times New Roman"/>
          <w:sz w:val="20"/>
          <w:szCs w:val="20"/>
        </w:rPr>
        <w:t>alibration and quantification of Rutin in the 3 bark extracts and also Pycnogenol as a qualitative reference. LOQ, LOD and the coefficient of determination (R</w:t>
      </w:r>
      <w:r w:rsidRPr="00CF1D1E">
        <w:rPr>
          <w:rFonts w:ascii="Calibri" w:eastAsia="Calibri" w:hAnsi="Calibri" w:cs="Times New Roman"/>
          <w:sz w:val="20"/>
          <w:szCs w:val="20"/>
          <w:vertAlign w:val="superscript"/>
        </w:rPr>
        <w:t>2</w:t>
      </w:r>
      <w:r w:rsidRPr="00CF1D1E">
        <w:rPr>
          <w:rFonts w:ascii="Calibri" w:eastAsia="Calibri" w:hAnsi="Calibri" w:cs="Times New Roman"/>
          <w:sz w:val="20"/>
          <w:szCs w:val="20"/>
        </w:rPr>
        <w:t>) are also provided</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4B5FB1" w:rsidP="00CF1D1E">
      <w:pPr>
        <w:spacing w:line="360" w:lineRule="auto"/>
        <w:rPr>
          <w:rFonts w:ascii="Calibri" w:eastAsia="Calibri" w:hAnsi="Calibri" w:cs="Times New Roman"/>
          <w:sz w:val="24"/>
          <w:szCs w:val="24"/>
        </w:rPr>
      </w:pPr>
      <w:r>
        <w:rPr>
          <w:rFonts w:ascii="Calibri" w:eastAsia="Calibri" w:hAnsi="Calibri" w:cs="Times New Roman"/>
          <w:noProof/>
          <w:sz w:val="24"/>
          <w:szCs w:val="24"/>
          <w:lang w:eastAsia="en-GB"/>
        </w:rPr>
        <w:lastRenderedPageBreak/>
        <w:drawing>
          <wp:inline distT="0" distB="0" distL="0" distR="0">
            <wp:extent cx="5734050" cy="4352925"/>
            <wp:effectExtent l="0" t="0" r="0" b="952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4050" cy="4352925"/>
                    </a:xfrm>
                    <a:prstGeom prst="rect">
                      <a:avLst/>
                    </a:prstGeom>
                    <a:noFill/>
                    <a:ln>
                      <a:noFill/>
                    </a:ln>
                  </pic:spPr>
                </pic:pic>
              </a:graphicData>
            </a:graphic>
          </wp:inline>
        </w:drawing>
      </w:r>
    </w:p>
    <w:p w:rsidR="00CF1D1E" w:rsidRPr="00CF1D1E" w:rsidRDefault="00CF1D1E" w:rsidP="00CF1D1E">
      <w:pPr>
        <w:spacing w:line="360" w:lineRule="auto"/>
        <w:ind w:firstLine="720"/>
        <w:rPr>
          <w:rFonts w:ascii="Calibri" w:eastAsia="Calibri" w:hAnsi="Calibri" w:cs="Times New Roman"/>
          <w:sz w:val="24"/>
          <w:szCs w:val="24"/>
        </w:rPr>
      </w:pPr>
    </w:p>
    <w:p w:rsidR="00CF1D1E" w:rsidRPr="00CF1D1E" w:rsidRDefault="008E7F88" w:rsidP="00CF1D1E">
      <w:pPr>
        <w:spacing w:line="360" w:lineRule="auto"/>
        <w:jc w:val="both"/>
        <w:rPr>
          <w:rFonts w:ascii="Calibri" w:eastAsia="Calibri" w:hAnsi="Calibri" w:cs="Times New Roman"/>
          <w:sz w:val="20"/>
          <w:szCs w:val="20"/>
        </w:rPr>
      </w:pPr>
      <w:r>
        <w:rPr>
          <w:rFonts w:ascii="Calibri" w:eastAsia="Calibri" w:hAnsi="Calibri" w:cs="Times New Roman"/>
          <w:sz w:val="20"/>
          <w:szCs w:val="20"/>
        </w:rPr>
        <w:t>Fig.41 C</w:t>
      </w:r>
      <w:r w:rsidR="00CF1D1E" w:rsidRPr="00CF1D1E">
        <w:rPr>
          <w:rFonts w:ascii="Calibri" w:eastAsia="Calibri" w:hAnsi="Calibri" w:cs="Times New Roman"/>
          <w:sz w:val="20"/>
          <w:szCs w:val="20"/>
        </w:rPr>
        <w:t>hromatogram of a 2.6mg/l standard of EGCG. This can be compared to Fig.34 which is a 1.3mg/l standard of EGCG. The example above shows poor peak shape and also signif</w:t>
      </w:r>
      <w:r w:rsidR="008C7707">
        <w:rPr>
          <w:rFonts w:ascii="Calibri" w:eastAsia="Calibri" w:hAnsi="Calibri" w:cs="Times New Roman"/>
          <w:sz w:val="20"/>
          <w:szCs w:val="20"/>
        </w:rPr>
        <w:t>icant peak broadening caused by overloading</w:t>
      </w:r>
      <w:r w:rsidR="00CF1D1E" w:rsidRPr="00CF1D1E">
        <w:rPr>
          <w:rFonts w:ascii="Calibri" w:eastAsia="Calibri" w:hAnsi="Calibri" w:cs="Times New Roman"/>
          <w:sz w:val="20"/>
          <w:szCs w:val="20"/>
        </w:rPr>
        <w:t>.</w:t>
      </w:r>
      <w:r w:rsidR="008C7707">
        <w:rPr>
          <w:rFonts w:ascii="Calibri" w:eastAsia="Calibri" w:hAnsi="Calibri" w:cs="Times New Roman"/>
          <w:sz w:val="20"/>
          <w:szCs w:val="20"/>
        </w:rPr>
        <w:t xml:space="preserve"> </w:t>
      </w:r>
      <w:r w:rsidR="00CF1D1E" w:rsidRPr="00CF1D1E">
        <w:rPr>
          <w:rFonts w:ascii="Calibri" w:eastAsia="Calibri" w:hAnsi="Calibri" w:cs="Times New Roman"/>
          <w:sz w:val="20"/>
          <w:szCs w:val="20"/>
        </w:rPr>
        <w:t>This was not used in the calibration for this analyte.</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numPr>
          <w:ilvl w:val="1"/>
          <w:numId w:val="3"/>
        </w:numPr>
        <w:spacing w:line="360" w:lineRule="auto"/>
        <w:contextualSpacing/>
        <w:rPr>
          <w:rFonts w:ascii="Calibri" w:eastAsia="Calibri" w:hAnsi="Calibri" w:cs="Times New Roman"/>
          <w:b/>
          <w:sz w:val="44"/>
          <w:szCs w:val="44"/>
        </w:rPr>
      </w:pPr>
      <w:r w:rsidRPr="00CF1D1E">
        <w:rPr>
          <w:rFonts w:ascii="Calibri" w:eastAsia="Calibri" w:hAnsi="Calibri" w:cs="Times New Roman"/>
          <w:b/>
          <w:sz w:val="44"/>
          <w:szCs w:val="44"/>
        </w:rPr>
        <w:lastRenderedPageBreak/>
        <w:t>Discussion</w:t>
      </w:r>
    </w:p>
    <w:p w:rsidR="00CF1D1E" w:rsidRPr="00CF1D1E" w:rsidRDefault="00CF1D1E" w:rsidP="00CF1D1E">
      <w:pPr>
        <w:spacing w:line="360" w:lineRule="auto"/>
        <w:ind w:left="720"/>
        <w:contextualSpacing/>
        <w:rPr>
          <w:rFonts w:ascii="Calibri" w:eastAsia="Calibri" w:hAnsi="Calibri" w:cs="Times New Roman"/>
          <w:b/>
          <w:sz w:val="24"/>
          <w:szCs w:val="24"/>
        </w:rPr>
      </w:pPr>
    </w:p>
    <w:p w:rsidR="00914A10"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discussion of this research will begin by reiterating the research question: </w:t>
      </w:r>
      <w:r w:rsidRPr="00CF1D1E">
        <w:rPr>
          <w:rFonts w:ascii="Calibri" w:eastAsia="Calibri" w:hAnsi="Calibri" w:cs="Times New Roman"/>
          <w:i/>
          <w:sz w:val="24"/>
          <w:szCs w:val="24"/>
        </w:rPr>
        <w:t xml:space="preserve">can significant value be added to waste from the forestry industry of North Wales through characterisation using modern mass spectrometry based analysis? </w:t>
      </w:r>
      <w:r w:rsidRPr="00CF1D1E">
        <w:rPr>
          <w:rFonts w:ascii="Calibri" w:eastAsia="Calibri" w:hAnsi="Calibri" w:cs="Times New Roman"/>
          <w:sz w:val="24"/>
          <w:szCs w:val="24"/>
        </w:rPr>
        <w:t>Broadly speaking, based on this initial research on bark waste, it can be seen that production of a similar nutraceutical product to Pycnogenol could indeed be a possibility. The financial aspects of this with respect to commercial viability fall outside the scope of this thesis. Although the author has 8 years of first-hand experience in taking R&amp;D products to commercial level production in industry, the financial side was always handled by experts in that area. Little cost information was available and therefore no cost analysis was attempted. The wide spectrum of polyphenols discovered in the bark samples</w:t>
      </w:r>
      <w:r w:rsidR="00C40099">
        <w:rPr>
          <w:rFonts w:ascii="Calibri" w:eastAsia="Calibri" w:hAnsi="Calibri" w:cs="Times New Roman"/>
          <w:sz w:val="24"/>
          <w:szCs w:val="24"/>
        </w:rPr>
        <w:t>, illustrated in the heat map (T</w:t>
      </w:r>
      <w:r w:rsidR="009259A4">
        <w:rPr>
          <w:rFonts w:ascii="Calibri" w:eastAsia="Calibri" w:hAnsi="Calibri" w:cs="Times New Roman"/>
          <w:sz w:val="24"/>
          <w:szCs w:val="24"/>
        </w:rPr>
        <w:t>ab. 9a),</w:t>
      </w:r>
      <w:r w:rsidRPr="00CF1D1E">
        <w:rPr>
          <w:rFonts w:ascii="Calibri" w:eastAsia="Calibri" w:hAnsi="Calibri" w:cs="Times New Roman"/>
          <w:sz w:val="24"/>
          <w:szCs w:val="24"/>
        </w:rPr>
        <w:t xml:space="preserve"> backup the concept of a nutraceutical based on bark from trees other than French Maritime Pine, which is not an abundant resource in North Wales. </w:t>
      </w:r>
    </w:p>
    <w:p w:rsidR="00914A10" w:rsidRDefault="00914A10"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Many polyphenol glucuronides were tentatively identified through th</w:t>
      </w:r>
      <w:r w:rsidR="00C40099">
        <w:rPr>
          <w:rFonts w:ascii="Calibri" w:eastAsia="Calibri" w:hAnsi="Calibri" w:cs="Times New Roman"/>
          <w:sz w:val="24"/>
          <w:szCs w:val="24"/>
        </w:rPr>
        <w:t>e discovery process (T</w:t>
      </w:r>
      <w:r>
        <w:rPr>
          <w:rFonts w:ascii="Calibri" w:eastAsia="Calibri" w:hAnsi="Calibri" w:cs="Times New Roman"/>
          <w:sz w:val="24"/>
          <w:szCs w:val="24"/>
        </w:rPr>
        <w:t xml:space="preserve">ab. 9). Natural glucuronides are widely </w:t>
      </w:r>
      <w:r w:rsidR="002C385E">
        <w:rPr>
          <w:rFonts w:ascii="Calibri" w:eastAsia="Calibri" w:hAnsi="Calibri" w:cs="Times New Roman"/>
          <w:sz w:val="24"/>
          <w:szCs w:val="24"/>
        </w:rPr>
        <w:t xml:space="preserve">found </w:t>
      </w:r>
      <w:r>
        <w:rPr>
          <w:rFonts w:ascii="Calibri" w:eastAsia="Calibri" w:hAnsi="Calibri" w:cs="Times New Roman"/>
          <w:sz w:val="24"/>
          <w:szCs w:val="24"/>
        </w:rPr>
        <w:t xml:space="preserve">in plants. Many natural glucuronides with </w:t>
      </w:r>
      <w:r w:rsidRPr="00914A10">
        <w:rPr>
          <w:rFonts w:ascii="Calibri" w:eastAsia="Calibri" w:hAnsi="Calibri" w:cs="Times New Roman"/>
          <w:sz w:val="24"/>
          <w:szCs w:val="24"/>
        </w:rPr>
        <w:t>pharmacological activities have been isolated from plants</w:t>
      </w:r>
      <w:r w:rsidR="00A736FA">
        <w:rPr>
          <w:rFonts w:ascii="Calibri" w:eastAsia="Calibri" w:hAnsi="Calibri" w:cs="Times New Roman"/>
          <w:sz w:val="24"/>
          <w:szCs w:val="24"/>
        </w:rPr>
        <w:t xml:space="preserve"> </w:t>
      </w:r>
      <w:r w:rsidR="00A736FA">
        <w:rPr>
          <w:rFonts w:ascii="Calibri" w:eastAsia="Calibri" w:hAnsi="Calibri" w:cs="Times New Roman"/>
          <w:sz w:val="24"/>
          <w:szCs w:val="24"/>
        </w:rPr>
        <w:fldChar w:fldCharType="begin" w:fldLock="1"/>
      </w:r>
      <w:r w:rsidR="007F0A67">
        <w:rPr>
          <w:rFonts w:ascii="Calibri" w:eastAsia="Calibri" w:hAnsi="Calibri" w:cs="Times New Roman"/>
          <w:sz w:val="24"/>
          <w:szCs w:val="24"/>
        </w:rPr>
        <w:instrText>ADDIN CSL_CITATION {"citationItems":[{"id":"ITEM-1","itemData":{"DOI":"10.1021/acs.jafc.9b01769","ISSN":"15205118","abstract":"Many O-glucuronides exhibiting various pharmacological activities have been found in nature and in drug metabolism. The glucuronidation of bioactive natural products or drugs to generate glucuronides with better activity and druggability is important in drug discovery and research. In this study, by using two uridine diphosphate (UDP)-dependent glucuronosyltransferases (GATs, UGT88D4 and UGT88D7) from plants, we developed two glucuronidation approaches, pure enzyme catalysis in vitro and recombinant whole-cell catalysis in vivo, to efficiently synthesize bioactive O-glucuronides by the glucuronidation of natural products. In total, 14 O-glucuronides with different structures, including flavonoids, anthraquinones, coumarins, and lignans, were obtained, 7 of which were new compounds. Furthermore, one of the biosynthesized O-glucuronides, kaempferol-7-O-β-d-glucuronide (3a), potently inhibited protein tyrosine phosphatase (PTP) 1B with an IC50 value of 8.02 × 10-6 M. Some of the biosynthesized O-glucuronides also exhibited significant antioxidant activities.","author":[{"dropping-particle":"","family":"Yue","given":"Tian","non-dropping-particle":"","parse-names":false,"suffix":""},{"dropping-particle":"","family":"Chen","given":"Ridao","non-dropping-particle":"","parse-names":false,"suffix":""},{"dropping-particle":"","family":"Chen","given":"Dawei","non-dropping-particle":"","parse-names":false,"suffix":""},{"dropping-particle":"","family":"Liu","given":"Jimei","non-dropping-particle":"","parse-names":false,"suffix":""},{"dropping-particle":"","family":"Xie","given":"Kebo","non-dropping-particle":"","parse-names":false,"suffix":""},{"dropping-particle":"","family":"Dai","given":"Jungui","non-dropping-particle":"","parse-names":false,"suffix":""}],"container-title":"Journal of Agricultural and Food Chemistry","id":"ITEM-1","issue":"22","issued":{"date-parts":[["2019"]]},"page":"6275-6284","title":"Enzymatic Synthesis of Bioactive O-Glucuronides Using Plant Glucuronosyltransferases","type":"article-journal","volume":"67"},"uris":["http://www.mendeley.com/documents/?uuid=f5ba4ffd-8b9e-4a30-b27f-a90214d580ea"]}],"mendeley":{"formattedCitation":"(Yue et al., 2019)","plainTextFormattedCitation":"(Yue et al., 2019)","previouslyFormattedCitation":"(Yue et al., 2019)"},"properties":{"noteIndex":0},"schema":"https://github.com/citation-style-language/schema/raw/master/csl-citation.json"}</w:instrText>
      </w:r>
      <w:r w:rsidR="00A736FA">
        <w:rPr>
          <w:rFonts w:ascii="Calibri" w:eastAsia="Calibri" w:hAnsi="Calibri" w:cs="Times New Roman"/>
          <w:sz w:val="24"/>
          <w:szCs w:val="24"/>
        </w:rPr>
        <w:fldChar w:fldCharType="separate"/>
      </w:r>
      <w:r w:rsidR="00A736FA" w:rsidRPr="00A736FA">
        <w:rPr>
          <w:rFonts w:ascii="Calibri" w:eastAsia="Calibri" w:hAnsi="Calibri" w:cs="Times New Roman"/>
          <w:noProof/>
          <w:sz w:val="24"/>
          <w:szCs w:val="24"/>
        </w:rPr>
        <w:t xml:space="preserve">(Yue </w:t>
      </w:r>
      <w:r w:rsidR="00A736FA" w:rsidRPr="00A736FA">
        <w:rPr>
          <w:rFonts w:ascii="Calibri" w:eastAsia="Calibri" w:hAnsi="Calibri" w:cs="Times New Roman"/>
          <w:i/>
          <w:noProof/>
          <w:sz w:val="24"/>
          <w:szCs w:val="24"/>
        </w:rPr>
        <w:t>et al</w:t>
      </w:r>
      <w:r w:rsidR="00A736FA" w:rsidRPr="00A736FA">
        <w:rPr>
          <w:rFonts w:ascii="Calibri" w:eastAsia="Calibri" w:hAnsi="Calibri" w:cs="Times New Roman"/>
          <w:noProof/>
          <w:sz w:val="24"/>
          <w:szCs w:val="24"/>
        </w:rPr>
        <w:t>., 2019)</w:t>
      </w:r>
      <w:r w:rsidR="00A736FA">
        <w:rPr>
          <w:rFonts w:ascii="Calibri" w:eastAsia="Calibri" w:hAnsi="Calibri" w:cs="Times New Roman"/>
          <w:sz w:val="24"/>
          <w:szCs w:val="24"/>
        </w:rPr>
        <w:fldChar w:fldCharType="end"/>
      </w:r>
      <w:r w:rsidR="00B11A8F">
        <w:rPr>
          <w:rFonts w:ascii="Calibri" w:eastAsia="Calibri" w:hAnsi="Calibri" w:cs="Times New Roman"/>
          <w:sz w:val="24"/>
          <w:szCs w:val="24"/>
        </w:rPr>
        <w:t>.</w:t>
      </w:r>
      <w:r>
        <w:rPr>
          <w:rFonts w:ascii="Calibri" w:eastAsia="Calibri" w:hAnsi="Calibri" w:cs="Times New Roman"/>
          <w:sz w:val="24"/>
          <w:szCs w:val="24"/>
        </w:rPr>
        <w:t xml:space="preserve"> </w:t>
      </w:r>
      <w:r w:rsidR="00B11A8F">
        <w:rPr>
          <w:rFonts w:ascii="Calibri" w:eastAsia="Calibri" w:hAnsi="Calibri" w:cs="Times New Roman"/>
          <w:sz w:val="24"/>
          <w:szCs w:val="24"/>
        </w:rPr>
        <w:t>T</w:t>
      </w:r>
      <w:r w:rsidR="009822C0">
        <w:rPr>
          <w:rFonts w:ascii="Calibri" w:eastAsia="Calibri" w:hAnsi="Calibri" w:cs="Times New Roman"/>
          <w:sz w:val="24"/>
          <w:szCs w:val="24"/>
        </w:rPr>
        <w:t>hese components</w:t>
      </w:r>
      <w:r>
        <w:rPr>
          <w:rFonts w:ascii="Calibri" w:eastAsia="Calibri" w:hAnsi="Calibri" w:cs="Times New Roman"/>
          <w:sz w:val="24"/>
          <w:szCs w:val="24"/>
        </w:rPr>
        <w:t xml:space="preserve"> could </w:t>
      </w:r>
      <w:r w:rsidR="00B11A8F">
        <w:rPr>
          <w:rFonts w:ascii="Calibri" w:eastAsia="Calibri" w:hAnsi="Calibri" w:cs="Times New Roman"/>
          <w:sz w:val="24"/>
          <w:szCs w:val="24"/>
        </w:rPr>
        <w:t xml:space="preserve">provide one way to </w:t>
      </w:r>
      <w:r>
        <w:rPr>
          <w:rFonts w:ascii="Calibri" w:eastAsia="Calibri" w:hAnsi="Calibri" w:cs="Times New Roman"/>
          <w:sz w:val="24"/>
          <w:szCs w:val="24"/>
        </w:rPr>
        <w:t>open up a route t</w:t>
      </w:r>
      <w:r w:rsidR="00B11A8F">
        <w:rPr>
          <w:rFonts w:ascii="Calibri" w:eastAsia="Calibri" w:hAnsi="Calibri" w:cs="Times New Roman"/>
          <w:sz w:val="24"/>
          <w:szCs w:val="24"/>
        </w:rPr>
        <w:t>hat adds</w:t>
      </w:r>
      <w:r>
        <w:rPr>
          <w:rFonts w:ascii="Calibri" w:eastAsia="Calibri" w:hAnsi="Calibri" w:cs="Times New Roman"/>
          <w:sz w:val="24"/>
          <w:szCs w:val="24"/>
        </w:rPr>
        <w:t xml:space="preserve"> value to forestry waste.</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Even though the research presented here outlines the potential, an expansion of th</w:t>
      </w:r>
      <w:r w:rsidR="00293EA4">
        <w:rPr>
          <w:rFonts w:ascii="Calibri" w:eastAsia="Calibri" w:hAnsi="Calibri" w:cs="Times New Roman"/>
          <w:sz w:val="24"/>
          <w:szCs w:val="24"/>
        </w:rPr>
        <w:t>is proof-of-principle</w:t>
      </w:r>
      <w:r w:rsidRPr="00CF1D1E">
        <w:rPr>
          <w:rFonts w:ascii="Calibri" w:eastAsia="Calibri" w:hAnsi="Calibri" w:cs="Times New Roman"/>
          <w:sz w:val="24"/>
          <w:szCs w:val="24"/>
        </w:rPr>
        <w:t xml:space="preserve"> study would be necessary to provide more detail on certain aspects. These would include age of bark, time of storage before processing, age of trees providing the waste and effect of harvesting season on the polyphenol profile. The number and variety of bio-replicates would need to be increased</w:t>
      </w:r>
      <w:r w:rsidR="00311AEA">
        <w:rPr>
          <w:rFonts w:ascii="Calibri" w:eastAsia="Calibri" w:hAnsi="Calibri" w:cs="Times New Roman"/>
          <w:sz w:val="24"/>
          <w:szCs w:val="24"/>
        </w:rPr>
        <w:t xml:space="preserve"> and</w:t>
      </w:r>
      <w:r w:rsidRPr="00CF1D1E">
        <w:rPr>
          <w:rFonts w:ascii="Calibri" w:eastAsia="Calibri" w:hAnsi="Calibri" w:cs="Times New Roman"/>
          <w:sz w:val="24"/>
          <w:szCs w:val="24"/>
        </w:rPr>
        <w:t xml:space="preserve"> backed up by technical replicates to counteract normal analytical variation. Further work on the most efficient and cost effective extraction techniques would also be required.  One such route that is suggested, which was not available during this study, would be to investigate the use of supercritical fluid extraction i.e. liquid CO</w:t>
      </w:r>
      <w:r w:rsidRPr="00CF1D1E">
        <w:rPr>
          <w:rFonts w:ascii="Calibri" w:eastAsia="Calibri" w:hAnsi="Calibri" w:cs="Times New Roman"/>
          <w:sz w:val="24"/>
          <w:szCs w:val="24"/>
          <w:vertAlign w:val="subscript"/>
        </w:rPr>
        <w:t>2</w:t>
      </w:r>
      <w:r w:rsidRPr="00CF1D1E">
        <w:rPr>
          <w:rFonts w:ascii="Calibri" w:eastAsia="Calibri" w:hAnsi="Calibri" w:cs="Times New Roman"/>
          <w:sz w:val="24"/>
          <w:szCs w:val="24"/>
        </w:rPr>
        <w:t xml:space="preserve"> (and possibly modifiers like ethanol) as a food friendly solvent. The fast diffusion rate of this method causes more rapid extraction. Furthermore, it is shown that different enzymatic pre-treatments can facilitate control of selectivity as to which components are extracted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{"citationItems":[{"id":"ITEM-1","itemData":{"author":[{"dropping-particle":"","family":"Mill","given":"Opuntia L","non-dropping-particle":"","parse-names":false,"suffix":""},{"dropping-particle":"","family":"Antunes-ricardo","given":"Marilena","non-dropping-particle":"","parse-names":false,"suffix":""},{"dropping-particle":"","family":"García-cayuela","given":"Tomás","non-dropping-particle":"","parse-names":false,"suffix":""},{"dropping-particle":"","family":"Ibañez","given":"Elena","non-dropping-particle":"","parse-names":false,"suffix":""}],"container-title":"Institute of Food Science Research","id":"ITEM-1","issued":{"date-parts":[["2019"]]},"page":"71-72","title":"Enzyme-assisted in situ supercritical fluid extraction of isorhamnetin conjugates from Opuntia ficus-indica (L.) Mill Marilena Antunes-Ricardo","type":"article-journal"},"uris":["http://www.mendeley.com/documents/?uuid=fb20c31d-1b6d-43dd-8020-8be5e1ea58c8"]}],"mendeley":{"formattedCitation":"(Mill, Antunes-ricardo, García-cayuela, &amp; Ibañez, 2019)","plainTextFormattedCitation":"(Mill, Antunes-ricardo, García-cayuela, &amp; Ibañez, 2019)","previouslyFormattedCitation":"(Mill, Antunes-ricardo, García-cayuela, &amp; Ibañez,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(Mill, Antunes-ricardo, García-cayuela, &amp; Ibañez,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The analytical results shown in the previous section illustrate the rich diversity of polyphenolic compounds present in the forestry waste samples extracted and analysed. Initial observation suggests that products could be created from the forestry waste of North Wales and achieve valorisation. Broad extracts of barks from a single source,</w:t>
      </w:r>
      <w:r w:rsidR="00311AEA" w:rsidRPr="00311AEA">
        <w:rPr>
          <w:rFonts w:ascii="Calibri" w:eastAsia="Calibri" w:hAnsi="Calibri" w:cs="Times New Roman"/>
          <w:sz w:val="24"/>
          <w:szCs w:val="24"/>
        </w:rPr>
        <w:t xml:space="preserve"> </w:t>
      </w:r>
      <w:r w:rsidR="00311AEA" w:rsidRPr="00CF1D1E">
        <w:rPr>
          <w:rFonts w:ascii="Calibri" w:eastAsia="Calibri" w:hAnsi="Calibri" w:cs="Times New Roman"/>
          <w:sz w:val="24"/>
          <w:szCs w:val="24"/>
        </w:rPr>
        <w:t>similar in concept to Pycnogenol</w:t>
      </w:r>
      <w:r w:rsidR="00311AEA">
        <w:rPr>
          <w:rFonts w:ascii="Calibri" w:eastAsia="Calibri" w:hAnsi="Calibri" w:cs="Times New Roman"/>
          <w:sz w:val="24"/>
          <w:szCs w:val="24"/>
        </w:rPr>
        <w:t>,</w:t>
      </w:r>
      <w:r w:rsidRPr="00CF1D1E">
        <w:rPr>
          <w:rFonts w:ascii="Calibri" w:eastAsia="Calibri" w:hAnsi="Calibri" w:cs="Times New Roman"/>
          <w:sz w:val="24"/>
          <w:szCs w:val="24"/>
        </w:rPr>
        <w:t xml:space="preserve"> or </w:t>
      </w:r>
      <w:r w:rsidR="00311AEA">
        <w:rPr>
          <w:rFonts w:ascii="Calibri" w:eastAsia="Calibri" w:hAnsi="Calibri" w:cs="Times New Roman"/>
          <w:sz w:val="24"/>
          <w:szCs w:val="24"/>
        </w:rPr>
        <w:t xml:space="preserve">extracts </w:t>
      </w:r>
      <w:r w:rsidRPr="00CF1D1E">
        <w:rPr>
          <w:rFonts w:ascii="Calibri" w:eastAsia="Calibri" w:hAnsi="Calibri" w:cs="Times New Roman"/>
          <w:sz w:val="24"/>
          <w:szCs w:val="24"/>
        </w:rPr>
        <w:t>of general mixed waste, could be produced in a scaled up industrial version of the method outlined in this chapter. Further studies would need to be conducted in order to investigate the commercial viability of this approach or to develop a cost effective, safe and pragmatic production method.  The results show a different profile of polyphenolics compared to Pycnogenol</w:t>
      </w:r>
      <w:r w:rsidR="003050F5">
        <w:rPr>
          <w:rFonts w:ascii="Calibri" w:eastAsia="Calibri" w:hAnsi="Calibri" w:cs="Times New Roman"/>
          <w:sz w:val="24"/>
          <w:szCs w:val="24"/>
        </w:rPr>
        <w:t xml:space="preserve"> (Tabs 10 to 22)</w:t>
      </w:r>
      <w:r w:rsidRPr="00CF1D1E">
        <w:rPr>
          <w:rFonts w:ascii="Calibri" w:eastAsia="Calibri" w:hAnsi="Calibri" w:cs="Times New Roman"/>
          <w:sz w:val="24"/>
          <w:szCs w:val="24"/>
        </w:rPr>
        <w:t>. This is to be expected from different species of tree. The degree of variation of Pycnogenol polyphenolics, from one commercial batch to another, was not available. The Pycnogenol extract was used as a bench mark during the study for comparative profile information only. Quantitative calculations of Pycnogenol polyphenolics were not entered into. The extraction method used by the manufacturer is their intellectual property which</w:t>
      </w:r>
      <w:r w:rsidR="00374850">
        <w:rPr>
          <w:rFonts w:ascii="Calibri" w:eastAsia="Calibri" w:hAnsi="Calibri" w:cs="Times New Roman"/>
          <w:sz w:val="24"/>
          <w:szCs w:val="24"/>
        </w:rPr>
        <w:t xml:space="preserve"> has not been published. It is </w:t>
      </w:r>
      <w:r w:rsidRPr="00CF1D1E">
        <w:rPr>
          <w:rFonts w:ascii="Calibri" w:eastAsia="Calibri" w:hAnsi="Calibri" w:cs="Times New Roman"/>
          <w:sz w:val="24"/>
          <w:szCs w:val="24"/>
        </w:rPr>
        <w:t>reasonable to assume that it is most likely carried out in a different and proprietary manner which would lead to a meaningless quantitative comparison. Pycnogenol was therefore used as a qualitative profile, or fingerprint, for comparative purposes to illustrate the similarities and the differences when compared to an established commercial product.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From the Xevo TQ-XS MRM analysis is can </w:t>
      </w:r>
      <w:r w:rsidR="00374850">
        <w:rPr>
          <w:rFonts w:ascii="Calibri" w:eastAsia="Calibri" w:hAnsi="Calibri" w:cs="Times New Roman"/>
          <w:sz w:val="24"/>
          <w:szCs w:val="24"/>
        </w:rPr>
        <w:t>be seen</w:t>
      </w:r>
      <w:r w:rsidR="002C0DB4">
        <w:rPr>
          <w:rFonts w:ascii="Calibri" w:eastAsia="Calibri" w:hAnsi="Calibri" w:cs="Times New Roman"/>
          <w:sz w:val="24"/>
          <w:szCs w:val="24"/>
        </w:rPr>
        <w:t xml:space="preserve"> (Tabs 10 to 15)</w:t>
      </w:r>
      <w:r w:rsidR="00374850">
        <w:rPr>
          <w:rFonts w:ascii="Calibri" w:eastAsia="Calibri" w:hAnsi="Calibri" w:cs="Times New Roman"/>
          <w:sz w:val="24"/>
          <w:szCs w:val="24"/>
        </w:rPr>
        <w:t xml:space="preserve"> that (-)-epicatechin, </w:t>
      </w:r>
      <w:proofErr w:type="spellStart"/>
      <w:r w:rsidR="00374850">
        <w:rPr>
          <w:rFonts w:ascii="Calibri" w:eastAsia="Calibri" w:hAnsi="Calibri" w:cs="Times New Roman"/>
          <w:sz w:val="24"/>
          <w:szCs w:val="24"/>
        </w:rPr>
        <w:t>caffeic</w:t>
      </w:r>
      <w:proofErr w:type="spellEnd"/>
      <w:r w:rsidR="00374850">
        <w:rPr>
          <w:rFonts w:ascii="Calibri" w:eastAsia="Calibri" w:hAnsi="Calibri" w:cs="Times New Roman"/>
          <w:sz w:val="24"/>
          <w:szCs w:val="24"/>
        </w:rPr>
        <w:t xml:space="preserve"> acid, </w:t>
      </w:r>
      <w:proofErr w:type="spellStart"/>
      <w:r w:rsidR="00374850">
        <w:rPr>
          <w:rFonts w:ascii="Calibri" w:eastAsia="Calibri" w:hAnsi="Calibri" w:cs="Times New Roman"/>
          <w:sz w:val="24"/>
          <w:szCs w:val="24"/>
        </w:rPr>
        <w:t>v</w:t>
      </w:r>
      <w:r w:rsidRPr="00CF1D1E">
        <w:rPr>
          <w:rFonts w:ascii="Calibri" w:eastAsia="Calibri" w:hAnsi="Calibri" w:cs="Times New Roman"/>
          <w:sz w:val="24"/>
          <w:szCs w:val="24"/>
        </w:rPr>
        <w:t>anillic</w:t>
      </w:r>
      <w:proofErr w:type="spellEnd"/>
      <w:r w:rsidRPr="00CF1D1E">
        <w:rPr>
          <w:rFonts w:ascii="Calibri" w:eastAsia="Calibri" w:hAnsi="Calibri" w:cs="Times New Roman"/>
          <w:sz w:val="24"/>
          <w:szCs w:val="24"/>
        </w:rPr>
        <w:t xml:space="preserve"> acid, p-</w:t>
      </w:r>
      <w:proofErr w:type="spellStart"/>
      <w:r w:rsidRPr="00CF1D1E">
        <w:rPr>
          <w:rFonts w:ascii="Calibri" w:eastAsia="Calibri" w:hAnsi="Calibri" w:cs="Times New Roman"/>
          <w:sz w:val="24"/>
          <w:szCs w:val="24"/>
        </w:rPr>
        <w:t>coumaric</w:t>
      </w:r>
      <w:proofErr w:type="spellEnd"/>
      <w:r w:rsidRPr="00CF1D1E">
        <w:rPr>
          <w:rFonts w:ascii="Calibri" w:eastAsia="Calibri" w:hAnsi="Calibri" w:cs="Times New Roman"/>
          <w:sz w:val="24"/>
          <w:szCs w:val="24"/>
        </w:rPr>
        <w:t xml:space="preserve"> and </w:t>
      </w:r>
      <w:r w:rsidRPr="00EB6329">
        <w:rPr>
          <w:rFonts w:ascii="Calibri" w:eastAsia="Calibri" w:hAnsi="Calibri" w:cs="Times New Roman"/>
          <w:i/>
          <w:sz w:val="24"/>
          <w:szCs w:val="24"/>
        </w:rPr>
        <w:t>trans</w:t>
      </w:r>
      <w:r w:rsidRPr="00CF1D1E">
        <w:rPr>
          <w:rFonts w:ascii="Calibri" w:eastAsia="Calibri" w:hAnsi="Calibri" w:cs="Times New Roman"/>
          <w:sz w:val="24"/>
          <w:szCs w:val="24"/>
        </w:rPr>
        <w:t>-</w:t>
      </w:r>
      <w:proofErr w:type="spellStart"/>
      <w:r w:rsidRPr="00CF1D1E">
        <w:rPr>
          <w:rFonts w:ascii="Calibri" w:eastAsia="Calibri" w:hAnsi="Calibri" w:cs="Times New Roman"/>
          <w:sz w:val="24"/>
          <w:szCs w:val="24"/>
        </w:rPr>
        <w:t>ferulic</w:t>
      </w:r>
      <w:proofErr w:type="spellEnd"/>
      <w:r w:rsidRPr="00CF1D1E">
        <w:rPr>
          <w:rFonts w:ascii="Calibri" w:eastAsia="Calibri" w:hAnsi="Calibri" w:cs="Times New Roman"/>
          <w:sz w:val="24"/>
          <w:szCs w:val="24"/>
        </w:rPr>
        <w:t xml:space="preserve"> acid are generally observed in the 3 bark extracts and also in Pycnogenol although there are some omissions e.g. (-)-epicatechin in Scots Pine. Differences were much less than the general trend of similarity. This is further </w:t>
      </w:r>
      <w:r w:rsidR="00374850">
        <w:rPr>
          <w:rFonts w:ascii="Calibri" w:eastAsia="Calibri" w:hAnsi="Calibri" w:cs="Times New Roman"/>
          <w:sz w:val="24"/>
          <w:szCs w:val="24"/>
        </w:rPr>
        <w:t>confirmed</w:t>
      </w:r>
      <w:r w:rsidRPr="00CF1D1E">
        <w:rPr>
          <w:rFonts w:ascii="Calibri" w:eastAsia="Calibri" w:hAnsi="Calibri" w:cs="Times New Roman"/>
          <w:sz w:val="24"/>
          <w:szCs w:val="24"/>
        </w:rPr>
        <w:t xml:space="preserve"> in the Q-ToF MRM work in wh</w:t>
      </w:r>
      <w:r w:rsidR="00374850">
        <w:rPr>
          <w:rFonts w:ascii="Calibri" w:eastAsia="Calibri" w:hAnsi="Calibri" w:cs="Times New Roman"/>
          <w:sz w:val="24"/>
          <w:szCs w:val="24"/>
        </w:rPr>
        <w:t>ich quercetin was found</w:t>
      </w:r>
      <w:r w:rsidRPr="00CF1D1E">
        <w:rPr>
          <w:rFonts w:ascii="Calibri" w:eastAsia="Calibri" w:hAnsi="Calibri" w:cs="Times New Roman"/>
          <w:sz w:val="24"/>
          <w:szCs w:val="24"/>
        </w:rPr>
        <w:t xml:space="preserve"> in 2 out of the 3 </w:t>
      </w:r>
      <w:r w:rsidR="00374850">
        <w:rPr>
          <w:rFonts w:ascii="Calibri" w:eastAsia="Calibri" w:hAnsi="Calibri" w:cs="Times New Roman"/>
          <w:sz w:val="24"/>
          <w:szCs w:val="24"/>
        </w:rPr>
        <w:t xml:space="preserve">bark </w:t>
      </w:r>
      <w:r w:rsidRPr="00CF1D1E">
        <w:rPr>
          <w:rFonts w:ascii="Calibri" w:eastAsia="Calibri" w:hAnsi="Calibri" w:cs="Times New Roman"/>
          <w:sz w:val="24"/>
          <w:szCs w:val="24"/>
        </w:rPr>
        <w:t>extracts</w:t>
      </w:r>
      <w:r w:rsidR="00374850">
        <w:rPr>
          <w:rFonts w:ascii="Calibri" w:eastAsia="Calibri" w:hAnsi="Calibri" w:cs="Times New Roman"/>
          <w:sz w:val="24"/>
          <w:szCs w:val="24"/>
        </w:rPr>
        <w:t xml:space="preserve"> and also Pycnogenol</w:t>
      </w:r>
      <w:r w:rsidRPr="00CF1D1E">
        <w:rPr>
          <w:rFonts w:ascii="Calibri" w:eastAsia="Calibri" w:hAnsi="Calibri" w:cs="Times New Roman"/>
          <w:sz w:val="24"/>
          <w:szCs w:val="24"/>
        </w:rPr>
        <w:t>. Ironically, quercetin is absent from the oak</w:t>
      </w:r>
      <w:r w:rsidR="00374850">
        <w:rPr>
          <w:rFonts w:ascii="Calibri" w:eastAsia="Calibri" w:hAnsi="Calibri" w:cs="Times New Roman"/>
          <w:sz w:val="24"/>
          <w:szCs w:val="24"/>
        </w:rPr>
        <w:t xml:space="preserve"> bark</w:t>
      </w:r>
      <w:r w:rsidRPr="00CF1D1E">
        <w:rPr>
          <w:rFonts w:ascii="Calibri" w:eastAsia="Calibri" w:hAnsi="Calibri" w:cs="Times New Roman"/>
          <w:sz w:val="24"/>
          <w:szCs w:val="24"/>
        </w:rPr>
        <w:t xml:space="preserve"> sample</w:t>
      </w:r>
      <w:r w:rsidR="002F7B7E">
        <w:rPr>
          <w:rFonts w:ascii="Calibri" w:eastAsia="Calibri" w:hAnsi="Calibri" w:cs="Times New Roman"/>
          <w:sz w:val="24"/>
          <w:szCs w:val="24"/>
        </w:rPr>
        <w:t xml:space="preserve"> (Tab. 17)</w:t>
      </w:r>
      <w:r w:rsidR="00374850">
        <w:rPr>
          <w:rFonts w:ascii="Calibri" w:eastAsia="Calibri" w:hAnsi="Calibri" w:cs="Times New Roman"/>
          <w:sz w:val="24"/>
          <w:szCs w:val="24"/>
        </w:rPr>
        <w:t xml:space="preserve">; </w:t>
      </w:r>
      <w:r w:rsidRPr="00CF1D1E">
        <w:rPr>
          <w:rFonts w:ascii="Calibri" w:eastAsia="Calibri" w:hAnsi="Calibri" w:cs="Times New Roman"/>
          <w:sz w:val="24"/>
          <w:szCs w:val="24"/>
        </w:rPr>
        <w:t xml:space="preserve">the irony being that quercetin derives its name from </w:t>
      </w:r>
      <w:proofErr w:type="spellStart"/>
      <w:r w:rsidRPr="00CF1D1E">
        <w:rPr>
          <w:rFonts w:ascii="Calibri" w:eastAsia="Calibri" w:hAnsi="Calibri" w:cs="Times New Roman"/>
          <w:i/>
          <w:sz w:val="24"/>
          <w:szCs w:val="24"/>
        </w:rPr>
        <w:t>quercetum</w:t>
      </w:r>
      <w:proofErr w:type="spellEnd"/>
      <w:r w:rsidRPr="00CF1D1E">
        <w:rPr>
          <w:rFonts w:ascii="Calibri" w:eastAsia="Calibri" w:hAnsi="Calibri" w:cs="Times New Roman"/>
          <w:sz w:val="24"/>
          <w:szCs w:val="24"/>
        </w:rPr>
        <w:t xml:space="preserve"> (oak forest). In A Review of Polyphenolics in Oak Woods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{"citationItems":[{"id":"ITEM-1","itemData":{"DOI":"10.3390/ijms16046978","ISSN":"1422-0067","abstract":"Polyphenolics, which are ubiquitous in plants, currently are among the most studied phytochemicals because of their perceptible chemical properties and antioxidant activity. Oak barrels and their alternatives, which are widely used in winemaking nowadays, contribute polyphenolics to wines and are thought to play crucial roles in the development of wines during aging. This study summarizes the detailed information of polyphenolics in oak woods and their products by examining their structures and discussing their chemical reactions during wine aging. This paper evaluates the most recent developments in polyphenolic chemistry by summarizing their extraction, separation, and their identification by the use of chromatographic and spectral techniques. In addition, this paper also introduces polyphenol bioactive ingredients in other plant foods.","author":[{"dropping-particle":"","family":"Zhang","given":"Bo","non-dropping-particle":"","parse-names":false,"suffix":""},{"dropping-particle":"","family":"Cai","given":"Jian","non-dropping-particle":"","parse-names":false,"suffix":""},{"dropping-particle":"","family":"Duan","given":"Chang-Qing","non-dropping-particle":"","parse-names":false,"suffix":""},{"dropping-particle":"","family":"Reeves","given":"Malcolm J","non-dropping-particle":"","parse-names":false,"suffix":""},{"dropping-particle":"","family":"He","given":"Fei","non-dropping-particle":"","parse-names":false,"suffix":""}],"container-title":"Int. J. Mol. Sci","id":"ITEM-1","issued":{"date-parts":[["2015"]]},"page":"6978-7014","title":"A Review of Polyphenolics in Oak Woods","type":"article-journal","volume":"16"},"uris":["http://www.mendeley.com/documents/?uuid=0489cbf1-76ac-33b3-9b83-7354b9a0faca"]}],"mendeley":{"formattedCitation":"(B. Zhang, Cai, Duan, Reeves, &amp; He, 2015)","plainTextFormattedCitation":"(B. Zhang, Cai, Duan, Reeves, &amp; He, 2015)","previouslyFormattedCitation":"(B. Zhang, Cai, Duan, Reeves, &amp; He,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(B. Zhang, Cai, Duan, Reeves, &amp; He,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quercetin is only </w:t>
      </w:r>
      <w:r w:rsidR="00007574">
        <w:rPr>
          <w:rFonts w:ascii="Calibri" w:eastAsia="Calibri" w:hAnsi="Calibri" w:cs="Times New Roman"/>
          <w:sz w:val="24"/>
          <w:szCs w:val="24"/>
        </w:rPr>
        <w:t>found</w:t>
      </w:r>
      <w:r w:rsidRPr="00CF1D1E">
        <w:rPr>
          <w:rFonts w:ascii="Calibri" w:eastAsia="Calibri" w:hAnsi="Calibri" w:cs="Times New Roman"/>
          <w:sz w:val="24"/>
          <w:szCs w:val="24"/>
        </w:rPr>
        <w:t xml:space="preserve"> to exist in oak wood in 1 out of the 4 references given. Further investigation would be warranted here as the targeted work clearly shows a flat baseline where quercetin would be found. </w:t>
      </w:r>
      <w:r w:rsidR="002F7B7E">
        <w:rPr>
          <w:rFonts w:ascii="Calibri" w:eastAsia="Calibri" w:hAnsi="Calibri" w:cs="Times New Roman"/>
          <w:sz w:val="24"/>
          <w:szCs w:val="24"/>
        </w:rPr>
        <w:t>Quercetin</w:t>
      </w:r>
      <w:r w:rsidRPr="00CF1D1E">
        <w:rPr>
          <w:rFonts w:ascii="Calibri" w:eastAsia="Calibri" w:hAnsi="Calibri" w:cs="Times New Roman"/>
          <w:sz w:val="24"/>
          <w:szCs w:val="24"/>
        </w:rPr>
        <w:t xml:space="preserve"> </w:t>
      </w:r>
      <w:r w:rsidRPr="002F7B7E">
        <w:rPr>
          <w:rFonts w:ascii="Calibri" w:eastAsia="Calibri" w:hAnsi="Calibri" w:cs="Times New Roman"/>
          <w:sz w:val="24"/>
          <w:szCs w:val="24"/>
        </w:rPr>
        <w:t>has</w:t>
      </w:r>
      <w:r w:rsidRPr="00CF1D1E">
        <w:rPr>
          <w:rFonts w:ascii="Calibri" w:eastAsia="Calibri" w:hAnsi="Calibri" w:cs="Times New Roman"/>
          <w:sz w:val="24"/>
          <w:szCs w:val="24"/>
        </w:rPr>
        <w:t xml:space="preserve"> been tentatively identified </w:t>
      </w:r>
      <w:r w:rsidR="002F7B7E">
        <w:rPr>
          <w:rFonts w:ascii="Calibri" w:eastAsia="Calibri" w:hAnsi="Calibri" w:cs="Times New Roman"/>
          <w:sz w:val="24"/>
          <w:szCs w:val="24"/>
        </w:rPr>
        <w:t xml:space="preserve">in the discovery data for </w:t>
      </w:r>
      <w:r w:rsidRPr="00CF1D1E">
        <w:rPr>
          <w:rFonts w:ascii="Calibri" w:eastAsia="Calibri" w:hAnsi="Calibri" w:cs="Times New Roman"/>
          <w:sz w:val="24"/>
          <w:szCs w:val="24"/>
        </w:rPr>
        <w:t>the oak extract</w:t>
      </w:r>
      <w:r w:rsidR="00C97FAB">
        <w:rPr>
          <w:rFonts w:ascii="Calibri" w:eastAsia="Calibri" w:hAnsi="Calibri" w:cs="Times New Roman"/>
          <w:sz w:val="24"/>
          <w:szCs w:val="24"/>
        </w:rPr>
        <w:t xml:space="preserve"> (</w:t>
      </w:r>
      <w:r w:rsidR="00C97FAB" w:rsidRPr="00C97FAB">
        <w:rPr>
          <w:rFonts w:ascii="Calibri" w:eastAsia="Calibri" w:hAnsi="Calibri" w:cs="Times New Roman"/>
          <w:sz w:val="24"/>
          <w:szCs w:val="24"/>
        </w:rPr>
        <w:t>Tab.A1-002</w:t>
      </w:r>
      <w:r w:rsidR="00007574">
        <w:rPr>
          <w:rFonts w:ascii="Calibri" w:eastAsia="Calibri" w:hAnsi="Calibri" w:cs="Times New Roman"/>
          <w:sz w:val="24"/>
          <w:szCs w:val="24"/>
        </w:rPr>
        <w:t>, 1.51min.,</w:t>
      </w:r>
      <w:r w:rsidR="00C97FAB" w:rsidRPr="00C97FAB">
        <w:rPr>
          <w:rFonts w:ascii="Calibri" w:eastAsia="Calibri" w:hAnsi="Calibri" w:cs="Times New Roman"/>
          <w:sz w:val="24"/>
          <w:szCs w:val="24"/>
        </w:rPr>
        <w:t xml:space="preserve"> </w:t>
      </w:r>
      <w:r w:rsidR="00C97FAB">
        <w:rPr>
          <w:rFonts w:ascii="Calibri" w:eastAsia="Calibri" w:hAnsi="Calibri" w:cs="Times New Roman"/>
          <w:sz w:val="24"/>
          <w:szCs w:val="24"/>
        </w:rPr>
        <w:t xml:space="preserve">highlighted in </w:t>
      </w:r>
      <w:r w:rsidR="007C3559">
        <w:rPr>
          <w:rFonts w:ascii="Calibri" w:eastAsia="Calibri" w:hAnsi="Calibri" w:cs="Times New Roman"/>
          <w:sz w:val="24"/>
          <w:szCs w:val="24"/>
        </w:rPr>
        <w:t>yellow</w:t>
      </w:r>
      <w:r w:rsidR="00C97FAB">
        <w:rPr>
          <w:rFonts w:ascii="Calibri" w:eastAsia="Calibri" w:hAnsi="Calibri" w:cs="Times New Roman"/>
          <w:sz w:val="24"/>
          <w:szCs w:val="24"/>
        </w:rPr>
        <w:t>)</w:t>
      </w:r>
      <w:r w:rsidR="002F7B7E">
        <w:rPr>
          <w:rFonts w:ascii="Calibri" w:eastAsia="Calibri" w:hAnsi="Calibri" w:cs="Times New Roman"/>
          <w:sz w:val="24"/>
          <w:szCs w:val="24"/>
        </w:rPr>
        <w:t xml:space="preserve"> </w:t>
      </w:r>
      <w:r w:rsidR="00007574">
        <w:rPr>
          <w:rFonts w:ascii="Calibri" w:eastAsia="Calibri" w:hAnsi="Calibri" w:cs="Times New Roman"/>
          <w:sz w:val="24"/>
          <w:szCs w:val="24"/>
        </w:rPr>
        <w:t>although</w:t>
      </w:r>
      <w:r w:rsidR="002F7B7E">
        <w:rPr>
          <w:rFonts w:ascii="Calibri" w:eastAsia="Calibri" w:hAnsi="Calibri" w:cs="Times New Roman"/>
          <w:sz w:val="24"/>
          <w:szCs w:val="24"/>
        </w:rPr>
        <w:t xml:space="preserve"> </w:t>
      </w:r>
      <w:r w:rsidRPr="00CF1D1E">
        <w:rPr>
          <w:rFonts w:ascii="Calibri" w:eastAsia="Calibri" w:hAnsi="Calibri" w:cs="Times New Roman"/>
          <w:sz w:val="24"/>
          <w:szCs w:val="24"/>
        </w:rPr>
        <w:t>targeted data holds a higher degree of identification confidence. In the region of quercetin’s monoisotopic mass (302.042</w:t>
      </w:r>
      <w:r w:rsidR="002C0DB4">
        <w:rPr>
          <w:rFonts w:ascii="Calibri" w:eastAsia="Calibri" w:hAnsi="Calibri" w:cs="Times New Roman"/>
          <w:sz w:val="24"/>
          <w:szCs w:val="24"/>
        </w:rPr>
        <w:t>7</w:t>
      </w:r>
      <w:r w:rsidRPr="00CF1D1E">
        <w:rPr>
          <w:rFonts w:ascii="Calibri" w:eastAsia="Calibri" w:hAnsi="Calibri" w:cs="Times New Roman"/>
          <w:sz w:val="24"/>
          <w:szCs w:val="24"/>
        </w:rPr>
        <w:t xml:space="preserve">Da) there </w:t>
      </w:r>
      <w:r w:rsidRPr="00CF1D1E">
        <w:rPr>
          <w:rFonts w:ascii="Calibri" w:eastAsia="Calibri" w:hAnsi="Calibri" w:cs="Times New Roman"/>
          <w:sz w:val="24"/>
          <w:szCs w:val="24"/>
        </w:rPr>
        <w:lastRenderedPageBreak/>
        <w:t>also exists isobaric Morin (302.042</w:t>
      </w:r>
      <w:r w:rsidR="002C0DB4">
        <w:rPr>
          <w:rFonts w:ascii="Calibri" w:eastAsia="Calibri" w:hAnsi="Calibri" w:cs="Times New Roman"/>
          <w:sz w:val="24"/>
          <w:szCs w:val="24"/>
        </w:rPr>
        <w:t>7</w:t>
      </w:r>
      <w:r w:rsidRPr="00CF1D1E">
        <w:rPr>
          <w:rFonts w:ascii="Calibri" w:eastAsia="Calibri" w:hAnsi="Calibri" w:cs="Times New Roman"/>
          <w:sz w:val="24"/>
          <w:szCs w:val="24"/>
        </w:rPr>
        <w:t xml:space="preserve">Da) and the similar mass of Hesperetin (302.0790Da). This may </w:t>
      </w:r>
      <w:r w:rsidR="002F7B7E">
        <w:rPr>
          <w:rFonts w:ascii="Calibri" w:eastAsia="Calibri" w:hAnsi="Calibri" w:cs="Times New Roman"/>
          <w:sz w:val="24"/>
          <w:szCs w:val="24"/>
        </w:rPr>
        <w:t xml:space="preserve">explain the </w:t>
      </w:r>
      <w:r w:rsidRPr="00CF1D1E">
        <w:rPr>
          <w:rFonts w:ascii="Calibri" w:eastAsia="Calibri" w:hAnsi="Calibri" w:cs="Times New Roman"/>
          <w:sz w:val="24"/>
          <w:szCs w:val="24"/>
        </w:rPr>
        <w:t xml:space="preserve">false discovery </w:t>
      </w:r>
      <w:r w:rsidR="002F7B7E">
        <w:rPr>
          <w:rFonts w:ascii="Calibri" w:eastAsia="Calibri" w:hAnsi="Calibri" w:cs="Times New Roman"/>
          <w:sz w:val="24"/>
          <w:szCs w:val="24"/>
        </w:rPr>
        <w:t xml:space="preserve">of quercetin in the oak extract. This </w:t>
      </w:r>
      <w:r w:rsidRPr="00CF1D1E">
        <w:rPr>
          <w:rFonts w:ascii="Calibri" w:eastAsia="Calibri" w:hAnsi="Calibri" w:cs="Times New Roman"/>
          <w:sz w:val="24"/>
          <w:szCs w:val="24"/>
        </w:rPr>
        <w:t xml:space="preserve">would </w:t>
      </w:r>
      <w:r w:rsidR="00C41008">
        <w:rPr>
          <w:rFonts w:ascii="Calibri" w:eastAsia="Calibri" w:hAnsi="Calibri" w:cs="Times New Roman"/>
          <w:sz w:val="24"/>
          <w:szCs w:val="24"/>
        </w:rPr>
        <w:t>require</w:t>
      </w:r>
      <w:r w:rsidRPr="00CF1D1E">
        <w:rPr>
          <w:rFonts w:ascii="Calibri" w:eastAsia="Calibri" w:hAnsi="Calibri" w:cs="Times New Roman"/>
          <w:sz w:val="24"/>
          <w:szCs w:val="24"/>
        </w:rPr>
        <w:t xml:space="preserve"> further investigation as Quercetin, Morin (flavonols) and Hesperetin (flavanone) have all been shown to produce an anti-inflammatory effect on acute inflammation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{"citationItems":[{"id":"ITEM-1","itemData":{"DOI":"10.1016/S1043-6618(03)00225-1","ISBN":"5426524246","ISSN":"10436618","abstract":"The anti-inflammatory activities of flavonols (quercetin, rutin and morin) and flavanones (hesperetin and hesperidin) were investigated in animal models of acute and chronic inflammation. Rutin was only effective in the chronic process, principally in adjuvant arthritis. On neurogenic inflammation induced by xylene, only the flavanones were effective; besides, these compounds were the most effective on subchronic process. The most important compound in reducing paw oedema induced by carrageenan was quercetin. © 2003 Elsevier Ltd. All rights reserved.","author":[{"dropping-particle":"","family":"Rotelli","given":"Alejandra Ester","non-dropping-particle":"","parse-names":false,"suffix":""},{"dropping-particle":"","family":"Guardia","given":"Teresita","non-dropping-particle":"","parse-names":false,"suffix":""},{"dropping-particle":"","family":"Juárez","given":"Américo Osvaldo","non-dropping-particle":"","parse-names":false,"suffix":""},{"dropping-particle":"","family":"La Rocha","given":"Nadir Ernesto","non-dropping-particle":"De","parse-names":false,"suffix":""},{"dropping-particle":"","family":"Pelzer","given":"Lilian Eugenia","non-dropping-particle":"","parse-names":false,"suffix":""}],"container-title":"Pharmacological Research","id":"ITEM-1","issue":"6","issued":{"date-parts":[["2003"]]},"page":"601-606","title":"Comparative study of flavonoids in experimental models of inflammation","type":"article-journal","volume":"48"},"uris":["http://www.mendeley.com/documents/?uuid=ce1884e5-a36f-4cb9-8d04-d2802973afbd"]}],"mendeley":{"formattedCitation":"(Rotelli, Guardia, Juárez, De La Rocha, &amp; Pelzer, 2003)","plainTextFormattedCitation":"(Rotelli, Guardia, Juárez, De La Rocha, &amp; Pelzer, 2003)","previouslyFormattedCitation":"(Rotelli, Guardia, Juárez, De La Rocha, &amp; Pelzer, 2003)"},"properties":{"noteIndex":0},"schema":"https://github.com/citation-style-language/schema/raw/master/csl-citation.json"}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(Rotelli, Guardia, Juárez, De La Rocha, &amp; Pelzer, 2003)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two flavanols, Quercetin and Morin, have been shown to be good natural antioxidants in fish preservation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{"citationItems":[{"id":"ITEM-1","itemData":{"DOI":"10.1021/jf00013a004","ISSN":"15205118","abstract":"Oxidative rancidity leads to the qualitative deterioration of muscle foods, resulting in the production of unpalatable flavor and odor, thereby shortening shelf life. Lipid oxidation, measured by the production of thiobarbituric acid reactive substances (TEARS), proceeded to a greater extent in raw and cooked fish stored at 4 °C than in that stored at -20 °C over 3 weeks. Several antioxidants were used to study their effects on lipid oxidation in ground fish. On storage (4 °C) day 14, all of the antioxidants, except rutin (200 and 30 ppm) and α-tocopherol (30 ppm), were effective in inhibiting lipid oxidation in raw fish. L-Ascorbic acid acted as a prooxidant in steam- and microwave-cooked fish, as well as in the 1-week-stored (at either 4 or -20 °C) steam-cooked fish. The polyphenols quercetin (200 ppm), myricetin (200 ppm), tannic acid (30 and 200 ppm), and ellagic acid (30 and 200 ppm) were potent antioxidants under the same conditions. © 1992, American Chemical Society. All rights reserved.","author":[{"dropping-particle":"","family":"Ramanathan","given":"L.","non-dropping-particle":"","parse-names":false,"suffix":""},{"dropping-particle":"","family":"Das","given":"N. P.","non-dropping-particle":"","parse-names":false,"suffix":""}],"container-title":"Journal of Agricultural and Food Chemistry","id":"ITEM-1","issue":"1","issued":{"date-parts":[["1992"]]},"page":"17-21","title":"Studies on the Control of Lipid Oxidation in Ground Fish by Some Polyphenolic Natural Products","type":"article-journal","volume":"40"},"uris":["http://www.mendeley.com/documents/?uuid=1590227e-fac6-443c-b913-1f40ed940a34"]}],"mendeley":{"formattedCitation":"(Ramanathan &amp; Das, 1992)","plainTextFormattedCitation":"(Ramanathan &amp; Das, 1992)","previouslyFormattedCitation":"(Ramanathan &amp; Das, 1992)"},"properties":{"noteIndex":0},"schema":"https://github.com/citation-style-language/schema/raw/master/csl-citation.json"}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(Ramanathan &amp; Das, 1992)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and differ only in the position of their hydroxyl groups on the B-ring. Quercetin has been shown to be absent in the Oak sample via </w:t>
      </w:r>
      <w:r w:rsidR="002F7B7E">
        <w:rPr>
          <w:rFonts w:ascii="Calibri" w:eastAsia="Calibri" w:hAnsi="Calibri" w:cs="Times New Roman"/>
          <w:sz w:val="24"/>
          <w:szCs w:val="24"/>
        </w:rPr>
        <w:t xml:space="preserve">this </w:t>
      </w:r>
      <w:r w:rsidRPr="00CF1D1E">
        <w:rPr>
          <w:rFonts w:ascii="Calibri" w:eastAsia="Calibri" w:hAnsi="Calibri" w:cs="Times New Roman"/>
          <w:sz w:val="24"/>
          <w:szCs w:val="24"/>
        </w:rPr>
        <w:t xml:space="preserve">targeted analysis but the presence of Morin or Hesperetin </w:t>
      </w:r>
      <w:r w:rsidRPr="002F7B7E">
        <w:rPr>
          <w:rFonts w:ascii="Calibri" w:eastAsia="Calibri" w:hAnsi="Calibri" w:cs="Times New Roman"/>
          <w:sz w:val="24"/>
          <w:szCs w:val="24"/>
        </w:rPr>
        <w:t>may</w:t>
      </w:r>
      <w:r w:rsidRPr="00CF1D1E">
        <w:rPr>
          <w:rFonts w:ascii="Calibri" w:eastAsia="Calibri" w:hAnsi="Calibri" w:cs="Times New Roman"/>
          <w:sz w:val="24"/>
          <w:szCs w:val="24"/>
        </w:rPr>
        <w:t xml:space="preserve"> have been overlooked. A further look at the chromatograms for the targeted analysis of Quercetin in Oak </w:t>
      </w:r>
      <w:proofErr w:type="spellStart"/>
      <w:r w:rsidRPr="00CF1D1E">
        <w:rPr>
          <w:rFonts w:ascii="Calibri" w:eastAsia="Calibri" w:hAnsi="Calibri" w:cs="Times New Roman"/>
          <w:sz w:val="24"/>
          <w:szCs w:val="24"/>
        </w:rPr>
        <w:t>bark</w:t>
      </w:r>
      <w:proofErr w:type="spellEnd"/>
      <w:r w:rsidR="00550285">
        <w:rPr>
          <w:rFonts w:ascii="Calibri" w:eastAsia="Calibri" w:hAnsi="Calibri" w:cs="Times New Roman"/>
          <w:sz w:val="24"/>
          <w:szCs w:val="24"/>
        </w:rPr>
        <w:t xml:space="preserve"> (Fig.29)</w:t>
      </w:r>
      <w:r w:rsidRPr="00CF1D1E">
        <w:rPr>
          <w:rFonts w:ascii="Calibri" w:eastAsia="Calibri" w:hAnsi="Calibri" w:cs="Times New Roman"/>
          <w:sz w:val="24"/>
          <w:szCs w:val="24"/>
        </w:rPr>
        <w:t xml:space="preserve"> show no unidentified peaks which would imply that there are no similar m/z ions present, at least with this chromatographic separation. It must also be kept in mind that possibly quercetin levels vary from different species of oak, from wood to bark and from within a mixture of oak waste. The age of the waste may also be significant.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In the initial targeted analysis (section 1.22), the standards used were already available from previous research at no additional cost. The Xevo-TQXS was used for the initial targeted work using the standards available and has been shown to provide useful information towards this research. Furthermore, it can be seen from the coefficient of determination </w:t>
      </w:r>
      <w:r w:rsidRPr="00CF1D1E">
        <w:rPr>
          <w:rFonts w:ascii="Calibri" w:eastAsia="Calibri" w:hAnsi="Calibri" w:cs="Times New Roman"/>
        </w:rPr>
        <w:t>(</w:t>
      </w:r>
      <w:r w:rsidRPr="009570BB">
        <w:rPr>
          <w:rFonts w:ascii="Calibri" w:eastAsia="Calibri" w:hAnsi="Calibri" w:cs="Times New Roman"/>
          <w:sz w:val="24"/>
          <w:szCs w:val="24"/>
        </w:rPr>
        <w:t>R</w:t>
      </w:r>
      <w:r w:rsidRPr="009570BB">
        <w:rPr>
          <w:rFonts w:ascii="Calibri" w:eastAsia="Calibri" w:hAnsi="Calibri" w:cs="Times New Roman"/>
          <w:sz w:val="24"/>
          <w:szCs w:val="24"/>
          <w:vertAlign w:val="superscript"/>
        </w:rPr>
        <w:t>2</w:t>
      </w:r>
      <w:r w:rsidRPr="00CF1D1E">
        <w:rPr>
          <w:rFonts w:ascii="Calibri" w:eastAsia="Calibri" w:hAnsi="Calibri" w:cs="Times New Roman"/>
        </w:rPr>
        <w:t xml:space="preserve">) </w:t>
      </w:r>
      <w:r w:rsidRPr="00CF1D1E">
        <w:rPr>
          <w:rFonts w:ascii="Calibri" w:eastAsia="Calibri" w:hAnsi="Calibri" w:cs="Times New Roman"/>
          <w:sz w:val="24"/>
          <w:szCs w:val="24"/>
        </w:rPr>
        <w:t>that the analy</w:t>
      </w:r>
      <w:r w:rsidR="00B17413">
        <w:rPr>
          <w:rFonts w:ascii="Calibri" w:eastAsia="Calibri" w:hAnsi="Calibri" w:cs="Times New Roman"/>
          <w:sz w:val="24"/>
          <w:szCs w:val="24"/>
        </w:rPr>
        <w:t>tical method has good linearity</w:t>
      </w:r>
      <w:r w:rsidR="00F27E56">
        <w:rPr>
          <w:rFonts w:ascii="Calibri" w:eastAsia="Calibri" w:hAnsi="Calibri" w:cs="Times New Roman"/>
          <w:sz w:val="24"/>
          <w:szCs w:val="24"/>
        </w:rPr>
        <w:t xml:space="preserve"> as all values are in the region of 0.99</w:t>
      </w:r>
      <w:r w:rsidR="00B17413">
        <w:rPr>
          <w:rFonts w:ascii="Calibri" w:eastAsia="Calibri" w:hAnsi="Calibri" w:cs="Times New Roman"/>
          <w:sz w:val="24"/>
          <w:szCs w:val="24"/>
        </w:rPr>
        <w:t>. The</w:t>
      </w:r>
      <w:r w:rsidRPr="00CF1D1E">
        <w:rPr>
          <w:rFonts w:ascii="Calibri" w:eastAsia="Calibri" w:hAnsi="Calibri" w:cs="Times New Roman"/>
          <w:sz w:val="24"/>
          <w:szCs w:val="24"/>
        </w:rPr>
        <w:t xml:space="preserve"> limit of detection (LOD) and limit of quantification (LOQ)</w:t>
      </w:r>
      <w:r w:rsidR="00B17413">
        <w:rPr>
          <w:rFonts w:ascii="Calibri" w:eastAsia="Calibri" w:hAnsi="Calibri" w:cs="Times New Roman"/>
          <w:sz w:val="24"/>
          <w:szCs w:val="24"/>
        </w:rPr>
        <w:t xml:space="preserve"> </w:t>
      </w:r>
      <w:r w:rsidR="00F27E56">
        <w:rPr>
          <w:rFonts w:ascii="Calibri" w:eastAsia="Calibri" w:hAnsi="Calibri" w:cs="Times New Roman"/>
          <w:sz w:val="24"/>
          <w:szCs w:val="24"/>
        </w:rPr>
        <w:t xml:space="preserve">showed good sensitivity and showed that detection was possible in the </w:t>
      </w:r>
      <w:r w:rsidR="00F27E56" w:rsidRPr="00F27E56">
        <w:rPr>
          <w:rFonts w:ascii="Calibri" w:eastAsia="Calibri" w:hAnsi="Calibri" w:cs="Times New Roman"/>
          <w:sz w:val="24"/>
          <w:szCs w:val="24"/>
        </w:rPr>
        <w:t>μ</w:t>
      </w:r>
      <w:r w:rsidR="00F27E56">
        <w:rPr>
          <w:rFonts w:ascii="Calibri" w:eastAsia="Calibri" w:hAnsi="Calibri" w:cs="Times New Roman"/>
          <w:sz w:val="24"/>
          <w:szCs w:val="24"/>
        </w:rPr>
        <w:t>g/l region</w:t>
      </w:r>
      <w:r w:rsidR="00B17413">
        <w:rPr>
          <w:rFonts w:ascii="Calibri" w:eastAsia="Calibri" w:hAnsi="Calibri" w:cs="Times New Roman"/>
          <w:sz w:val="24"/>
          <w:szCs w:val="24"/>
        </w:rPr>
        <w:t xml:space="preserve"> (see Tabs 10 to 15 for specific values)</w:t>
      </w:r>
      <w:r w:rsidRPr="00CF1D1E">
        <w:rPr>
          <w:rFonts w:ascii="Calibri" w:eastAsia="Calibri" w:hAnsi="Calibri" w:cs="Times New Roman"/>
          <w:sz w:val="24"/>
          <w:szCs w:val="24"/>
        </w:rPr>
        <w:t>. The exception to this was quercetin when analysed on the Xevo-TQXS by MRM. The positive here is that the poor linearity was clear and easily spotted. The subsequent reanalysis by the use of a Q-ToF MRM experiment on the Synapt G2-Si showed that this instrument could provide a sensitive and robust MRM alternative.</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In order to comprehend the complex discovery data provided in the results section, it is felt that a </w:t>
      </w:r>
      <w:r w:rsidR="00121D13">
        <w:rPr>
          <w:rFonts w:ascii="Calibri" w:eastAsia="Calibri" w:hAnsi="Calibri" w:cs="Times New Roman"/>
          <w:sz w:val="24"/>
          <w:szCs w:val="24"/>
        </w:rPr>
        <w:t>more in depth</w:t>
      </w:r>
      <w:r w:rsidRPr="00CF1D1E">
        <w:rPr>
          <w:rFonts w:ascii="Calibri" w:eastAsia="Calibri" w:hAnsi="Calibri" w:cs="Times New Roman"/>
          <w:sz w:val="24"/>
          <w:szCs w:val="24"/>
        </w:rPr>
        <w:t xml:space="preserve"> discussion</w:t>
      </w:r>
      <w:r w:rsidR="00121D13">
        <w:rPr>
          <w:rFonts w:ascii="Calibri" w:eastAsia="Calibri" w:hAnsi="Calibri" w:cs="Times New Roman"/>
          <w:sz w:val="24"/>
          <w:szCs w:val="24"/>
        </w:rPr>
        <w:t>, in the context of the results,</w:t>
      </w:r>
      <w:r w:rsidRPr="00CF1D1E">
        <w:rPr>
          <w:rFonts w:ascii="Calibri" w:eastAsia="Calibri" w:hAnsi="Calibri" w:cs="Times New Roman"/>
          <w:sz w:val="24"/>
          <w:szCs w:val="24"/>
        </w:rPr>
        <w:t xml:space="preserve"> </w:t>
      </w:r>
      <w:r w:rsidR="00121D13">
        <w:rPr>
          <w:rFonts w:ascii="Calibri" w:eastAsia="Calibri" w:hAnsi="Calibri" w:cs="Times New Roman"/>
          <w:sz w:val="24"/>
          <w:szCs w:val="24"/>
        </w:rPr>
        <w:t xml:space="preserve">exploring </w:t>
      </w:r>
      <w:r w:rsidRPr="00CF1D1E">
        <w:rPr>
          <w:rFonts w:ascii="Calibri" w:eastAsia="Calibri" w:hAnsi="Calibri" w:cs="Times New Roman"/>
          <w:sz w:val="24"/>
          <w:szCs w:val="24"/>
        </w:rPr>
        <w:t>the underlying details of Progenesis QI data</w:t>
      </w:r>
      <w:r w:rsidR="00121D13">
        <w:rPr>
          <w:rFonts w:ascii="Calibri" w:eastAsia="Calibri" w:hAnsi="Calibri" w:cs="Times New Roman"/>
          <w:sz w:val="24"/>
          <w:szCs w:val="24"/>
        </w:rPr>
        <w:t xml:space="preserve"> processing, would be of benefit.</w:t>
      </w:r>
      <w:r w:rsidRPr="00CF1D1E">
        <w:rPr>
          <w:rFonts w:ascii="Calibri" w:eastAsia="Calibri" w:hAnsi="Calibri" w:cs="Times New Roman"/>
          <w:sz w:val="24"/>
          <w:szCs w:val="24"/>
        </w:rPr>
        <w:t xml:space="preserve"> </w:t>
      </w:r>
      <w:r w:rsidR="00121D13">
        <w:rPr>
          <w:rFonts w:ascii="Calibri" w:eastAsia="Calibri" w:hAnsi="Calibri" w:cs="Times New Roman"/>
          <w:sz w:val="24"/>
          <w:szCs w:val="24"/>
        </w:rPr>
        <w:t xml:space="preserve">It is hoped that this approach will help to provide a better explanation of the data.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Discovery mode data is of huge complexity as it contains thousands of ions acquired over many samples. This may involve the comparison of samples from different conditions or, as in this case, comparison of blank extracts to extracts of the biological material. This can be </w:t>
      </w:r>
      <w:r w:rsidRPr="00CF1D1E">
        <w:rPr>
          <w:rFonts w:ascii="Calibri" w:eastAsia="Calibri" w:hAnsi="Calibri" w:cs="Times New Roman"/>
          <w:sz w:val="24"/>
          <w:szCs w:val="24"/>
        </w:rPr>
        <w:lastRenderedPageBreak/>
        <w:t>pictured as a complex version of 'spot the difference'. In order to deal with the statistical variance that occurs in any analytical method, many replicates are necessary in each condition, and only consistent or statistically significant differences between the conditions are accepted.</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Data created by LC-MS is composed of two separation elements; the chromatographic separation and also the high resolution MS. Even alone these can produce complex separation patterns. By combining these together and multiplying one by the other, data of huge complexity is obtained. This can be visualised by the use of a 2D ion map. See Fig. 42 below.</w:t>
      </w:r>
    </w:p>
    <w:p w:rsidR="00CF1D1E" w:rsidRPr="00CF1D1E" w:rsidRDefault="00CF1D1E" w:rsidP="00CF1D1E">
      <w:pPr>
        <w:spacing w:line="360" w:lineRule="auto"/>
        <w:ind w:firstLine="720"/>
        <w:rPr>
          <w:rFonts w:ascii="Calibri" w:eastAsia="Calibri" w:hAnsi="Calibri" w:cs="Times New Roman"/>
          <w:sz w:val="24"/>
          <w:szCs w:val="24"/>
        </w:rPr>
      </w:pPr>
    </w:p>
    <w:p w:rsidR="00CF1D1E" w:rsidRPr="00CF1D1E" w:rsidRDefault="000973E4" w:rsidP="00CF1D1E">
      <w:pPr>
        <w:spacing w:line="360" w:lineRule="auto"/>
        <w:rPr>
          <w:rFonts w:ascii="Calibri" w:eastAsia="Calibri" w:hAnsi="Calibri" w:cs="Times New Roman"/>
          <w:sz w:val="24"/>
          <w:szCs w:val="24"/>
        </w:rPr>
      </w:pPr>
      <w:r>
        <w:rPr>
          <w:rFonts w:ascii="Calibri" w:eastAsia="Calibri" w:hAnsi="Calibri" w:cs="Times New Roman"/>
          <w:noProof/>
          <w:sz w:val="24"/>
          <w:szCs w:val="24"/>
          <w:lang w:eastAsia="en-GB"/>
        </w:rPr>
        <w:drawing>
          <wp:inline distT="0" distB="0" distL="0" distR="0">
            <wp:extent cx="5686425" cy="3523353"/>
            <wp:effectExtent l="0" t="0" r="0" b="127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LC-MS 2D ion map with labels.png"/>
                    <pic:cNvPicPr/>
                  </pic:nvPicPr>
                  <pic:blipFill>
                    <a:blip r:embed="rId72">
                      <a:extLst>
                        <a:ext uri="{28A0092B-C50C-407E-A947-70E740481C1C}">
                          <a14:useLocalDpi xmlns:a14="http://schemas.microsoft.com/office/drawing/2010/main" val="0"/>
                        </a:ext>
                      </a:extLst>
                    </a:blip>
                    <a:stretch>
                      <a:fillRect/>
                    </a:stretch>
                  </pic:blipFill>
                  <pic:spPr>
                    <a:xfrm>
                      <a:off x="0" y="0"/>
                      <a:ext cx="5707649" cy="3536503"/>
                    </a:xfrm>
                    <a:prstGeom prst="rect">
                      <a:avLst/>
                    </a:prstGeom>
                  </pic:spPr>
                </pic:pic>
              </a:graphicData>
            </a:graphic>
          </wp:inline>
        </w:drawing>
      </w:r>
    </w:p>
    <w:p w:rsidR="00CF1D1E" w:rsidRPr="00CF1D1E" w:rsidRDefault="00CF1D1E" w:rsidP="00CF1D1E">
      <w:pPr>
        <w:spacing w:line="360" w:lineRule="auto"/>
        <w:ind w:firstLine="720"/>
        <w:rPr>
          <w:rFonts w:ascii="Calibri" w:eastAsia="Calibri" w:hAnsi="Calibri" w:cs="Times New Roman"/>
          <w:sz w:val="20"/>
          <w:szCs w:val="20"/>
        </w:rPr>
      </w:pPr>
      <w:r w:rsidRPr="00CF1D1E">
        <w:rPr>
          <w:rFonts w:ascii="Calibri" w:eastAsia="Calibri" w:hAnsi="Calibri" w:cs="Times New Roman"/>
          <w:sz w:val="20"/>
          <w:szCs w:val="20"/>
        </w:rPr>
        <w:t>Fig.42 An example 2D ion map created in Progenesis QI.</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 third element </w:t>
      </w:r>
      <w:r w:rsidR="00595237">
        <w:rPr>
          <w:rFonts w:ascii="Calibri" w:eastAsia="Calibri" w:hAnsi="Calibri" w:cs="Times New Roman"/>
          <w:sz w:val="24"/>
          <w:szCs w:val="24"/>
        </w:rPr>
        <w:t>is revealed</w:t>
      </w:r>
      <w:r w:rsidRPr="00CF1D1E">
        <w:rPr>
          <w:rFonts w:ascii="Calibri" w:eastAsia="Calibri" w:hAnsi="Calibri" w:cs="Times New Roman"/>
          <w:sz w:val="24"/>
          <w:szCs w:val="24"/>
        </w:rPr>
        <w:t xml:space="preserve"> by zooming in on an individual MS signal, giving the intensity. This data leads to the ion abundance figures. Ion abundances can be compared across samples in two or more conditions in these experiments. In order to be able to do this it is necessary to match the same ion across different data files. This is known as peak picking. Alignment vectors are created, by use of the retention time axis, in order to correct for the small offset between different samples: the ions are then aligned across all imported files.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Poor informatics workflows can lead to missing data values on some samples due to inefficient identification of ions during peak picking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{"citationItems":[{"id":"ITEM-1","itemData":{"DOI":"10.1007/s11306-016-1030-9","ISSN":"15733890","abstract":"Introduction: The generic metabolomics data processing workflow is constructed with a serial set of processes including peak picking, quality assurance, normalisation, missing value imputation, transformation and scaling. The combination of these processes should present the experimental data in an appropriate structure so to identify the biological changes in a valid and robust manner. Objectives: Currently, different researchers apply different data processing methods and no assessment of the permutations applied to UHPLC-MS datasets has been published. Here we wish to define the most appropriate data processing workflow. Methods: We assess the influence of normalisation, missing value imputation, transformation and scaling methods on univariate and multivariate analysis of UHPLC-MS datasets acquired for different mammalian samples. Results: Our studies have shown that once data are filtered, missing values are not correlated with m/z, retention time or response. Following an exhaustive evaluation, we recommend PQN normalisation with no missing value imputation and no transformation or scaling for univariate analysis. For PCA we recommend applying PQN normalisation with Random Forest missing value imputation, glog transformation and no scaling method. For PLS-DA we recommend PQN normalisation, KNN as the missing value imputation method, generalised logarithm transformation and no scaling. These recommendations are based on searching for the biologically important metabolite features independent of their measured abundance. Conclusion: The appropriate choice of normalisation, missing value imputation, transformation and scaling methods differs depending on the data analysis method and the choice of method is essential to maximise the biological derivations from UHPLC-MS datasets.","author":[{"dropping-particle":"","family":"Guida","given":"Riccardo","non-dropping-particle":"Di","parse-names":false,"suffix":""},{"dropping-particle":"","family":"Engel","given":"Jasper","non-dropping-particle":"","parse-names":false,"suffix":""},{"dropping-particle":"","family":"Allwood","given":"J. William","non-dropping-particle":"","parse-names":false,"suffix":""},{"dropping-particle":"","family":"Weber","given":"Ralf J.M.","non-dropping-particle":"","parse-names":false,"suffix":""},{"dropping-particle":"","family":"Jones","given":"Martin R.","non-dropping-particle":"","parse-names":false,"suffix":""},{"dropping-particle":"","family":"Sommer","given":"Ulf","non-dropping-particle":"","parse-names":false,"suffix":""},{"dropping-particle":"","family":"Viant","given":"Mark R.","non-dropping-particle":"","parse-names":false,"suffix":""},{"dropping-particle":"","family":"Dunn","given":"Warwick B.","non-dropping-particle":"","parse-names":false,"suffix":""}],"container-title":"Metabolomics","id":"ITEM-1","issue":"5","issued":{"date-parts":[["2016"]]},"page":"1-14","publisher":"Springer US","title":"Non-targeted UHPLC-MS metabolomic data processing methods: a comparative investigation of normalisation, missing value imputation, transformation and scaling","type":"article-journal","volume":"12"},"uris":["http://www.mendeley.com/documents/?uuid=f0faf046-5fd8-433b-a9cf-7b197f8ab921"]}],"mendeley":{"formattedCitation":"(Di Guida et al., 2016)","plainTextFormattedCitation":"(Di Guida et al., 2016)","previouslyFormattedCitation":"(Di Guida et al., 2016)"},"properties":{"noteIndex":0},"schema":"https://github.com/citation-style-language/schema/raw/master/csl-citation.json"}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(Di Guida </w:t>
      </w:r>
      <w:r w:rsidR="00941740" w:rsidRPr="000E1A5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This can lead to inaccurate p-values and therefore false negatives and false positives. In order to avoid the errors caused by missing values, Progenesis QI does not pick peaks on individual 2D ion maps, one at a time, but compares them all to an aggregate sample ion map</w:t>
      </w:r>
      <w:r w:rsidR="00BC1D50">
        <w:rPr>
          <w:rFonts w:ascii="Calibri" w:eastAsia="Calibri" w:hAnsi="Calibri" w:cs="Times New Roman"/>
          <w:sz w:val="24"/>
          <w:szCs w:val="24"/>
        </w:rPr>
        <w:t>,</w:t>
      </w:r>
      <w:r w:rsidRPr="00CF1D1E">
        <w:rPr>
          <w:rFonts w:ascii="Calibri" w:eastAsia="Calibri" w:hAnsi="Calibri" w:cs="Times New Roman"/>
          <w:sz w:val="24"/>
          <w:szCs w:val="24"/>
        </w:rPr>
        <w:t xml:space="preserve"> which is a composite of all the individual ion maps. This results in zero missing values and 100% ion detection. The creators of Progenesis QI, NonLinear, refer to this as 'co-detection' and claim that this method results in much more reliable statistics. The chance of seeing the actual changes between conditions present in the data is therefore increased. Peak picking is also enhanced by this technique by virtue of the increased signal to noise ratio of the aggregate ion map.</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Ultimately, a score is provided as a representation of the likelihood of the identification being correct.  The Progenesis QI scoring method relies on five properties that can contribute to the overall score (www.nonlinear.com):</w:t>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tab/>
      </w:r>
      <w:r w:rsidRPr="00CF1D1E">
        <w:rPr>
          <w:rFonts w:ascii="Calibri" w:eastAsia="Calibri" w:hAnsi="Calibri" w:cs="Times New Roman"/>
          <w:sz w:val="24"/>
          <w:szCs w:val="24"/>
        </w:rPr>
        <w:tab/>
        <w:t xml:space="preserve">1. Mass error </w:t>
      </w:r>
    </w:p>
    <w:p w:rsidR="00CF1D1E" w:rsidRPr="00CF1D1E" w:rsidRDefault="00CF1D1E" w:rsidP="00CF1D1E">
      <w:pPr>
        <w:spacing w:line="360" w:lineRule="auto"/>
        <w:ind w:left="720" w:firstLine="720"/>
        <w:rPr>
          <w:rFonts w:ascii="Calibri" w:eastAsia="Calibri" w:hAnsi="Calibri" w:cs="Times New Roman"/>
          <w:sz w:val="24"/>
          <w:szCs w:val="24"/>
        </w:rPr>
      </w:pPr>
      <w:r w:rsidRPr="00CF1D1E">
        <w:rPr>
          <w:rFonts w:ascii="Calibri" w:eastAsia="Calibri" w:hAnsi="Calibri" w:cs="Times New Roman"/>
          <w:sz w:val="24"/>
          <w:szCs w:val="24"/>
        </w:rPr>
        <w:t xml:space="preserve">2. Isotope distribution similarity </w:t>
      </w:r>
    </w:p>
    <w:p w:rsidR="00CF1D1E" w:rsidRPr="00CF1D1E" w:rsidRDefault="00CF1D1E" w:rsidP="00CF1D1E">
      <w:pPr>
        <w:spacing w:line="360" w:lineRule="auto"/>
        <w:ind w:left="720" w:firstLine="720"/>
        <w:rPr>
          <w:rFonts w:ascii="Calibri" w:eastAsia="Calibri" w:hAnsi="Calibri" w:cs="Times New Roman"/>
          <w:sz w:val="24"/>
          <w:szCs w:val="24"/>
        </w:rPr>
      </w:pPr>
      <w:r w:rsidRPr="00CF1D1E">
        <w:rPr>
          <w:rFonts w:ascii="Calibri" w:eastAsia="Calibri" w:hAnsi="Calibri" w:cs="Times New Roman"/>
          <w:sz w:val="24"/>
          <w:szCs w:val="24"/>
        </w:rPr>
        <w:t>3. Retention time error</w:t>
      </w:r>
    </w:p>
    <w:p w:rsidR="00CF1D1E" w:rsidRPr="00CF1D1E" w:rsidRDefault="00CF1D1E" w:rsidP="00CF1D1E">
      <w:pPr>
        <w:spacing w:line="360" w:lineRule="auto"/>
        <w:ind w:left="720" w:firstLine="720"/>
        <w:rPr>
          <w:rFonts w:ascii="Calibri" w:eastAsia="Calibri" w:hAnsi="Calibri" w:cs="Times New Roman"/>
          <w:sz w:val="24"/>
          <w:szCs w:val="24"/>
        </w:rPr>
      </w:pPr>
      <w:r w:rsidRPr="00CF1D1E">
        <w:rPr>
          <w:rFonts w:ascii="Calibri" w:eastAsia="Calibri" w:hAnsi="Calibri" w:cs="Times New Roman"/>
          <w:sz w:val="24"/>
          <w:szCs w:val="24"/>
        </w:rPr>
        <w:t>4. CCS error</w:t>
      </w:r>
    </w:p>
    <w:p w:rsidR="00CF1D1E" w:rsidRPr="00CF1D1E" w:rsidRDefault="00CF1D1E" w:rsidP="00CF1D1E">
      <w:pPr>
        <w:spacing w:line="360" w:lineRule="auto"/>
        <w:ind w:left="720" w:firstLine="720"/>
        <w:rPr>
          <w:rFonts w:ascii="Calibri" w:eastAsia="Calibri" w:hAnsi="Calibri" w:cs="Times New Roman"/>
          <w:sz w:val="24"/>
          <w:szCs w:val="24"/>
        </w:rPr>
      </w:pPr>
      <w:r w:rsidRPr="00CF1D1E">
        <w:rPr>
          <w:rFonts w:ascii="Calibri" w:eastAsia="Calibri" w:hAnsi="Calibri" w:cs="Times New Roman"/>
          <w:sz w:val="24"/>
          <w:szCs w:val="24"/>
        </w:rPr>
        <w:t>5. Fragmentation score</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Each of these individual scores is on a scale from zero to one hundred. If the criteria do not include a particular property, the score for that piece of data is zero. The overall score is the total of these five scores. Put in another way, each of the 5 properties can contribute a maximum of 20. As ChemSpider does not support the use of CCS values or retention time error, then these properties will be zero. The upshot of this is that the maximum score possible, for the discovery data</w:t>
      </w:r>
      <w:r w:rsidR="00BC1D50">
        <w:rPr>
          <w:rFonts w:ascii="Calibri" w:eastAsia="Calibri" w:hAnsi="Calibri" w:cs="Times New Roman"/>
          <w:sz w:val="24"/>
          <w:szCs w:val="24"/>
        </w:rPr>
        <w:t xml:space="preserve"> discussed</w:t>
      </w:r>
      <w:r w:rsidRPr="00CF1D1E">
        <w:rPr>
          <w:rFonts w:ascii="Calibri" w:eastAsia="Calibri" w:hAnsi="Calibri" w:cs="Times New Roman"/>
          <w:sz w:val="24"/>
          <w:szCs w:val="24"/>
        </w:rPr>
        <w:t xml:space="preserve"> in this chapter is 60. </w:t>
      </w:r>
      <w:r w:rsidR="001650BC">
        <w:rPr>
          <w:rFonts w:ascii="Calibri" w:eastAsia="Calibri" w:hAnsi="Calibri" w:cs="Times New Roman"/>
          <w:sz w:val="24"/>
          <w:szCs w:val="24"/>
        </w:rPr>
        <w:t>This puts the results shown in tab.9 in to context with some of the identifications</w:t>
      </w:r>
      <w:r w:rsidR="00FD0324">
        <w:rPr>
          <w:rFonts w:ascii="Calibri" w:eastAsia="Calibri" w:hAnsi="Calibri" w:cs="Times New Roman"/>
          <w:sz w:val="24"/>
          <w:szCs w:val="24"/>
        </w:rPr>
        <w:t xml:space="preserve"> approaching 60 e.g. </w:t>
      </w:r>
      <w:r w:rsidR="00FD0324" w:rsidRPr="00FD0324">
        <w:rPr>
          <w:rFonts w:ascii="Calibri" w:eastAsia="Calibri" w:hAnsi="Calibri" w:cs="Times New Roman"/>
          <w:i/>
          <w:sz w:val="24"/>
          <w:szCs w:val="24"/>
        </w:rPr>
        <w:t>trans</w:t>
      </w:r>
      <w:r w:rsidR="00FD0324">
        <w:rPr>
          <w:rFonts w:ascii="Calibri" w:eastAsia="Calibri" w:hAnsi="Calibri" w:cs="Times New Roman"/>
          <w:sz w:val="24"/>
          <w:szCs w:val="24"/>
        </w:rPr>
        <w:t>-</w:t>
      </w:r>
      <w:proofErr w:type="spellStart"/>
      <w:r w:rsidR="00FD0324">
        <w:rPr>
          <w:rFonts w:ascii="Calibri" w:eastAsia="Calibri" w:hAnsi="Calibri" w:cs="Times New Roman"/>
          <w:sz w:val="24"/>
          <w:szCs w:val="24"/>
        </w:rPr>
        <w:t>caffeic</w:t>
      </w:r>
      <w:proofErr w:type="spellEnd"/>
      <w:r w:rsidR="00FD0324">
        <w:rPr>
          <w:rFonts w:ascii="Calibri" w:eastAsia="Calibri" w:hAnsi="Calibri" w:cs="Times New Roman"/>
          <w:sz w:val="24"/>
          <w:szCs w:val="24"/>
        </w:rPr>
        <w:t xml:space="preserve"> acid </w:t>
      </w:r>
      <w:r w:rsidR="00FD0324" w:rsidRPr="00FD0324">
        <w:rPr>
          <w:rFonts w:ascii="Calibri" w:eastAsia="Calibri" w:hAnsi="Calibri" w:cs="Times New Roman"/>
          <w:sz w:val="24"/>
          <w:szCs w:val="24"/>
        </w:rPr>
        <w:t>58.3</w:t>
      </w:r>
      <w:r w:rsidR="00FD0324">
        <w:rPr>
          <w:rFonts w:ascii="Calibri" w:eastAsia="Calibri" w:hAnsi="Calibri" w:cs="Times New Roman"/>
          <w:sz w:val="24"/>
          <w:szCs w:val="24"/>
        </w:rPr>
        <w:t xml:space="preserve"> and </w:t>
      </w:r>
      <w:proofErr w:type="spellStart"/>
      <w:r w:rsidR="00FD0324">
        <w:rPr>
          <w:rFonts w:ascii="Calibri" w:eastAsia="Calibri" w:hAnsi="Calibri" w:cs="Times New Roman"/>
          <w:sz w:val="24"/>
          <w:szCs w:val="24"/>
        </w:rPr>
        <w:t>tyrosol</w:t>
      </w:r>
      <w:proofErr w:type="spellEnd"/>
      <w:r w:rsidR="00FD0324">
        <w:rPr>
          <w:rFonts w:ascii="Calibri" w:eastAsia="Calibri" w:hAnsi="Calibri" w:cs="Times New Roman"/>
          <w:sz w:val="24"/>
          <w:szCs w:val="24"/>
        </w:rPr>
        <w:t xml:space="preserve"> 58.0.</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4 data files per bark type </w:t>
      </w:r>
      <w:r w:rsidR="00B21C5B">
        <w:rPr>
          <w:rFonts w:ascii="Calibri" w:eastAsia="Calibri" w:hAnsi="Calibri" w:cs="Times New Roman"/>
          <w:sz w:val="24"/>
          <w:szCs w:val="24"/>
        </w:rPr>
        <w:t xml:space="preserve">are technical replicates. </w:t>
      </w:r>
      <w:r w:rsidRPr="00CF1D1E">
        <w:rPr>
          <w:rFonts w:ascii="Calibri" w:eastAsia="Calibri" w:hAnsi="Calibri" w:cs="Times New Roman"/>
          <w:sz w:val="24"/>
          <w:szCs w:val="24"/>
        </w:rPr>
        <w:t xml:space="preserve">This enhances the relative differences between the conditions. The samples were compared to multiple blank replicates in Progenesis QI. The enhancement through repetition leads to a higher score and </w:t>
      </w:r>
      <w:r w:rsidRPr="00CF1D1E">
        <w:rPr>
          <w:rFonts w:ascii="Calibri" w:eastAsia="Calibri" w:hAnsi="Calibri" w:cs="Times New Roman"/>
          <w:sz w:val="24"/>
          <w:szCs w:val="24"/>
        </w:rPr>
        <w:lastRenderedPageBreak/>
        <w:t xml:space="preserve">subsequently higher confidence in identifications. Repetition is necessary to iron out random aberrations within the dataset. The Power Analysis function of Progenesis QI was useful here in the evaluation of whether or not enough replicates had been produced. </w:t>
      </w:r>
      <w:r w:rsidR="00FD0324">
        <w:rPr>
          <w:rFonts w:ascii="Calibri" w:eastAsia="Calibri" w:hAnsi="Calibri" w:cs="Times New Roman"/>
          <w:sz w:val="24"/>
          <w:szCs w:val="24"/>
        </w:rPr>
        <w:t>An</w:t>
      </w:r>
      <w:r w:rsidRPr="00CF1D1E">
        <w:rPr>
          <w:rFonts w:ascii="Calibri" w:eastAsia="Calibri" w:hAnsi="Calibri" w:cs="Times New Roman"/>
          <w:sz w:val="24"/>
          <w:szCs w:val="24"/>
        </w:rPr>
        <w:t xml:space="preserve"> </w:t>
      </w:r>
      <w:r w:rsidR="00FD0324">
        <w:rPr>
          <w:rFonts w:ascii="Calibri" w:eastAsia="Calibri" w:hAnsi="Calibri" w:cs="Times New Roman"/>
          <w:sz w:val="24"/>
          <w:szCs w:val="24"/>
        </w:rPr>
        <w:t>increase in</w:t>
      </w:r>
      <w:r w:rsidRPr="00CF1D1E">
        <w:rPr>
          <w:rFonts w:ascii="Calibri" w:eastAsia="Calibri" w:hAnsi="Calibri" w:cs="Times New Roman"/>
          <w:sz w:val="24"/>
          <w:szCs w:val="24"/>
        </w:rPr>
        <w:t xml:space="preserve"> data</w:t>
      </w:r>
      <w:r w:rsidR="00FD0324">
        <w:rPr>
          <w:rFonts w:ascii="Calibri" w:eastAsia="Calibri" w:hAnsi="Calibri" w:cs="Times New Roman"/>
          <w:sz w:val="24"/>
          <w:szCs w:val="24"/>
        </w:rPr>
        <w:t xml:space="preserve"> quality</w:t>
      </w:r>
      <w:r w:rsidRPr="00CF1D1E">
        <w:rPr>
          <w:rFonts w:ascii="Calibri" w:eastAsia="Calibri" w:hAnsi="Calibri" w:cs="Times New Roman"/>
          <w:sz w:val="24"/>
          <w:szCs w:val="24"/>
        </w:rPr>
        <w:t xml:space="preserve"> </w:t>
      </w:r>
      <w:r w:rsidR="00FD0324">
        <w:rPr>
          <w:rFonts w:ascii="Calibri" w:eastAsia="Calibri" w:hAnsi="Calibri" w:cs="Times New Roman"/>
          <w:sz w:val="24"/>
          <w:szCs w:val="24"/>
        </w:rPr>
        <w:t xml:space="preserve">was observed when replicate numbers were increased </w:t>
      </w:r>
      <w:r w:rsidRPr="00CF1D1E">
        <w:rPr>
          <w:rFonts w:ascii="Calibri" w:eastAsia="Calibri" w:hAnsi="Calibri" w:cs="Times New Roman"/>
          <w:sz w:val="24"/>
          <w:szCs w:val="24"/>
        </w:rPr>
        <w:t xml:space="preserve">from 1 or 2 to 4, 5 or more. Power </w:t>
      </w:r>
      <w:r w:rsidR="00B21C5B">
        <w:rPr>
          <w:rFonts w:ascii="Calibri" w:eastAsia="Calibri" w:hAnsi="Calibri" w:cs="Times New Roman"/>
          <w:sz w:val="24"/>
          <w:szCs w:val="24"/>
        </w:rPr>
        <w:t>is</w:t>
      </w:r>
      <w:r w:rsidRPr="00CF1D1E">
        <w:rPr>
          <w:rFonts w:ascii="Calibri" w:eastAsia="Calibri" w:hAnsi="Calibri" w:cs="Times New Roman"/>
          <w:sz w:val="24"/>
          <w:szCs w:val="24"/>
        </w:rPr>
        <w:t xml:space="preserve"> the probability of finding a real difference, if it really exists. 80% or 0.8 is considered an acceptable value for power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{"citationItems":[{"id":"ITEM-1","itemData":{"DOI":"10.1007/978-3-319-01517-0_3","ISBN":"9781292021904","abstract":"For over 30 years, Multivariate Data Analysis has provided readers with the information they need to understand and apply multivariate data analysis. Hair et. al provides an applications-oriented introduction to multivariate analysis for the non-statistician. By reducing heavy statistical research into fundamental concepts, the text explains to readers how to understand and make use of the results of specific statistical techniques. In this Seventh Edition, the organization of the chapters has been greatly simplified. New chapters have been added on structural equations modeling, and all sections have been updated to reflect advances in technology, capability, and mathematical techniques.","author":[{"dropping-particle":"","family":"Hair","given":"Joseph F.","non-dropping-particle":"","parse-names":false,"suffix":""}],"container-title":"Exploratory Data Analysis in Business and Economics","edition":"7th","id":"ITEM-1","issued":{"date-parts":[["2014"]]},"number-of-pages":"23-60","publisher":"Pearson","title":"Multivariate Data Analysis","type":"book"},"uris":["http://www.mendeley.com/documents/?uuid=1b405130-eaf0-4d73-b8d0-67500c574b3b"]}],"mendeley":{"formattedCitation":"(Hair, 2014)","plainTextFormattedCitation":"(Hair, 2014)","previouslyFormattedCitation":"(Hair,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(Hair,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For a given power of 80%, Progenesis QI calculates how many samples are required to ensure we find a difference if it actually exists. </w:t>
      </w:r>
      <w:r w:rsidR="00EE4F7A">
        <w:rPr>
          <w:rFonts w:ascii="Calibri" w:eastAsia="Calibri" w:hAnsi="Calibri" w:cs="Times New Roman"/>
          <w:sz w:val="24"/>
          <w:szCs w:val="24"/>
        </w:rPr>
        <w:t>Power analysis of this dataset showed that although 2 replicates were sufficient, that 4 injections took the percentage of compounds with power greater than 0.8 to 100%</w:t>
      </w:r>
      <w:r w:rsidR="0051322B">
        <w:rPr>
          <w:rFonts w:ascii="Calibri" w:eastAsia="Calibri" w:hAnsi="Calibri" w:cs="Times New Roman"/>
          <w:sz w:val="24"/>
          <w:szCs w:val="24"/>
        </w:rPr>
        <w:t xml:space="preserve"> (</w:t>
      </w:r>
      <w:r w:rsidR="0051322B" w:rsidRPr="0051322B">
        <w:rPr>
          <w:rFonts w:ascii="Calibri" w:eastAsia="Calibri" w:hAnsi="Calibri" w:cs="Times New Roman"/>
          <w:sz w:val="24"/>
          <w:szCs w:val="24"/>
        </w:rPr>
        <w:t>Fig.A1-001</w:t>
      </w:r>
      <w:r w:rsidR="0051322B">
        <w:rPr>
          <w:rFonts w:ascii="Calibri" w:eastAsia="Calibri" w:hAnsi="Calibri" w:cs="Times New Roman"/>
          <w:sz w:val="24"/>
          <w:szCs w:val="24"/>
        </w:rPr>
        <w:t>)</w:t>
      </w:r>
      <w:r w:rsidR="00EE4F7A">
        <w:rPr>
          <w:rFonts w:ascii="Calibri" w:eastAsia="Calibri" w:hAnsi="Calibri" w:cs="Times New Roman"/>
          <w:sz w:val="24"/>
          <w:szCs w:val="24"/>
        </w:rPr>
        <w:t xml:space="preserve">. </w:t>
      </w:r>
      <w:r w:rsidRPr="00CF1D1E">
        <w:rPr>
          <w:rFonts w:ascii="Calibri" w:eastAsia="Calibri" w:hAnsi="Calibri" w:cs="Times New Roman"/>
          <w:sz w:val="24"/>
          <w:szCs w:val="24"/>
        </w:rPr>
        <w:t xml:space="preserve">Compounds with a large difference between groups will have a high power. These compounds will also have a lower ANOVA p-value. An increase in the difference between </w:t>
      </w:r>
      <w:r w:rsidR="00FD0324">
        <w:rPr>
          <w:rFonts w:ascii="Calibri" w:eastAsia="Calibri" w:hAnsi="Calibri" w:cs="Times New Roman"/>
          <w:sz w:val="24"/>
          <w:szCs w:val="24"/>
        </w:rPr>
        <w:t>a sample analyte and a blank</w:t>
      </w:r>
      <w:r w:rsidR="005C4ADD">
        <w:rPr>
          <w:rFonts w:ascii="Calibri" w:eastAsia="Calibri" w:hAnsi="Calibri" w:cs="Times New Roman"/>
          <w:sz w:val="24"/>
          <w:szCs w:val="24"/>
        </w:rPr>
        <w:t>,</w:t>
      </w:r>
      <w:r w:rsidRPr="00CF1D1E">
        <w:rPr>
          <w:rFonts w:ascii="Calibri" w:eastAsia="Calibri" w:hAnsi="Calibri" w:cs="Times New Roman"/>
          <w:sz w:val="24"/>
          <w:szCs w:val="24"/>
        </w:rPr>
        <w:t xml:space="preserve"> results in a reduction in </w:t>
      </w:r>
      <w:r w:rsidR="00206BE3">
        <w:rPr>
          <w:rFonts w:ascii="Calibri" w:eastAsia="Calibri" w:hAnsi="Calibri" w:cs="Times New Roman"/>
          <w:sz w:val="24"/>
          <w:szCs w:val="24"/>
        </w:rPr>
        <w:t xml:space="preserve">the associated </w:t>
      </w:r>
      <w:r w:rsidR="00206BE3" w:rsidRPr="00CF1D1E">
        <w:rPr>
          <w:rFonts w:ascii="Calibri" w:eastAsia="Calibri" w:hAnsi="Calibri" w:cs="Times New Roman"/>
          <w:sz w:val="24"/>
          <w:szCs w:val="24"/>
        </w:rPr>
        <w:t xml:space="preserve">ANOVA </w:t>
      </w:r>
      <w:r w:rsidRPr="00CF1D1E">
        <w:rPr>
          <w:rFonts w:ascii="Calibri" w:eastAsia="Calibri" w:hAnsi="Calibri" w:cs="Times New Roman"/>
          <w:sz w:val="24"/>
          <w:szCs w:val="24"/>
        </w:rPr>
        <w:t xml:space="preserve">p-value. </w:t>
      </w:r>
    </w:p>
    <w:p w:rsidR="00CF1D1E" w:rsidRPr="00CF1D1E" w:rsidRDefault="00CF1D1E" w:rsidP="00C42546">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Much care must be taken in the necessary use of statistics in the evaluation of discovery data. Mechanisms to separate the wheat from the chaff must be employed so that only the best quality data is observed. The filters that were use</w:t>
      </w:r>
      <w:r w:rsidR="00435806">
        <w:rPr>
          <w:rFonts w:ascii="Calibri" w:eastAsia="Calibri" w:hAnsi="Calibri" w:cs="Times New Roman"/>
          <w:sz w:val="24"/>
          <w:szCs w:val="24"/>
        </w:rPr>
        <w:t>d</w:t>
      </w:r>
      <w:r w:rsidRPr="00CF1D1E">
        <w:rPr>
          <w:rFonts w:ascii="Calibri" w:eastAsia="Calibri" w:hAnsi="Calibri" w:cs="Times New Roman"/>
          <w:sz w:val="24"/>
          <w:szCs w:val="24"/>
        </w:rPr>
        <w:t xml:space="preserve"> </w:t>
      </w:r>
      <w:r w:rsidR="00B534A2">
        <w:rPr>
          <w:rFonts w:ascii="Calibri" w:eastAsia="Calibri" w:hAnsi="Calibri" w:cs="Times New Roman"/>
          <w:sz w:val="24"/>
          <w:szCs w:val="24"/>
        </w:rPr>
        <w:t>here</w:t>
      </w:r>
      <w:r w:rsidRPr="00CF1D1E">
        <w:rPr>
          <w:rFonts w:ascii="Calibri" w:eastAsia="Calibri" w:hAnsi="Calibri" w:cs="Times New Roman"/>
          <w:sz w:val="24"/>
          <w:szCs w:val="24"/>
        </w:rPr>
        <w:t xml:space="preserve"> were, ANOVA p-values </w:t>
      </w:r>
      <w:r w:rsidR="001650BC">
        <w:rPr>
          <w:rFonts w:ascii="Calibri" w:eastAsia="Calibri" w:hAnsi="Calibri" w:cs="Times New Roman"/>
          <w:sz w:val="24"/>
          <w:szCs w:val="24"/>
        </w:rPr>
        <w:t>&lt;=</w:t>
      </w:r>
      <w:r w:rsidRPr="00CF1D1E">
        <w:rPr>
          <w:rFonts w:ascii="Calibri" w:eastAsia="Calibri" w:hAnsi="Calibri" w:cs="Times New Roman"/>
          <w:sz w:val="24"/>
          <w:szCs w:val="24"/>
        </w:rPr>
        <w:t>0.05 and also a large fold cha</w:t>
      </w:r>
      <w:r w:rsidR="00435806">
        <w:rPr>
          <w:rFonts w:ascii="Calibri" w:eastAsia="Calibri" w:hAnsi="Calibri" w:cs="Times New Roman"/>
          <w:sz w:val="24"/>
          <w:szCs w:val="24"/>
        </w:rPr>
        <w:t xml:space="preserve">nge between samples and blanks. </w:t>
      </w:r>
      <w:r w:rsidRPr="00CF1D1E">
        <w:rPr>
          <w:rFonts w:ascii="Calibri" w:eastAsia="Calibri" w:hAnsi="Calibri" w:cs="Times New Roman"/>
          <w:sz w:val="24"/>
          <w:szCs w:val="24"/>
        </w:rPr>
        <w:t xml:space="preserve">Looking at a selection of the data </w:t>
      </w:r>
      <w:r w:rsidR="00B534A2" w:rsidRPr="00B534A2">
        <w:rPr>
          <w:rFonts w:ascii="Calibri" w:eastAsia="Calibri" w:hAnsi="Calibri" w:cs="Times New Roman"/>
          <w:sz w:val="24"/>
          <w:szCs w:val="24"/>
        </w:rPr>
        <w:t xml:space="preserve">(Tab.23) </w:t>
      </w:r>
      <w:r w:rsidR="00B534A2">
        <w:rPr>
          <w:rFonts w:ascii="Calibri" w:eastAsia="Calibri" w:hAnsi="Calibri" w:cs="Times New Roman"/>
          <w:sz w:val="24"/>
          <w:szCs w:val="24"/>
        </w:rPr>
        <w:t>all</w:t>
      </w:r>
      <w:r w:rsidR="00C42546">
        <w:rPr>
          <w:rFonts w:ascii="Calibri" w:eastAsia="Calibri" w:hAnsi="Calibri" w:cs="Times New Roman"/>
          <w:sz w:val="24"/>
          <w:szCs w:val="24"/>
        </w:rPr>
        <w:t xml:space="preserve"> compounds have</w:t>
      </w:r>
      <w:r w:rsidRPr="00CF1D1E">
        <w:rPr>
          <w:rFonts w:ascii="Calibri" w:eastAsia="Calibri" w:hAnsi="Calibri" w:cs="Times New Roman"/>
          <w:sz w:val="24"/>
          <w:szCs w:val="24"/>
        </w:rPr>
        <w:t xml:space="preserve"> </w:t>
      </w:r>
      <w:r w:rsidR="00435806">
        <w:rPr>
          <w:rFonts w:ascii="Calibri" w:eastAsia="Calibri" w:hAnsi="Calibri" w:cs="Times New Roman"/>
          <w:sz w:val="24"/>
          <w:szCs w:val="24"/>
        </w:rPr>
        <w:t xml:space="preserve">very </w:t>
      </w:r>
      <w:r w:rsidRPr="00CF1D1E">
        <w:rPr>
          <w:rFonts w:ascii="Calibri" w:eastAsia="Calibri" w:hAnsi="Calibri" w:cs="Times New Roman"/>
          <w:sz w:val="24"/>
          <w:szCs w:val="24"/>
        </w:rPr>
        <w:t xml:space="preserve">low p-values, which </w:t>
      </w:r>
      <w:r w:rsidR="00B534A2">
        <w:rPr>
          <w:rFonts w:ascii="Calibri" w:eastAsia="Calibri" w:hAnsi="Calibri" w:cs="Times New Roman"/>
          <w:sz w:val="24"/>
          <w:szCs w:val="24"/>
        </w:rPr>
        <w:t>suggests that</w:t>
      </w:r>
      <w:r w:rsidRPr="00CF1D1E">
        <w:rPr>
          <w:rFonts w:ascii="Calibri" w:eastAsia="Calibri" w:hAnsi="Calibri" w:cs="Times New Roman"/>
          <w:sz w:val="24"/>
          <w:szCs w:val="24"/>
        </w:rPr>
        <w:t xml:space="preserve"> a real expression change exists in those compounds. </w:t>
      </w:r>
    </w:p>
    <w:p w:rsidR="00CF1D1E" w:rsidRPr="00B534A2" w:rsidRDefault="00CF1D1E" w:rsidP="00B534A2">
      <w:pPr>
        <w:spacing w:line="360" w:lineRule="auto"/>
        <w:ind w:firstLine="720"/>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    </w:t>
      </w:r>
      <w:r w:rsidR="008007C2" w:rsidRPr="008007C2">
        <w:rPr>
          <w:noProof/>
          <w:lang w:eastAsia="en-GB"/>
        </w:rPr>
        <w:drawing>
          <wp:inline distT="0" distB="0" distL="0" distR="0">
            <wp:extent cx="5731510" cy="3623072"/>
            <wp:effectExtent l="0" t="0" r="254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3623072"/>
                    </a:xfrm>
                    <a:prstGeom prst="rect">
                      <a:avLst/>
                    </a:prstGeom>
                    <a:noFill/>
                    <a:ln>
                      <a:noFill/>
                    </a:ln>
                  </pic:spPr>
                </pic:pic>
              </a:graphicData>
            </a:graphic>
          </wp:inline>
        </w:drawing>
      </w:r>
      <w:r w:rsidR="00BC1D50">
        <w:rPr>
          <w:rFonts w:ascii="Calibri" w:eastAsia="Calibri" w:hAnsi="Calibri" w:cs="Times New Roman"/>
          <w:sz w:val="20"/>
          <w:szCs w:val="20"/>
        </w:rPr>
        <w:t xml:space="preserve">Tab.23 </w:t>
      </w:r>
      <w:r w:rsidR="00EE1077" w:rsidRPr="00EE1077">
        <w:rPr>
          <w:rFonts w:ascii="Calibri" w:eastAsia="Calibri" w:hAnsi="Calibri" w:cs="Times New Roman"/>
          <w:sz w:val="20"/>
          <w:szCs w:val="20"/>
        </w:rPr>
        <w:t>The top 20 ANOVA (p), q Values, Max Fold Change, Scores and Accepted ID for bark sample extracts</w:t>
      </w:r>
      <w:r w:rsidR="00DE79E5">
        <w:rPr>
          <w:rFonts w:ascii="Calibri" w:eastAsia="Calibri" w:hAnsi="Calibri" w:cs="Times New Roman"/>
          <w:sz w:val="20"/>
          <w:szCs w:val="20"/>
        </w:rPr>
        <w:t xml:space="preserve"> (same order as Tab.9).</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Results that didn’t comply </w:t>
      </w:r>
      <w:proofErr w:type="gramStart"/>
      <w:r w:rsidRPr="00CF1D1E">
        <w:rPr>
          <w:rFonts w:ascii="Calibri" w:eastAsia="Calibri" w:hAnsi="Calibri" w:cs="Times New Roman"/>
          <w:sz w:val="24"/>
          <w:szCs w:val="24"/>
        </w:rPr>
        <w:t>to</w:t>
      </w:r>
      <w:proofErr w:type="gramEnd"/>
      <w:r w:rsidRPr="00CF1D1E">
        <w:rPr>
          <w:rFonts w:ascii="Calibri" w:eastAsia="Calibri" w:hAnsi="Calibri" w:cs="Times New Roman"/>
          <w:sz w:val="24"/>
          <w:szCs w:val="24"/>
        </w:rPr>
        <w:t xml:space="preserve"> the filters setup are hidden. In this case the ions that have identifications that have ANOVA p-values &lt;0.05 and a fold change &gt;1000 are shown.  But is this correct? The incorrect definition of p-values can lead to a misuse of ANOVA p-values &lt;0.05 as a suitable significance threshold in discovery omics. ANOVA p-values are often loosely referred to as “the probability that there is no expression change occurring in the data”. However, the p-value is actually a measure of the likelihood of the observed data occurring if no real difference existed. That is to say, how likely it is to occur by random chance?</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t xml:space="preserve">How do we check our ANOVA p-value thresholds for suitability? A systematic way of doing this was used, by observing the q values reported by Progenesis QI to calculate a false discovery rate (FDR). The q-value is the minimum FDR at which the test may be called significant. On evaluating the discovery data obtained, a calculation of FDR was carried out. Before any filtering, the FDR was 15%. After filtering mechanisms were applied, an FDR of 2% in 402 identifications was observed. Therefore, a maximum of 8 possible false identifications could be expected within the reported discovery data. This approach to data analysis </w:t>
      </w:r>
      <w:r w:rsidRPr="00CF1D1E">
        <w:rPr>
          <w:rFonts w:ascii="Calibri" w:eastAsia="Calibri" w:hAnsi="Calibri" w:cs="Times New Roman"/>
          <w:sz w:val="24"/>
          <w:szCs w:val="24"/>
        </w:rPr>
        <w:lastRenderedPageBreak/>
        <w:t>highlights the degree of caution required with these tentative identifications and more positively, the confidence with which we can use data from discovery to targeted workflow when data is correctly filtered.</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t xml:space="preserve">Following on from the discussion of untargeted data, the Q Exactive </w:t>
      </w:r>
      <w:proofErr w:type="gramStart"/>
      <w:r w:rsidRPr="00CF1D1E">
        <w:rPr>
          <w:rFonts w:ascii="Calibri" w:eastAsia="Calibri" w:hAnsi="Calibri" w:cs="Times New Roman"/>
          <w:sz w:val="24"/>
          <w:szCs w:val="24"/>
        </w:rPr>
        <w:t>Plus</w:t>
      </w:r>
      <w:proofErr w:type="gramEnd"/>
      <w:r w:rsidRPr="00CF1D1E">
        <w:rPr>
          <w:rFonts w:ascii="Calibri" w:eastAsia="Calibri" w:hAnsi="Calibri" w:cs="Times New Roman"/>
          <w:sz w:val="24"/>
          <w:szCs w:val="24"/>
        </w:rPr>
        <w:t xml:space="preserve"> Targeted Method (PRM) will now be the focus. This instrument was also used outside of its traditional discovery purpose and used to create a sensitive and robust targeted method. The main reason for this was instrument availability but it provided an opportunity to explore the additional capabilities of the Q Exactive Plus. LOQ, LOD and the coefficient of determination (R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were all shown to be of the quality required for this analysis</w:t>
      </w:r>
      <w:r w:rsidR="003B1A9E">
        <w:rPr>
          <w:rFonts w:ascii="Calibri" w:eastAsia="Calibri" w:hAnsi="Calibri" w:cs="Times New Roman"/>
          <w:sz w:val="24"/>
          <w:szCs w:val="24"/>
        </w:rPr>
        <w:t xml:space="preserve"> (Tabs 19 to 22)</w:t>
      </w:r>
      <w:r w:rsidRPr="00CF1D1E">
        <w:rPr>
          <w:rFonts w:ascii="Calibri" w:eastAsia="Calibri" w:hAnsi="Calibri" w:cs="Times New Roman"/>
          <w:sz w:val="24"/>
          <w:szCs w:val="24"/>
        </w:rPr>
        <w:t xml:space="preserve">. </w:t>
      </w:r>
      <w:r w:rsidR="009570BB" w:rsidRPr="009570BB">
        <w:rPr>
          <w:rFonts w:ascii="Calibri" w:eastAsia="Calibri" w:hAnsi="Calibri" w:cs="Times New Roman"/>
          <w:sz w:val="24"/>
          <w:szCs w:val="24"/>
        </w:rPr>
        <w:t>R</w:t>
      </w:r>
      <w:r w:rsidR="009570BB" w:rsidRPr="009570BB">
        <w:rPr>
          <w:rFonts w:ascii="Calibri" w:eastAsia="Calibri" w:hAnsi="Calibri" w:cs="Times New Roman"/>
          <w:sz w:val="24"/>
          <w:szCs w:val="24"/>
          <w:vertAlign w:val="superscript"/>
        </w:rPr>
        <w:t>2</w:t>
      </w:r>
      <w:r w:rsidR="009570BB" w:rsidRPr="00CF1D1E">
        <w:rPr>
          <w:rFonts w:ascii="Calibri" w:eastAsia="Calibri" w:hAnsi="Calibri" w:cs="Times New Roman"/>
        </w:rPr>
        <w:t xml:space="preserve"> </w:t>
      </w:r>
      <w:r w:rsidR="009570BB">
        <w:rPr>
          <w:rFonts w:ascii="Calibri" w:eastAsia="Calibri" w:hAnsi="Calibri" w:cs="Times New Roman"/>
          <w:sz w:val="24"/>
          <w:szCs w:val="24"/>
        </w:rPr>
        <w:t xml:space="preserve">values were 0.98 or above and detection was again possible in the </w:t>
      </w:r>
      <w:r w:rsidR="009570BB" w:rsidRPr="00F27E56">
        <w:rPr>
          <w:rFonts w:ascii="Calibri" w:eastAsia="Calibri" w:hAnsi="Calibri" w:cs="Times New Roman"/>
          <w:sz w:val="24"/>
          <w:szCs w:val="24"/>
        </w:rPr>
        <w:t>μ</w:t>
      </w:r>
      <w:r w:rsidR="009570BB">
        <w:rPr>
          <w:rFonts w:ascii="Calibri" w:eastAsia="Calibri" w:hAnsi="Calibri" w:cs="Times New Roman"/>
          <w:sz w:val="24"/>
          <w:szCs w:val="24"/>
        </w:rPr>
        <w:t xml:space="preserve">g/l region. </w:t>
      </w:r>
      <w:r w:rsidRPr="00CF1D1E">
        <w:rPr>
          <w:rFonts w:ascii="Calibri" w:eastAsia="Calibri" w:hAnsi="Calibri" w:cs="Times New Roman"/>
          <w:sz w:val="24"/>
          <w:szCs w:val="24"/>
        </w:rPr>
        <w:t>Accurate mass and restricting mass tolerance to 5ppm added to the specificity of the method. A simple summary of the discovery mode observations is available below (Tab.24).</w:t>
      </w:r>
    </w:p>
    <w:p w:rsidR="00C42546" w:rsidRDefault="00C42546">
      <w:pPr>
        <w:rPr>
          <w:rFonts w:ascii="Calibri" w:eastAsia="Calibri" w:hAnsi="Calibri" w:cs="Times New Roman"/>
        </w:rPr>
      </w:pPr>
      <w:r>
        <w:rPr>
          <w:rFonts w:ascii="Calibri" w:eastAsia="Calibri" w:hAnsi="Calibri" w:cs="Times New Roman"/>
        </w:rPr>
        <w:br w:type="page"/>
      </w:r>
    </w:p>
    <w:p w:rsidR="00CF1D1E" w:rsidRPr="00CF1D1E" w:rsidRDefault="00CF1D1E" w:rsidP="00CF1D1E">
      <w:pPr>
        <w:spacing w:line="360" w:lineRule="auto"/>
        <w:rPr>
          <w:rFonts w:ascii="Calibri" w:eastAsia="Calibri" w:hAnsi="Calibri" w:cs="Times New Roman"/>
        </w:rPr>
      </w:pPr>
      <w:r w:rsidRPr="00CF1D1E">
        <w:rPr>
          <w:rFonts w:ascii="Calibri" w:eastAsia="Calibri" w:hAnsi="Calibri" w:cs="Times New Roman"/>
          <w:noProof/>
          <w:lang w:eastAsia="en-GB"/>
        </w:rPr>
        <w:lastRenderedPageBreak/>
        <w:drawing>
          <wp:inline distT="0" distB="0" distL="0" distR="0" wp14:anchorId="426D4A28" wp14:editId="75C2B6C5">
            <wp:extent cx="5939790" cy="909320"/>
            <wp:effectExtent l="0" t="0" r="381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909320"/>
                    </a:xfrm>
                    <a:prstGeom prst="rect">
                      <a:avLst/>
                    </a:prstGeom>
                  </pic:spPr>
                </pic:pic>
              </a:graphicData>
            </a:graphic>
          </wp:inline>
        </w:drawing>
      </w:r>
    </w:p>
    <w:p w:rsidR="00CF1D1E" w:rsidRPr="00CF1D1E" w:rsidRDefault="00BC1D50" w:rsidP="00CF1D1E">
      <w:pPr>
        <w:spacing w:line="360" w:lineRule="auto"/>
        <w:rPr>
          <w:rFonts w:ascii="Calibri" w:eastAsia="Calibri" w:hAnsi="Calibri" w:cs="Times New Roman"/>
          <w:sz w:val="20"/>
          <w:szCs w:val="20"/>
        </w:rPr>
      </w:pPr>
      <w:r>
        <w:rPr>
          <w:rFonts w:ascii="Calibri" w:eastAsia="Calibri" w:hAnsi="Calibri" w:cs="Times New Roman"/>
          <w:sz w:val="20"/>
          <w:szCs w:val="20"/>
        </w:rPr>
        <w:t>Tab.24 S</w:t>
      </w:r>
      <w:r w:rsidR="00CF1D1E" w:rsidRPr="00CF1D1E">
        <w:rPr>
          <w:rFonts w:ascii="Calibri" w:eastAsia="Calibri" w:hAnsi="Calibri" w:cs="Times New Roman"/>
          <w:sz w:val="20"/>
          <w:szCs w:val="20"/>
        </w:rPr>
        <w:t xml:space="preserve">ummary of the </w:t>
      </w:r>
      <w:r w:rsidR="00CF1D1E" w:rsidRPr="00CF1D1E">
        <w:rPr>
          <w:rFonts w:ascii="Calibri" w:eastAsia="Calibri" w:hAnsi="Calibri" w:cs="Times New Roman"/>
          <w:i/>
          <w:sz w:val="20"/>
          <w:szCs w:val="20"/>
        </w:rPr>
        <w:t>discovery</w:t>
      </w:r>
      <w:r w:rsidR="00CF1D1E" w:rsidRPr="00CF1D1E">
        <w:rPr>
          <w:rFonts w:ascii="Calibri" w:eastAsia="Calibri" w:hAnsi="Calibri" w:cs="Times New Roman"/>
          <w:sz w:val="20"/>
          <w:szCs w:val="20"/>
        </w:rPr>
        <w:t xml:space="preserve"> mode observations.</w:t>
      </w:r>
    </w:p>
    <w:p w:rsidR="00CF1D1E" w:rsidRPr="00CF1D1E" w:rsidRDefault="00CF1D1E" w:rsidP="00CF1D1E">
      <w:pPr>
        <w:spacing w:line="360" w:lineRule="auto"/>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The four components chosen for targeting were shown to be present in either very small amounts, which would put a question mark on their commercial viability, or were absent. A simple summary of the targeted mode observations is available below (Tab.25).</w:t>
      </w:r>
    </w:p>
    <w:p w:rsidR="00CF1D1E" w:rsidRPr="00CF1D1E" w:rsidRDefault="00CF1D1E" w:rsidP="00CF1D1E">
      <w:pPr>
        <w:spacing w:line="360" w:lineRule="auto"/>
        <w:rPr>
          <w:rFonts w:ascii="Calibri" w:eastAsia="Calibri" w:hAnsi="Calibri" w:cs="Times New Roman"/>
        </w:rPr>
      </w:pPr>
    </w:p>
    <w:p w:rsidR="00CF1D1E" w:rsidRPr="00CF1D1E" w:rsidRDefault="00CF1D1E" w:rsidP="00CF1D1E">
      <w:pPr>
        <w:spacing w:line="360" w:lineRule="auto"/>
        <w:rPr>
          <w:rFonts w:ascii="Calibri" w:eastAsia="Calibri" w:hAnsi="Calibri" w:cs="Times New Roman"/>
        </w:rPr>
      </w:pPr>
      <w:r w:rsidRPr="00CF1D1E">
        <w:rPr>
          <w:rFonts w:ascii="Calibri" w:eastAsia="Calibri" w:hAnsi="Calibri" w:cs="Times New Roman"/>
          <w:noProof/>
          <w:lang w:eastAsia="en-GB"/>
        </w:rPr>
        <w:drawing>
          <wp:inline distT="0" distB="0" distL="0" distR="0" wp14:anchorId="49EAA664" wp14:editId="49FE29DD">
            <wp:extent cx="5939790" cy="929005"/>
            <wp:effectExtent l="0" t="0" r="381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9790" cy="929005"/>
                    </a:xfrm>
                    <a:prstGeom prst="rect">
                      <a:avLst/>
                    </a:prstGeom>
                  </pic:spPr>
                </pic:pic>
              </a:graphicData>
            </a:graphic>
          </wp:inline>
        </w:drawing>
      </w:r>
    </w:p>
    <w:p w:rsidR="00CF1D1E" w:rsidRPr="00CF1D1E" w:rsidRDefault="00BC1D50" w:rsidP="00CF1D1E">
      <w:pPr>
        <w:spacing w:line="360" w:lineRule="auto"/>
        <w:rPr>
          <w:rFonts w:ascii="Calibri" w:eastAsia="Calibri" w:hAnsi="Calibri" w:cs="Times New Roman"/>
          <w:sz w:val="20"/>
          <w:szCs w:val="20"/>
        </w:rPr>
      </w:pPr>
      <w:r>
        <w:rPr>
          <w:rFonts w:ascii="Calibri" w:eastAsia="Calibri" w:hAnsi="Calibri" w:cs="Times New Roman"/>
          <w:sz w:val="20"/>
          <w:szCs w:val="20"/>
        </w:rPr>
        <w:t>Tab.25 S</w:t>
      </w:r>
      <w:r w:rsidR="00CF1D1E" w:rsidRPr="00CF1D1E">
        <w:rPr>
          <w:rFonts w:ascii="Calibri" w:eastAsia="Calibri" w:hAnsi="Calibri" w:cs="Times New Roman"/>
          <w:sz w:val="20"/>
          <w:szCs w:val="20"/>
        </w:rPr>
        <w:t xml:space="preserve">ummary of the </w:t>
      </w:r>
      <w:r w:rsidR="00CF1D1E" w:rsidRPr="00CF1D1E">
        <w:rPr>
          <w:rFonts w:ascii="Calibri" w:eastAsia="Calibri" w:hAnsi="Calibri" w:cs="Times New Roman"/>
          <w:i/>
          <w:sz w:val="20"/>
          <w:szCs w:val="20"/>
        </w:rPr>
        <w:t>targeted</w:t>
      </w:r>
      <w:r w:rsidR="00CF1D1E" w:rsidRPr="00CF1D1E">
        <w:rPr>
          <w:rFonts w:ascii="Calibri" w:eastAsia="Calibri" w:hAnsi="Calibri" w:cs="Times New Roman"/>
          <w:sz w:val="20"/>
          <w:szCs w:val="20"/>
        </w:rPr>
        <w:t xml:space="preserve"> mode observations.</w:t>
      </w:r>
      <w:r w:rsidR="00CF1D1E" w:rsidRPr="00CF1D1E">
        <w:rPr>
          <w:rFonts w:ascii="Calibri" w:eastAsia="Calibri" w:hAnsi="Calibri" w:cs="Times New Roman"/>
          <w:sz w:val="20"/>
          <w:szCs w:val="20"/>
        </w:rPr>
        <w:tab/>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Firstly, the two absent compounds, S-Equol and EGCG, were seen to be present in the discovery data. Their absence could be due to misidentification. Isobaric species and enantiomers, which have low abundance, can be misidentified and are a known challenge of the discovery workflow. The FDR shows this too. Only once targeted can the initial identification be proven. Also S-Equol and EGCG could also be present in an abundance which is too low for the detection limit of the method. The targeted analytes were chosen as a ‘catch-all’ for extracts in this chapter and future chapters due to limited funds. </w:t>
      </w:r>
    </w:p>
    <w:p w:rsidR="00CF1D1E" w:rsidRPr="00CF1D1E" w:rsidRDefault="00BC1D50"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N</w:t>
      </w:r>
      <w:r w:rsidR="00CF1D1E" w:rsidRPr="00CF1D1E">
        <w:rPr>
          <w:rFonts w:ascii="Calibri" w:eastAsia="Calibri" w:hAnsi="Calibri" w:cs="Times New Roman"/>
          <w:sz w:val="24"/>
          <w:szCs w:val="24"/>
        </w:rPr>
        <w:t xml:space="preserve">atural </w:t>
      </w:r>
      <w:r>
        <w:rPr>
          <w:rFonts w:ascii="Calibri" w:eastAsia="Calibri" w:hAnsi="Calibri" w:cs="Times New Roman"/>
          <w:sz w:val="24"/>
          <w:szCs w:val="24"/>
        </w:rPr>
        <w:t xml:space="preserve">product </w:t>
      </w:r>
      <w:r w:rsidR="00CF1D1E" w:rsidRPr="00CF1D1E">
        <w:rPr>
          <w:rFonts w:ascii="Calibri" w:eastAsia="Calibri" w:hAnsi="Calibri" w:cs="Times New Roman"/>
          <w:sz w:val="24"/>
          <w:szCs w:val="24"/>
        </w:rPr>
        <w:t xml:space="preserve">extracts are highly complex and contain many components. Modern UPLC techniques were employed in order to achieve the best separation. This is not </w:t>
      </w:r>
      <w:r w:rsidR="00D23ED0">
        <w:rPr>
          <w:rFonts w:ascii="Calibri" w:eastAsia="Calibri" w:hAnsi="Calibri" w:cs="Times New Roman"/>
          <w:sz w:val="24"/>
          <w:szCs w:val="24"/>
        </w:rPr>
        <w:t xml:space="preserve">a </w:t>
      </w:r>
      <w:r w:rsidR="00CF1D1E" w:rsidRPr="00CF1D1E">
        <w:rPr>
          <w:rFonts w:ascii="Calibri" w:eastAsia="Calibri" w:hAnsi="Calibri" w:cs="Times New Roman"/>
          <w:sz w:val="24"/>
          <w:szCs w:val="24"/>
        </w:rPr>
        <w:t>perfect</w:t>
      </w:r>
      <w:r w:rsidR="00D23ED0">
        <w:rPr>
          <w:rFonts w:ascii="Calibri" w:eastAsia="Calibri" w:hAnsi="Calibri" w:cs="Times New Roman"/>
          <w:sz w:val="24"/>
          <w:szCs w:val="24"/>
        </w:rPr>
        <w:t xml:space="preserve"> solution</w:t>
      </w:r>
      <w:r w:rsidR="00CF1D1E" w:rsidRPr="00CF1D1E">
        <w:rPr>
          <w:rFonts w:ascii="Calibri" w:eastAsia="Calibri" w:hAnsi="Calibri" w:cs="Times New Roman"/>
          <w:sz w:val="24"/>
          <w:szCs w:val="24"/>
        </w:rPr>
        <w:t xml:space="preserve"> though. Co-elution will occur which will cause difficulties in the alignment of parent ions to their daughters. Co-elution can also result in ion suppression.</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Care was taken to develop the best chromatographic separation in a reasonable run time for this polyphenolics screening method in order to limit the effects of</w:t>
      </w:r>
      <w:r w:rsidR="009644DE">
        <w:rPr>
          <w:rFonts w:ascii="Calibri" w:eastAsia="Calibri" w:hAnsi="Calibri" w:cs="Times New Roman"/>
          <w:sz w:val="24"/>
          <w:szCs w:val="24"/>
        </w:rPr>
        <w:t xml:space="preserve"> co-elution. This </w:t>
      </w:r>
      <w:r w:rsidR="009644DE">
        <w:rPr>
          <w:rFonts w:ascii="Calibri" w:eastAsia="Calibri" w:hAnsi="Calibri" w:cs="Times New Roman"/>
          <w:sz w:val="24"/>
          <w:szCs w:val="24"/>
        </w:rPr>
        <w:lastRenderedPageBreak/>
        <w:t xml:space="preserve">is illustrated in the </w:t>
      </w:r>
      <w:r w:rsidR="00EB6329">
        <w:rPr>
          <w:rFonts w:ascii="Calibri" w:eastAsia="Calibri" w:hAnsi="Calibri" w:cs="Times New Roman"/>
          <w:sz w:val="24"/>
          <w:szCs w:val="24"/>
        </w:rPr>
        <w:t>standard chromatograms in Figs.</w:t>
      </w:r>
      <w:r w:rsidR="009644DE">
        <w:rPr>
          <w:rFonts w:ascii="Calibri" w:eastAsia="Calibri" w:hAnsi="Calibri" w:cs="Times New Roman"/>
          <w:sz w:val="24"/>
          <w:szCs w:val="24"/>
        </w:rPr>
        <w:t xml:space="preserve">20, 32, 33, 34 and 35. </w:t>
      </w:r>
      <w:r w:rsidRPr="00CF1D1E">
        <w:rPr>
          <w:rFonts w:ascii="Calibri" w:eastAsia="Calibri" w:hAnsi="Calibri" w:cs="Times New Roman"/>
          <w:sz w:val="24"/>
          <w:szCs w:val="24"/>
        </w:rPr>
        <w:t xml:space="preserve"> Rapid advancement in separation science has presented a myriad of options. Although the chromatographic method here performed well, there are longer columns, smaller particle sizes and stationary phases with great differences in selectivity. The choice between a fully porous particle and a superficially porous particle with a solid core also exists. Further examination of the best combination of these </w:t>
      </w:r>
      <w:r w:rsidRPr="00CF1D1E">
        <w:rPr>
          <w:rFonts w:ascii="Calibri" w:eastAsia="Calibri" w:hAnsi="Calibri" w:cs="Times New Roman"/>
          <w:i/>
          <w:sz w:val="24"/>
          <w:szCs w:val="24"/>
        </w:rPr>
        <w:t>could</w:t>
      </w:r>
      <w:r w:rsidRPr="00CF1D1E">
        <w:rPr>
          <w:rFonts w:ascii="Calibri" w:eastAsia="Calibri" w:hAnsi="Calibri" w:cs="Times New Roman"/>
          <w:sz w:val="24"/>
          <w:szCs w:val="24"/>
        </w:rPr>
        <w:t xml:space="preserve"> result in improved identification. Also extracts could be run separately through columns of orthogonal selectivity and results compared.</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r>
      <w:r w:rsidR="00914A10">
        <w:rPr>
          <w:rFonts w:ascii="Calibri" w:eastAsia="Calibri" w:hAnsi="Calibri" w:cs="Times New Roman"/>
          <w:sz w:val="24"/>
          <w:szCs w:val="24"/>
        </w:rPr>
        <w:t>T</w:t>
      </w:r>
      <w:r w:rsidRPr="00CF1D1E">
        <w:rPr>
          <w:rFonts w:ascii="Calibri" w:eastAsia="Calibri" w:hAnsi="Calibri" w:cs="Times New Roman"/>
          <w:sz w:val="24"/>
          <w:szCs w:val="24"/>
        </w:rPr>
        <w:t>he correct identification and subsequent quantification of Paeonol and Rutin, which are both important components of the nutraceutical industry, with many claims of their benefits, as mentioned previously</w:t>
      </w:r>
      <w:r w:rsidR="00BC1D50">
        <w:rPr>
          <w:rFonts w:ascii="Calibri" w:eastAsia="Calibri" w:hAnsi="Calibri" w:cs="Times New Roman"/>
          <w:sz w:val="24"/>
          <w:szCs w:val="24"/>
        </w:rPr>
        <w:t>, were successful</w:t>
      </w:r>
      <w:r w:rsidRPr="00CF1D1E">
        <w:rPr>
          <w:rFonts w:ascii="Calibri" w:eastAsia="Calibri" w:hAnsi="Calibri" w:cs="Times New Roman"/>
          <w:sz w:val="24"/>
          <w:szCs w:val="24"/>
        </w:rPr>
        <w:t>. Paeonol is quoted in red in the results section</w:t>
      </w:r>
      <w:r w:rsidR="00671E06">
        <w:rPr>
          <w:rFonts w:ascii="Calibri" w:eastAsia="Calibri" w:hAnsi="Calibri" w:cs="Times New Roman"/>
          <w:sz w:val="24"/>
          <w:szCs w:val="24"/>
        </w:rPr>
        <w:t xml:space="preserve"> (Tab.19)</w:t>
      </w:r>
      <w:r w:rsidRPr="00CF1D1E">
        <w:rPr>
          <w:rFonts w:ascii="Calibri" w:eastAsia="Calibri" w:hAnsi="Calibri" w:cs="Times New Roman"/>
          <w:sz w:val="24"/>
          <w:szCs w:val="24"/>
        </w:rPr>
        <w:t xml:space="preserve"> as it is below the LOQ</w:t>
      </w:r>
      <w:r w:rsidR="009644DE">
        <w:rPr>
          <w:rFonts w:ascii="Calibri" w:eastAsia="Calibri" w:hAnsi="Calibri" w:cs="Times New Roman"/>
          <w:sz w:val="24"/>
          <w:szCs w:val="24"/>
        </w:rPr>
        <w:t xml:space="preserve"> of the method</w:t>
      </w:r>
      <w:r w:rsidRPr="00CF1D1E">
        <w:rPr>
          <w:rFonts w:ascii="Calibri" w:eastAsia="Calibri" w:hAnsi="Calibri" w:cs="Times New Roman"/>
          <w:sz w:val="24"/>
          <w:szCs w:val="24"/>
        </w:rPr>
        <w:t>. Rutin can be seen as the main su</w:t>
      </w:r>
      <w:r w:rsidR="00D23ED0">
        <w:rPr>
          <w:rFonts w:ascii="Calibri" w:eastAsia="Calibri" w:hAnsi="Calibri" w:cs="Times New Roman"/>
          <w:sz w:val="24"/>
          <w:szCs w:val="24"/>
        </w:rPr>
        <w:t>ccess of this discovery work as it</w:t>
      </w:r>
      <w:r w:rsidRPr="00CF1D1E">
        <w:rPr>
          <w:rFonts w:ascii="Calibri" w:eastAsia="Calibri" w:hAnsi="Calibri" w:cs="Times New Roman"/>
          <w:sz w:val="24"/>
          <w:szCs w:val="24"/>
        </w:rPr>
        <w:t xml:space="preserve"> is present in the highest abundance of the four analytes. Broadly speaking, analysis of Pycnogenol can be seen to follow the general trend of the North Wales bark extract analysis i.e. where a component is absent in the bark extracts, it is also absent in Pycnogenol and also the converse of this is true</w:t>
      </w:r>
      <w:r w:rsidR="009932D4">
        <w:rPr>
          <w:rFonts w:ascii="Calibri" w:eastAsia="Calibri" w:hAnsi="Calibri" w:cs="Times New Roman"/>
          <w:sz w:val="24"/>
          <w:szCs w:val="24"/>
        </w:rPr>
        <w:t xml:space="preserve"> (Tab.A1-001 to Tab.A1-004)</w:t>
      </w:r>
      <w:r w:rsidRPr="00CF1D1E">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r>
      <w:r w:rsidR="00BC1D50">
        <w:rPr>
          <w:rFonts w:ascii="Calibri" w:eastAsia="Calibri" w:hAnsi="Calibri" w:cs="Times New Roman"/>
          <w:sz w:val="24"/>
          <w:szCs w:val="24"/>
        </w:rPr>
        <w:t>T</w:t>
      </w:r>
      <w:r w:rsidRPr="00CF1D1E">
        <w:rPr>
          <w:rFonts w:ascii="Calibri" w:eastAsia="Calibri" w:hAnsi="Calibri" w:cs="Times New Roman"/>
          <w:sz w:val="24"/>
          <w:szCs w:val="24"/>
        </w:rPr>
        <w:t xml:space="preserve">he targeted method (MRM), using the Xevo-TQXS (Tab.10 to Tab.16), </w:t>
      </w:r>
      <w:r w:rsidR="00BC1D50">
        <w:rPr>
          <w:rFonts w:ascii="Calibri" w:eastAsia="Calibri" w:hAnsi="Calibri" w:cs="Times New Roman"/>
          <w:sz w:val="24"/>
          <w:szCs w:val="24"/>
        </w:rPr>
        <w:t>confirms</w:t>
      </w:r>
      <w:r w:rsidRPr="00CF1D1E">
        <w:rPr>
          <w:rFonts w:ascii="Calibri" w:eastAsia="Calibri" w:hAnsi="Calibri" w:cs="Times New Roman"/>
          <w:sz w:val="24"/>
          <w:szCs w:val="24"/>
        </w:rPr>
        <w:t xml:space="preserve"> not only </w:t>
      </w:r>
      <w:r w:rsidR="00BC1D50">
        <w:rPr>
          <w:rFonts w:ascii="Calibri" w:eastAsia="Calibri" w:hAnsi="Calibri" w:cs="Times New Roman"/>
          <w:sz w:val="24"/>
          <w:szCs w:val="24"/>
        </w:rPr>
        <w:t>that</w:t>
      </w:r>
      <w:r w:rsidRPr="00CF1D1E">
        <w:rPr>
          <w:rFonts w:ascii="Calibri" w:eastAsia="Calibri" w:hAnsi="Calibri" w:cs="Times New Roman"/>
          <w:sz w:val="24"/>
          <w:szCs w:val="24"/>
        </w:rPr>
        <w:t xml:space="preserve"> polyphenols present in these bark extracts</w:t>
      </w:r>
      <w:r w:rsidR="00BC1D50">
        <w:rPr>
          <w:rFonts w:ascii="Calibri" w:eastAsia="Calibri" w:hAnsi="Calibri" w:cs="Times New Roman"/>
          <w:sz w:val="24"/>
          <w:szCs w:val="24"/>
        </w:rPr>
        <w:t xml:space="preserve"> are </w:t>
      </w:r>
      <w:r w:rsidRPr="00CF1D1E">
        <w:rPr>
          <w:rFonts w:ascii="Calibri" w:eastAsia="Calibri" w:hAnsi="Calibri" w:cs="Times New Roman"/>
          <w:sz w:val="24"/>
          <w:szCs w:val="24"/>
        </w:rPr>
        <w:t xml:space="preserve">in line with the analysis of Pycnogenol, but are also </w:t>
      </w:r>
      <w:r w:rsidR="00BC1D50">
        <w:rPr>
          <w:rFonts w:ascii="Calibri" w:eastAsia="Calibri" w:hAnsi="Calibri" w:cs="Times New Roman"/>
          <w:sz w:val="24"/>
          <w:szCs w:val="24"/>
        </w:rPr>
        <w:t>representative</w:t>
      </w:r>
      <w:r w:rsidRPr="00CF1D1E">
        <w:rPr>
          <w:rFonts w:ascii="Calibri" w:eastAsia="Calibri" w:hAnsi="Calibri" w:cs="Times New Roman"/>
          <w:sz w:val="24"/>
          <w:szCs w:val="24"/>
        </w:rPr>
        <w:t xml:space="preserve"> of what would generally be expected from </w:t>
      </w:r>
      <w:r w:rsidR="00BC1D50">
        <w:rPr>
          <w:rFonts w:ascii="Calibri" w:eastAsia="Calibri" w:hAnsi="Calibri" w:cs="Times New Roman"/>
          <w:sz w:val="24"/>
          <w:szCs w:val="24"/>
        </w:rPr>
        <w:t xml:space="preserve">literature </w:t>
      </w:r>
      <w:r w:rsidRPr="00CF1D1E">
        <w:rPr>
          <w:rFonts w:ascii="Calibri" w:eastAsia="Calibri" w:hAnsi="Calibri" w:cs="Times New Roman"/>
          <w:sz w:val="24"/>
          <w:szCs w:val="24"/>
        </w:rPr>
        <w:t>on the subject of polyphenolics. These findings are given further validity through the complex data provided by the Synapt G2-Si HDMS</w:t>
      </w:r>
      <w:r w:rsidRPr="00BC3F03">
        <w:rPr>
          <w:rFonts w:ascii="Calibri" w:eastAsia="Calibri" w:hAnsi="Calibri" w:cs="Times New Roman"/>
          <w:sz w:val="24"/>
          <w:szCs w:val="24"/>
          <w:vertAlign w:val="superscript"/>
        </w:rPr>
        <w:t>e</w:t>
      </w:r>
      <w:r w:rsidRPr="00CF1D1E">
        <w:rPr>
          <w:rFonts w:ascii="Calibri" w:eastAsia="Calibri" w:hAnsi="Calibri" w:cs="Times New Roman"/>
          <w:sz w:val="24"/>
          <w:szCs w:val="24"/>
        </w:rPr>
        <w:t xml:space="preserve"> discovery mode, which points out the presence of these analytes, amongst others, within the selection of the highest scoring data with the most confidence.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This type of approach has a level of success that can be enhanced by improvements in the detail and depth of databases. Examples of this would be the creation of local databases of additional compound details that can add to the confidence of identifications. This may include method specific parameters such as component retention time and </w:t>
      </w:r>
      <w:r w:rsidR="00AB0466">
        <w:rPr>
          <w:rFonts w:ascii="Calibri" w:eastAsia="Calibri" w:hAnsi="Calibri" w:cs="Times New Roman"/>
          <w:sz w:val="24"/>
          <w:szCs w:val="24"/>
        </w:rPr>
        <w:t xml:space="preserve">actual </w:t>
      </w:r>
      <w:r w:rsidRPr="00CF1D1E">
        <w:rPr>
          <w:rFonts w:ascii="Calibri" w:eastAsia="Calibri" w:hAnsi="Calibri" w:cs="Times New Roman"/>
          <w:sz w:val="24"/>
          <w:szCs w:val="24"/>
        </w:rPr>
        <w:t xml:space="preserve">fragmentation or even </w:t>
      </w:r>
      <w:r w:rsidR="00AB0466">
        <w:rPr>
          <w:rFonts w:ascii="Calibri" w:eastAsia="Calibri" w:hAnsi="Calibri" w:cs="Times New Roman"/>
          <w:sz w:val="24"/>
          <w:szCs w:val="24"/>
        </w:rPr>
        <w:t>more</w:t>
      </w:r>
      <w:r w:rsidRPr="00CF1D1E">
        <w:rPr>
          <w:rFonts w:ascii="Calibri" w:eastAsia="Calibri" w:hAnsi="Calibri" w:cs="Times New Roman"/>
          <w:sz w:val="24"/>
          <w:szCs w:val="24"/>
        </w:rPr>
        <w:t xml:space="preserve"> transferable details such as collision cross section (CCS) values and isotope distributions. </w:t>
      </w:r>
      <w:r w:rsidR="00AB0466">
        <w:rPr>
          <w:rFonts w:ascii="Calibri" w:eastAsia="Calibri" w:hAnsi="Calibri" w:cs="Times New Roman"/>
          <w:sz w:val="24"/>
          <w:szCs w:val="24"/>
        </w:rPr>
        <w:t>Progenesis Metascope can be used to provide this function.</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To now focus this discussion on fragmentation, it is often the case that databases do not contain fragmentation data so therefore </w:t>
      </w:r>
      <w:r w:rsidRPr="00CF1D1E">
        <w:rPr>
          <w:rFonts w:ascii="Calibri" w:eastAsia="Calibri" w:hAnsi="Calibri" w:cs="Times New Roman"/>
          <w:i/>
          <w:sz w:val="24"/>
          <w:szCs w:val="24"/>
        </w:rPr>
        <w:t>in silico</w:t>
      </w:r>
      <w:r w:rsidRPr="00CF1D1E">
        <w:rPr>
          <w:rFonts w:ascii="Calibri" w:eastAsia="Calibri" w:hAnsi="Calibri" w:cs="Times New Roman"/>
          <w:sz w:val="24"/>
          <w:szCs w:val="24"/>
        </w:rPr>
        <w:t xml:space="preserve"> theoretical predictions are relied upon. </w:t>
      </w:r>
      <w:r w:rsidRPr="00CF1D1E">
        <w:rPr>
          <w:rFonts w:ascii="Calibri" w:eastAsia="Calibri" w:hAnsi="Calibri" w:cs="Times New Roman"/>
          <w:sz w:val="24"/>
          <w:szCs w:val="24"/>
        </w:rPr>
        <w:lastRenderedPageBreak/>
        <w:t xml:space="preserve">This can be quite effective in the context of polyphenolic compounds as their mechanisms of fragmentation are well documented. They are generally in the category referred to as Retro-Diels–Alder (RDA) reactions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{"citationItems":[{"id":"ITEM-1","itemData":{"DOI":"10.1039/c5np00073d","author":[{"dropping-particle":"","family":"Lopes","given":"Norberto P","non-dropping-particle":"","parse-names":false,"suffix":""}],"id":"ITEM-1","issue":"3","issued":{"date-parts":[["2016"]]},"title":"Natural Product Reports","type":"article-journal","volume":"33"},"uris":["http://www.mendeley.com/documents/?uuid=6a86cbdc-64e9-433c-9da3-50baca59dee2"]}],"mendeley":{"formattedCitation":"(Lopes, 2016)","plainTextFormattedCitation":"(Lopes, 2016)","previouslyFormattedCitation":"(Lopes, 2016)"},"properties":{"noteIndex":0},"schema":"https://github.com/citation-style-language/schema/raw/master/csl-citation.json"}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(Lopes, 2016)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The fragmentation in the C-ring may occur in all of the subclasses of flavonoids, and the RDA mechanism can follow the pathways below, a,</w:t>
      </w:r>
      <w:r w:rsidR="00671E06">
        <w:rPr>
          <w:rFonts w:ascii="Calibri" w:eastAsia="Calibri" w:hAnsi="Calibri" w:cs="Times New Roman"/>
          <w:sz w:val="24"/>
          <w:szCs w:val="24"/>
        </w:rPr>
        <w:t xml:space="preserve"> </w:t>
      </w:r>
      <w:r w:rsidRPr="00CF1D1E">
        <w:rPr>
          <w:rFonts w:ascii="Calibri" w:eastAsia="Calibri" w:hAnsi="Calibri" w:cs="Times New Roman"/>
          <w:sz w:val="24"/>
          <w:szCs w:val="24"/>
        </w:rPr>
        <w:t>b and/or c (Fig.43).</w:t>
      </w:r>
    </w:p>
    <w:p w:rsidR="00CF1D1E" w:rsidRPr="00CF1D1E" w:rsidRDefault="00CF1D1E" w:rsidP="00CF1D1E">
      <w:pPr>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3698CD77" wp14:editId="1F0F2154">
            <wp:extent cx="5939790" cy="3632835"/>
            <wp:effectExtent l="0" t="0" r="381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olyphenol RDA fragmentation routes a b c.png"/>
                    <pic:cNvPicPr/>
                  </pic:nvPicPr>
                  <pic:blipFill>
                    <a:blip r:embed="rId76">
                      <a:extLst>
                        <a:ext uri="{28A0092B-C50C-407E-A947-70E740481C1C}">
                          <a14:useLocalDpi xmlns:a14="http://schemas.microsoft.com/office/drawing/2010/main" val="0"/>
                        </a:ext>
                      </a:extLst>
                    </a:blip>
                    <a:stretch>
                      <a:fillRect/>
                    </a:stretch>
                  </pic:blipFill>
                  <pic:spPr>
                    <a:xfrm>
                      <a:off x="0" y="0"/>
                      <a:ext cx="5939790" cy="3632835"/>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0"/>
          <w:szCs w:val="20"/>
        </w:rPr>
      </w:pPr>
      <w:r w:rsidRPr="00CF1D1E">
        <w:rPr>
          <w:rFonts w:ascii="Calibri" w:eastAsia="Calibri" w:hAnsi="Calibri" w:cs="Times New Roman"/>
        </w:rPr>
        <w:tab/>
      </w:r>
      <w:r w:rsidR="001921A8">
        <w:rPr>
          <w:rFonts w:ascii="Calibri" w:eastAsia="Calibri" w:hAnsi="Calibri" w:cs="Times New Roman"/>
          <w:sz w:val="20"/>
          <w:szCs w:val="20"/>
        </w:rPr>
        <w:t xml:space="preserve">Fig.43 </w:t>
      </w:r>
      <w:r w:rsidRPr="00CF1D1E">
        <w:rPr>
          <w:rFonts w:ascii="Calibri" w:eastAsia="Calibri" w:hAnsi="Calibri" w:cs="Times New Roman"/>
          <w:sz w:val="20"/>
          <w:szCs w:val="20"/>
        </w:rPr>
        <w:t>RDA mechanism applied to polyphenolics.</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double bond in the C-ring of flavones, </w:t>
      </w:r>
      <w:proofErr w:type="spellStart"/>
      <w:r w:rsidRPr="00CF1D1E">
        <w:rPr>
          <w:rFonts w:ascii="Calibri" w:eastAsia="Calibri" w:hAnsi="Calibri" w:cs="Times New Roman"/>
          <w:sz w:val="24"/>
          <w:szCs w:val="24"/>
        </w:rPr>
        <w:t>isoflavones</w:t>
      </w:r>
      <w:proofErr w:type="spellEnd"/>
      <w:r w:rsidRPr="00CF1D1E">
        <w:rPr>
          <w:rFonts w:ascii="Calibri" w:eastAsia="Calibri" w:hAnsi="Calibri" w:cs="Times New Roman"/>
          <w:sz w:val="24"/>
          <w:szCs w:val="24"/>
        </w:rPr>
        <w:t xml:space="preserve">, flavonols, and </w:t>
      </w:r>
      <w:proofErr w:type="spellStart"/>
      <w:r w:rsidRPr="00CF1D1E">
        <w:rPr>
          <w:rFonts w:ascii="Calibri" w:eastAsia="Calibri" w:hAnsi="Calibri" w:cs="Times New Roman"/>
          <w:sz w:val="24"/>
          <w:szCs w:val="24"/>
        </w:rPr>
        <w:t>chalcones</w:t>
      </w:r>
      <w:proofErr w:type="spellEnd"/>
      <w:r w:rsidRPr="00CF1D1E">
        <w:rPr>
          <w:rFonts w:ascii="Calibri" w:eastAsia="Calibri" w:hAnsi="Calibri" w:cs="Times New Roman"/>
          <w:sz w:val="24"/>
          <w:szCs w:val="24"/>
        </w:rPr>
        <w:t xml:space="preserve"> leads to an extra pathway labelled here as pathway c. In proanthocyanidins, also known as the condensed tannins, th</w:t>
      </w:r>
      <w:r w:rsidR="009932D4">
        <w:rPr>
          <w:rFonts w:ascii="Calibri" w:eastAsia="Calibri" w:hAnsi="Calibri" w:cs="Times New Roman"/>
          <w:sz w:val="24"/>
          <w:szCs w:val="24"/>
        </w:rPr>
        <w:t xml:space="preserve">e group attached to the A-ring </w:t>
      </w:r>
      <w:r w:rsidRPr="00CF1D1E">
        <w:rPr>
          <w:rFonts w:ascii="Calibri" w:eastAsia="Calibri" w:hAnsi="Calibri" w:cs="Times New Roman"/>
          <w:sz w:val="24"/>
          <w:szCs w:val="24"/>
        </w:rPr>
        <w:t>(Fig.2) is often another catechol unit which can play a useful role in the clarification of proanthocyanidins dimers (Fig.44).</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w:drawing>
          <wp:inline distT="0" distB="0" distL="0" distR="0" wp14:anchorId="227E57DA" wp14:editId="63FD12D8">
            <wp:extent cx="5939790" cy="2419350"/>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roanthocyanidin RDA.png"/>
                    <pic:cNvPicPr/>
                  </pic:nvPicPr>
                  <pic:blipFill>
                    <a:blip r:embed="rId77">
                      <a:extLst>
                        <a:ext uri="{28A0092B-C50C-407E-A947-70E740481C1C}">
                          <a14:useLocalDpi xmlns:a14="http://schemas.microsoft.com/office/drawing/2010/main" val="0"/>
                        </a:ext>
                      </a:extLst>
                    </a:blip>
                    <a:stretch>
                      <a:fillRect/>
                    </a:stretch>
                  </pic:blipFill>
                  <pic:spPr>
                    <a:xfrm>
                      <a:off x="0" y="0"/>
                      <a:ext cx="5939790" cy="2419350"/>
                    </a:xfrm>
                    <a:prstGeom prst="rect">
                      <a:avLst/>
                    </a:prstGeom>
                  </pic:spPr>
                </pic:pic>
              </a:graphicData>
            </a:graphic>
          </wp:inline>
        </w:drawing>
      </w:r>
    </w:p>
    <w:p w:rsidR="00CF1D1E" w:rsidRPr="00CF1D1E" w:rsidRDefault="00CF1D1E" w:rsidP="00CF1D1E">
      <w:pPr>
        <w:spacing w:line="360" w:lineRule="auto"/>
        <w:ind w:left="720"/>
        <w:rPr>
          <w:rFonts w:ascii="Calibri" w:eastAsia="Calibri" w:hAnsi="Calibri" w:cs="Times New Roman"/>
          <w:sz w:val="24"/>
          <w:szCs w:val="24"/>
        </w:rPr>
      </w:pPr>
    </w:p>
    <w:p w:rsidR="00CF1D1E" w:rsidRPr="00CF1D1E" w:rsidRDefault="001921A8" w:rsidP="00CF1D1E">
      <w:pPr>
        <w:spacing w:line="360" w:lineRule="auto"/>
        <w:rPr>
          <w:rFonts w:ascii="Calibri" w:eastAsia="Calibri" w:hAnsi="Calibri" w:cs="Times New Roman"/>
          <w:sz w:val="20"/>
          <w:szCs w:val="20"/>
        </w:rPr>
      </w:pPr>
      <w:r>
        <w:rPr>
          <w:rFonts w:ascii="Calibri" w:eastAsia="Calibri" w:hAnsi="Calibri" w:cs="Times New Roman"/>
          <w:sz w:val="20"/>
          <w:szCs w:val="20"/>
        </w:rPr>
        <w:t xml:space="preserve">Fig.44 </w:t>
      </w:r>
      <w:r w:rsidR="00CF1D1E" w:rsidRPr="00CF1D1E">
        <w:rPr>
          <w:rFonts w:ascii="Calibri" w:eastAsia="Calibri" w:hAnsi="Calibri" w:cs="Times New Roman"/>
          <w:sz w:val="20"/>
          <w:szCs w:val="20"/>
        </w:rPr>
        <w:t>RDA fragmentation mechanism of a proanthocyanidin is illustrated.</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Furthermore, the sugar moiety, which is present in many polyphenols, may also fragment by RDA (Fig.45). Often, a water loss precedes the RDA fragmentation by remote hydrogen rearrangement, forming an unsaturated sugar moiety, which facilitates the RDA process. </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7EC8E1B3" wp14:editId="7B878C2E">
            <wp:extent cx="5939790" cy="1384300"/>
            <wp:effectExtent l="0" t="0" r="381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olyphenol RDA fragmentation sugar moiety.png"/>
                    <pic:cNvPicPr/>
                  </pic:nvPicPr>
                  <pic:blipFill>
                    <a:blip r:embed="rId78">
                      <a:extLst>
                        <a:ext uri="{28A0092B-C50C-407E-A947-70E740481C1C}">
                          <a14:useLocalDpi xmlns:a14="http://schemas.microsoft.com/office/drawing/2010/main" val="0"/>
                        </a:ext>
                      </a:extLst>
                    </a:blip>
                    <a:stretch>
                      <a:fillRect/>
                    </a:stretch>
                  </pic:blipFill>
                  <pic:spPr>
                    <a:xfrm>
                      <a:off x="0" y="0"/>
                      <a:ext cx="5939790" cy="1384300"/>
                    </a:xfrm>
                    <a:prstGeom prst="rect">
                      <a:avLst/>
                    </a:prstGeom>
                  </pic:spPr>
                </pic:pic>
              </a:graphicData>
            </a:graphic>
          </wp:inline>
        </w:drawing>
      </w:r>
    </w:p>
    <w:p w:rsidR="00CF1D1E" w:rsidRPr="00CF1D1E" w:rsidRDefault="00CF1D1E" w:rsidP="00CF1D1E">
      <w:pPr>
        <w:spacing w:line="360" w:lineRule="auto"/>
        <w:ind w:firstLine="720"/>
        <w:rPr>
          <w:rFonts w:ascii="Calibri" w:eastAsia="Calibri" w:hAnsi="Calibri" w:cs="Times New Roman"/>
          <w:sz w:val="24"/>
          <w:szCs w:val="24"/>
        </w:rPr>
      </w:pPr>
    </w:p>
    <w:p w:rsidR="00CF1D1E" w:rsidRPr="00CF1D1E" w:rsidRDefault="00F7764A" w:rsidP="00CF1D1E">
      <w:pPr>
        <w:spacing w:line="360" w:lineRule="auto"/>
        <w:rPr>
          <w:rFonts w:ascii="Calibri" w:eastAsia="Calibri" w:hAnsi="Calibri" w:cs="Times New Roman"/>
          <w:sz w:val="20"/>
          <w:szCs w:val="20"/>
        </w:rPr>
      </w:pPr>
      <w:r>
        <w:rPr>
          <w:rFonts w:ascii="Calibri" w:eastAsia="Calibri" w:hAnsi="Calibri" w:cs="Times New Roman"/>
          <w:sz w:val="20"/>
          <w:szCs w:val="20"/>
        </w:rPr>
        <w:t>Fig.45 Polyphenol</w:t>
      </w:r>
      <w:r w:rsidRPr="00CF1D1E">
        <w:rPr>
          <w:rFonts w:ascii="Calibri" w:eastAsia="Calibri" w:hAnsi="Calibri" w:cs="Times New Roman"/>
          <w:sz w:val="20"/>
          <w:szCs w:val="20"/>
        </w:rPr>
        <w:t xml:space="preserve"> </w:t>
      </w:r>
      <w:r w:rsidR="00CF1D1E" w:rsidRPr="00CF1D1E">
        <w:rPr>
          <w:rFonts w:ascii="Calibri" w:eastAsia="Calibri" w:hAnsi="Calibri" w:cs="Times New Roman"/>
          <w:sz w:val="20"/>
          <w:szCs w:val="20"/>
        </w:rPr>
        <w:t>sugar moiety</w:t>
      </w:r>
      <w:r>
        <w:rPr>
          <w:rFonts w:ascii="Calibri" w:eastAsia="Calibri" w:hAnsi="Calibri" w:cs="Times New Roman"/>
          <w:sz w:val="20"/>
          <w:szCs w:val="20"/>
        </w:rPr>
        <w:t xml:space="preserve"> fragmentation.</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result of this understanding of the fragmentation of polyphenols creates a good route for theoretical attempts when an actual database entry does not exist. However, the creation of local fragmentation databases, based on known analytes, under the conditions of </w:t>
      </w:r>
      <w:r w:rsidRPr="00CF1D1E">
        <w:rPr>
          <w:rFonts w:ascii="Calibri" w:eastAsia="Calibri" w:hAnsi="Calibri" w:cs="Times New Roman"/>
          <w:sz w:val="24"/>
          <w:szCs w:val="24"/>
        </w:rPr>
        <w:lastRenderedPageBreak/>
        <w:t xml:space="preserve">the UPLC and MS actually used in the experiment, can </w:t>
      </w:r>
      <w:r w:rsidR="00671E06">
        <w:rPr>
          <w:rFonts w:ascii="Calibri" w:eastAsia="Calibri" w:hAnsi="Calibri" w:cs="Times New Roman"/>
          <w:sz w:val="24"/>
          <w:szCs w:val="24"/>
        </w:rPr>
        <w:t>improve</w:t>
      </w:r>
      <w:r w:rsidRPr="00CF1D1E">
        <w:rPr>
          <w:rFonts w:ascii="Calibri" w:eastAsia="Calibri" w:hAnsi="Calibri" w:cs="Times New Roman"/>
          <w:sz w:val="24"/>
          <w:szCs w:val="24"/>
        </w:rPr>
        <w:t xml:space="preserve"> the level of </w:t>
      </w:r>
      <w:r w:rsidR="00671E06">
        <w:rPr>
          <w:rFonts w:ascii="Calibri" w:eastAsia="Calibri" w:hAnsi="Calibri" w:cs="Times New Roman"/>
          <w:sz w:val="24"/>
          <w:szCs w:val="24"/>
        </w:rPr>
        <w:t>identification confidence</w:t>
      </w:r>
      <w:r w:rsidRPr="00CF1D1E">
        <w:rPr>
          <w:rFonts w:ascii="Calibri" w:eastAsia="Calibri" w:hAnsi="Calibri" w:cs="Times New Roman"/>
          <w:sz w:val="24"/>
          <w:szCs w:val="24"/>
        </w:rPr>
        <w:t xml:space="preserve">. Add to this a simple addition of retention time tolerance, of say 0.10 min, then quality of identifications </w:t>
      </w:r>
      <w:r w:rsidR="001921A8">
        <w:rPr>
          <w:rFonts w:ascii="Calibri" w:eastAsia="Calibri" w:hAnsi="Calibri" w:cs="Times New Roman"/>
          <w:sz w:val="24"/>
          <w:szCs w:val="24"/>
        </w:rPr>
        <w:t>has</w:t>
      </w:r>
      <w:r w:rsidRPr="00CF1D1E">
        <w:rPr>
          <w:rFonts w:ascii="Calibri" w:eastAsia="Calibri" w:hAnsi="Calibri" w:cs="Times New Roman"/>
          <w:sz w:val="24"/>
          <w:szCs w:val="24"/>
        </w:rPr>
        <w:t xml:space="preserve"> a marked improvement, leading to a decrease in false positives. A standard, polyphenolic screening method, with a smaller but well detailed database, could be developed from this approach, to create a high throughput and highly specific solution to polyphenolic profiling and elucidation.</w:t>
      </w:r>
    </w:p>
    <w:p w:rsidR="00CF1D1E" w:rsidRPr="00CF1D1E" w:rsidRDefault="00671E06" w:rsidP="00CF1D1E">
      <w:pPr>
        <w:spacing w:line="360" w:lineRule="auto"/>
        <w:jc w:val="both"/>
        <w:rPr>
          <w:rFonts w:ascii="Calibri" w:eastAsia="Calibri" w:hAnsi="Calibri" w:cs="Times New Roman"/>
          <w:sz w:val="24"/>
          <w:szCs w:val="24"/>
        </w:rPr>
      </w:pPr>
      <w:r>
        <w:rPr>
          <w:rFonts w:ascii="Calibri" w:eastAsia="Calibri" w:hAnsi="Calibri" w:cs="Times New Roman"/>
          <w:sz w:val="24"/>
          <w:szCs w:val="24"/>
        </w:rPr>
        <w:tab/>
        <w:t>An observation made</w:t>
      </w:r>
      <w:r w:rsidR="00CF1D1E" w:rsidRPr="00CF1D1E">
        <w:rPr>
          <w:rFonts w:ascii="Calibri" w:eastAsia="Calibri" w:hAnsi="Calibri" w:cs="Times New Roman"/>
          <w:sz w:val="24"/>
          <w:szCs w:val="24"/>
        </w:rPr>
        <w:t xml:space="preserve"> through </w:t>
      </w:r>
      <w:r>
        <w:rPr>
          <w:rFonts w:ascii="Calibri" w:eastAsia="Calibri" w:hAnsi="Calibri" w:cs="Times New Roman"/>
          <w:sz w:val="24"/>
          <w:szCs w:val="24"/>
        </w:rPr>
        <w:t>reading</w:t>
      </w:r>
      <w:r w:rsidR="00CF1D1E" w:rsidRPr="00CF1D1E">
        <w:rPr>
          <w:rFonts w:ascii="Calibri" w:eastAsia="Calibri" w:hAnsi="Calibri" w:cs="Times New Roman"/>
          <w:sz w:val="24"/>
          <w:szCs w:val="24"/>
        </w:rPr>
        <w:t xml:space="preserve"> many papers on the subject of polyphenolics, was that there is a need for further research to identify which hexoside moiety is actually present. Assumptions are often made in this respect. To determine, for example, whether a glucoside or galactoside is present via the use of LC-MS is not currently possible, as the species are isobaric. Some work has been successful in this direction</w:t>
      </w:r>
      <w:r>
        <w:rPr>
          <w:rFonts w:ascii="Calibri" w:eastAsia="Calibri" w:hAnsi="Calibri" w:cs="Times New Roman"/>
          <w:sz w:val="24"/>
          <w:szCs w:val="24"/>
        </w:rPr>
        <w:t xml:space="preserve"> by the use of IMS</w:t>
      </w:r>
      <w:r w:rsidR="00CF1D1E" w:rsidRPr="00CF1D1E">
        <w:rPr>
          <w:rFonts w:ascii="Calibri" w:eastAsia="Calibri" w:hAnsi="Calibri" w:cs="Times New Roman"/>
          <w:sz w:val="24"/>
          <w:szCs w:val="24"/>
        </w:rPr>
        <w:t xml:space="preserve">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{"citationItems":[{"id":"ITEM-1","itemData":{"DOI":"10.1038/nchem.1817","ISBN":"1755-4330","ISSN":"17554330","PMID":"24345949","abstract":"Mass spectrometry is the primary analytical technique used to characterize the complex oligosaccharides that decorate cell surfaces. Monosaccharide building blocks are often simple epimers, which when combined produce diastereomeric glycoconjugates indistinguishable by mass spectrometry. Structure elucidation frequently relies on assumptions that biosynthetic pathways are highly conserved. Here, we show that biosynthetic enzymes can display unexpected promiscuity, with human glycosyltransferase pp-α-GanT2 able to utilize both uridine diphosphate N-acetylglucosamine and uridine diphosphate N-acetylgalactosamine, leading to the synthesis of epimeric glycopeptides in vitro. Ion-mobility mass spectrometry (IM-MS) was used to separate these structures and, significantly, enabled characterization of the attached glycan based on the drift times of the monosaccharide product ions generated following collision-induced dissociation. Finally, ion-mobility mass spectrometry following fragmentation was used to determine the nature of both the reducing and non-reducing glycans of a series of epimeric disaccharides and the branched pentasaccharide Man3 glycan, demonstrating that this technique may prove useful for the sequencing of complex oligosaccharides.","author":[{"dropping-particle":"","family":"Both","given":"P.","non-dropping-particle":"","parse-names":false,"suffix":""},{"dropping-particle":"","family":"Green","given":"A. P.","non-dropping-particle":"","parse-names":false,"suffix":""},{"dropping-particle":"","family":"Gray","given":"C. J.","non-dropping-particle":"","parse-names":false,"suffix":""},{"dropping-particle":"","family":"Šardzík","given":"R.","non-dropping-particle":"","parse-names":false,"suffix":""},{"dropping-particle":"","family":"Voglmeir","given":"J.","non-dropping-particle":"","parse-names":false,"suffix":""},{"dropping-particle":"","family":"Fontana","given":"C.","non-dropping-particle":"","parse-names":false,"suffix":""},{"dropping-particle":"","family":"Austeri","given":"M.","non-dropping-particle":"","parse-names":false,"suffix":""},{"dropping-particle":"","family":"Rejzek","given":"M.","non-dropping-particle":"","parse-names":false,"suffix":""},{"dropping-particle":"","family":"Richardson","given":"D.","non-dropping-particle":"","parse-names":false,"suffix":""},{"dropping-particle":"","family":"Field","given":"R. A.","non-dropping-particle":"","parse-names":false,"suffix":""},{"dropping-particle":"","family":"Widmalm","given":"G.","non-dropping-particle":"","parse-names":false,"suffix":""},{"dropping-particle":"","family":"Flitsch","given":"S. L.","non-dropping-particle":"","parse-names":false,"suffix":""},{"dropping-particle":"","family":"Eyers","given":"C. E.","non-dropping-particle":"","parse-names":false,"suffix":""}],"container-title":"Nature Chemistry","id":"ITEM-1","issue":"1","issued":{"date-parts":[["2014"]]},"page":"65-74","title":"Discrimination of epimeric glycans and glycopeptides using IM-MS and its potential for carbohydrate sequencing","type":"article-journal","volume":"6"},"uris":["http://www.mendeley.com/documents/?uuid=0a8c8ed8-4cd0-4364-91d9-3dbc95497067"]}],"mendeley":{"formattedCitation":"(Both et al., 2014)","plainTextFormattedCitation":"(Both et al., 2014)","previouslyFormattedCitation":"(Both et al., 2014)"},"properties":{"noteIndex":0},"schema":"https://github.com/citation-style-language/schema/raw/master/csl-citation.json"}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(Both </w:t>
      </w:r>
      <w:r w:rsidR="00941740" w:rsidRPr="000E1A5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2014)</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 xml:space="preserve"> but </w:t>
      </w:r>
      <w:r>
        <w:rPr>
          <w:rFonts w:ascii="Calibri" w:eastAsia="Calibri" w:hAnsi="Calibri" w:cs="Times New Roman"/>
          <w:sz w:val="24"/>
          <w:szCs w:val="24"/>
        </w:rPr>
        <w:t xml:space="preserve">it </w:t>
      </w:r>
      <w:r w:rsidR="00CF1D1E" w:rsidRPr="00CF1D1E">
        <w:rPr>
          <w:rFonts w:ascii="Calibri" w:eastAsia="Calibri" w:hAnsi="Calibri" w:cs="Times New Roman"/>
          <w:sz w:val="24"/>
          <w:szCs w:val="24"/>
        </w:rPr>
        <w:t xml:space="preserve">was found </w:t>
      </w:r>
      <w:r>
        <w:rPr>
          <w:rFonts w:ascii="Calibri" w:eastAsia="Calibri" w:hAnsi="Calibri" w:cs="Times New Roman"/>
          <w:sz w:val="24"/>
          <w:szCs w:val="24"/>
        </w:rPr>
        <w:t>that there was not</w:t>
      </w:r>
      <w:r w:rsidR="00CF1D1E" w:rsidRPr="00CF1D1E">
        <w:rPr>
          <w:rFonts w:ascii="Calibri" w:eastAsia="Calibri" w:hAnsi="Calibri" w:cs="Times New Roman"/>
          <w:sz w:val="24"/>
          <w:szCs w:val="24"/>
        </w:rPr>
        <w:t xml:space="preserve"> enough separation power when attempted on the Synapt G2-Si </w:t>
      </w:r>
      <w:r w:rsidRPr="00CF1D1E">
        <w:rPr>
          <w:rFonts w:ascii="Calibri" w:eastAsia="Calibri" w:hAnsi="Calibri" w:cs="Times New Roman"/>
          <w:sz w:val="24"/>
          <w:szCs w:val="24"/>
        </w:rPr>
        <w:t xml:space="preserve">using nitrogen as the drift gas </w:t>
      </w:r>
      <w:r w:rsidR="00CF1D1E" w:rsidRPr="00CF1D1E">
        <w:rPr>
          <w:rFonts w:ascii="Calibri" w:eastAsia="Calibri" w:hAnsi="Calibri" w:cs="Times New Roman"/>
          <w:sz w:val="24"/>
          <w:szCs w:val="24"/>
        </w:rPr>
        <w:t>(Bangor University, CEB MS facility)</w:t>
      </w:r>
      <w:r>
        <w:rPr>
          <w:rFonts w:ascii="Calibri" w:eastAsia="Calibri" w:hAnsi="Calibri" w:cs="Times New Roman"/>
          <w:sz w:val="24"/>
          <w:szCs w:val="24"/>
        </w:rPr>
        <w:t xml:space="preserve">. </w:t>
      </w:r>
      <w:r w:rsidR="00CF1D1E" w:rsidRPr="00CF1D1E">
        <w:rPr>
          <w:rFonts w:ascii="Calibri" w:eastAsia="Calibri" w:hAnsi="Calibri" w:cs="Times New Roman"/>
          <w:sz w:val="24"/>
          <w:szCs w:val="24"/>
        </w:rPr>
        <w:t xml:space="preserve">Ideas for further research to solve this analytical challenge are through </w:t>
      </w:r>
      <w:r>
        <w:rPr>
          <w:rFonts w:ascii="Calibri" w:eastAsia="Calibri" w:hAnsi="Calibri" w:cs="Times New Roman"/>
          <w:sz w:val="24"/>
          <w:szCs w:val="24"/>
        </w:rPr>
        <w:t xml:space="preserve">the </w:t>
      </w:r>
      <w:r w:rsidR="00CF1D1E" w:rsidRPr="00CF1D1E">
        <w:rPr>
          <w:rFonts w:ascii="Calibri" w:eastAsia="Calibri" w:hAnsi="Calibri" w:cs="Times New Roman"/>
          <w:sz w:val="24"/>
          <w:szCs w:val="24"/>
        </w:rPr>
        <w:t>development of IMS techniques or via NMR. The IMS drift gas could be changed to CO</w:t>
      </w:r>
      <w:r w:rsidR="00CF1D1E" w:rsidRPr="00CF1D1E">
        <w:rPr>
          <w:rFonts w:ascii="Calibri" w:eastAsia="Calibri" w:hAnsi="Calibri" w:cs="Times New Roman"/>
          <w:sz w:val="24"/>
          <w:szCs w:val="24"/>
          <w:vertAlign w:val="subscript"/>
        </w:rPr>
        <w:t>2</w:t>
      </w:r>
      <w:r w:rsidR="00CF1D1E" w:rsidRPr="00CF1D1E">
        <w:rPr>
          <w:rFonts w:ascii="Calibri" w:eastAsia="Calibri" w:hAnsi="Calibri" w:cs="Times New Roman"/>
          <w:sz w:val="24"/>
          <w:szCs w:val="24"/>
        </w:rPr>
        <w:t xml:space="preserve"> which would in theory lead to better separation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{"citationItems":[{"id":"ITEM-1","itemData":{"DOI":"10.1016/S1044-0305(01)00366-X","ISSN":"10440305","abstract":"Recent studies in electrospray ionization (ESI)/ion mobility spectrometry (IMS) have focussed on employing different drift gases to alter separation efficiency for some molecules. This study investigates four structurally similar classes of molecules (cocaine and metabolites, amphetamines, benzodiazepines, and small peptides) to determine the effect of structure on relative mobility changes in four drift gases (helium, nitrogen, argon, carbon dioxide). Collision cross sections were plotted against drift gas polarizability and a linear relationship was found for the nineteen compounds evaluated in the study. Based on the reduced mobility database, all nineteen compounds could be separated in one of the four drift gases, however, the drift gas that provided optimal separation was specific for the two compounds. © 2002 American Society for Mass Spectrometry.","author":[{"dropping-particle":"","family":"Matz","given":"Laura M.","non-dropping-particle":"","parse-names":false,"suffix":""},{"dropping-particle":"","family":"Hill","given":"Herbert H.","non-dropping-particle":"","parse-names":false,"suffix":""},{"dropping-particle":"","family":"Beegle","given":"Luther W.","non-dropping-particle":"","parse-names":false,"suffix":""},{"dropping-particle":"","family":"Kanik","given":"Isik","non-dropping-particle":"","parse-names":false,"suffix":""}],"container-title":"Journal of the American Society for Mass Spectrometry","id":"ITEM-1","issue":"4","issued":{"date-parts":[["2002"]]},"page":"300-307","title":"Investigation of drift gas selectivity in high resolution ion mobility spectrometry with mass spectrometry detection","type":"article-journal","volume":"13"},"uris":["http://www.mendeley.com/documents/?uuid=9547839e-84f8-422f-b768-fc04640a6fc4"]}],"mendeley":{"formattedCitation":"(Matz, Hill, Beegle, &amp; Kanik, 2002)","plainTextFormattedCitation":"(Matz, Hill, Beegle, &amp; Kanik, 2002)","previouslyFormattedCitation":"(Matz, Hill, Beegle, &amp; Kanik, 2002)"},"properties":{"noteIndex":0},"schema":"https://github.com/citation-style-language/schema/raw/master/csl-citation.json"}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(Matz, Hill, Beegle, &amp; Kanik, 2002)</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 xml:space="preserve"> or if this was not successful the new Waters Cyclic IMS system could possibly solve this issue by providing more distance for separation to occur (</w:t>
      </w:r>
      <w:proofErr w:type="spellStart"/>
      <w:r w:rsidR="00CF1D1E" w:rsidRPr="00CF1D1E">
        <w:rPr>
          <w:rFonts w:ascii="Calibri" w:eastAsia="Calibri" w:hAnsi="Calibri" w:cs="Times New Roman"/>
          <w:sz w:val="24"/>
          <w:szCs w:val="24"/>
        </w:rPr>
        <w:t>K.Giles</w:t>
      </w:r>
      <w:proofErr w:type="spellEnd"/>
      <w:r w:rsidR="00CF1D1E" w:rsidRPr="00CF1D1E">
        <w:rPr>
          <w:rFonts w:ascii="Calibri" w:eastAsia="Calibri" w:hAnsi="Calibri" w:cs="Times New Roman"/>
          <w:sz w:val="24"/>
          <w:szCs w:val="24"/>
        </w:rPr>
        <w:t xml:space="preserve">, Waters UK,  </w:t>
      </w:r>
      <w:r w:rsidR="00067724">
        <w:rPr>
          <w:rFonts w:ascii="Calibri" w:eastAsia="Calibri" w:hAnsi="Calibri" w:cs="Times New Roman"/>
          <w:sz w:val="24"/>
          <w:szCs w:val="24"/>
        </w:rPr>
        <w:t>personal communication, Aussois</w:t>
      </w:r>
      <w:r w:rsidR="00CF1D1E" w:rsidRPr="00CF1D1E">
        <w:rPr>
          <w:rFonts w:ascii="Calibri" w:eastAsia="Calibri" w:hAnsi="Calibri" w:cs="Times New Roman"/>
          <w:sz w:val="24"/>
          <w:szCs w:val="24"/>
        </w:rPr>
        <w:t>,</w:t>
      </w:r>
      <w:r w:rsidR="00067724">
        <w:rPr>
          <w:rFonts w:ascii="Calibri" w:eastAsia="Calibri" w:hAnsi="Calibri" w:cs="Times New Roman"/>
          <w:sz w:val="24"/>
          <w:szCs w:val="24"/>
        </w:rPr>
        <w:t xml:space="preserve"> </w:t>
      </w:r>
      <w:r w:rsidR="00CF1D1E" w:rsidRPr="00CF1D1E">
        <w:rPr>
          <w:rFonts w:ascii="Calibri" w:eastAsia="Calibri" w:hAnsi="Calibri" w:cs="Times New Roman"/>
          <w:sz w:val="24"/>
          <w:szCs w:val="24"/>
        </w:rPr>
        <w:t xml:space="preserve">2017). NMR could also be successful in the elucidation of the hexoside species present but only if 1 to 2mg </w:t>
      </w:r>
      <w:r w:rsidR="009259A4">
        <w:rPr>
          <w:rFonts w:ascii="Calibri" w:eastAsia="Calibri" w:hAnsi="Calibri" w:cs="Times New Roman"/>
          <w:sz w:val="24"/>
          <w:szCs w:val="24"/>
        </w:rPr>
        <w:t>w</w:t>
      </w:r>
      <w:r w:rsidR="00BF4DEA">
        <w:rPr>
          <w:rFonts w:ascii="Calibri" w:eastAsia="Calibri" w:hAnsi="Calibri" w:cs="Times New Roman"/>
          <w:sz w:val="24"/>
          <w:szCs w:val="24"/>
        </w:rPr>
        <w:t>ere</w:t>
      </w:r>
      <w:r w:rsidR="009259A4">
        <w:rPr>
          <w:rFonts w:ascii="Calibri" w:eastAsia="Calibri" w:hAnsi="Calibri" w:cs="Times New Roman"/>
          <w:sz w:val="24"/>
          <w:szCs w:val="24"/>
        </w:rPr>
        <w:t xml:space="preserve"> </w:t>
      </w:r>
      <w:r w:rsidR="00CF1D1E" w:rsidRPr="00CF1D1E">
        <w:rPr>
          <w:rFonts w:ascii="Calibri" w:eastAsia="Calibri" w:hAnsi="Calibri" w:cs="Times New Roman"/>
          <w:sz w:val="24"/>
          <w:szCs w:val="24"/>
        </w:rPr>
        <w:t>available for analysis (</w:t>
      </w:r>
      <w:proofErr w:type="spellStart"/>
      <w:r w:rsidR="00CF1D1E" w:rsidRPr="00CF1D1E">
        <w:rPr>
          <w:rFonts w:ascii="Calibri" w:eastAsia="Calibri" w:hAnsi="Calibri" w:cs="Times New Roman"/>
          <w:sz w:val="24"/>
          <w:szCs w:val="24"/>
        </w:rPr>
        <w:t>M.Nilsson</w:t>
      </w:r>
      <w:proofErr w:type="spellEnd"/>
      <w:r w:rsidR="00CF1D1E" w:rsidRPr="00CF1D1E">
        <w:rPr>
          <w:rFonts w:ascii="Calibri" w:eastAsia="Calibri" w:hAnsi="Calibri" w:cs="Times New Roman"/>
          <w:sz w:val="24"/>
          <w:szCs w:val="24"/>
        </w:rPr>
        <w:t xml:space="preserve">, Professor of Chemistry, University of Manchester, personal communication, Edinburgh, 2019 and H.J. Weber, NMR facility, </w:t>
      </w:r>
      <w:proofErr w:type="spellStart"/>
      <w:r w:rsidR="00CF1D1E" w:rsidRPr="00CF1D1E">
        <w:rPr>
          <w:rFonts w:ascii="Calibri" w:eastAsia="Calibri" w:hAnsi="Calibri" w:cs="Times New Roman"/>
          <w:sz w:val="24"/>
          <w:szCs w:val="24"/>
        </w:rPr>
        <w:t>Technische</w:t>
      </w:r>
      <w:proofErr w:type="spellEnd"/>
      <w:r w:rsidR="00CF1D1E" w:rsidRPr="00CF1D1E">
        <w:rPr>
          <w:rFonts w:ascii="Calibri" w:eastAsia="Calibri" w:hAnsi="Calibri" w:cs="Times New Roman"/>
          <w:sz w:val="24"/>
          <w:szCs w:val="24"/>
        </w:rPr>
        <w:t xml:space="preserve"> </w:t>
      </w:r>
      <w:proofErr w:type="spellStart"/>
      <w:r w:rsidR="00CF1D1E" w:rsidRPr="00CF1D1E">
        <w:rPr>
          <w:rFonts w:ascii="Calibri" w:eastAsia="Calibri" w:hAnsi="Calibri" w:cs="Times New Roman"/>
          <w:sz w:val="24"/>
          <w:szCs w:val="24"/>
        </w:rPr>
        <w:t>Universität</w:t>
      </w:r>
      <w:proofErr w:type="spellEnd"/>
      <w:r w:rsidR="00CF1D1E" w:rsidRPr="00CF1D1E">
        <w:rPr>
          <w:rFonts w:ascii="Calibri" w:eastAsia="Calibri" w:hAnsi="Calibri" w:cs="Times New Roman"/>
          <w:sz w:val="24"/>
          <w:szCs w:val="24"/>
        </w:rPr>
        <w:t xml:space="preserve"> Graz). This is all food for thought and possibly a direction for future research.</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4A1AC3" w:rsidRDefault="004A1AC3" w:rsidP="004A1AC3">
      <w:pPr>
        <w:spacing w:line="360" w:lineRule="auto"/>
        <w:jc w:val="both"/>
        <w:rPr>
          <w:rFonts w:ascii="Calibri" w:eastAsia="Calibri" w:hAnsi="Calibri" w:cs="Times New Roman"/>
          <w:b/>
          <w:sz w:val="44"/>
          <w:szCs w:val="44"/>
        </w:rPr>
      </w:pPr>
      <w:r>
        <w:rPr>
          <w:rFonts w:ascii="Calibri" w:eastAsia="Calibri" w:hAnsi="Calibri" w:cs="Times New Roman"/>
          <w:b/>
          <w:sz w:val="44"/>
          <w:szCs w:val="44"/>
        </w:rPr>
        <w:lastRenderedPageBreak/>
        <w:t>1.5 Conclusion</w:t>
      </w:r>
    </w:p>
    <w:p w:rsidR="004A1AC3" w:rsidRDefault="004A1AC3" w:rsidP="004A1AC3">
      <w:pPr>
        <w:spacing w:line="360" w:lineRule="auto"/>
        <w:jc w:val="both"/>
        <w:rPr>
          <w:rFonts w:ascii="Calibri" w:eastAsia="Calibri" w:hAnsi="Calibri" w:cs="Times New Roman"/>
          <w:sz w:val="24"/>
          <w:szCs w:val="24"/>
        </w:rPr>
      </w:pPr>
      <w:r>
        <w:rPr>
          <w:rFonts w:ascii="Calibri" w:eastAsia="Calibri" w:hAnsi="Calibri" w:cs="Times New Roman"/>
          <w:sz w:val="24"/>
          <w:szCs w:val="24"/>
        </w:rPr>
        <w:tab/>
      </w:r>
    </w:p>
    <w:p w:rsidR="00CF1D1E" w:rsidRPr="004A1AC3" w:rsidRDefault="004A1AC3" w:rsidP="004A1AC3">
      <w:pPr>
        <w:spacing w:line="360" w:lineRule="auto"/>
        <w:jc w:val="both"/>
        <w:rPr>
          <w:rFonts w:ascii="Calibri" w:eastAsia="Calibri" w:hAnsi="Calibri" w:cs="Times New Roman"/>
          <w:b/>
          <w:sz w:val="44"/>
          <w:szCs w:val="44"/>
        </w:rPr>
      </w:pPr>
      <w:r>
        <w:rPr>
          <w:rFonts w:ascii="Calibri" w:eastAsia="Calibri" w:hAnsi="Calibri" w:cs="Times New Roman"/>
          <w:sz w:val="24"/>
          <w:szCs w:val="24"/>
        </w:rPr>
        <w:tab/>
      </w:r>
      <w:r w:rsidR="00CF1D1E" w:rsidRPr="00CF1D1E">
        <w:rPr>
          <w:rFonts w:ascii="Calibri" w:eastAsia="Calibri" w:hAnsi="Calibri" w:cs="Times New Roman"/>
          <w:sz w:val="24"/>
          <w:szCs w:val="24"/>
        </w:rPr>
        <w:t xml:space="preserve">From the output of this study it can be clearly seen that many components of nutraceutical significance are present in the forestry waste samples analysed. There </w:t>
      </w:r>
      <w:r w:rsidR="002A76EB">
        <w:rPr>
          <w:rFonts w:ascii="Calibri" w:eastAsia="Calibri" w:hAnsi="Calibri" w:cs="Times New Roman"/>
          <w:sz w:val="24"/>
          <w:szCs w:val="24"/>
        </w:rPr>
        <w:t>are</w:t>
      </w:r>
      <w:r w:rsidR="00CF1D1E" w:rsidRPr="00CF1D1E">
        <w:rPr>
          <w:rFonts w:ascii="Calibri" w:eastAsia="Calibri" w:hAnsi="Calibri" w:cs="Times New Roman"/>
          <w:sz w:val="24"/>
          <w:szCs w:val="24"/>
        </w:rPr>
        <w:t xml:space="preserve"> a wide arr</w:t>
      </w:r>
      <w:r w:rsidR="002A76EB">
        <w:rPr>
          <w:rFonts w:ascii="Calibri" w:eastAsia="Calibri" w:hAnsi="Calibri" w:cs="Times New Roman"/>
          <w:sz w:val="24"/>
          <w:szCs w:val="24"/>
        </w:rPr>
        <w:t>ay of polyphenolics present which are</w:t>
      </w:r>
      <w:r w:rsidR="00CF1D1E" w:rsidRPr="00CF1D1E">
        <w:rPr>
          <w:rFonts w:ascii="Calibri" w:eastAsia="Calibri" w:hAnsi="Calibri" w:cs="Times New Roman"/>
          <w:sz w:val="24"/>
          <w:szCs w:val="24"/>
        </w:rPr>
        <w:t xml:space="preserve"> observed</w:t>
      </w:r>
      <w:r w:rsidR="002A76EB">
        <w:rPr>
          <w:rFonts w:ascii="Calibri" w:eastAsia="Calibri" w:hAnsi="Calibri" w:cs="Times New Roman"/>
          <w:sz w:val="24"/>
          <w:szCs w:val="24"/>
        </w:rPr>
        <w:t xml:space="preserve"> in varying amounts</w:t>
      </w:r>
      <w:r w:rsidR="00CF1D1E" w:rsidRPr="00CF1D1E">
        <w:rPr>
          <w:rFonts w:ascii="Calibri" w:eastAsia="Calibri" w:hAnsi="Calibri" w:cs="Times New Roman"/>
          <w:sz w:val="24"/>
          <w:szCs w:val="24"/>
        </w:rPr>
        <w:t xml:space="preserve">. </w:t>
      </w:r>
      <w:r w:rsidR="002A76EB">
        <w:rPr>
          <w:rFonts w:ascii="Calibri" w:eastAsia="Calibri" w:hAnsi="Calibri" w:cs="Times New Roman"/>
          <w:sz w:val="24"/>
          <w:szCs w:val="24"/>
        </w:rPr>
        <w:t>A wide variety of polyphenolics</w:t>
      </w:r>
      <w:r w:rsidR="00CF1D1E" w:rsidRPr="00CF1D1E">
        <w:rPr>
          <w:rFonts w:ascii="Calibri" w:eastAsia="Calibri" w:hAnsi="Calibri" w:cs="Times New Roman"/>
          <w:sz w:val="24"/>
          <w:szCs w:val="24"/>
        </w:rPr>
        <w:t xml:space="preserve"> </w:t>
      </w:r>
      <w:r w:rsidR="002A76EB">
        <w:rPr>
          <w:rFonts w:ascii="Calibri" w:eastAsia="Calibri" w:hAnsi="Calibri" w:cs="Times New Roman"/>
          <w:sz w:val="24"/>
          <w:szCs w:val="24"/>
        </w:rPr>
        <w:t>was</w:t>
      </w:r>
      <w:r w:rsidR="00CF1D1E" w:rsidRPr="00CF1D1E">
        <w:rPr>
          <w:rFonts w:ascii="Calibri" w:eastAsia="Calibri" w:hAnsi="Calibri" w:cs="Times New Roman"/>
          <w:sz w:val="24"/>
          <w:szCs w:val="24"/>
        </w:rPr>
        <w:t xml:space="preserve"> also </w:t>
      </w:r>
      <w:r w:rsidR="002A76EB">
        <w:rPr>
          <w:rFonts w:ascii="Calibri" w:eastAsia="Calibri" w:hAnsi="Calibri" w:cs="Times New Roman"/>
          <w:sz w:val="24"/>
          <w:szCs w:val="24"/>
        </w:rPr>
        <w:t>seen in</w:t>
      </w:r>
      <w:r w:rsidR="00CF1D1E" w:rsidRPr="00CF1D1E">
        <w:rPr>
          <w:rFonts w:ascii="Calibri" w:eastAsia="Calibri" w:hAnsi="Calibri" w:cs="Times New Roman"/>
          <w:sz w:val="24"/>
          <w:szCs w:val="24"/>
        </w:rPr>
        <w:t xml:space="preserve"> Pycnogenol tablets and broadly speaking the components in the bark extracts follow</w:t>
      </w:r>
      <w:r w:rsidR="002A76EB">
        <w:rPr>
          <w:rFonts w:ascii="Calibri" w:eastAsia="Calibri" w:hAnsi="Calibri" w:cs="Times New Roman"/>
          <w:sz w:val="24"/>
          <w:szCs w:val="24"/>
        </w:rPr>
        <w:t>ed</w:t>
      </w:r>
      <w:r w:rsidR="00CF1D1E" w:rsidRPr="00CF1D1E">
        <w:rPr>
          <w:rFonts w:ascii="Calibri" w:eastAsia="Calibri" w:hAnsi="Calibri" w:cs="Times New Roman"/>
          <w:sz w:val="24"/>
          <w:szCs w:val="24"/>
        </w:rPr>
        <w:t xml:space="preserve"> a similar profile. The research provided here illustrates that valorisation of the forestry industry of North Wales, through the extraction of components beneficial to health, is possible but also depends on the fine detail of production cost and other overheads. Costings were outside the scope of this study. It can also be concluded that the workflow developed here is a good template for research of this type. The </w:t>
      </w:r>
      <w:r w:rsidR="001921A8">
        <w:rPr>
          <w:rFonts w:ascii="Calibri" w:eastAsia="Calibri" w:hAnsi="Calibri" w:cs="Times New Roman"/>
          <w:sz w:val="24"/>
          <w:szCs w:val="24"/>
        </w:rPr>
        <w:t>methods</w:t>
      </w:r>
      <w:r w:rsidR="00CF1D1E" w:rsidRPr="00CF1D1E">
        <w:rPr>
          <w:rFonts w:ascii="Calibri" w:eastAsia="Calibri" w:hAnsi="Calibri" w:cs="Times New Roman"/>
          <w:sz w:val="24"/>
          <w:szCs w:val="24"/>
        </w:rPr>
        <w:t xml:space="preserve"> described can be used for profiling other forestry waste, and moreover, extracts of any plant matter of research interest for polyphenols. To expand on this, there is no reason why the basic methodology could not be developed to profile and characterise other classes o</w:t>
      </w:r>
      <w:r w:rsidR="002A76EB">
        <w:rPr>
          <w:rFonts w:ascii="Calibri" w:eastAsia="Calibri" w:hAnsi="Calibri" w:cs="Times New Roman"/>
          <w:sz w:val="24"/>
          <w:szCs w:val="24"/>
        </w:rPr>
        <w:t>f</w:t>
      </w:r>
      <w:r w:rsidR="00CF1D1E" w:rsidRPr="00CF1D1E">
        <w:rPr>
          <w:rFonts w:ascii="Calibri" w:eastAsia="Calibri" w:hAnsi="Calibri" w:cs="Times New Roman"/>
          <w:sz w:val="24"/>
          <w:szCs w:val="24"/>
        </w:rPr>
        <w:t xml:space="preserve"> organic compounds e.g. terpenes. The valorisation potential of terpenes may be worthy of investigation too but may be better suited to the use of gas chromatography (GC) as a separation method.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The three targeted methods described here show the flexibility of modern MS instrumentation. Even though the Synapt G2-Si and the Q Exactive Plus are both thought of primarily for their discovery function, they demonstrate here their proficiency as a targeted analytical tool. The 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values were </w:t>
      </w:r>
      <w:r w:rsidR="002A76EB">
        <w:rPr>
          <w:rFonts w:ascii="Calibri" w:eastAsia="Calibri" w:hAnsi="Calibri" w:cs="Times New Roman"/>
          <w:sz w:val="24"/>
          <w:szCs w:val="24"/>
        </w:rPr>
        <w:t>good</w:t>
      </w:r>
      <w:r w:rsidRPr="00CF1D1E">
        <w:rPr>
          <w:rFonts w:ascii="Calibri" w:eastAsia="Calibri" w:hAnsi="Calibri" w:cs="Times New Roman"/>
          <w:sz w:val="24"/>
          <w:szCs w:val="24"/>
        </w:rPr>
        <w:t xml:space="preserve"> across all instruments and showed that quantification could be relied upon. LOQ va</w:t>
      </w:r>
      <w:r w:rsidR="002A76EB">
        <w:rPr>
          <w:rFonts w:ascii="Calibri" w:eastAsia="Calibri" w:hAnsi="Calibri" w:cs="Times New Roman"/>
          <w:sz w:val="24"/>
          <w:szCs w:val="24"/>
        </w:rPr>
        <w:t xml:space="preserve">lues and LOD values were </w:t>
      </w:r>
      <w:r w:rsidRPr="00CF1D1E">
        <w:rPr>
          <w:rFonts w:ascii="Calibri" w:eastAsia="Calibri" w:hAnsi="Calibri" w:cs="Times New Roman"/>
          <w:sz w:val="24"/>
          <w:szCs w:val="24"/>
        </w:rPr>
        <w:t>within a practical and useable range across the board. An exception to this was quercetin on the Xevo TQXS. This exception was clear to see when creating the regression curve</w:t>
      </w:r>
      <w:r w:rsidR="001921A8">
        <w:rPr>
          <w:rFonts w:ascii="Calibri" w:eastAsia="Calibri" w:hAnsi="Calibri" w:cs="Times New Roman"/>
          <w:sz w:val="24"/>
          <w:szCs w:val="24"/>
        </w:rPr>
        <w:t xml:space="preserve"> and shows the value of monitoring quality</w:t>
      </w:r>
      <w:r w:rsidRPr="00CF1D1E">
        <w:rPr>
          <w:rFonts w:ascii="Calibri" w:eastAsia="Calibri" w:hAnsi="Calibri" w:cs="Times New Roman"/>
          <w:sz w:val="24"/>
          <w:szCs w:val="24"/>
        </w:rPr>
        <w:t xml:space="preserve">. </w:t>
      </w:r>
    </w:p>
    <w:p w:rsidR="00CF1D1E" w:rsidRPr="00CF1D1E" w:rsidRDefault="00CF1D1E" w:rsidP="002A76EB">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To finally focus on the untargeted/discovery work: this was shown</w:t>
      </w:r>
      <w:r w:rsidR="002A76EB">
        <w:rPr>
          <w:rFonts w:ascii="Calibri" w:eastAsia="Calibri" w:hAnsi="Calibri" w:cs="Times New Roman"/>
          <w:sz w:val="24"/>
          <w:szCs w:val="24"/>
        </w:rPr>
        <w:t xml:space="preserve"> to be effective although </w:t>
      </w:r>
      <w:r w:rsidRPr="00CF1D1E">
        <w:rPr>
          <w:rFonts w:ascii="Calibri" w:eastAsia="Calibri" w:hAnsi="Calibri" w:cs="Times New Roman"/>
          <w:sz w:val="24"/>
          <w:szCs w:val="24"/>
        </w:rPr>
        <w:t>care needs to be taken in order to filter out the true positives and leave misleading results behind. Much attention needs to be given to data quality control through the use of ANOVA p-values and q-values. A customised database with more method specific information is suggested as a way forward in terms of future method improvement.</w:t>
      </w:r>
      <w:r w:rsidRPr="00CF1D1E">
        <w:rPr>
          <w:rFonts w:ascii="Calibri" w:eastAsia="Calibri" w:hAnsi="Calibri" w:cs="Times New Roman"/>
          <w:sz w:val="24"/>
          <w:szCs w:val="24"/>
        </w:rPr>
        <w:br w:type="page"/>
      </w:r>
    </w:p>
    <w:p w:rsidR="00CF1D1E" w:rsidRPr="00CF1D1E" w:rsidRDefault="00CF1D1E" w:rsidP="00CF1D1E">
      <w:pPr>
        <w:spacing w:line="360" w:lineRule="auto"/>
        <w:rPr>
          <w:rFonts w:ascii="Calibri" w:eastAsia="Calibri" w:hAnsi="Calibri" w:cs="Times New Roman"/>
          <w:sz w:val="96"/>
          <w:szCs w:val="96"/>
        </w:rPr>
      </w:pPr>
      <w:r w:rsidRPr="00CF1D1E">
        <w:rPr>
          <w:rFonts w:ascii="Calibri" w:eastAsia="Calibri" w:hAnsi="Calibri" w:cs="Times New Roman"/>
          <w:sz w:val="96"/>
          <w:szCs w:val="96"/>
          <w:highlight w:val="lightGray"/>
        </w:rPr>
        <w:lastRenderedPageBreak/>
        <w:t>Chapter 2</w:t>
      </w:r>
      <w:r w:rsidRPr="00CF1D1E">
        <w:rPr>
          <w:rFonts w:ascii="Calibri" w:eastAsia="Calibri" w:hAnsi="Calibri" w:cs="Times New Roman"/>
          <w:sz w:val="96"/>
          <w:szCs w:val="96"/>
        </w:rPr>
        <w:t xml:space="preserve"> </w:t>
      </w:r>
    </w:p>
    <w:p w:rsidR="00CF1D1E" w:rsidRPr="00CF1D1E" w:rsidRDefault="00CF1D1E" w:rsidP="00CF1D1E">
      <w:pPr>
        <w:spacing w:line="360" w:lineRule="auto"/>
        <w:rPr>
          <w:rFonts w:ascii="Calibri" w:eastAsia="Calibri" w:hAnsi="Calibri" w:cs="Times New Roman"/>
          <w:sz w:val="72"/>
          <w:szCs w:val="72"/>
        </w:rPr>
      </w:pPr>
    </w:p>
    <w:p w:rsidR="00CF1D1E" w:rsidRPr="00CF1D1E" w:rsidRDefault="00CF1D1E" w:rsidP="00CF1D1E">
      <w:pPr>
        <w:spacing w:line="360" w:lineRule="auto"/>
        <w:jc w:val="both"/>
        <w:rPr>
          <w:rFonts w:ascii="Calibri" w:eastAsia="Calibri" w:hAnsi="Calibri" w:cs="Times New Roman"/>
          <w:sz w:val="72"/>
          <w:szCs w:val="72"/>
        </w:rPr>
      </w:pPr>
      <w:r w:rsidRPr="00CF1D1E">
        <w:rPr>
          <w:rFonts w:ascii="Calibri" w:eastAsia="Calibri" w:hAnsi="Calibri" w:cs="Times New Roman"/>
          <w:sz w:val="72"/>
          <w:szCs w:val="72"/>
        </w:rPr>
        <w:t>A study of polyphenolic</w:t>
      </w:r>
    </w:p>
    <w:p w:rsidR="00CF1D1E" w:rsidRDefault="00CF1D1E" w:rsidP="00CF1D1E">
      <w:pPr>
        <w:spacing w:line="360" w:lineRule="auto"/>
        <w:jc w:val="both"/>
        <w:rPr>
          <w:rFonts w:ascii="Calibri" w:eastAsia="Calibri" w:hAnsi="Calibri" w:cs="Times New Roman"/>
          <w:sz w:val="72"/>
          <w:szCs w:val="72"/>
        </w:rPr>
      </w:pPr>
      <w:r w:rsidRPr="00CF1D1E">
        <w:rPr>
          <w:rFonts w:ascii="Calibri" w:eastAsia="Calibri" w:hAnsi="Calibri" w:cs="Times New Roman"/>
          <w:sz w:val="72"/>
          <w:szCs w:val="72"/>
        </w:rPr>
        <w:t>compounds in waste produced by agriculture and aquaculture in North Wales, using the analytical techniques of UPLC with HDMS</w:t>
      </w:r>
      <w:r w:rsidRPr="00CF1D1E">
        <w:rPr>
          <w:rFonts w:ascii="Calibri" w:eastAsia="Calibri" w:hAnsi="Calibri" w:cs="Times New Roman"/>
          <w:sz w:val="72"/>
          <w:szCs w:val="72"/>
          <w:vertAlign w:val="superscript"/>
        </w:rPr>
        <w:t>e</w:t>
      </w:r>
      <w:r w:rsidRPr="00CF1D1E">
        <w:rPr>
          <w:rFonts w:ascii="Calibri" w:eastAsia="Calibri" w:hAnsi="Calibri" w:cs="Times New Roman"/>
          <w:sz w:val="72"/>
          <w:szCs w:val="72"/>
        </w:rPr>
        <w:t xml:space="preserve"> and Orbitrap PRM.</w:t>
      </w:r>
    </w:p>
    <w:p w:rsidR="004A1AC3" w:rsidRPr="00CF1D1E" w:rsidRDefault="004A1AC3" w:rsidP="004A1AC3">
      <w:pPr>
        <w:rPr>
          <w:rFonts w:ascii="Calibri" w:eastAsia="Calibri" w:hAnsi="Calibri" w:cs="Times New Roman"/>
          <w:sz w:val="72"/>
          <w:szCs w:val="72"/>
        </w:rPr>
      </w:pPr>
      <w:r>
        <w:rPr>
          <w:rFonts w:ascii="Calibri" w:eastAsia="Calibri" w:hAnsi="Calibri" w:cs="Times New Roman"/>
          <w:sz w:val="72"/>
          <w:szCs w:val="72"/>
        </w:rPr>
        <w:br w:type="page"/>
      </w:r>
    </w:p>
    <w:p w:rsidR="00CF1D1E" w:rsidRPr="00CF1D1E" w:rsidRDefault="00CF1D1E" w:rsidP="00CF1D1E">
      <w:pPr>
        <w:spacing w:line="360" w:lineRule="auto"/>
        <w:rPr>
          <w:rFonts w:ascii="Calibri" w:eastAsia="Calibri" w:hAnsi="Calibri" w:cs="Times New Roman"/>
          <w:b/>
          <w:sz w:val="44"/>
          <w:szCs w:val="44"/>
        </w:rPr>
      </w:pPr>
      <w:r w:rsidRPr="00CF1D1E">
        <w:rPr>
          <w:rFonts w:ascii="Calibri" w:eastAsia="Calibri" w:hAnsi="Calibri" w:cs="Times New Roman"/>
          <w:b/>
          <w:sz w:val="44"/>
          <w:szCs w:val="44"/>
        </w:rPr>
        <w:lastRenderedPageBreak/>
        <w:t xml:space="preserve">2.1 Introduction  </w:t>
      </w:r>
    </w:p>
    <w:p w:rsidR="00CF1D1E" w:rsidRPr="00CF1D1E" w:rsidRDefault="00CF1D1E" w:rsidP="00CF1D1E">
      <w:pPr>
        <w:spacing w:line="360" w:lineRule="auto"/>
        <w:rPr>
          <w:rFonts w:ascii="Calibri" w:eastAsia="Calibri" w:hAnsi="Calibri" w:cs="Times New Roman"/>
          <w:b/>
          <w:sz w:val="44"/>
          <w:szCs w:val="4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In order to further develop the ideas of chapter 1, it was decided to apply a similar workflow to general plant waste created by, firstly agriculture and secondly aquaculture. Through regular upkeep of hedgerows and clearing of errant vegetation, it was seen that a wide variety of plant waste is produced by agriculture. Contained within this are many wild edible plants well known to foragers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{"citationItems":[{"id":"ITEM-1","itemData":{"ISBN":"0747595313","author":[{"dropping-particle":"","family":"Wright","given":"John","non-dropping-particle":"","parse-names":false,"suffix":""}],"id":"ITEM-1","issued":{"date-parts":[["2009"]]},"publisher":"Bloomsbury Publishing PLC","title":"Edible Seashore","type":"book"},"uris":["http://www.mendeley.com/documents/?uuid=3ab19948-f733-4843-a42d-0afbff77bda7"]},{"id":"ITEM-2","itemData":{"ISBN":"0007183038","author":[{"dropping-particle":"","family":"Mabey","given":"Richard","non-dropping-particle":"","parse-names":false,"suffix":""}],"id":"ITEM-2","issued":{"date-parts":[["2012"]]},"publisher":"Collins","title":"Food For Free","type":"book"},"uris":["http://www.mendeley.com/documents/?uuid=155532f3-97e2-480c-9865-606c03032d0b"]},{"id":"ITEM-3","itemData":{"URL":"https://www.eatweeds.co.uk/about","author":[{"dropping-particle":"","family":"Harford","given":"Robin","non-dropping-particle":"","parse-names":false,"suffix":""}],"container-title":"www","id":"ITEM-3","issued":{"date-parts":[["2018"]]},"title":"eatweeds.co.uk","type":"webpage"},"uris":["http://www.mendeley.com/documents/?uuid=bf9f6137-ac0b-4390-9fe9-5366d2801044"]}],"mendeley":{"formattedCitation":"(Harford, 2018; Mabey, 2012; Wright, 2009)","plainTextFormattedCitation":"(Harford, 2018; Mabey, 2012; Wright, 2009)","previouslyFormattedCitation":"(Harford, 2018; Mabey, 2012; Wright,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(Harford, 2018; Mabey, 2012; Wright,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These industries have been observed first-hand over many years of living in close proximity to farms and the coast around the Isle of Anglesey (</w:t>
      </w:r>
      <w:r w:rsidRPr="00CF1D1E">
        <w:rPr>
          <w:rFonts w:ascii="Calibri" w:eastAsia="Calibri" w:hAnsi="Calibri" w:cs="Times New Roman"/>
          <w:i/>
          <w:sz w:val="24"/>
          <w:szCs w:val="24"/>
        </w:rPr>
        <w:t>Ynys Môn</w:t>
      </w:r>
      <w:r w:rsidRPr="00CF1D1E">
        <w:rPr>
          <w:rFonts w:ascii="Calibri" w:eastAsia="Calibri" w:hAnsi="Calibri" w:cs="Times New Roman"/>
          <w:sz w:val="24"/>
          <w:szCs w:val="24"/>
        </w:rPr>
        <w:t xml:space="preserve">). </w:t>
      </w:r>
      <w:r w:rsidR="00D121DD" w:rsidRPr="00D121DD">
        <w:rPr>
          <w:rFonts w:ascii="Calibri" w:eastAsia="Calibri" w:hAnsi="Calibri" w:cs="Times New Roman"/>
          <w:sz w:val="24"/>
          <w:szCs w:val="24"/>
        </w:rPr>
        <w:t>These observations</w:t>
      </w:r>
      <w:r w:rsidR="00D121DD">
        <w:rPr>
          <w:rFonts w:ascii="Calibri" w:eastAsia="Calibri" w:hAnsi="Calibri" w:cs="Times New Roman"/>
          <w:sz w:val="24"/>
          <w:szCs w:val="24"/>
        </w:rPr>
        <w:t>,</w:t>
      </w:r>
      <w:r w:rsidR="00D121DD" w:rsidRPr="00D121DD">
        <w:rPr>
          <w:rFonts w:ascii="Calibri" w:eastAsia="Calibri" w:hAnsi="Calibri" w:cs="Times New Roman"/>
          <w:sz w:val="24"/>
          <w:szCs w:val="24"/>
        </w:rPr>
        <w:t xml:space="preserve"> made during long walks and coastal runs, spawned </w:t>
      </w:r>
      <w:r w:rsidR="00D121DD">
        <w:rPr>
          <w:rFonts w:ascii="Calibri" w:eastAsia="Calibri" w:hAnsi="Calibri" w:cs="Times New Roman"/>
          <w:sz w:val="24"/>
          <w:szCs w:val="24"/>
        </w:rPr>
        <w:t>these ideas</w:t>
      </w:r>
      <w:r w:rsidRPr="00CF1D1E">
        <w:rPr>
          <w:rFonts w:ascii="Calibri" w:eastAsia="Calibri" w:hAnsi="Calibri" w:cs="Times New Roman"/>
          <w:sz w:val="24"/>
          <w:szCs w:val="24"/>
        </w:rPr>
        <w:t>. Conversations with workers of both the agriculture and aquaculture industries</w:t>
      </w:r>
      <w:r w:rsidR="00D121DD">
        <w:rPr>
          <w:rFonts w:ascii="Calibri" w:eastAsia="Calibri" w:hAnsi="Calibri" w:cs="Times New Roman"/>
          <w:sz w:val="24"/>
          <w:szCs w:val="24"/>
        </w:rPr>
        <w:t xml:space="preserve"> </w:t>
      </w:r>
      <w:r w:rsidRPr="00CF1D1E">
        <w:rPr>
          <w:rFonts w:ascii="Calibri" w:eastAsia="Calibri" w:hAnsi="Calibri" w:cs="Times New Roman"/>
          <w:sz w:val="24"/>
          <w:szCs w:val="24"/>
        </w:rPr>
        <w:t>helped confirm the potential here. A description of the four coastal hedgerow plants chosen follows next.</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 xml:space="preserve">Alexanders, </w:t>
      </w:r>
      <w:r w:rsidRPr="00CF1D1E">
        <w:rPr>
          <w:rFonts w:ascii="Calibri" w:eastAsia="Calibri" w:hAnsi="Calibri" w:cs="Times New Roman"/>
          <w:i/>
          <w:sz w:val="24"/>
          <w:szCs w:val="24"/>
        </w:rPr>
        <w:t xml:space="preserve">Smyrnium olusatrum </w:t>
      </w:r>
      <w:r w:rsidRPr="00CF1D1E">
        <w:rPr>
          <w:rFonts w:ascii="Calibri" w:eastAsia="Calibri" w:hAnsi="Calibri" w:cs="Times New Roman"/>
          <w:sz w:val="24"/>
          <w:szCs w:val="24"/>
        </w:rPr>
        <w:t>(Fig.46)</w:t>
      </w:r>
      <w:r w:rsidRPr="00CF1D1E">
        <w:rPr>
          <w:rFonts w:ascii="Calibri" w:eastAsia="Calibri" w:hAnsi="Calibri" w:cs="Times New Roman"/>
          <w:i/>
          <w:sz w:val="24"/>
          <w:szCs w:val="24"/>
        </w:rPr>
        <w:t xml:space="preserve"> –</w:t>
      </w:r>
      <w:r w:rsidRPr="00CF1D1E">
        <w:rPr>
          <w:rFonts w:ascii="Calibri" w:eastAsia="Calibri" w:hAnsi="Calibri" w:cs="Times New Roman"/>
          <w:sz w:val="24"/>
          <w:szCs w:val="24"/>
        </w:rPr>
        <w:t xml:space="preserve"> very common in coastal hedgerows within a mile of the sea. Cultivated by the Romans as horse fodder when little else was available. Appears from </w:t>
      </w:r>
      <w:r w:rsidR="00D121DD" w:rsidRPr="00CF1D1E">
        <w:rPr>
          <w:rFonts w:ascii="Calibri" w:eastAsia="Calibri" w:hAnsi="Calibri" w:cs="Times New Roman"/>
          <w:sz w:val="24"/>
          <w:szCs w:val="24"/>
        </w:rPr>
        <w:t>winter</w:t>
      </w:r>
      <w:r w:rsidRPr="00CF1D1E">
        <w:rPr>
          <w:rFonts w:ascii="Calibri" w:eastAsia="Calibri" w:hAnsi="Calibri" w:cs="Times New Roman"/>
          <w:sz w:val="24"/>
          <w:szCs w:val="24"/>
        </w:rPr>
        <w:t xml:space="preserve"> onwards and is biennial. Its name is derived from Alexander the Great, whose birthplace of Macedonia is an abundant source of this member of the carrot family (</w:t>
      </w:r>
      <w:proofErr w:type="spellStart"/>
      <w:r w:rsidRPr="00CF1D1E">
        <w:rPr>
          <w:rFonts w:ascii="Calibri" w:eastAsia="Calibri" w:hAnsi="Calibri" w:cs="Times New Roman"/>
          <w:i/>
          <w:sz w:val="24"/>
          <w:szCs w:val="24"/>
        </w:rPr>
        <w:t>Umbelliferae</w:t>
      </w:r>
      <w:proofErr w:type="spellEnd"/>
      <w:r w:rsidRPr="00CF1D1E">
        <w:rPr>
          <w:rFonts w:ascii="Calibri" w:eastAsia="Calibri" w:hAnsi="Calibri" w:cs="Times New Roman"/>
          <w:sz w:val="24"/>
          <w:szCs w:val="24"/>
        </w:rPr>
        <w:t xml:space="preserve">). Its historical popularity was not only based on its nutritional value but also its herbal and apparent medicinal value. It should be noted that to the untrained eye, the highly poisonous hemlock water-dropwort can be mistaken for alexanders. This can easily be avoided by paying attention to a few obvious differences such as the pink-tinged sheath at the base of the stem and the very characteristic smell of alexander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{"citationItems":[{"id":"ITEM-1","itemData":{"ISBN":"0747595313","author":[{"dropping-particle":"","family":"Wright","given":"John","non-dropping-particle":"","parse-names":false,"suffix":""}],"id":"ITEM-1","issued":{"date-parts":[["2009"]]},"publisher":"Bloomsbury Publishing PLC","title":"Edible Seashore","type":"book"},"uris":["http://www.mendeley.com/documents/?uuid=3ab19948-f733-4843-a42d-0afbff77bda7"]}],"mendeley":{"formattedCitation":"(Wright, 2009)","plainTextFormattedCitation":"(Wright, 2009)","previouslyFormattedCitation":"(Wright,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(Wright,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ind w:left="2160" w:firstLine="720"/>
        <w:jc w:val="both"/>
        <w:rPr>
          <w:rFonts w:ascii="Calibri" w:eastAsia="Calibri" w:hAnsi="Calibri" w:cs="Times New Roman"/>
          <w:sz w:val="24"/>
          <w:szCs w:val="24"/>
        </w:rPr>
      </w:pPr>
      <w:r w:rsidRPr="00CF1D1E">
        <w:rPr>
          <w:rFonts w:ascii="Calibri" w:eastAsia="Calibri" w:hAnsi="Calibri" w:cs="Times New Roman"/>
          <w:noProof/>
          <w:lang w:eastAsia="en-GB"/>
        </w:rPr>
        <w:lastRenderedPageBreak/>
        <w:drawing>
          <wp:inline distT="0" distB="0" distL="0" distR="0" wp14:anchorId="1A19C02B" wp14:editId="68EDE40C">
            <wp:extent cx="1618735" cy="2029055"/>
            <wp:effectExtent l="0" t="0" r="635" b="9525"/>
            <wp:docPr id="10" name="Picture 10" descr="File:Smyrnium olusatrum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ile:Smyrnium olusatrum161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39377" cy="2054930"/>
                    </a:xfrm>
                    <a:prstGeom prst="rect">
                      <a:avLst/>
                    </a:prstGeom>
                    <a:noFill/>
                    <a:ln>
                      <a:noFill/>
                    </a:ln>
                  </pic:spPr>
                </pic:pic>
              </a:graphicData>
            </a:graphic>
          </wp:inline>
        </w:drawing>
      </w:r>
      <w:r w:rsidRPr="00CF1D1E">
        <w:rPr>
          <w:rFonts w:ascii="Calibri" w:eastAsia="Calibri" w:hAnsi="Calibri" w:cs="Times New Roman"/>
          <w:sz w:val="24"/>
          <w:szCs w:val="24"/>
        </w:rPr>
        <w:t xml:space="preserve">  </w:t>
      </w:r>
    </w:p>
    <w:p w:rsidR="00CF1D1E" w:rsidRPr="00CF1D1E" w:rsidRDefault="00CF1D1E" w:rsidP="00CF1D1E">
      <w:pPr>
        <w:spacing w:line="360" w:lineRule="auto"/>
        <w:jc w:val="both"/>
        <w:rPr>
          <w:rFonts w:ascii="Calibri" w:eastAsia="Calibri" w:hAnsi="Calibri" w:cs="Times New Roman"/>
          <w:i/>
          <w:sz w:val="20"/>
          <w:szCs w:val="20"/>
        </w:rPr>
      </w:pPr>
      <w:r w:rsidRPr="00CF1D1E">
        <w:rPr>
          <w:rFonts w:ascii="Calibri" w:eastAsia="Calibri" w:hAnsi="Calibri" w:cs="Times New Roman"/>
          <w:sz w:val="20"/>
          <w:szCs w:val="20"/>
        </w:rPr>
        <w:t xml:space="preserve">Fig.46 Alexanders, </w:t>
      </w:r>
      <w:r w:rsidRPr="00CF1D1E">
        <w:rPr>
          <w:rFonts w:ascii="Calibri" w:eastAsia="Calibri" w:hAnsi="Calibri" w:cs="Times New Roman"/>
          <w:i/>
          <w:sz w:val="20"/>
          <w:szCs w:val="20"/>
        </w:rPr>
        <w:t xml:space="preserve">Smyrnium olusatrum. </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i/>
          <w:sz w:val="20"/>
          <w:szCs w:val="20"/>
        </w:rPr>
        <w:t xml:space="preserve">Tato </w:t>
      </w:r>
      <w:proofErr w:type="spellStart"/>
      <w:proofErr w:type="gramStart"/>
      <w:r w:rsidRPr="00CF1D1E">
        <w:rPr>
          <w:rFonts w:ascii="Calibri" w:eastAsia="Calibri" w:hAnsi="Calibri" w:cs="Times New Roman"/>
          <w:i/>
          <w:sz w:val="20"/>
          <w:szCs w:val="20"/>
        </w:rPr>
        <w:t>grasso</w:t>
      </w:r>
      <w:proofErr w:type="spellEnd"/>
      <w:proofErr w:type="gramEnd"/>
      <w:r w:rsidRPr="00CF1D1E">
        <w:rPr>
          <w:rFonts w:ascii="Calibri" w:eastAsia="Calibri" w:hAnsi="Calibri" w:cs="Times New Roman"/>
          <w:i/>
          <w:sz w:val="20"/>
          <w:szCs w:val="20"/>
        </w:rPr>
        <w:t xml:space="preserve"> [CC BY-SA 3.0 (http://creativecommons.org/licenses/by-sa/3.0/)]</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 xml:space="preserve">Stinging Nettle, </w:t>
      </w:r>
      <w:proofErr w:type="spellStart"/>
      <w:r w:rsidRPr="00CF1D1E">
        <w:rPr>
          <w:rFonts w:ascii="Calibri" w:eastAsia="Calibri" w:hAnsi="Calibri" w:cs="Times New Roman"/>
          <w:i/>
          <w:sz w:val="24"/>
          <w:szCs w:val="24"/>
        </w:rPr>
        <w:t>Urtica</w:t>
      </w:r>
      <w:proofErr w:type="spellEnd"/>
      <w:r w:rsidRPr="00CF1D1E">
        <w:rPr>
          <w:rFonts w:ascii="Calibri" w:eastAsia="Calibri" w:hAnsi="Calibri" w:cs="Times New Roman"/>
          <w:i/>
          <w:sz w:val="24"/>
          <w:szCs w:val="24"/>
        </w:rPr>
        <w:t xml:space="preserve"> </w:t>
      </w:r>
      <w:proofErr w:type="spellStart"/>
      <w:r w:rsidRPr="00CF1D1E">
        <w:rPr>
          <w:rFonts w:ascii="Calibri" w:eastAsia="Calibri" w:hAnsi="Calibri" w:cs="Times New Roman"/>
          <w:i/>
          <w:sz w:val="24"/>
          <w:szCs w:val="24"/>
        </w:rPr>
        <w:t>dioica</w:t>
      </w:r>
      <w:proofErr w:type="spellEnd"/>
      <w:r w:rsidR="00D121DD">
        <w:rPr>
          <w:rFonts w:ascii="Calibri" w:eastAsia="Calibri" w:hAnsi="Calibri" w:cs="Times New Roman"/>
          <w:sz w:val="24"/>
          <w:szCs w:val="24"/>
        </w:rPr>
        <w:t xml:space="preserve"> (Fig.47) – a w</w:t>
      </w:r>
      <w:r w:rsidRPr="00CF1D1E">
        <w:rPr>
          <w:rFonts w:ascii="Calibri" w:eastAsia="Calibri" w:hAnsi="Calibri" w:cs="Times New Roman"/>
          <w:sz w:val="24"/>
          <w:szCs w:val="24"/>
        </w:rPr>
        <w:t>idespread perennial, abundant throughout Europe</w:t>
      </w:r>
      <w:r w:rsidR="00D121DD">
        <w:rPr>
          <w:rFonts w:ascii="Calibri" w:eastAsia="Calibri" w:hAnsi="Calibri" w:cs="Times New Roman"/>
          <w:sz w:val="24"/>
          <w:szCs w:val="24"/>
        </w:rPr>
        <w:t>, which is h</w:t>
      </w:r>
      <w:r w:rsidRPr="00CF1D1E">
        <w:rPr>
          <w:rFonts w:ascii="Calibri" w:eastAsia="Calibri" w:hAnsi="Calibri" w:cs="Times New Roman"/>
          <w:sz w:val="24"/>
          <w:szCs w:val="24"/>
        </w:rPr>
        <w:t xml:space="preserve">ighly nutritious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{"citationItems":[{"id":"ITEM-1","itemData":{"DOI":"10.1016/S0889-1575(02)00172-2","author":[{"dropping-particle":"","family":"Guil-guerrero","given":"J L","non-dropping-particle":"","parse-names":false,"suffix":""},{"dropping-particle":"","family":"Rebolloso-fuentes","given":"M M","non-dropping-particle":"","parse-names":false,"suffix":""},{"dropping-particle":"","family":"Isasa","given":"M E Torija","non-dropping-particle":"","parse-names":false,"suffix":""}],"id":"ITEM-1","issued":{"date-parts":[["2003"]]},"page":"111-119","title":"Fatty acids and carotenoids from Stinging Nettle ( Urtica dioica L .)","type":"article-journal","volume":"16"},"uris":["http://www.mendeley.com/documents/?uuid=98d408de-205e-4038-b559-1a458d983b97"]}],"mendeley":{"formattedCitation":"(Guil-guerrero, Rebolloso-fuentes, &amp; Isasa, 2003)","plainTextFormattedCitation":"(Guil-guerrero, Rebolloso-fuentes, &amp; Isasa, 2003)","previouslyFormattedCitation":"(Guil-guerrero, Rebolloso-fuentes, &amp; Isasa, 2003)"},"properties":{"noteIndex":0},"schema":"https://github.com/citation-style-language/schema/raw/master/csl-citation.json"}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(Guil-guerrero, Rebolloso-fuentes, &amp; Isasa, 2003)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with a long history in traditional medicine.  α- </w:t>
      </w:r>
      <w:proofErr w:type="spellStart"/>
      <w:r w:rsidRPr="00CF1D1E">
        <w:rPr>
          <w:rFonts w:ascii="Calibri" w:eastAsia="Calibri" w:hAnsi="Calibri" w:cs="Times New Roman"/>
          <w:sz w:val="24"/>
          <w:szCs w:val="24"/>
        </w:rPr>
        <w:t>Linolenic</w:t>
      </w:r>
      <w:proofErr w:type="spellEnd"/>
      <w:r w:rsidRPr="00CF1D1E">
        <w:rPr>
          <w:rFonts w:ascii="Calibri" w:eastAsia="Calibri" w:hAnsi="Calibri" w:cs="Times New Roman"/>
          <w:sz w:val="24"/>
          <w:szCs w:val="24"/>
        </w:rPr>
        <w:t xml:space="preserve"> acid is the predominant fatty acid in leaves and can be present as up to 40% of the fatty acids present in mature leaves. Nettles have been used </w:t>
      </w:r>
      <w:r w:rsidR="00D121DD">
        <w:rPr>
          <w:rFonts w:ascii="Calibri" w:eastAsia="Calibri" w:hAnsi="Calibri" w:cs="Times New Roman"/>
          <w:sz w:val="24"/>
          <w:szCs w:val="24"/>
        </w:rPr>
        <w:t>to produce</w:t>
      </w:r>
      <w:r w:rsidRPr="00CF1D1E">
        <w:rPr>
          <w:rFonts w:ascii="Calibri" w:eastAsia="Calibri" w:hAnsi="Calibri" w:cs="Times New Roman"/>
          <w:sz w:val="24"/>
          <w:szCs w:val="24"/>
        </w:rPr>
        <w:t xml:space="preserve"> textiles for thousands of years. In World War I, the majority of German army uniforms were made from nettle due to a shortage of cotton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URL":"https://theecologist.org/2009/aug/20/second-skin-why-wearing-nettles-next-big-thing","author":[{"dropping-particle":"","family":"Flintoff","given":"John-Paul","non-dropping-particle":"","parse-names":false,"suffix":""}],"container-title":"The Ecologist","id":"ITEM-1","issued":{"date-parts":[["2009"]]},"title":"Second skin: why wearing nettles is the next big thing","type":"webpage"},"uris":["http://www.mendeley.com/documents/?uuid=b28d17f3-cc9f-4e3b-a405-6d641310a69a"]}],"mendeley":{"formattedCitation":"(Flintoff, 2009)","plainTextFormattedCitation":"(Flintoff, 2009)","previouslyFormattedCitation":"(Flintoff,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(Flintoff,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ind w:left="2160"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w:t>
      </w:r>
      <w:r w:rsidRPr="00CF1D1E">
        <w:rPr>
          <w:rFonts w:ascii="Calibri" w:eastAsia="Calibri" w:hAnsi="Calibri" w:cs="Times New Roman"/>
          <w:noProof/>
          <w:lang w:eastAsia="en-GB"/>
        </w:rPr>
        <w:drawing>
          <wp:inline distT="0" distB="0" distL="0" distR="0" wp14:anchorId="09528391" wp14:editId="3D8E1809">
            <wp:extent cx="1463040" cy="2194559"/>
            <wp:effectExtent l="0" t="0" r="3810" b="0"/>
            <wp:docPr id="17" name="Picture 17" descr="File:BrÃ¤nnÃ¤ssla (Urtica Dio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ile:BrÃ¤nnÃ¤ssla (Urtica Dioica).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93539" cy="2240308"/>
                    </a:xfrm>
                    <a:prstGeom prst="rect">
                      <a:avLst/>
                    </a:prstGeom>
                    <a:noFill/>
                    <a:ln>
                      <a:noFill/>
                    </a:ln>
                  </pic:spPr>
                </pic:pic>
              </a:graphicData>
            </a:graphic>
          </wp:inline>
        </w:drawing>
      </w:r>
      <w:r w:rsidRPr="00CF1D1E">
        <w:rPr>
          <w:rFonts w:ascii="Calibri" w:eastAsia="Calibri" w:hAnsi="Calibri" w:cs="Times New Roman"/>
          <w:sz w:val="24"/>
          <w:szCs w:val="24"/>
        </w:rPr>
        <w:t xml:space="preserve">      </w:t>
      </w:r>
    </w:p>
    <w:p w:rsidR="00CF1D1E" w:rsidRPr="00CF1D1E" w:rsidRDefault="00CF1D1E" w:rsidP="00CF1D1E">
      <w:pPr>
        <w:spacing w:line="360" w:lineRule="auto"/>
        <w:jc w:val="both"/>
        <w:rPr>
          <w:rFonts w:ascii="Calibri" w:eastAsia="Calibri" w:hAnsi="Calibri" w:cs="Times New Roman"/>
        </w:rPr>
      </w:pPr>
      <w:r w:rsidRPr="00CF1D1E">
        <w:rPr>
          <w:rFonts w:ascii="Calibri" w:eastAsia="Calibri" w:hAnsi="Calibri" w:cs="Times New Roman"/>
          <w:sz w:val="20"/>
          <w:szCs w:val="20"/>
        </w:rPr>
        <w:t xml:space="preserve">Fig.47 Stinging Nettle, </w:t>
      </w:r>
      <w:proofErr w:type="spellStart"/>
      <w:r w:rsidRPr="00CF1D1E">
        <w:rPr>
          <w:rFonts w:ascii="Calibri" w:eastAsia="Calibri" w:hAnsi="Calibri" w:cs="Times New Roman"/>
          <w:i/>
          <w:sz w:val="20"/>
          <w:szCs w:val="20"/>
        </w:rPr>
        <w:t>Urtica</w:t>
      </w:r>
      <w:proofErr w:type="spellEnd"/>
      <w:r w:rsidRPr="00CF1D1E">
        <w:rPr>
          <w:rFonts w:ascii="Calibri" w:eastAsia="Calibri" w:hAnsi="Calibri" w:cs="Times New Roman"/>
          <w:i/>
          <w:sz w:val="20"/>
          <w:szCs w:val="20"/>
        </w:rPr>
        <w:t xml:space="preserve"> </w:t>
      </w:r>
      <w:proofErr w:type="spellStart"/>
      <w:r w:rsidRPr="00CF1D1E">
        <w:rPr>
          <w:rFonts w:ascii="Calibri" w:eastAsia="Calibri" w:hAnsi="Calibri" w:cs="Times New Roman"/>
          <w:i/>
          <w:sz w:val="20"/>
          <w:szCs w:val="20"/>
        </w:rPr>
        <w:t>dioica</w:t>
      </w:r>
      <w:proofErr w:type="spellEnd"/>
      <w:r w:rsidRPr="00CF1D1E">
        <w:rPr>
          <w:rFonts w:ascii="Calibri" w:eastAsia="Calibri" w:hAnsi="Calibri" w:cs="Times New Roman"/>
          <w:i/>
          <w:sz w:val="20"/>
          <w:szCs w:val="20"/>
        </w:rPr>
        <w:t>.</w:t>
      </w:r>
      <w:r w:rsidRPr="00CF1D1E">
        <w:rPr>
          <w:rFonts w:ascii="Calibri" w:eastAsia="Calibri" w:hAnsi="Calibri" w:cs="Times New Roman"/>
        </w:rPr>
        <w:t xml:space="preserve"> </w:t>
      </w:r>
    </w:p>
    <w:p w:rsidR="00CF1D1E" w:rsidRPr="00CF1D1E" w:rsidRDefault="00CF1D1E" w:rsidP="00CF1D1E">
      <w:pPr>
        <w:spacing w:line="360" w:lineRule="auto"/>
        <w:jc w:val="both"/>
        <w:rPr>
          <w:rFonts w:ascii="Calibri" w:eastAsia="Calibri" w:hAnsi="Calibri" w:cs="Times New Roman"/>
          <w:sz w:val="20"/>
          <w:szCs w:val="20"/>
        </w:rPr>
      </w:pPr>
      <w:proofErr w:type="spellStart"/>
      <w:r w:rsidRPr="00CF1D1E">
        <w:rPr>
          <w:rFonts w:ascii="Calibri" w:eastAsia="Calibri" w:hAnsi="Calibri" w:cs="Times New Roman"/>
          <w:i/>
          <w:sz w:val="20"/>
          <w:szCs w:val="20"/>
        </w:rPr>
        <w:t>Skalle</w:t>
      </w:r>
      <w:proofErr w:type="spellEnd"/>
      <w:r w:rsidRPr="00CF1D1E">
        <w:rPr>
          <w:rFonts w:ascii="Calibri" w:eastAsia="Calibri" w:hAnsi="Calibri" w:cs="Times New Roman"/>
          <w:i/>
          <w:sz w:val="20"/>
          <w:szCs w:val="20"/>
        </w:rPr>
        <w:t xml:space="preserve">-Per </w:t>
      </w:r>
      <w:proofErr w:type="spellStart"/>
      <w:r w:rsidRPr="00CF1D1E">
        <w:rPr>
          <w:rFonts w:ascii="Calibri" w:eastAsia="Calibri" w:hAnsi="Calibri" w:cs="Times New Roman"/>
          <w:i/>
          <w:sz w:val="20"/>
          <w:szCs w:val="20"/>
        </w:rPr>
        <w:t>Hedenhös</w:t>
      </w:r>
      <w:proofErr w:type="spellEnd"/>
      <w:r w:rsidRPr="00CF1D1E">
        <w:rPr>
          <w:rFonts w:ascii="Calibri" w:eastAsia="Calibri" w:hAnsi="Calibri" w:cs="Times New Roman"/>
          <w:i/>
          <w:sz w:val="20"/>
          <w:szCs w:val="20"/>
        </w:rPr>
        <w:t xml:space="preserve"> [CC BY-SA 4.0 (https://creativecommons.org/licenses/by-sa/4.0)]</w:t>
      </w:r>
    </w:p>
    <w:p w:rsidR="00CF1D1E" w:rsidRPr="00CF1D1E" w:rsidRDefault="00CF1D1E" w:rsidP="00CF1D1E">
      <w:pPr>
        <w:spacing w:line="360" w:lineRule="auto"/>
        <w:ind w:left="720"/>
        <w:jc w:val="both"/>
        <w:rPr>
          <w:rFonts w:ascii="Calibri" w:eastAsia="Calibri" w:hAnsi="Calibri" w:cs="Times New Roman"/>
          <w:b/>
          <w:sz w:val="44"/>
          <w:szCs w:val="4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Wild garlic, </w:t>
      </w:r>
      <w:r w:rsidRPr="00CF1D1E">
        <w:rPr>
          <w:rFonts w:ascii="Calibri" w:eastAsia="Calibri" w:hAnsi="Calibri" w:cs="Times New Roman"/>
          <w:i/>
          <w:sz w:val="24"/>
          <w:szCs w:val="24"/>
        </w:rPr>
        <w:t xml:space="preserve">Allium </w:t>
      </w:r>
      <w:proofErr w:type="spellStart"/>
      <w:r w:rsidRPr="00CF1D1E">
        <w:rPr>
          <w:rFonts w:ascii="Calibri" w:eastAsia="Calibri" w:hAnsi="Calibri" w:cs="Times New Roman"/>
          <w:i/>
          <w:sz w:val="24"/>
          <w:szCs w:val="24"/>
        </w:rPr>
        <w:t>ursinum</w:t>
      </w:r>
      <w:proofErr w:type="spellEnd"/>
      <w:r w:rsidRPr="00CF1D1E">
        <w:rPr>
          <w:rFonts w:ascii="Calibri" w:eastAsia="Calibri" w:hAnsi="Calibri" w:cs="Times New Roman"/>
          <w:sz w:val="24"/>
          <w:szCs w:val="24"/>
        </w:rPr>
        <w:t xml:space="preserve"> (Fig.48) – </w:t>
      </w:r>
      <w:r w:rsidR="007045E2">
        <w:rPr>
          <w:rFonts w:ascii="Calibri" w:eastAsia="Calibri" w:hAnsi="Calibri" w:cs="Times New Roman"/>
          <w:sz w:val="24"/>
          <w:szCs w:val="24"/>
        </w:rPr>
        <w:t xml:space="preserve">a </w:t>
      </w:r>
      <w:r w:rsidRPr="00CF1D1E">
        <w:rPr>
          <w:rFonts w:ascii="Calibri" w:eastAsia="Calibri" w:hAnsi="Calibri" w:cs="Times New Roman"/>
          <w:sz w:val="24"/>
          <w:szCs w:val="24"/>
        </w:rPr>
        <w:t xml:space="preserve">bulbous perennial, </w:t>
      </w:r>
      <w:r w:rsidR="007045E2">
        <w:rPr>
          <w:rFonts w:ascii="Calibri" w:eastAsia="Calibri" w:hAnsi="Calibri" w:cs="Times New Roman"/>
          <w:sz w:val="24"/>
          <w:szCs w:val="24"/>
        </w:rPr>
        <w:t xml:space="preserve">which is </w:t>
      </w:r>
      <w:r w:rsidRPr="00CF1D1E">
        <w:rPr>
          <w:rFonts w:ascii="Calibri" w:eastAsia="Calibri" w:hAnsi="Calibri" w:cs="Times New Roman"/>
          <w:sz w:val="24"/>
          <w:szCs w:val="24"/>
        </w:rPr>
        <w:t xml:space="preserve">abundant in shaded woods and hedgerows. Sometimes known as ramsons, it is a wild relative of the onion.  Wild garlic is commonly used in traditional medicine and is claimed to have antibiotic and antiviral properties. Studies have also shown evidence of cardioprotective action and hence aiding in the reduction of the risk of stroke and heart disease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Rietz","given":"B","non-dropping-particle":"","parse-names":false,"suffix":""},{"dropping-particle":"","family":"Isensee","given":"H","non-dropping-particle":"","parse-names":false,"suffix":""},{"dropping-particle":"","family":"Strobach","given":"H","non-dropping-particle":"","parse-names":false,"suffix":""},{"dropping-particle":"","family":"Makdessi","given":"S","non-dropping-particle":"","parse-names":false,"suffix":""},{"dropping-particle":"","family":"Jacob","given":"R","non-dropping-particle":"","parse-names":false,"suffix":""}],"id":"ITEM-1","issued":{"date-parts":[["1993"]]},"page":"143-150","title":"Cardioprotective actions of wild garlic ( Anium ursinum ) in ischemia and reperfusion","type":"article-journal"},"uris":["http://www.mendeley.com/documents/?uuid=9f00b4d6-84ed-409f-b758-42c763250e14"]}],"mendeley":{"formattedCitation":"(Rietz, Isensee, Strobach, Makdessi, &amp; Jacob, 1993)","plainTextFormattedCitation":"(Rietz, Isensee, Strobach, Makdessi, &amp; Jacob, 1993)","previouslyFormattedCitation":"(Rietz, Isensee, Strobach, Makdessi, &amp; Jacob, 1993)"},"properties":{"noteIndex":0},"schema":"https://github.com/citation-style-language/schema/raw/master/csl-citation.json"}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(Rietz, Isensee, Strobach, Makdessi, &amp; Jacob, 1993)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Wild garlic has be</w:t>
      </w:r>
      <w:r w:rsidR="007045E2">
        <w:rPr>
          <w:rFonts w:ascii="Calibri" w:eastAsia="Calibri" w:hAnsi="Calibri" w:cs="Times New Roman"/>
          <w:sz w:val="24"/>
          <w:szCs w:val="24"/>
        </w:rPr>
        <w:t>en</w:t>
      </w:r>
      <w:r w:rsidRPr="00CF1D1E">
        <w:rPr>
          <w:rFonts w:ascii="Calibri" w:eastAsia="Calibri" w:hAnsi="Calibri" w:cs="Times New Roman"/>
          <w:sz w:val="24"/>
          <w:szCs w:val="24"/>
        </w:rPr>
        <w:t xml:space="preserve"> shown to have allelopathic properties (the chemical inhibition of one plant by another) which leads to the inhibition of seed germination and surrounding plant growth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bse.2003.10.001","author":[{"dropping-particle":"","family":"Djurdjevic","given":"Lola","non-dropping-particle":"","parse-names":false,"suffix":""},{"dropping-particle":"","family":"Dinic","given":"Anka","non-dropping-particle":"","parse-names":false,"suffix":""},{"dropping-particle":"","family":"Pavlovic","given":"Pavle","non-dropping-particle":"","parse-names":false,"suffix":""},{"dropping-particle":"","family":"Mitrovic","given":"Miroslava","non-dropping-particle":"","parse-names":false,"suffix":""},{"dropping-particle":"","family":"Karadzic","given":"Branko","non-dropping-particle":"","parse-names":false,"suffix":""},{"dropping-particle":"","family":"Tesevic","given":"Vele","non-dropping-particle":"","parse-names":false,"suffix":""}],"id":"ITEM-1","issued":{"date-parts":[["2004"]]},"page":"533-544","title":"Allelopathic potential of Allium ursinum L .","type":"article-journal","volume":"32"},"uris":["http://www.mendeley.com/documents/?uuid=aa9cad5a-1f89-42db-b15a-021cf54cc6ae"]}],"mendeley":{"formattedCitation":"(Djurdjevic et al., 2004)","plainTextFormattedCitation":"(Djurdjevic et al., 2004)","previouslyFormattedCitation":"(Djurdjevic et al., 2004)"},"properties":{"noteIndex":0},"schema":"https://github.com/citation-style-language/schema/raw/master/csl-citation.json"}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(Djurdjevic </w:t>
      </w:r>
      <w:r w:rsidR="00941740" w:rsidRPr="000E1A5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2004)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mechanism by which this occurs is thought to </w:t>
      </w:r>
      <w:r w:rsidR="007045E2">
        <w:rPr>
          <w:rFonts w:ascii="Calibri" w:eastAsia="Calibri" w:hAnsi="Calibri" w:cs="Times New Roman"/>
          <w:sz w:val="24"/>
          <w:szCs w:val="24"/>
        </w:rPr>
        <w:t>include the action of</w:t>
      </w:r>
      <w:r w:rsidRPr="00CF1D1E">
        <w:rPr>
          <w:rFonts w:ascii="Calibri" w:eastAsia="Calibri" w:hAnsi="Calibri" w:cs="Times New Roman"/>
          <w:sz w:val="24"/>
          <w:szCs w:val="24"/>
        </w:rPr>
        <w:t xml:space="preserve"> polyphenolics. Only the leaf was taken for th</w:t>
      </w:r>
      <w:r w:rsidR="007045E2">
        <w:rPr>
          <w:rFonts w:ascii="Calibri" w:eastAsia="Calibri" w:hAnsi="Calibri" w:cs="Times New Roman"/>
          <w:sz w:val="24"/>
          <w:szCs w:val="24"/>
        </w:rPr>
        <w:t>e</w:t>
      </w:r>
      <w:r w:rsidRPr="00CF1D1E">
        <w:rPr>
          <w:rFonts w:ascii="Calibri" w:eastAsia="Calibri" w:hAnsi="Calibri" w:cs="Times New Roman"/>
          <w:sz w:val="24"/>
          <w:szCs w:val="24"/>
        </w:rPr>
        <w:t xml:space="preserve"> </w:t>
      </w:r>
      <w:r w:rsidR="007045E2">
        <w:rPr>
          <w:rFonts w:ascii="Calibri" w:eastAsia="Calibri" w:hAnsi="Calibri" w:cs="Times New Roman"/>
          <w:sz w:val="24"/>
          <w:szCs w:val="24"/>
        </w:rPr>
        <w:t>analysis of wild garlic</w:t>
      </w:r>
      <w:r w:rsidRPr="00CF1D1E">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ind w:left="1440" w:firstLine="720"/>
        <w:jc w:val="both"/>
        <w:rPr>
          <w:rFonts w:ascii="Calibri" w:eastAsia="Calibri" w:hAnsi="Calibri" w:cs="Times New Roman"/>
          <w:sz w:val="24"/>
          <w:szCs w:val="24"/>
        </w:rPr>
      </w:pPr>
      <w:r w:rsidRPr="00CF1D1E">
        <w:rPr>
          <w:rFonts w:ascii="Calibri" w:eastAsia="Calibri" w:hAnsi="Calibri" w:cs="Times New Roman"/>
          <w:noProof/>
          <w:lang w:eastAsia="en-GB"/>
        </w:rPr>
        <w:drawing>
          <wp:inline distT="0" distB="0" distL="0" distR="0" wp14:anchorId="0F3CDA41" wp14:editId="2C8D9FF2">
            <wp:extent cx="2391508" cy="1794566"/>
            <wp:effectExtent l="0" t="0" r="8890" b="0"/>
            <wp:docPr id="20" name="Picture 20" descr="File:Allium ursinu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le:Allium ursinum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04940" cy="1804645"/>
                    </a:xfrm>
                    <a:prstGeom prst="rect">
                      <a:avLst/>
                    </a:prstGeom>
                    <a:noFill/>
                    <a:ln>
                      <a:noFill/>
                    </a:ln>
                  </pic:spPr>
                </pic:pic>
              </a:graphicData>
            </a:graphic>
          </wp:inline>
        </w:drawing>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w:t>
      </w:r>
    </w:p>
    <w:p w:rsidR="00CF1D1E" w:rsidRPr="00CF1D1E" w:rsidRDefault="00CF1D1E" w:rsidP="00CF1D1E">
      <w:pPr>
        <w:spacing w:line="360" w:lineRule="auto"/>
        <w:jc w:val="both"/>
        <w:rPr>
          <w:rFonts w:ascii="Calibri" w:eastAsia="Calibri" w:hAnsi="Calibri" w:cs="Times New Roman"/>
          <w:i/>
          <w:sz w:val="20"/>
          <w:szCs w:val="20"/>
        </w:rPr>
      </w:pPr>
      <w:r w:rsidRPr="00CF1D1E">
        <w:rPr>
          <w:rFonts w:ascii="Calibri" w:eastAsia="Calibri" w:hAnsi="Calibri" w:cs="Times New Roman"/>
          <w:sz w:val="20"/>
          <w:szCs w:val="20"/>
        </w:rPr>
        <w:t xml:space="preserve">Fig.48 Wild garlic, </w:t>
      </w:r>
      <w:r w:rsidRPr="00CF1D1E">
        <w:rPr>
          <w:rFonts w:ascii="Calibri" w:eastAsia="Calibri" w:hAnsi="Calibri" w:cs="Times New Roman"/>
          <w:i/>
          <w:sz w:val="20"/>
          <w:szCs w:val="20"/>
        </w:rPr>
        <w:t xml:space="preserve">Allium </w:t>
      </w:r>
      <w:proofErr w:type="spellStart"/>
      <w:r w:rsidRPr="00CF1D1E">
        <w:rPr>
          <w:rFonts w:ascii="Calibri" w:eastAsia="Calibri" w:hAnsi="Calibri" w:cs="Times New Roman"/>
          <w:i/>
          <w:sz w:val="20"/>
          <w:szCs w:val="20"/>
        </w:rPr>
        <w:t>ursinum</w:t>
      </w:r>
      <w:proofErr w:type="spellEnd"/>
      <w:r w:rsidRPr="00CF1D1E">
        <w:rPr>
          <w:rFonts w:ascii="Calibri" w:eastAsia="Calibri" w:hAnsi="Calibri" w:cs="Times New Roman"/>
          <w:i/>
          <w:sz w:val="20"/>
          <w:szCs w:val="20"/>
        </w:rPr>
        <w:t>.</w:t>
      </w:r>
    </w:p>
    <w:p w:rsidR="00CF1D1E" w:rsidRPr="00CF1D1E" w:rsidRDefault="00CF1D1E" w:rsidP="00CF1D1E">
      <w:pPr>
        <w:spacing w:line="360" w:lineRule="auto"/>
        <w:jc w:val="both"/>
        <w:rPr>
          <w:rFonts w:ascii="Calibri" w:eastAsia="Calibri" w:hAnsi="Calibri" w:cs="Times New Roman"/>
          <w:i/>
          <w:sz w:val="20"/>
          <w:szCs w:val="20"/>
        </w:rPr>
      </w:pPr>
      <w:r w:rsidRPr="00CF1D1E">
        <w:rPr>
          <w:rFonts w:ascii="Calibri" w:eastAsia="Calibri" w:hAnsi="Calibri" w:cs="Times New Roman"/>
          <w:i/>
          <w:sz w:val="20"/>
          <w:szCs w:val="20"/>
        </w:rPr>
        <w:t xml:space="preserve">Kurt </w:t>
      </w:r>
      <w:proofErr w:type="spellStart"/>
      <w:r w:rsidRPr="00CF1D1E">
        <w:rPr>
          <w:rFonts w:ascii="Calibri" w:eastAsia="Calibri" w:hAnsi="Calibri" w:cs="Times New Roman"/>
          <w:i/>
          <w:sz w:val="20"/>
          <w:szCs w:val="20"/>
        </w:rPr>
        <w:t>Stüber</w:t>
      </w:r>
      <w:proofErr w:type="spellEnd"/>
      <w:r w:rsidRPr="00CF1D1E">
        <w:rPr>
          <w:rFonts w:ascii="Calibri" w:eastAsia="Calibri" w:hAnsi="Calibri" w:cs="Times New Roman"/>
          <w:i/>
          <w:sz w:val="20"/>
          <w:szCs w:val="20"/>
        </w:rPr>
        <w:t xml:space="preserve"> [1] [CC BY-SA 3.0 (http://creativecommons.org/licenses/by-sa/3.0/)]</w:t>
      </w:r>
    </w:p>
    <w:p w:rsidR="00CF1D1E" w:rsidRPr="00CF1D1E" w:rsidRDefault="00CF1D1E" w:rsidP="00CF1D1E">
      <w:pPr>
        <w:spacing w:line="360" w:lineRule="auto"/>
        <w:ind w:firstLine="720"/>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iCs/>
          <w:sz w:val="24"/>
          <w:szCs w:val="24"/>
          <w:lang w:val="en"/>
        </w:rPr>
      </w:pPr>
      <w:r w:rsidRPr="00CF1D1E">
        <w:rPr>
          <w:rFonts w:ascii="Calibri" w:eastAsia="Calibri" w:hAnsi="Calibri" w:cs="Times New Roman"/>
          <w:sz w:val="24"/>
          <w:szCs w:val="24"/>
        </w:rPr>
        <w:t xml:space="preserve">Gorse, </w:t>
      </w:r>
      <w:r w:rsidRPr="00CF1D1E">
        <w:rPr>
          <w:rFonts w:ascii="Calibri" w:eastAsia="Calibri" w:hAnsi="Calibri" w:cs="Times New Roman"/>
          <w:i/>
          <w:iCs/>
          <w:sz w:val="24"/>
          <w:szCs w:val="24"/>
          <w:lang w:val="en"/>
        </w:rPr>
        <w:t xml:space="preserve">Ulex europaeus </w:t>
      </w:r>
      <w:r w:rsidRPr="00CF1D1E">
        <w:rPr>
          <w:rFonts w:ascii="Calibri" w:eastAsia="Calibri" w:hAnsi="Calibri" w:cs="Times New Roman"/>
          <w:iCs/>
          <w:sz w:val="24"/>
          <w:szCs w:val="24"/>
          <w:lang w:val="en"/>
        </w:rPr>
        <w:t xml:space="preserve">(Fig.49) – species of flowering plant in the family </w:t>
      </w:r>
      <w:r w:rsidRPr="00CF1D1E">
        <w:rPr>
          <w:rFonts w:ascii="Calibri" w:eastAsia="Calibri" w:hAnsi="Calibri" w:cs="Times New Roman"/>
          <w:i/>
          <w:iCs/>
          <w:sz w:val="24"/>
          <w:szCs w:val="24"/>
          <w:lang w:val="en"/>
        </w:rPr>
        <w:t>Fabaceae</w:t>
      </w:r>
      <w:r w:rsidRPr="00CF1D1E">
        <w:rPr>
          <w:rFonts w:ascii="Calibri" w:eastAsia="Calibri" w:hAnsi="Calibri" w:cs="Times New Roman"/>
          <w:iCs/>
          <w:sz w:val="24"/>
          <w:szCs w:val="24"/>
          <w:lang w:val="en"/>
        </w:rPr>
        <w:t>. It is an evergreen used for hedging and boundary definition and is able to fix nitrogen. Gorse flowers throughout the year. In traditional medicine, flowers have been used in the treatment of jaundice and as a treatment for scarlet fever in children. Planted for soil stab</w:t>
      </w:r>
      <w:r w:rsidR="007045E2">
        <w:rPr>
          <w:rFonts w:ascii="Calibri" w:eastAsia="Calibri" w:hAnsi="Calibri" w:cs="Times New Roman"/>
          <w:iCs/>
          <w:sz w:val="24"/>
          <w:szCs w:val="24"/>
          <w:lang w:val="en"/>
        </w:rPr>
        <w:t>ilization on sandy substrates, i</w:t>
      </w:r>
      <w:r w:rsidRPr="00CF1D1E">
        <w:rPr>
          <w:rFonts w:ascii="Calibri" w:eastAsia="Calibri" w:hAnsi="Calibri" w:cs="Times New Roman"/>
          <w:iCs/>
          <w:sz w:val="24"/>
          <w:szCs w:val="24"/>
          <w:lang w:val="en"/>
        </w:rPr>
        <w:t xml:space="preserve">t is used for stabilizing roadside banks as gorse is an excellent pioneer species for poor soils and areas with maritime exposure. A lectin extract from the yellow flowers can be </w:t>
      </w:r>
      <w:r w:rsidRPr="00CF1D1E">
        <w:rPr>
          <w:rFonts w:ascii="Calibri" w:eastAsia="Calibri" w:hAnsi="Calibri" w:cs="Times New Roman"/>
          <w:iCs/>
          <w:sz w:val="24"/>
          <w:szCs w:val="24"/>
          <w:lang w:val="en"/>
        </w:rPr>
        <w:lastRenderedPageBreak/>
        <w:t xml:space="preserve">used as a very specific and sensitive marker for human tumors derived from endothelial cells </w:t>
      </w:r>
      <w:r w:rsidRPr="00CF1D1E">
        <w:rPr>
          <w:rFonts w:ascii="Calibri" w:eastAsia="Calibri" w:hAnsi="Calibri" w:cs="Times New Roman"/>
          <w:iCs/>
          <w:sz w:val="24"/>
          <w:szCs w:val="24"/>
          <w:lang w:val="en"/>
        </w:rPr>
        <w:fldChar w:fldCharType="begin" w:fldLock="1"/>
      </w:r>
      <w:r w:rsidR="00595237">
        <w:rPr>
          <w:rFonts w:ascii="Calibri" w:eastAsia="Calibri" w:hAnsi="Calibri" w:cs="Times New Roman"/>
          <w:iCs/>
          <w:sz w:val="24"/>
          <w:szCs w:val="24"/>
          <w:lang w:val="en"/>
        </w:rPr>
        <w:instrText>ADDIN CSL_CITATION {"citationItems":[{"id":"ITEM-1","itemData":{"author":[{"dropping-particle":"","family":"Miettinen","given":"Markku","non-dropping-particle":"","parse-names":false,"suffix":""},{"dropping-particle":"","family":"Holthofer","given":"Harry","non-dropping-particle":"","parse-names":false,"suffix":""},{"dropping-particle":"","family":"Lehto","given":"Veli-pekka","non-dropping-particle":"","parse-names":false,"suffix":""},{"dropping-particle":"","family":"Miettinen","given":"Aaro","non-dropping-particle":"","parse-names":false,"suffix":""}],"id":"ITEM-1","issued":{"date-parts":[["1982"]]},"page":"32-36","title":"Ulex europaeus / Lectin as a Marker for Tumors Derived from Endothelial Cells","type":"article-journal"},"uris":["http://www.mendeley.com/documents/?uuid=665daa2f-c12f-4579-89bd-4c73280b72b1"]}],"mendeley":{"formattedCitation":"(Miettinen, Holthofer, Lehto, &amp; Miettinen, 1982)","plainTextFormattedCitation":"(Miettinen, Holthofer, Lehto, &amp; Miettinen, 1982)","previouslyFormattedCitation":"(Miettinen, Holthofer, Lehto, &amp; Miettinen, 1982)"},"properties":{"noteIndex":0},"schema":"https://github.com/citation-style-language/schema/raw/master/csl-citation.json"}</w:instrText>
      </w:r>
      <w:r w:rsidRPr="00CF1D1E">
        <w:rPr>
          <w:rFonts w:ascii="Calibri" w:eastAsia="Calibri" w:hAnsi="Calibri" w:cs="Times New Roman"/>
          <w:iCs/>
          <w:sz w:val="24"/>
          <w:szCs w:val="24"/>
          <w:lang w:val="en"/>
        </w:rPr>
        <w:fldChar w:fldCharType="separate"/>
      </w:r>
      <w:r w:rsidR="00941740" w:rsidRPr="00941740">
        <w:rPr>
          <w:rFonts w:ascii="Calibri" w:eastAsia="Calibri" w:hAnsi="Calibri" w:cs="Times New Roman"/>
          <w:iCs/>
          <w:noProof/>
          <w:sz w:val="24"/>
          <w:szCs w:val="24"/>
          <w:lang w:val="en"/>
        </w:rPr>
        <w:t>(Miettinen, Holthofer, Lehto, &amp; Miettinen, 1982)</w:t>
      </w:r>
      <w:r w:rsidRPr="00CF1D1E">
        <w:rPr>
          <w:rFonts w:ascii="Calibri" w:eastAsia="Calibri" w:hAnsi="Calibri" w:cs="Times New Roman"/>
          <w:iCs/>
          <w:sz w:val="24"/>
          <w:szCs w:val="24"/>
          <w:lang w:val="en"/>
        </w:rPr>
        <w:fldChar w:fldCharType="end"/>
      </w:r>
      <w:r w:rsidRPr="00CF1D1E">
        <w:rPr>
          <w:rFonts w:ascii="Calibri" w:eastAsia="Calibri" w:hAnsi="Calibri" w:cs="Times New Roman"/>
          <w:iCs/>
          <w:sz w:val="24"/>
          <w:szCs w:val="24"/>
          <w:lang w:val="en"/>
        </w:rPr>
        <w:t>. In former times, gorse was valued as fodder for horses and cattle</w:t>
      </w:r>
      <w:r w:rsidR="007045E2">
        <w:rPr>
          <w:rFonts w:ascii="Calibri" w:eastAsia="Calibri" w:hAnsi="Calibri" w:cs="Times New Roman"/>
          <w:iCs/>
          <w:sz w:val="24"/>
          <w:szCs w:val="24"/>
          <w:lang w:val="en"/>
        </w:rPr>
        <w:t xml:space="preserve"> as</w:t>
      </w:r>
      <w:r w:rsidRPr="00CF1D1E">
        <w:rPr>
          <w:rFonts w:ascii="Calibri" w:eastAsia="Calibri" w:hAnsi="Calibri" w:cs="Times New Roman"/>
          <w:iCs/>
          <w:sz w:val="24"/>
          <w:szCs w:val="24"/>
          <w:lang w:val="en"/>
        </w:rPr>
        <w:t xml:space="preserve"> </w:t>
      </w:r>
      <w:r w:rsidR="007045E2">
        <w:rPr>
          <w:rFonts w:ascii="Calibri" w:eastAsia="Calibri" w:hAnsi="Calibri" w:cs="Times New Roman"/>
          <w:iCs/>
          <w:sz w:val="24"/>
          <w:szCs w:val="24"/>
          <w:lang w:val="en"/>
        </w:rPr>
        <w:t>it</w:t>
      </w:r>
      <w:r w:rsidRPr="00CF1D1E">
        <w:rPr>
          <w:rFonts w:ascii="Calibri" w:eastAsia="Calibri" w:hAnsi="Calibri" w:cs="Times New Roman"/>
          <w:iCs/>
          <w:sz w:val="24"/>
          <w:szCs w:val="24"/>
          <w:lang w:val="en"/>
        </w:rPr>
        <w:t xml:space="preserve"> was abundant on land where little else of nutritional value grew. The gorse was bruised, crushed or milled prior to using as animal feed </w:t>
      </w:r>
      <w:r w:rsidRPr="00CF1D1E">
        <w:rPr>
          <w:rFonts w:ascii="Calibri" w:eastAsia="Calibri" w:hAnsi="Calibri" w:cs="Times New Roman"/>
          <w:iCs/>
          <w:sz w:val="24"/>
          <w:szCs w:val="24"/>
          <w:lang w:val="en"/>
        </w:rPr>
        <w:fldChar w:fldCharType="begin" w:fldLock="1"/>
      </w:r>
      <w:r w:rsidR="00595237">
        <w:rPr>
          <w:rFonts w:ascii="Calibri" w:eastAsia="Calibri" w:hAnsi="Calibri" w:cs="Times New Roman"/>
          <w:iCs/>
          <w:sz w:val="24"/>
          <w:szCs w:val="24"/>
          <w:lang w:val="en"/>
        </w:rPr>
        <w:instrText>ADDIN CSL_CITATION {"citationItems":[{"id":"ITEM-1","itemData":{"URL":"https://www.plant-lore.com/plantofthemonth/gorse-as-cattle-fodder/","author":[{"dropping-particle":"","family":"Lore","given":"PLant","non-dropping-particle":"","parse-names":false,"suffix":""}],"container-title":"Plant Lore","id":"ITEM-1","issued":{"date-parts":[["2017"]]},"title":"Gorse as horse fodder","type":"webpage"},"uris":["http://www.mendeley.com/documents/?uuid=9959f28b-6988-4cac-af89-1be4133cc939"]}],"mendeley":{"formattedCitation":"(Lore, 2017)","plainTextFormattedCitation":"(Lore, 2017)","previouslyFormattedCitation":"(Lore, 2017)"},"properties":{"noteIndex":0},"schema":"https://github.com/citation-style-language/schema/raw/master/csl-citation.json"}</w:instrText>
      </w:r>
      <w:r w:rsidRPr="00CF1D1E">
        <w:rPr>
          <w:rFonts w:ascii="Calibri" w:eastAsia="Calibri" w:hAnsi="Calibri" w:cs="Times New Roman"/>
          <w:iCs/>
          <w:sz w:val="24"/>
          <w:szCs w:val="24"/>
          <w:lang w:val="en"/>
        </w:rPr>
        <w:fldChar w:fldCharType="separate"/>
      </w:r>
      <w:r w:rsidR="00941740" w:rsidRPr="00941740">
        <w:rPr>
          <w:rFonts w:ascii="Calibri" w:eastAsia="Calibri" w:hAnsi="Calibri" w:cs="Times New Roman"/>
          <w:iCs/>
          <w:noProof/>
          <w:sz w:val="24"/>
          <w:szCs w:val="24"/>
          <w:lang w:val="en"/>
        </w:rPr>
        <w:t>(Lore, 2017)</w:t>
      </w:r>
      <w:r w:rsidRPr="00CF1D1E">
        <w:rPr>
          <w:rFonts w:ascii="Calibri" w:eastAsia="Calibri" w:hAnsi="Calibri" w:cs="Times New Roman"/>
          <w:iCs/>
          <w:sz w:val="24"/>
          <w:szCs w:val="24"/>
          <w:lang w:val="en"/>
        </w:rPr>
        <w:fldChar w:fldCharType="end"/>
      </w:r>
    </w:p>
    <w:p w:rsidR="00CF1D1E" w:rsidRPr="00CF1D1E" w:rsidRDefault="00CF1D1E" w:rsidP="00CF1D1E">
      <w:pPr>
        <w:spacing w:line="360" w:lineRule="auto"/>
        <w:jc w:val="both"/>
        <w:rPr>
          <w:rFonts w:ascii="Calibri" w:eastAsia="Calibri" w:hAnsi="Calibri" w:cs="Times New Roman"/>
          <w:sz w:val="24"/>
          <w:szCs w:val="24"/>
          <w:lang w:val="en"/>
        </w:rPr>
      </w:pPr>
    </w:p>
    <w:p w:rsidR="00CF1D1E" w:rsidRPr="00CF1D1E" w:rsidRDefault="00CF1D1E" w:rsidP="00CF1D1E">
      <w:pPr>
        <w:spacing w:line="360" w:lineRule="auto"/>
        <w:ind w:left="1440"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    </w:t>
      </w:r>
      <w:r w:rsidRPr="00CF1D1E">
        <w:rPr>
          <w:rFonts w:ascii="Calibri" w:eastAsia="Calibri" w:hAnsi="Calibri" w:cs="Times New Roman"/>
          <w:noProof/>
          <w:lang w:eastAsia="en-GB"/>
        </w:rPr>
        <w:drawing>
          <wp:inline distT="0" distB="0" distL="0" distR="0" wp14:anchorId="503DC075" wp14:editId="6C0D3586">
            <wp:extent cx="2649893" cy="1766522"/>
            <wp:effectExtent l="0" t="0" r="0" b="5715"/>
            <wp:docPr id="184" name="Picture 184" descr="File:Ulex europaeus 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File:Ulex europaeus flowers.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99143" cy="1799354"/>
                    </a:xfrm>
                    <a:prstGeom prst="rect">
                      <a:avLst/>
                    </a:prstGeom>
                    <a:noFill/>
                    <a:ln>
                      <a:noFill/>
                    </a:ln>
                  </pic:spPr>
                </pic:pic>
              </a:graphicData>
            </a:graphic>
          </wp:inline>
        </w:drawing>
      </w:r>
      <w:r w:rsidRPr="00CF1D1E">
        <w:rPr>
          <w:rFonts w:ascii="Calibri" w:eastAsia="Calibri" w:hAnsi="Calibri" w:cs="Times New Roman"/>
          <w:sz w:val="24"/>
          <w:szCs w:val="24"/>
          <w:lang w:val="en"/>
        </w:rPr>
        <w:t xml:space="preserve">   </w:t>
      </w:r>
    </w:p>
    <w:p w:rsidR="00CF1D1E" w:rsidRPr="00CF1D1E" w:rsidRDefault="00CF1D1E" w:rsidP="00CF1D1E">
      <w:pPr>
        <w:spacing w:line="360" w:lineRule="auto"/>
        <w:jc w:val="both"/>
        <w:rPr>
          <w:rFonts w:ascii="Calibri" w:eastAsia="Calibri" w:hAnsi="Calibri" w:cs="Times New Roman"/>
          <w:i/>
          <w:iCs/>
          <w:sz w:val="20"/>
          <w:szCs w:val="20"/>
          <w:lang w:val="en"/>
        </w:rPr>
      </w:pPr>
      <w:r w:rsidRPr="00CF1D1E">
        <w:rPr>
          <w:rFonts w:ascii="Calibri" w:eastAsia="Calibri" w:hAnsi="Calibri" w:cs="Times New Roman"/>
          <w:sz w:val="20"/>
          <w:szCs w:val="20"/>
          <w:lang w:val="en"/>
        </w:rPr>
        <w:t xml:space="preserve">Fig.49 </w:t>
      </w:r>
      <w:r w:rsidRPr="00CF1D1E">
        <w:rPr>
          <w:rFonts w:ascii="Calibri" w:eastAsia="Calibri" w:hAnsi="Calibri" w:cs="Times New Roman"/>
          <w:sz w:val="20"/>
          <w:szCs w:val="20"/>
        </w:rPr>
        <w:t xml:space="preserve">Gorse, </w:t>
      </w:r>
      <w:r w:rsidRPr="00CF1D1E">
        <w:rPr>
          <w:rFonts w:ascii="Calibri" w:eastAsia="Calibri" w:hAnsi="Calibri" w:cs="Times New Roman"/>
          <w:i/>
          <w:iCs/>
          <w:sz w:val="20"/>
          <w:szCs w:val="20"/>
          <w:lang w:val="en"/>
        </w:rPr>
        <w:t>Ulex europaeus.</w:t>
      </w:r>
    </w:p>
    <w:p w:rsidR="00CF1D1E" w:rsidRPr="00CF1D1E" w:rsidRDefault="00CF1D1E" w:rsidP="00CF1D1E">
      <w:pPr>
        <w:spacing w:line="360" w:lineRule="auto"/>
        <w:jc w:val="both"/>
        <w:rPr>
          <w:rFonts w:ascii="Calibri" w:eastAsia="Calibri" w:hAnsi="Calibri" w:cs="Times New Roman"/>
          <w:sz w:val="20"/>
          <w:szCs w:val="20"/>
          <w:lang w:val="en"/>
        </w:rPr>
      </w:pPr>
      <w:proofErr w:type="spellStart"/>
      <w:r w:rsidRPr="00CF1D1E">
        <w:rPr>
          <w:rFonts w:ascii="Calibri" w:eastAsia="Calibri" w:hAnsi="Calibri" w:cs="Times New Roman"/>
          <w:sz w:val="20"/>
          <w:szCs w:val="20"/>
          <w:lang w:val="en"/>
        </w:rPr>
        <w:t>PaleCloudedWhite</w:t>
      </w:r>
      <w:proofErr w:type="spellEnd"/>
      <w:r w:rsidRPr="00CF1D1E">
        <w:rPr>
          <w:rFonts w:ascii="Calibri" w:eastAsia="Calibri" w:hAnsi="Calibri" w:cs="Times New Roman"/>
          <w:sz w:val="20"/>
          <w:szCs w:val="20"/>
          <w:lang w:val="en"/>
        </w:rPr>
        <w:t xml:space="preserve"> [CC BY-SA 4.0 (https://creativecommons.org/licenses/by-sa/4.0)]</w:t>
      </w:r>
    </w:p>
    <w:p w:rsidR="00CF1D1E" w:rsidRPr="00CF1D1E" w:rsidRDefault="00CF1D1E" w:rsidP="00CF1D1E">
      <w:pPr>
        <w:spacing w:line="360" w:lineRule="auto"/>
        <w:jc w:val="both"/>
        <w:rPr>
          <w:rFonts w:ascii="Calibri" w:eastAsia="Calibri" w:hAnsi="Calibri" w:cs="Times New Roman"/>
          <w:sz w:val="24"/>
          <w:szCs w:val="24"/>
          <w:lang w:val="en"/>
        </w:rPr>
      </w:pPr>
    </w:p>
    <w:p w:rsidR="00C03431"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lang w:val="en"/>
        </w:rPr>
        <w:tab/>
        <w:t>T</w:t>
      </w:r>
      <w:r w:rsidR="00C03431">
        <w:rPr>
          <w:rFonts w:ascii="Calibri" w:eastAsia="Calibri" w:hAnsi="Calibri" w:cs="Times New Roman"/>
          <w:sz w:val="24"/>
          <w:szCs w:val="24"/>
          <w:lang w:val="en"/>
        </w:rPr>
        <w:t xml:space="preserve">he </w:t>
      </w:r>
      <w:r w:rsidRPr="00CF1D1E">
        <w:rPr>
          <w:rFonts w:ascii="Calibri" w:eastAsia="Calibri" w:hAnsi="Calibri" w:cs="Times New Roman"/>
          <w:sz w:val="24"/>
          <w:szCs w:val="24"/>
          <w:lang w:val="en"/>
        </w:rPr>
        <w:t xml:space="preserve">same thought process </w:t>
      </w:r>
      <w:r w:rsidR="000573D0">
        <w:rPr>
          <w:rFonts w:ascii="Calibri" w:eastAsia="Calibri" w:hAnsi="Calibri" w:cs="Times New Roman"/>
          <w:sz w:val="24"/>
          <w:szCs w:val="24"/>
          <w:lang w:val="en"/>
        </w:rPr>
        <w:t>was</w:t>
      </w:r>
      <w:r w:rsidRPr="00CF1D1E">
        <w:rPr>
          <w:rFonts w:ascii="Calibri" w:eastAsia="Calibri" w:hAnsi="Calibri" w:cs="Times New Roman"/>
          <w:sz w:val="24"/>
          <w:szCs w:val="24"/>
          <w:lang w:val="en"/>
        </w:rPr>
        <w:t xml:space="preserve"> applied to the industry surrounding </w:t>
      </w:r>
      <w:r w:rsidRPr="00CF1D1E">
        <w:rPr>
          <w:rFonts w:ascii="Calibri" w:eastAsia="Calibri" w:hAnsi="Calibri" w:cs="Times New Roman"/>
          <w:sz w:val="24"/>
          <w:szCs w:val="24"/>
        </w:rPr>
        <w:t>the rearing of aquatic animals or the cultivation of aquatic plants for food, or more concisely, aquaculture. From mussel and oyster farming in the Menai Strait (</w:t>
      </w:r>
      <w:r w:rsidRPr="00CF1D1E">
        <w:rPr>
          <w:rFonts w:ascii="Calibri" w:eastAsia="Calibri" w:hAnsi="Calibri" w:cs="Arial"/>
          <w:i/>
          <w:iCs/>
          <w:color w:val="222222"/>
          <w:sz w:val="24"/>
          <w:szCs w:val="24"/>
          <w:shd w:val="clear" w:color="auto" w:fill="FFFFFF"/>
          <w:lang w:val="cy-GB"/>
        </w:rPr>
        <w:t>Afon Menai</w:t>
      </w:r>
      <w:r w:rsidRPr="00CF1D1E">
        <w:rPr>
          <w:rFonts w:ascii="Calibri" w:eastAsia="Calibri" w:hAnsi="Calibri" w:cs="Times New Roman"/>
          <w:sz w:val="24"/>
          <w:szCs w:val="24"/>
        </w:rPr>
        <w:t xml:space="preserve">) to scallop dredging in the Irish sea based at Amlwch Port, these are examples of aquaculture industries that create ‘waste’ seaweed (macroalgae), much of which is returned to the sea. These industries also have the opportunity to cultivate and collect chosen seaweeds. In the Far East and Pacific, seaweed has been traditionally consumed as a major source of nutrition as opposed to its primary use in Western society </w:t>
      </w:r>
      <w:r w:rsidR="00C03431">
        <w:rPr>
          <w:rFonts w:ascii="Calibri" w:eastAsia="Calibri" w:hAnsi="Calibri" w:cs="Times New Roman"/>
          <w:sz w:val="24"/>
          <w:szCs w:val="24"/>
        </w:rPr>
        <w:t>where it is used</w:t>
      </w:r>
      <w:r w:rsidRPr="00CF1D1E">
        <w:rPr>
          <w:rFonts w:ascii="Calibri" w:eastAsia="Calibri" w:hAnsi="Calibri" w:cs="Times New Roman"/>
          <w:sz w:val="24"/>
          <w:szCs w:val="24"/>
        </w:rPr>
        <w:t xml:space="preserve"> as a thickening or gelling agent for various industrial applications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{"citationItems":[{"id":"ITEM-1","itemData":{"author":[{"dropping-particle":"","family":"Burtin","given":"Patricia","non-dropping-particle":"","parse-names":false,"suffix":""}],"id":"ITEM-1","issued":{"date-parts":[["2003"]]},"page":"498-503","title":"ISSN : 1579-4377 NUTRITIONAL VALUE OF SEAWEEDS","type":"article-journal"},"uris":["http://www.mendeley.com/documents/?uuid=13b73269-c2cb-4e4a-9e49-25e786955015"]}],"mendeley":{"formattedCitation":"(Burtin, 2003)","plainTextFormattedCitation":"(Burtin, 2003)","previouslyFormattedCitation":"(Burtin, 2003)"},"properties":{"noteIndex":0},"schema":"https://github.com/citation-style-language/schema/raw/master/csl-citation.json"}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(Burtin, 2003)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Seaweeds have been used for nutrition by humans for over 14,000 years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{"citationItems":[{"id":"ITEM-1","itemData":{"author":[{"dropping-particle":"","family":"Dillehay","given":"Tom D","non-dropping-particle":"","parse-names":false,"suffix":""},{"dropping-particle":"","family":"Ramírez","given":"C","non-dropping-particle":"","parse-names":false,"suffix":""},{"dropping-particle":"","family":"Pino","given":"M","non-dropping-particle":"","parse-names":false,"suffix":""},{"dropping-particle":"","family":"Collins","given":"M B","non-dropping-particle":"","parse-names":false,"suffix":""},{"dropping-particle":"","family":"Rossen","given":"J","non-dropping-particle":"","parse-names":false,"suffix":""}],"id":"ITEM-1","issue":"May","issued":{"date-parts":[["2008"]]},"page":"784-787","title":"of South America","type":"article-journal","volume":"320"},"uris":["http://www.mendeley.com/documents/?uuid=23d6b88a-435f-4731-b909-4d0f809ac6b0"]}],"mendeley":{"formattedCitation":"(Dillehay, Ramírez, Pino, Collins, &amp; Rossen, 2008)","plainTextFormattedCitation":"(Dillehay, Ramírez, Pino, Collins, &amp; Rossen, 2008)","previouslyFormattedCitation":"(Dillehay, Ramírez, Pino, Collins, &amp; Rossen, 2008)"},"properties":{"noteIndex":0},"schema":"https://github.com/citation-style-language/schema/raw/master/csl-citation.json"}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(Dillehay, Ramírez, Pino, Collins, &amp; Rossen, 2008)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r w:rsidR="00C03431">
        <w:rPr>
          <w:rFonts w:ascii="Calibri" w:eastAsia="Calibri" w:hAnsi="Calibri" w:cs="Times New Roman"/>
          <w:sz w:val="24"/>
          <w:szCs w:val="24"/>
        </w:rPr>
        <w:t>Other t</w:t>
      </w:r>
      <w:r w:rsidRPr="00CF1D1E">
        <w:rPr>
          <w:rFonts w:ascii="Calibri" w:eastAsia="Calibri" w:hAnsi="Calibri" w:cs="Times New Roman"/>
          <w:sz w:val="24"/>
          <w:szCs w:val="24"/>
        </w:rPr>
        <w:t>raditional uses of seaweeds have been as a soil improver, which has a long history in agriculture as a fertiliser.</w:t>
      </w:r>
      <w:r w:rsidR="00C03431">
        <w:rPr>
          <w:rFonts w:ascii="Calibri" w:eastAsia="Calibri" w:hAnsi="Calibri" w:cs="Times New Roman"/>
          <w:sz w:val="24"/>
          <w:szCs w:val="24"/>
        </w:rPr>
        <w:t xml:space="preserve"> </w:t>
      </w:r>
      <w:r w:rsidR="00C03431" w:rsidRPr="00CF1D1E">
        <w:rPr>
          <w:rFonts w:ascii="Calibri" w:eastAsia="Calibri" w:hAnsi="Calibri" w:cs="Times New Roman"/>
          <w:sz w:val="24"/>
          <w:szCs w:val="24"/>
        </w:rPr>
        <w:t>Another traditional use of seaweed is as a food for sheep, cattle and horses.</w:t>
      </w:r>
      <w:r w:rsidRPr="00CF1D1E">
        <w:rPr>
          <w:rFonts w:ascii="Calibri" w:eastAsia="Calibri" w:hAnsi="Calibri" w:cs="Times New Roman"/>
          <w:sz w:val="24"/>
          <w:szCs w:val="24"/>
        </w:rPr>
        <w:t xml:space="preserve"> Seaweeds have also been used to make strings and ropes. </w:t>
      </w:r>
    </w:p>
    <w:p w:rsidR="00CF1D1E" w:rsidRPr="00CF1D1E" w:rsidRDefault="00C03431" w:rsidP="00CF1D1E">
      <w:pPr>
        <w:spacing w:line="360" w:lineRule="auto"/>
        <w:jc w:val="both"/>
        <w:rPr>
          <w:rFonts w:ascii="Calibri" w:eastAsia="Calibri" w:hAnsi="Calibri" w:cs="Times New Roman"/>
          <w:sz w:val="24"/>
          <w:szCs w:val="24"/>
        </w:rPr>
      </w:pPr>
      <w:r>
        <w:rPr>
          <w:rFonts w:ascii="Calibri" w:eastAsia="Calibri" w:hAnsi="Calibri" w:cs="Times New Roman"/>
          <w:sz w:val="24"/>
          <w:szCs w:val="24"/>
        </w:rPr>
        <w:tab/>
      </w:r>
      <w:r w:rsidR="00CF1D1E" w:rsidRPr="00CF1D1E">
        <w:rPr>
          <w:rFonts w:ascii="Calibri" w:eastAsia="Calibri" w:hAnsi="Calibri" w:cs="Times New Roman"/>
          <w:sz w:val="24"/>
          <w:szCs w:val="24"/>
        </w:rPr>
        <w:t>In the modern day, more than 15 million tons of brown, green and red seaweeds are produced per year from global aquaculture</w:t>
      </w:r>
      <w:r>
        <w:rPr>
          <w:rFonts w:ascii="Calibri" w:eastAsia="Calibri" w:hAnsi="Calibri" w:cs="Times New Roman"/>
          <w:sz w:val="24"/>
          <w:szCs w:val="24"/>
        </w:rPr>
        <w:t>, with</w:t>
      </w:r>
      <w:r w:rsidR="00CF1D1E" w:rsidRPr="00CF1D1E">
        <w:rPr>
          <w:rFonts w:ascii="Calibri" w:eastAsia="Calibri" w:hAnsi="Calibri" w:cs="Times New Roman"/>
          <w:sz w:val="24"/>
          <w:szCs w:val="24"/>
        </w:rPr>
        <w:t xml:space="preserve"> </w:t>
      </w:r>
      <w:r>
        <w:rPr>
          <w:rFonts w:ascii="Calibri" w:eastAsia="Calibri" w:hAnsi="Calibri" w:cs="Times New Roman"/>
          <w:sz w:val="24"/>
          <w:szCs w:val="24"/>
        </w:rPr>
        <w:t>East and S</w:t>
      </w:r>
      <w:r w:rsidR="00CF1D1E" w:rsidRPr="00CF1D1E">
        <w:rPr>
          <w:rFonts w:ascii="Calibri" w:eastAsia="Calibri" w:hAnsi="Calibri" w:cs="Times New Roman"/>
          <w:sz w:val="24"/>
          <w:szCs w:val="24"/>
        </w:rPr>
        <w:t>outheast Asia</w:t>
      </w:r>
      <w:r>
        <w:rPr>
          <w:rFonts w:ascii="Calibri" w:eastAsia="Calibri" w:hAnsi="Calibri" w:cs="Times New Roman"/>
          <w:sz w:val="24"/>
          <w:szCs w:val="24"/>
        </w:rPr>
        <w:t xml:space="preserve"> dominating this </w:t>
      </w:r>
      <w:r>
        <w:rPr>
          <w:rFonts w:ascii="Calibri" w:eastAsia="Calibri" w:hAnsi="Calibri" w:cs="Times New Roman"/>
          <w:sz w:val="24"/>
          <w:szCs w:val="24"/>
        </w:rPr>
        <w:lastRenderedPageBreak/>
        <w:t>industry</w:t>
      </w:r>
      <w:r w:rsidR="00CF1D1E" w:rsidRPr="00CF1D1E">
        <w:rPr>
          <w:rFonts w:ascii="Calibri" w:eastAsia="Calibri" w:hAnsi="Calibri" w:cs="Times New Roman"/>
          <w:sz w:val="24"/>
          <w:szCs w:val="24"/>
        </w:rPr>
        <w:t xml:space="preserve">. </w:t>
      </w:r>
      <w:r>
        <w:rPr>
          <w:rFonts w:ascii="Calibri" w:eastAsia="Calibri" w:hAnsi="Calibri" w:cs="Times New Roman"/>
          <w:sz w:val="24"/>
          <w:szCs w:val="24"/>
        </w:rPr>
        <w:t xml:space="preserve">According to the Seaweed Notebook, </w:t>
      </w:r>
      <w:r w:rsidR="00CF1D1E" w:rsidRPr="00CF1D1E">
        <w:rPr>
          <w:rFonts w:ascii="Calibri" w:eastAsia="Calibri" w:hAnsi="Calibri" w:cs="Times New Roman"/>
          <w:sz w:val="24"/>
          <w:szCs w:val="24"/>
        </w:rPr>
        <w:t xml:space="preserve">European seaweed industries have declined in the past decade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URL":"https://www.eatweeds.co.uk/about","author":[{"dropping-particle":"","family":"Harford","given":"Robin","non-dropping-particle":"","parse-names":false,"suffix":""}],"container-title":"www","id":"ITEM-1","issued":{"date-parts":[["2018"]]},"title":"eatweeds.co.uk","type":"webpage"},"uris":["http://www.mendeley.com/documents/?uuid=bf9f6137-ac0b-4390-9fe9-5366d2801044"]}],"mendeley":{"formattedCitation":"(Harford, 2018)","plainTextFormattedCitation":"(Harford, 2018)","previouslyFormattedCitation":"(Harford, 2018)"},"properties":{"noteIndex":0},"schema":"https://github.com/citation-style-language/schema/raw/master/csl-citation.json"}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(Harford, 2018)</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Algal polyphenols, also known as phlorotannins, are derived from 1</w:t>
      </w:r>
      <w:proofErr w:type="gramStart"/>
      <w:r w:rsidRPr="00CF1D1E">
        <w:rPr>
          <w:rFonts w:ascii="Calibri" w:eastAsia="Calibri" w:hAnsi="Calibri" w:cs="Times New Roman"/>
          <w:sz w:val="24"/>
          <w:szCs w:val="24"/>
        </w:rPr>
        <w:t>,3,5</w:t>
      </w:r>
      <w:proofErr w:type="gramEnd"/>
      <w:r w:rsidRPr="00CF1D1E">
        <w:rPr>
          <w:rFonts w:ascii="Calibri" w:eastAsia="Calibri" w:hAnsi="Calibri" w:cs="Times New Roman"/>
          <w:sz w:val="24"/>
          <w:szCs w:val="24"/>
        </w:rPr>
        <w:t xml:space="preserve">-trihydroxybenzene. Phlorotannins </w:t>
      </w:r>
      <w:r w:rsidR="00C03431">
        <w:rPr>
          <w:rFonts w:ascii="Calibri" w:eastAsia="Calibri" w:hAnsi="Calibri" w:cs="Times New Roman"/>
          <w:sz w:val="24"/>
          <w:szCs w:val="24"/>
        </w:rPr>
        <w:t>refer to</w:t>
      </w:r>
      <w:r w:rsidRPr="00CF1D1E">
        <w:rPr>
          <w:rFonts w:ascii="Calibri" w:eastAsia="Calibri" w:hAnsi="Calibri" w:cs="Times New Roman"/>
          <w:sz w:val="24"/>
          <w:szCs w:val="24"/>
        </w:rPr>
        <w:t xml:space="preserve"> an extremely heterogeneous group of molecules that vary greatly in structure and degree of polymerisation providing a wide range of potential biological active components. Highest contents are found in brown seaweeds, where phlorotannins in dried seaweed range from 5 to 15%. In a review article entitled, the nutritional value of seaweeds, in 2003 by </w:t>
      </w:r>
      <w:proofErr w:type="spellStart"/>
      <w:r w:rsidRPr="00CF1D1E">
        <w:rPr>
          <w:rFonts w:ascii="Calibri" w:eastAsia="Calibri" w:hAnsi="Calibri" w:cs="Times New Roman"/>
          <w:sz w:val="24"/>
          <w:szCs w:val="24"/>
        </w:rPr>
        <w:t>P.Burtin</w:t>
      </w:r>
      <w:proofErr w:type="spellEnd"/>
      <w:r w:rsidRPr="00CF1D1E">
        <w:rPr>
          <w:rFonts w:ascii="Calibri" w:eastAsia="Calibri" w:hAnsi="Calibri" w:cs="Times New Roman"/>
          <w:sz w:val="24"/>
          <w:szCs w:val="24"/>
        </w:rPr>
        <w:t xml:space="preserve">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it is stated that “From a nutritional standpoint, the main properties of seaweeds are their high mineral (iodine, calcium) and soluble dietary fibre contents, the occurrence of vitamin B12 and specific components such as </w:t>
      </w:r>
      <w:proofErr w:type="spellStart"/>
      <w:r w:rsidRPr="00CF1D1E">
        <w:rPr>
          <w:rFonts w:ascii="Calibri" w:eastAsia="Calibri" w:hAnsi="Calibri" w:cs="Times New Roman"/>
          <w:sz w:val="24"/>
          <w:szCs w:val="24"/>
        </w:rPr>
        <w:t>fucoxanthin</w:t>
      </w:r>
      <w:proofErr w:type="spellEnd"/>
      <w:r w:rsidRPr="00CF1D1E">
        <w:rPr>
          <w:rFonts w:ascii="Calibri" w:eastAsia="Calibri" w:hAnsi="Calibri" w:cs="Times New Roman"/>
          <w:sz w:val="24"/>
          <w:szCs w:val="24"/>
        </w:rPr>
        <w:t xml:space="preserve">, </w:t>
      </w:r>
      <w:proofErr w:type="spellStart"/>
      <w:r w:rsidRPr="00CF1D1E">
        <w:rPr>
          <w:rFonts w:ascii="Calibri" w:eastAsia="Calibri" w:hAnsi="Calibri" w:cs="Times New Roman"/>
          <w:sz w:val="24"/>
          <w:szCs w:val="24"/>
        </w:rPr>
        <w:t>fucosterol</w:t>
      </w:r>
      <w:proofErr w:type="spellEnd"/>
      <w:r w:rsidRPr="00CF1D1E">
        <w:rPr>
          <w:rFonts w:ascii="Calibri" w:eastAsia="Calibri" w:hAnsi="Calibri" w:cs="Times New Roman"/>
          <w:sz w:val="24"/>
          <w:szCs w:val="24"/>
        </w:rPr>
        <w:t>, phlorotannins …….. seaweeds can be regarded as an under-ex</w:t>
      </w:r>
      <w:r w:rsidR="000A0E95">
        <w:rPr>
          <w:rFonts w:ascii="Calibri" w:eastAsia="Calibri" w:hAnsi="Calibri" w:cs="Times New Roman"/>
          <w:sz w:val="24"/>
          <w:szCs w:val="24"/>
        </w:rPr>
        <w:t xml:space="preserve">ploited source of </w:t>
      </w:r>
      <w:r w:rsidRPr="00CF1D1E">
        <w:rPr>
          <w:rFonts w:ascii="Calibri" w:eastAsia="Calibri" w:hAnsi="Calibri" w:cs="Times New Roman"/>
          <w:sz w:val="24"/>
          <w:szCs w:val="24"/>
        </w:rPr>
        <w:t>molecules</w:t>
      </w:r>
      <w:r w:rsidR="000A0E95">
        <w:rPr>
          <w:rFonts w:ascii="Calibri" w:eastAsia="Calibri" w:hAnsi="Calibri" w:cs="Times New Roman"/>
          <w:sz w:val="24"/>
          <w:szCs w:val="24"/>
        </w:rPr>
        <w:t xml:space="preserve"> beneficial to health</w:t>
      </w:r>
      <w:r w:rsidRPr="00CF1D1E">
        <w:rPr>
          <w:rFonts w:ascii="Calibri" w:eastAsia="Calibri" w:hAnsi="Calibri" w:cs="Times New Roman"/>
          <w:sz w:val="24"/>
          <w:szCs w:val="24"/>
        </w:rPr>
        <w:t xml:space="preserve"> for food processing and nutraceutical industry.”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{"citationItems":[{"id":"ITEM-1","itemData":{"author":[{"dropping-particle":"","family":"Burtin","given":"Patricia","non-dropping-particle":"","parse-names":false,"suffix":""}],"id":"ITEM-1","issued":{"date-parts":[["2003"]]},"page":"498-503","title":"ISSN : 1579-4377 NUTRITIONAL VALUE OF SEAWEEDS","type":"article-journal"},"uris":["http://www.mendeley.com/documents/?uuid=13b73269-c2cb-4e4a-9e49-25e786955015"]}],"mendeley":{"formattedCitation":"(Burtin, 2003)","plainTextFormattedCitation":"(Burtin, 2003)","previouslyFormattedCitation":"(Burtin, 2003)"},"properties":{"noteIndex":0},"schema":"https://github.com/citation-style-language/schema/raw/master/csl-citation.json"}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(Burtin, 2003)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Aside from the nutritional benefits provided by polyphenols there is also good evidence as to the</w:t>
      </w:r>
      <w:r w:rsidRPr="00CF1D1E">
        <w:rPr>
          <w:rFonts w:ascii="Calibri" w:eastAsia="Calibri" w:hAnsi="Calibri" w:cs="Times New Roman"/>
        </w:rPr>
        <w:t xml:space="preserve"> </w:t>
      </w:r>
      <w:r w:rsidRPr="00CF1D1E">
        <w:rPr>
          <w:rFonts w:ascii="Calibri" w:eastAsia="Calibri" w:hAnsi="Calibri" w:cs="Times New Roman"/>
          <w:sz w:val="24"/>
          <w:szCs w:val="24"/>
        </w:rPr>
        <w:t>special</w:t>
      </w:r>
      <w:r w:rsidRPr="00CF1D1E">
        <w:rPr>
          <w:rFonts w:ascii="Calibri" w:eastAsia="Calibri" w:hAnsi="Calibri" w:cs="Times New Roman"/>
        </w:rPr>
        <w:t xml:space="preserve"> </w:t>
      </w:r>
      <w:r w:rsidRPr="00CF1D1E">
        <w:rPr>
          <w:rFonts w:ascii="Calibri" w:eastAsia="Calibri" w:hAnsi="Calibri" w:cs="Times New Roman"/>
          <w:sz w:val="24"/>
          <w:szCs w:val="24"/>
        </w:rPr>
        <w:t xml:space="preserve">qualities of seaweed dietary fibre which differs from that of land </w:t>
      </w:r>
      <w:r w:rsidR="00C03431">
        <w:rPr>
          <w:rFonts w:ascii="Calibri" w:eastAsia="Calibri" w:hAnsi="Calibri" w:cs="Times New Roman"/>
          <w:sz w:val="24"/>
          <w:szCs w:val="24"/>
        </w:rPr>
        <w:t xml:space="preserve">based </w:t>
      </w:r>
      <w:r w:rsidRPr="00CF1D1E">
        <w:rPr>
          <w:rFonts w:ascii="Calibri" w:eastAsia="Calibri" w:hAnsi="Calibri" w:cs="Times New Roman"/>
          <w:sz w:val="24"/>
          <w:szCs w:val="24"/>
        </w:rPr>
        <w:t xml:space="preserve">plants in composition, chemical structure, physicochemical properties and biological effects. Seaweed dietary fibre has several physiological benefits for humans. Highlighted amongst them are hypocholesterolaemic, antioxidant protection and antihypertensive effects. This has led to much interest as to the potential of seaweeds within functional foods and even an application to improve the health qualities of red meat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{"citationItems":[{"id":"ITEM-1","itemData":{"DOI":"10.1016/j.meatsci.2007.11.010","ISSN":"03091740","abstract":"The effects of three different types of edible seaweeds, Sea Spaghetti (Himanthalia elongata), Wakame (Undaria pinnatifida), and Nori (Porphyra umbilicalis) added at two concentrations (2.5% and 5% dry matter) on the physicochemical and morphological characteristics of gel/emulsion systems were evaluated. The addition of seaweeds improved (P &lt; 0.05) water- and fat-binding properties except in the case of Nori added at 2.5%. Hardness and chewiness of the cooked products with added seaweed were higher (P &lt; 0.05), and springiness and cohesiveness were lower (P &lt; 0.05) than in control samples. Colour changes in meat systems were affected by the type of seaweed. The morphology of sample differed depending on the type of seaweed added, and this is the result of differences in physical and chemical characteristic of the seaweed powder used. In general, products formulated with the brown seaweeds (Sea Spaghetti and Wakame) exhibited similar behaviour, different from that of products made with the red seaweed Nori. © 2007 Elsevier Ltd. All rights reserved.","author":[{"dropping-particle":"","family":"Cofrades","given":"S.","non-dropping-particle":"","parse-names":false,"suffix":""},{"dropping-particle":"","family":"López-López","given":"I.","non-dropping-particle":"","parse-names":false,"suffix":""},{"dropping-particle":"","family":"Solas","given":"M. T.","non-dropping-particle":"","parse-names":false,"suffix":""},{"dropping-particle":"","family":"Bravo","given":"L.","non-dropping-particle":"","parse-names":false,"suffix":""},{"dropping-particle":"","family":"Jiménez-Colmenero","given":"F.","non-dropping-particle":"","parse-names":false,"suffix":""}],"container-title":"Meat Science","id":"ITEM-1","issue":"4","issued":{"date-parts":[["2008"]]},"page":"767-776","title":"Influence of different types and proportions of added edible seaweeds on characteristics of low-salt gel/emulsion meat systems","type":"article-journal","volume":"79"},"uris":["http://www.mendeley.com/documents/?uuid=b06bbdfb-58c9-421a-822c-a22f4549b461"]}],"mendeley":{"formattedCitation":"(Cofrades, López-López, Solas, Bravo, &amp; Jiménez-Colmenero, 2008)","plainTextFormattedCitation":"(Cofrades, López-López, Solas, Bravo, &amp; Jiménez-Colmenero, 2008)","previouslyFormattedCitation":"(Cofrades, López-López, Solas, Bravo, &amp; Jiménez-Colmenero, 2008)"},"properties":{"noteIndex":0},"schema":"https://github.com/citation-style-language/schema/raw/master/csl-citation.json"}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(Cofrades, López-López, Solas, Bravo, &amp; Jiménez-Colmenero, 2008)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r w:rsidR="00C03431" w:rsidRPr="00C03431">
        <w:rPr>
          <w:rFonts w:ascii="Calibri" w:eastAsia="Calibri" w:hAnsi="Calibri" w:cs="Times New Roman"/>
          <w:sz w:val="24"/>
          <w:szCs w:val="24"/>
        </w:rPr>
        <w:t>For the scope of this research, Pepper Dulse and Gut Weed were chosen as the seaweed species represented in this chapter.</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 xml:space="preserve">Pepper Dulse, </w:t>
      </w:r>
      <w:r w:rsidRPr="00CF1D1E">
        <w:rPr>
          <w:rFonts w:ascii="Calibri" w:eastAsia="Calibri" w:hAnsi="Calibri" w:cs="Times New Roman"/>
          <w:i/>
          <w:sz w:val="24"/>
          <w:szCs w:val="24"/>
        </w:rPr>
        <w:t>Osmundea pinnatifida</w:t>
      </w:r>
      <w:r w:rsidRPr="00CF1D1E">
        <w:rPr>
          <w:rFonts w:ascii="Calibri" w:eastAsia="Calibri" w:hAnsi="Calibri" w:cs="Times New Roman"/>
          <w:sz w:val="24"/>
          <w:szCs w:val="24"/>
        </w:rPr>
        <w:t xml:space="preserve"> (Fig.50) – a very common red algae found in the intertidal zone. It has small fern-like fronds that are thick and fleshy. Its peppery taste is attributed to terpenes. It can vary greatly in colour from yellow, through to red/purple and then to dark brown. Pepper Dulse has been documented for its antimicrobial, antifungal, </w:t>
      </w:r>
      <w:proofErr w:type="spellStart"/>
      <w:r w:rsidRPr="00CF1D1E">
        <w:rPr>
          <w:rFonts w:ascii="Calibri" w:eastAsia="Calibri" w:hAnsi="Calibri" w:cs="Times New Roman"/>
          <w:sz w:val="24"/>
          <w:szCs w:val="24"/>
        </w:rPr>
        <w:t>antileishmanial</w:t>
      </w:r>
      <w:proofErr w:type="spellEnd"/>
      <w:r w:rsidRPr="00CF1D1E">
        <w:rPr>
          <w:rFonts w:ascii="Calibri" w:eastAsia="Calibri" w:hAnsi="Calibri" w:cs="Times New Roman"/>
          <w:sz w:val="24"/>
          <w:szCs w:val="24"/>
        </w:rPr>
        <w:t xml:space="preserve"> (</w:t>
      </w:r>
      <w:proofErr w:type="spellStart"/>
      <w:r w:rsidRPr="00CF1D1E">
        <w:rPr>
          <w:rFonts w:ascii="Calibri" w:eastAsia="Calibri" w:hAnsi="Calibri" w:cs="Times New Roman"/>
          <w:sz w:val="24"/>
          <w:szCs w:val="24"/>
        </w:rPr>
        <w:t>Leishmaniasis</w:t>
      </w:r>
      <w:proofErr w:type="spellEnd"/>
      <w:r w:rsidRPr="00CF1D1E">
        <w:rPr>
          <w:rFonts w:ascii="Calibri" w:eastAsia="Calibri" w:hAnsi="Calibri" w:cs="Times New Roman"/>
          <w:sz w:val="24"/>
          <w:szCs w:val="24"/>
        </w:rPr>
        <w:t xml:space="preserve"> is a disease caused by parasites) and antioxidant activities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{"citationItems":[{"id":"ITEM-1","itemData":{"DOI":"10.1155/2010/214186","author":[{"dropping-particle":"","family":"Boopathy","given":"N Sithranga","non-dropping-particle":"","parse-names":false,"suffix":""},{"dropping-particle":"","family":"Kathiresan","given":"K","non-dropping-particle":"","parse-names":false,"suffix":""}],"id":"ITEM-1","issued":{"date-parts":[["2010"]]},"title":"Anticancer Drugs from Marine Flora : An Overview","type":"article-journal","volume":"2010"},"uris":["http://www.mendeley.com/documents/?uuid=1cec2eb2-544b-4605-9057-5faaf707eb3a"]}],"mendeley":{"formattedCitation":"(Boopathy &amp; Kathiresan, 2010)","plainTextFormattedCitation":"(Boopathy &amp; Kathiresan, 2010)","previouslyFormattedCitation":"(Boopathy &amp; Kathiresan,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(Boopathy &amp; Kathiresan,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Across Europe, this red macroalgae is gaining culinary reputation as the ‘truffle of the sea’. It is also experiencing increasing demand by the cosmetic </w:t>
      </w:r>
      <w:r w:rsidRPr="00CF1D1E">
        <w:rPr>
          <w:rFonts w:ascii="Calibri" w:eastAsia="Calibri" w:hAnsi="Calibri" w:cs="Times New Roman"/>
          <w:sz w:val="24"/>
          <w:szCs w:val="24"/>
        </w:rPr>
        <w:lastRenderedPageBreak/>
        <w:t xml:space="preserve">industry. The growth in its popularity has led to attempts to cultivate Pepper Dulse and scale up to an industrial production level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{"citationItems":[{"id":"ITEM-1","itemData":{"author":[{"dropping-particle":"","family":"Biancacci, C; Day, J G; McDougall, G; Russell, M C; Stanley","given":"M S.","non-dropping-particle":"","parse-names":false,"suffix":""}],"container-title":"Phycologia, suppl. Supplement; Lawrence Vol. 56, Iss. 4,","id":"ITEM-1","issued":{"date-parts":[["2017"]]},"page":"18-20","title":"Pepper dulse: the truffle of the sea. insight in osmundea pinnatifida cultivation","type":"article-journal","volume":"56"},"uris":["http://www.mendeley.com/documents/?uuid=736d8639-bda8-4267-a82d-02888995bdfe"]}],"mendeley":{"formattedCitation":"(Biancacci, C; Day, J G; McDougall, G; Russell, M C; Stanley, 2017)","plainTextFormattedCitation":"(Biancacci, C; Day, J G; McDougall, G; Russell, M C; Stanley, 2017)","previouslyFormattedCitation":"(Biancacci, C; Day, J G; McDougall, G; Russell, M C; Stanley, 2017)"},"properties":{"noteIndex":0},"schema":"https://github.com/citation-style-language/schema/raw/master/csl-citation.json"}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(Biancacci, C; Day, J G; McDougall, G; Russell, M C; Stanley, 2017)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left="720" w:firstLine="720"/>
        <w:jc w:val="both"/>
        <w:rPr>
          <w:rFonts w:ascii="Calibri" w:eastAsia="Calibri" w:hAnsi="Calibri" w:cs="Times New Roman"/>
          <w:sz w:val="24"/>
          <w:szCs w:val="24"/>
        </w:rPr>
      </w:pPr>
    </w:p>
    <w:p w:rsidR="00CF1D1E" w:rsidRPr="00CF1D1E" w:rsidRDefault="00CF1D1E" w:rsidP="00CF1D1E">
      <w:pPr>
        <w:spacing w:line="360" w:lineRule="auto"/>
        <w:ind w:left="2160" w:firstLine="720"/>
        <w:jc w:val="both"/>
        <w:rPr>
          <w:rFonts w:ascii="Calibri" w:eastAsia="Calibri" w:hAnsi="Calibri" w:cs="Times New Roman"/>
          <w:sz w:val="24"/>
          <w:szCs w:val="24"/>
        </w:rPr>
      </w:pPr>
      <w:r w:rsidRPr="00CF1D1E">
        <w:rPr>
          <w:rFonts w:ascii="Calibri" w:eastAsia="Calibri" w:hAnsi="Calibri" w:cs="Times New Roman"/>
          <w:noProof/>
          <w:lang w:eastAsia="en-GB"/>
        </w:rPr>
        <w:drawing>
          <wp:inline distT="0" distB="0" distL="0" distR="0" wp14:anchorId="51CB3A88" wp14:editId="7C916020">
            <wp:extent cx="1864659" cy="1699474"/>
            <wp:effectExtent l="0" t="0" r="2540" b="0"/>
            <wp:docPr id="185" name="Picture 185" descr="File:Osmundea-pinnatifida-198806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ile:Osmundea-pinnatifida-19880601a.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74130" cy="1708106"/>
                    </a:xfrm>
                    <a:prstGeom prst="rect">
                      <a:avLst/>
                    </a:prstGeom>
                    <a:noFill/>
                    <a:ln>
                      <a:noFill/>
                    </a:ln>
                  </pic:spPr>
                </pic:pic>
              </a:graphicData>
            </a:graphic>
          </wp:inline>
        </w:drawing>
      </w:r>
      <w:r w:rsidRPr="00CF1D1E">
        <w:rPr>
          <w:rFonts w:ascii="Calibri" w:eastAsia="Calibri" w:hAnsi="Calibri" w:cs="Times New Roman"/>
          <w:sz w:val="24"/>
          <w:szCs w:val="24"/>
        </w:rPr>
        <w:t xml:space="preserve">   </w:t>
      </w:r>
    </w:p>
    <w:p w:rsidR="00CF1D1E" w:rsidRPr="00CF1D1E" w:rsidRDefault="00CF1D1E" w:rsidP="00CF1D1E">
      <w:pPr>
        <w:spacing w:line="360" w:lineRule="auto"/>
        <w:jc w:val="both"/>
        <w:rPr>
          <w:rFonts w:ascii="Calibri" w:eastAsia="Calibri" w:hAnsi="Calibri" w:cs="Times New Roman"/>
          <w:i/>
          <w:sz w:val="20"/>
          <w:szCs w:val="20"/>
        </w:rPr>
      </w:pPr>
      <w:r w:rsidRPr="00CF1D1E">
        <w:rPr>
          <w:rFonts w:ascii="Calibri" w:eastAsia="Calibri" w:hAnsi="Calibri" w:cs="Times New Roman"/>
          <w:sz w:val="20"/>
          <w:szCs w:val="20"/>
        </w:rPr>
        <w:t xml:space="preserve">Fig.50 Pepper Dulse, </w:t>
      </w:r>
      <w:r w:rsidRPr="00CF1D1E">
        <w:rPr>
          <w:rFonts w:ascii="Calibri" w:eastAsia="Calibri" w:hAnsi="Calibri" w:cs="Times New Roman"/>
          <w:i/>
          <w:sz w:val="20"/>
          <w:szCs w:val="20"/>
        </w:rPr>
        <w:t>Osmundea pinnatifida.</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 xml:space="preserve">Luis </w:t>
      </w:r>
      <w:proofErr w:type="spellStart"/>
      <w:r w:rsidRPr="00CF1D1E">
        <w:rPr>
          <w:rFonts w:ascii="Calibri" w:eastAsia="Calibri" w:hAnsi="Calibri" w:cs="Times New Roman"/>
          <w:sz w:val="20"/>
          <w:szCs w:val="20"/>
        </w:rPr>
        <w:t>Fernández</w:t>
      </w:r>
      <w:proofErr w:type="spellEnd"/>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García</w:t>
      </w:r>
      <w:proofErr w:type="spellEnd"/>
      <w:r w:rsidRPr="00CF1D1E">
        <w:rPr>
          <w:rFonts w:ascii="Calibri" w:eastAsia="Calibri" w:hAnsi="Calibri" w:cs="Times New Roman"/>
          <w:sz w:val="20"/>
          <w:szCs w:val="20"/>
        </w:rPr>
        <w:t xml:space="preserve"> [CC BY-SA 4.0 (https://creativecommons.org/licenses/by-sa/4.0)]</w:t>
      </w:r>
    </w:p>
    <w:p w:rsidR="00CF1D1E" w:rsidRPr="00CF1D1E" w:rsidRDefault="00CF1D1E" w:rsidP="00CF1D1E">
      <w:pPr>
        <w:spacing w:line="360" w:lineRule="auto"/>
        <w:jc w:val="both"/>
        <w:rPr>
          <w:rFonts w:ascii="Calibri" w:eastAsia="Calibri" w:hAnsi="Calibri" w:cs="Times New Roman"/>
          <w:sz w:val="24"/>
          <w:szCs w:val="24"/>
          <w:lang w:val="en"/>
        </w:rPr>
      </w:pP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Gut Weed, </w:t>
      </w:r>
      <w:r w:rsidRPr="00CF1D1E">
        <w:rPr>
          <w:rFonts w:ascii="Calibri" w:eastAsia="Calibri" w:hAnsi="Calibri" w:cs="Times New Roman"/>
          <w:i/>
          <w:sz w:val="24"/>
          <w:szCs w:val="24"/>
          <w:lang w:val="en"/>
        </w:rPr>
        <w:t xml:space="preserve">Ulva intestinalis </w:t>
      </w:r>
      <w:r w:rsidRPr="00CF1D1E">
        <w:rPr>
          <w:rFonts w:ascii="Calibri" w:eastAsia="Calibri" w:hAnsi="Calibri" w:cs="Times New Roman"/>
          <w:sz w:val="24"/>
          <w:szCs w:val="24"/>
          <w:lang w:val="en"/>
        </w:rPr>
        <w:t xml:space="preserve">(Fig.51) – This green macroalgae is often seen close to the shore in the intertidal zone of rocky coastlines. It is known as Sea Grass in parts of the British Isles and is easily identified by its bright green 30cm unbranched fronds. Gut Weed is a member of the family </w:t>
      </w:r>
      <w:proofErr w:type="spellStart"/>
      <w:r w:rsidRPr="00CF1D1E">
        <w:rPr>
          <w:rFonts w:ascii="Calibri" w:eastAsia="Calibri" w:hAnsi="Calibri" w:cs="Times New Roman"/>
          <w:i/>
          <w:sz w:val="24"/>
          <w:szCs w:val="24"/>
          <w:lang w:val="en"/>
        </w:rPr>
        <w:t>Ulvaceae</w:t>
      </w:r>
      <w:proofErr w:type="spellEnd"/>
      <w:r w:rsidRPr="00CF1D1E">
        <w:rPr>
          <w:rFonts w:ascii="Calibri" w:eastAsia="Calibri" w:hAnsi="Calibri" w:cs="Times New Roman"/>
          <w:sz w:val="24"/>
          <w:szCs w:val="24"/>
          <w:lang w:val="en"/>
        </w:rPr>
        <w:t xml:space="preserve">, of the genus </w:t>
      </w:r>
      <w:r w:rsidRPr="00CF1D1E">
        <w:rPr>
          <w:rFonts w:ascii="Calibri" w:eastAsia="Calibri" w:hAnsi="Calibri" w:cs="Times New Roman"/>
          <w:i/>
          <w:sz w:val="24"/>
          <w:szCs w:val="24"/>
          <w:lang w:val="en"/>
        </w:rPr>
        <w:t xml:space="preserve">Ulva </w:t>
      </w:r>
      <w:r w:rsidRPr="00CF1D1E">
        <w:rPr>
          <w:rFonts w:ascii="Calibri" w:eastAsia="Calibri" w:hAnsi="Calibri" w:cs="Times New Roman"/>
          <w:sz w:val="24"/>
          <w:szCs w:val="24"/>
          <w:lang w:val="en"/>
        </w:rPr>
        <w:t xml:space="preserve">after recent reclassification by genetic work completed at the start of the millennium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{"citationItems":[{"id":"ITEM-1","itemData":{"DOI":"10.1080/1364253031000136321","author":[{"dropping-particle":"","family":"Hayden","given":"Hillary S","non-dropping-particle":"","parse-names":false,"suffix":""},{"dropping-particle":"","family":"Blomster","given":"Jaanika","non-dropping-particle":"","parse-names":false,"suffix":""},{"dropping-particle":"","family":"Maggs","given":"Christine A","non-dropping-particle":"","parse-names":false,"suffix":""},{"dropping-particle":"","family":"Silva","given":"Paul C","non-dropping-particle":"","parse-names":false,"suffix":""},{"dropping-particle":"","family":"Stanhope","given":"Michael J","non-dropping-particle":"","parse-names":false,"suffix":""},{"dropping-particle":"","family":"Waaland","given":"J Robert","non-dropping-particle":"","parse-names":false,"suffix":""},{"dropping-particle":"","family":"Hayden","given":"Hillary S","non-dropping-particle":"","parse-names":false,"suffix":""},{"dropping-particle":"","family":"Blomster","given":"Jaanika","non-dropping-particle":"","parse-names":false,"suffix":""},{"dropping-particle":"","family":"Maggs","given":"Christine A","non-dropping-particle":"","parse-names":false,"suffix":""},{"dropping-particle":"","family":"Silva","given":"Paul C","non-dropping-particle":"","parse-names":false,"suffix":""},{"dropping-particle":"","family":"I","given":"Hillary S Hayden","non-dropping-particle":"","parse-names":false,"suffix":""},{"dropping-particle":"","family":"Blomsterh","given":"Jaanika","non-dropping-particle":"","parse-names":false,"suffix":""},{"dropping-particle":"","family":"Maggs","given":"Christine A","non-dropping-particle":"","parse-names":false,"suffix":""}],"id":"ITEM-1","issued":{"date-parts":[["2012"]]},"title":"Linnaeus was right all along : Ulva and Enteromorpha are not distinct genera Linnaeus was right all along : Viva and Ellterolnorplla are not distinct genera","type":"article-journal","volume":"0262"},"uris":["http://www.mendeley.com/documents/?uuid=86c0f463-3c8c-4e52-8346-8208a82079eb"]}],"mendeley":{"formattedCitation":"(Hayden et al., 2012)","plainTextFormattedCitation":"(Hayden et al., 2012)","previouslyFormattedCitation":"(Hayden et al., 2012)"},"properties":{"noteIndex":0},"schema":"https://github.com/citation-style-language/schema/raw/master/csl-citation.json"}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(Hayden et al., 2012)</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xml:space="preserve">. In 2009, over a hundred of Brittany’s beaches were closed due to green seaweed carpets or ‘green tides’. In this particular case, the carpet of </w:t>
      </w:r>
      <w:r w:rsidRPr="00CF1D1E">
        <w:rPr>
          <w:rFonts w:ascii="Calibri" w:eastAsia="Calibri" w:hAnsi="Calibri" w:cs="Times New Roman"/>
          <w:i/>
          <w:sz w:val="24"/>
          <w:szCs w:val="24"/>
          <w:lang w:val="en"/>
        </w:rPr>
        <w:t>U. intestinalis</w:t>
      </w:r>
      <w:r w:rsidRPr="00CF1D1E">
        <w:rPr>
          <w:rFonts w:ascii="Calibri" w:eastAsia="Calibri" w:hAnsi="Calibri" w:cs="Times New Roman"/>
          <w:sz w:val="24"/>
          <w:szCs w:val="24"/>
          <w:lang w:val="en"/>
        </w:rPr>
        <w:t xml:space="preserve">, decomposed into hydrogen sulphide creating a strong unpleasant odour. </w:t>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i/>
          <w:sz w:val="24"/>
          <w:szCs w:val="24"/>
          <w:lang w:val="en"/>
        </w:rPr>
        <w:t>U. intestinalis</w:t>
      </w:r>
      <w:r w:rsidRPr="00CF1D1E">
        <w:rPr>
          <w:rFonts w:ascii="Calibri" w:eastAsia="Calibri" w:hAnsi="Calibri" w:cs="Times New Roman"/>
          <w:sz w:val="24"/>
          <w:szCs w:val="24"/>
          <w:lang w:val="en"/>
        </w:rPr>
        <w:t xml:space="preserve"> is a major component of Japanese green </w:t>
      </w:r>
      <w:proofErr w:type="spellStart"/>
      <w:r w:rsidRPr="00CF1D1E">
        <w:rPr>
          <w:rFonts w:ascii="Calibri" w:eastAsia="Calibri" w:hAnsi="Calibri" w:cs="Times New Roman"/>
          <w:sz w:val="24"/>
          <w:szCs w:val="24"/>
          <w:lang w:val="en"/>
        </w:rPr>
        <w:t>Nori</w:t>
      </w:r>
      <w:proofErr w:type="spellEnd"/>
      <w:r w:rsidRPr="00CF1D1E">
        <w:rPr>
          <w:rFonts w:ascii="Calibri" w:eastAsia="Calibri" w:hAnsi="Calibri" w:cs="Times New Roman"/>
          <w:sz w:val="24"/>
          <w:szCs w:val="24"/>
          <w:lang w:val="en"/>
        </w:rPr>
        <w:t xml:space="preserve"> and in its dried form is added to many Japanese soups.</w:t>
      </w:r>
      <w:r w:rsidR="00C03431">
        <w:rPr>
          <w:rFonts w:ascii="Calibri" w:eastAsia="Calibri" w:hAnsi="Calibri" w:cs="Times New Roman"/>
          <w:sz w:val="24"/>
          <w:szCs w:val="24"/>
          <w:lang w:val="en"/>
        </w:rPr>
        <w:t xml:space="preserve"> In its powdered form, i</w:t>
      </w:r>
      <w:r w:rsidRPr="00CF1D1E">
        <w:rPr>
          <w:rFonts w:ascii="Calibri" w:eastAsia="Calibri" w:hAnsi="Calibri" w:cs="Times New Roman"/>
          <w:sz w:val="24"/>
          <w:szCs w:val="24"/>
          <w:lang w:val="en"/>
        </w:rPr>
        <w:t xml:space="preserve">t is also an additive to many foods. </w:t>
      </w:r>
      <w:r w:rsidRPr="00CF1D1E">
        <w:rPr>
          <w:rFonts w:ascii="Calibri" w:eastAsia="Calibri" w:hAnsi="Calibri" w:cs="Times New Roman"/>
          <w:i/>
          <w:sz w:val="24"/>
          <w:szCs w:val="24"/>
          <w:lang w:val="en"/>
        </w:rPr>
        <w:t>U. intestinalis</w:t>
      </w:r>
      <w:r w:rsidRPr="00CF1D1E">
        <w:rPr>
          <w:rFonts w:ascii="Calibri" w:eastAsia="Calibri" w:hAnsi="Calibri" w:cs="Times New Roman"/>
          <w:sz w:val="24"/>
          <w:szCs w:val="24"/>
          <w:lang w:val="en"/>
        </w:rPr>
        <w:t xml:space="preserve"> is the basis of the Welsh specialty known as Laver bread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{"citationItems":[{"id":"ITEM-1","itemData":{"ISBN":"9781614708780","author":[{"dropping-particle":"","family":"Pereira","given":"Leonel","non-dropping-particle":"","parse-names":false,"suffix":""}],"id":"ITEM-1","issue":"May","issued":{"date-parts":[["2014"]]},"title":"A review of the nutrient composition of selected edible seaweeds","type":"book"},"uris":["http://www.mendeley.com/documents/?uuid=590ab296-038e-4fc4-b86c-8a08c5520b29"]}],"mendeley":{"formattedCitation":"(Pereira, 2014)","plainTextFormattedCitation":"(Pereira, 2014)","previouslyFormattedCitation":"(Pereira, 2014)"},"properties":{"noteIndex":0},"schema":"https://github.com/citation-style-language/schema/raw/master/csl-citation.json"}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(Pereira, 2014)</w:t>
      </w:r>
      <w:r w:rsidRPr="00CF1D1E">
        <w:rPr>
          <w:rFonts w:ascii="Calibri" w:eastAsia="Calibri" w:hAnsi="Calibri" w:cs="Times New Roman"/>
          <w:sz w:val="24"/>
          <w:szCs w:val="24"/>
          <w:lang w:val="en"/>
        </w:rPr>
        <w:fldChar w:fldCharType="end"/>
      </w:r>
      <w:r w:rsidR="009C77E1">
        <w:rPr>
          <w:rFonts w:ascii="Calibri" w:eastAsia="Calibri" w:hAnsi="Calibri" w:cs="Times New Roman"/>
          <w:sz w:val="24"/>
          <w:szCs w:val="24"/>
          <w:lang w:val="en"/>
        </w:rPr>
        <w:t>. E</w:t>
      </w:r>
      <w:r w:rsidRPr="00CF1D1E">
        <w:rPr>
          <w:rFonts w:ascii="Calibri" w:eastAsia="Calibri" w:hAnsi="Calibri" w:cs="Times New Roman"/>
          <w:sz w:val="24"/>
          <w:szCs w:val="24"/>
          <w:lang w:val="en"/>
        </w:rPr>
        <w:t xml:space="preserve">xtracts of this species are used as food supplement or herbal medicine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ISBN":"9789660258013","author":[{"dropping-particle":"","family":"Milchakova","given":"Nataliya","non-dropping-particle":"","parse-names":false,"suffix":""},{"dropping-particle":"","family":"Illustrated","given":"An","non-dropping-particle":"","parse-names":false,"suffix":""},{"dropping-particle":"","family":"Guide","given":"Field","non-dropping-particle":"","parse-names":false,"suffix":""}],"id":"ITEM-1","issued":{"date-parts":[["2011"]]},"title":"MARINE PLANTS","type":"book"},"uris":["http://www.mendeley.com/documents/?uuid=b8974908-37b7-45de-a300-9f2c20983bd5"]}],"mendeley":{"formattedCitation":"(Milchakova, Illustrated, &amp; Guide, 2011)","plainTextFormattedCitation":"(Milchakova, Illustrated, &amp; Guide, 2011)","previouslyFormattedCitation":"(Milchakova, Illustrated, &amp; Guide, 2011)"},"properties":{"noteIndex":0},"schema":"https://github.com/citation-style-language/schema/raw/master/csl-citation.json"}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(Milchakova, Illustrated, &amp; Guide, 2011)</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These extracts, which have antimitotic and cytotoxic activity, are used as a polysynaptic blocker and the treatment of aphthae (</w:t>
      </w:r>
      <w:r w:rsidRPr="00CF1D1E">
        <w:rPr>
          <w:rFonts w:ascii="Arial" w:eastAsia="Calibri" w:hAnsi="Arial" w:cs="Arial"/>
          <w:color w:val="222222"/>
          <w:shd w:val="clear" w:color="auto" w:fill="FFFFFF"/>
        </w:rPr>
        <w:t>a small ulcer in the mouth or on the tongue)</w:t>
      </w:r>
      <w:r w:rsidRPr="00CF1D1E">
        <w:rPr>
          <w:rFonts w:ascii="Calibri" w:eastAsia="Calibri" w:hAnsi="Calibri" w:cs="Times New Roman"/>
          <w:sz w:val="24"/>
          <w:szCs w:val="24"/>
          <w:lang w:val="en"/>
        </w:rPr>
        <w:t xml:space="preserve">, back pain, paronychia (nail disease), lymphatic swellings, and goitre (swelling of the thyroid gland)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{"citationItems":[{"id":"ITEM-1","itemData":{"author":[{"dropping-particle":"","family":"Oh, Y.S.","given":"I.K. Lee and S.M. Boo","non-dropping-particle":"","parse-names":false,"suffix":""}],"id":"ITEM-1","issued":{"date-parts":[["1990"]]},"title":"Oh, Y.S., I.K. Lee and S.M. Boo. 1990. Korean economic seaweeds for food, medical and industrial usesKorean_J_Phycol_5-1_04.pdf","type":"article"},"uris":["http://www.mendeley.com/documents/?uuid=66db1474-41b1-4f5f-863a-74e4f71f8928"]}],"mendeley":{"formattedCitation":"(Oh, Y.S., 1990)","plainTextFormattedCitation":"(Oh, Y.S., 1990)","previouslyFormattedCitation":"(Oh, Y.S., 1990)"},"properties":{"noteIndex":0},"schema":"https://github.com/citation-style-language/schema/raw/master/csl-citation.json"}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(Oh, Y.S., 1990)</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w:t>
      </w:r>
    </w:p>
    <w:p w:rsidR="00CF1D1E" w:rsidRPr="00CF1D1E" w:rsidRDefault="00CF1D1E" w:rsidP="00CF1D1E">
      <w:pPr>
        <w:spacing w:line="360" w:lineRule="auto"/>
        <w:ind w:firstLine="720"/>
        <w:jc w:val="both"/>
        <w:rPr>
          <w:rFonts w:ascii="Calibri" w:eastAsia="Calibri" w:hAnsi="Calibri" w:cs="Times New Roman"/>
          <w:sz w:val="24"/>
          <w:szCs w:val="24"/>
          <w:lang w:val="en"/>
        </w:rPr>
      </w:pP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  </w:t>
      </w:r>
      <w:r w:rsidRPr="00CF1D1E">
        <w:rPr>
          <w:rFonts w:ascii="Calibri" w:eastAsia="Calibri" w:hAnsi="Calibri" w:cs="Times New Roman"/>
          <w:sz w:val="24"/>
          <w:szCs w:val="24"/>
          <w:lang w:val="en"/>
        </w:rPr>
        <w:tab/>
      </w:r>
      <w:r w:rsidRPr="00CF1D1E">
        <w:rPr>
          <w:rFonts w:ascii="Calibri" w:eastAsia="Calibri" w:hAnsi="Calibri" w:cs="Times New Roman"/>
          <w:sz w:val="24"/>
          <w:szCs w:val="24"/>
          <w:lang w:val="en"/>
        </w:rPr>
        <w:tab/>
        <w:t xml:space="preserve">  </w:t>
      </w:r>
      <w:r w:rsidRPr="00CF1D1E">
        <w:rPr>
          <w:rFonts w:ascii="Calibri" w:eastAsia="Calibri" w:hAnsi="Calibri" w:cs="Times New Roman"/>
          <w:noProof/>
          <w:lang w:eastAsia="en-GB"/>
        </w:rPr>
        <w:drawing>
          <wp:inline distT="0" distB="0" distL="0" distR="0" wp14:anchorId="70219AF7" wp14:editId="5442F2EF">
            <wp:extent cx="2084832" cy="1563624"/>
            <wp:effectExtent l="0" t="0" r="0" b="0"/>
            <wp:docPr id="67" name="Picture 67" descr="Image result for ulva intestin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Image result for ulva intestinali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10213" cy="1582660"/>
                    </a:xfrm>
                    <a:prstGeom prst="rect">
                      <a:avLst/>
                    </a:prstGeom>
                    <a:noFill/>
                    <a:ln>
                      <a:noFill/>
                    </a:ln>
                  </pic:spPr>
                </pic:pic>
              </a:graphicData>
            </a:graphic>
          </wp:inline>
        </w:drawing>
      </w:r>
      <w:r w:rsidRPr="00CF1D1E">
        <w:rPr>
          <w:rFonts w:ascii="Calibri" w:eastAsia="Calibri" w:hAnsi="Calibri" w:cs="Times New Roman"/>
          <w:sz w:val="24"/>
          <w:szCs w:val="24"/>
          <w:lang w:val="en"/>
        </w:rPr>
        <w:t xml:space="preserve">   </w:t>
      </w:r>
    </w:p>
    <w:p w:rsidR="00CF1D1E" w:rsidRPr="00CF1D1E" w:rsidRDefault="00CF1D1E" w:rsidP="00CF1D1E">
      <w:pPr>
        <w:spacing w:line="360" w:lineRule="auto"/>
        <w:jc w:val="both"/>
        <w:rPr>
          <w:rFonts w:ascii="Calibri" w:eastAsia="Calibri" w:hAnsi="Calibri" w:cs="Times New Roman"/>
          <w:i/>
          <w:sz w:val="20"/>
          <w:szCs w:val="20"/>
          <w:lang w:val="en"/>
        </w:rPr>
      </w:pPr>
      <w:r w:rsidRPr="00CF1D1E">
        <w:rPr>
          <w:rFonts w:ascii="Calibri" w:eastAsia="Calibri" w:hAnsi="Calibri" w:cs="Times New Roman"/>
          <w:sz w:val="20"/>
          <w:szCs w:val="20"/>
          <w:lang w:val="en"/>
        </w:rPr>
        <w:t xml:space="preserve">Fig.51 Gut Weed, </w:t>
      </w:r>
      <w:r w:rsidRPr="00CF1D1E">
        <w:rPr>
          <w:rFonts w:ascii="Calibri" w:eastAsia="Calibri" w:hAnsi="Calibri" w:cs="Times New Roman"/>
          <w:i/>
          <w:sz w:val="20"/>
          <w:szCs w:val="20"/>
          <w:lang w:val="en"/>
        </w:rPr>
        <w:t>Ulva intestinalis</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C.M.Potter [CC BY-SA 4.0 (https://creativecommons.org/licenses/by-sa/4.0)]</w:t>
      </w:r>
    </w:p>
    <w:p w:rsidR="00CF1D1E" w:rsidRPr="00CF1D1E" w:rsidRDefault="00CF1D1E" w:rsidP="00CF1D1E">
      <w:pPr>
        <w:spacing w:line="360" w:lineRule="auto"/>
        <w:jc w:val="both"/>
        <w:rPr>
          <w:rFonts w:ascii="Calibri" w:eastAsia="Calibri" w:hAnsi="Calibri" w:cs="Times New Roman"/>
          <w:sz w:val="20"/>
          <w:szCs w:val="20"/>
          <w:lang w:val="en"/>
        </w:rPr>
      </w:pPr>
    </w:p>
    <w:p w:rsidR="00CF1D1E" w:rsidRPr="00CF1D1E" w:rsidRDefault="00CF1D1E" w:rsidP="00CF1D1E">
      <w:pPr>
        <w:spacing w:line="360" w:lineRule="auto"/>
        <w:ind w:firstLine="720"/>
        <w:jc w:val="both"/>
        <w:rPr>
          <w:rFonts w:ascii="Calibri" w:eastAsia="Calibri" w:hAnsi="Calibri" w:cs="Times New Roman"/>
          <w:sz w:val="24"/>
          <w:szCs w:val="24"/>
          <w:lang w:val="en"/>
        </w:rPr>
      </w:pPr>
    </w:p>
    <w:p w:rsidR="00CF1D1E" w:rsidRPr="00CF1D1E" w:rsidRDefault="009C77E1" w:rsidP="00CF1D1E">
      <w:pPr>
        <w:spacing w:line="360" w:lineRule="auto"/>
        <w:ind w:firstLine="720"/>
        <w:jc w:val="both"/>
        <w:rPr>
          <w:rFonts w:ascii="Calibri" w:eastAsia="Calibri" w:hAnsi="Calibri" w:cs="Times New Roman"/>
          <w:sz w:val="24"/>
          <w:szCs w:val="24"/>
          <w:lang w:val="en"/>
        </w:rPr>
      </w:pPr>
      <w:r>
        <w:rPr>
          <w:rFonts w:ascii="Calibri" w:eastAsia="Calibri" w:hAnsi="Calibri" w:cs="Times New Roman"/>
          <w:sz w:val="24"/>
          <w:szCs w:val="24"/>
          <w:lang w:val="en"/>
        </w:rPr>
        <w:t>As a benchmark extract of well-</w:t>
      </w:r>
      <w:r w:rsidR="00CF1D1E" w:rsidRPr="00CF1D1E">
        <w:rPr>
          <w:rFonts w:ascii="Calibri" w:eastAsia="Calibri" w:hAnsi="Calibri" w:cs="Times New Roman"/>
          <w:sz w:val="24"/>
          <w:szCs w:val="24"/>
          <w:lang w:val="en"/>
        </w:rPr>
        <w:t>documented</w:t>
      </w:r>
      <w:r>
        <w:rPr>
          <w:rFonts w:ascii="Calibri" w:eastAsia="Calibri" w:hAnsi="Calibri" w:cs="Times New Roman"/>
          <w:sz w:val="24"/>
          <w:szCs w:val="24"/>
          <w:lang w:val="en"/>
        </w:rPr>
        <w:t xml:space="preserve"> composition, green tea was</w:t>
      </w:r>
      <w:r w:rsidR="00CF1D1E" w:rsidRPr="00CF1D1E">
        <w:rPr>
          <w:rFonts w:ascii="Calibri" w:eastAsia="Calibri" w:hAnsi="Calibri" w:cs="Times New Roman"/>
          <w:sz w:val="24"/>
          <w:szCs w:val="24"/>
          <w:lang w:val="en"/>
        </w:rPr>
        <w:t xml:space="preserve"> chosen in the same way that Pycnogenol was used in chapter 1. Green tea is one of the most studied products w</w:t>
      </w:r>
      <w:r>
        <w:rPr>
          <w:rFonts w:ascii="Calibri" w:eastAsia="Calibri" w:hAnsi="Calibri" w:cs="Times New Roman"/>
          <w:sz w:val="24"/>
          <w:szCs w:val="24"/>
          <w:lang w:val="en"/>
        </w:rPr>
        <w:t>ithin the field of polyphenolic research</w:t>
      </w:r>
      <w:r w:rsidR="00CF1D1E" w:rsidRPr="00CF1D1E">
        <w:rPr>
          <w:rFonts w:ascii="Calibri" w:eastAsia="Calibri" w:hAnsi="Calibri" w:cs="Times New Roman"/>
          <w:sz w:val="24"/>
          <w:szCs w:val="24"/>
          <w:lang w:val="en"/>
        </w:rPr>
        <w:t xml:space="preserve"> and therefore detailed information is available </w:t>
      </w:r>
      <w:r w:rsidR="00CF1D1E"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{"citationItems":[{"id":"ITEM-1","itemData":{"abstract":"U.S. Department of Agriculture, Agricultural Research Service. 2011. USDA Database for the Flavonoid Content of Selected Foods, Release 3.0. Nutrient Data Laboratory Home Page: http://www.ars.usda.gov/nutrientdata/flav","author":[{"dropping-particle":"","family":"Bhagwat","given":"Seema","non-dropping-particle":"","parse-names":false,"suffix":""},{"dropping-particle":"","family":"Haytowitz","given":"David B","non-dropping-particle":"","parse-names":false,"suffix":""},{"dropping-particle":"","family":"Holden","given":"Joanne M","non-dropping-particle":"","parse-names":false,"suffix":""}],"container-title":"U.S. Department of Argiculture","id":"ITEM-1","issued":{"date-parts":[["2011"]]},"page":"1-156","title":"USDA Database for the Flavonoid Content of Selected Foods","type":"article-journal"},"uris":["http://www.mendeley.com/documents/?uuid=bd5fe7da-69b9-46f2-8462-b2d689a43057"]},{"id":"ITEM-2","itemData":{"author":[{"dropping-particle":"","family":"Mack","given":"Anne E","non-dropping-particle":"","parse-names":false,"suffix":""},{"dropping-particle":"","family":"Long","given":"William J","non-dropping-particle":"","parse-names":false,"suffix":""}],"container-title":"Agilent Technologies: Application Note","id":"ITEM-2","issued":{"date-parts":[["2011"]]},"page":"1-10","title":"Rapid Tea Analysis on Poroshell 120 SB-C18 with LC / MS Application Note","type":"article-journal"},"uris":["http://www.mendeley.com/documents/?uuid=fbe2ae6c-0c07-403f-98b5-b73b8ed5fcdb"]},{"id":"ITEM-3","itemData":{"DOI":"10.1021/jf070323f","ISBN":"0021-8561","ISSN":"00218561","PMID":"17530772","abstract":"We developed a high-performance liquid chromatography-based method for simultaneous analysis\\r\\nof nine catechins, gallic acid, strictinin, caffeine, and theobromine in green tea by using catechol as\\r\\nan internal standard. Although the high cost and instability of the catechin reference standards limit\\r\\nthe application of this method, the addition of ascorbic acid to the standard stock solution preserved\\r\\nthe stability of the reference standards in the solution for 1 year when stored at -30 °C. Furthermore,\\r\\nwe found that the slopes of the calibration curves plotted were stable for a run time of 2000 h. Our\\r\\nmethod proved to be appropriate for quantification and yielded good correlation coefficients, detection\\r\\nlevels, repeatability, reproducibility, and recovery rates. Quantitative data revealed that the contribution\\r\\nof only 200 mL of brewed tea to the total dietary catechins was approximately 220-420 mg, while\\r\\nthat of 500 mL of bottled tea was approximately 170-900 mg.","author":[{"dropping-particle":"","family":"Mizukami","given":"Yuzo","non-dropping-particle":"","parse-names":false,"suffix":""},{"dropping-particle":"","family":"Sawai","given":"Yusuke","non-dropping-particle":"","parse-names":false,"suffix":""},{"dropping-particle":"","family":"Yamaguchi","given":"Yuichi","non-dropping-particle":"","parse-names":false,"suffix":""}],"container-title":"Journal of Agricultural and Food Chemistry","id":"ITEM-3","issue":"13","issued":{"date-parts":[["2007"]]},"page":"4957-4964","title":"Simultaneous analysis of catechins, gallic acid, strictinin, and purine alkaloids in green tea by using catechol as an internal standard","type":"article-journal","volume":"55"},"uris":["http://www.mendeley.com/documents/?uuid=8341c656-5b07-4d4e-a7cf-82f648276b88"]}],"mendeley":{"formattedCitation":"(Bhagwat, Haytowitz, &amp; Holden, 2011; Mack &amp; Long, 2011; Mizukami, Sawai, &amp; Yamaguchi, 2007)","plainTextFormattedCitation":"(Bhagwat, Haytowitz, &amp; Holden, 2011; Mack &amp; Long, 2011; Mizukami, Sawai, &amp; Yamaguchi, 2007)","previouslyFormattedCitation":"(Bhagwat, Haytowitz, &amp; Holden, 2011; Mack &amp; Long, 2011; Mizukami, Sawai, &amp; Yamaguchi, 2007)"},"properties":{"noteIndex":0},"schema":"https://github.com/citation-style-language/schema/raw/master/csl-citation.json"}</w:instrText>
      </w:r>
      <w:r w:rsidR="00CF1D1E"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(Bhagwat, Haytowitz, &amp; Holden, 2011; Mack &amp; Long, 2011; Mizukami, Sawai, &amp; Yamaguchi, 2007)</w:t>
      </w:r>
      <w:r w:rsidR="00CF1D1E" w:rsidRPr="00CF1D1E">
        <w:rPr>
          <w:rFonts w:ascii="Calibri" w:eastAsia="Calibri" w:hAnsi="Calibri" w:cs="Times New Roman"/>
          <w:sz w:val="24"/>
          <w:szCs w:val="24"/>
          <w:lang w:val="en"/>
        </w:rPr>
        <w:fldChar w:fldCharType="end"/>
      </w:r>
      <w:r w:rsidR="00CF1D1E" w:rsidRPr="00CF1D1E">
        <w:rPr>
          <w:rFonts w:ascii="Calibri" w:eastAsia="Calibri" w:hAnsi="Calibri" w:cs="Times New Roman"/>
          <w:sz w:val="24"/>
          <w:szCs w:val="24"/>
          <w:lang w:val="en"/>
        </w:rPr>
        <w:t>. It is useful to have a point of reference when characterising polyphenolics in less common</w:t>
      </w:r>
      <w:r>
        <w:rPr>
          <w:rFonts w:ascii="Calibri" w:eastAsia="Calibri" w:hAnsi="Calibri" w:cs="Times New Roman"/>
          <w:sz w:val="24"/>
          <w:szCs w:val="24"/>
          <w:lang w:val="en"/>
        </w:rPr>
        <w:t>ly researched</w:t>
      </w:r>
      <w:r w:rsidR="00CF1D1E" w:rsidRPr="00CF1D1E">
        <w:rPr>
          <w:rFonts w:ascii="Calibri" w:eastAsia="Calibri" w:hAnsi="Calibri" w:cs="Times New Roman"/>
          <w:sz w:val="24"/>
          <w:szCs w:val="24"/>
          <w:lang w:val="en"/>
        </w:rPr>
        <w:t xml:space="preserve"> samples. The benchmark sample of green tea will give credence to new results obtained and validity to the analytical method used but only if expected components of interest are observed in an extract of green tea. Twining’s green tea</w:t>
      </w:r>
      <w:r>
        <w:rPr>
          <w:rFonts w:ascii="Calibri" w:eastAsia="Calibri" w:hAnsi="Calibri" w:cs="Times New Roman"/>
          <w:sz w:val="24"/>
          <w:szCs w:val="24"/>
          <w:lang w:val="en"/>
        </w:rPr>
        <w:t xml:space="preserve">, which </w:t>
      </w:r>
      <w:r w:rsidR="000573D0">
        <w:rPr>
          <w:rFonts w:ascii="Calibri" w:eastAsia="Calibri" w:hAnsi="Calibri" w:cs="Times New Roman"/>
          <w:sz w:val="24"/>
          <w:szCs w:val="24"/>
          <w:lang w:val="en"/>
        </w:rPr>
        <w:t>is</w:t>
      </w:r>
      <w:r w:rsidR="00CF1D1E" w:rsidRPr="00CF1D1E">
        <w:rPr>
          <w:rFonts w:ascii="Calibri" w:eastAsia="Calibri" w:hAnsi="Calibri" w:cs="Times New Roman"/>
          <w:sz w:val="24"/>
          <w:szCs w:val="24"/>
          <w:lang w:val="en"/>
        </w:rPr>
        <w:t xml:space="preserve"> </w:t>
      </w:r>
      <w:r>
        <w:rPr>
          <w:rFonts w:ascii="Calibri" w:eastAsia="Calibri" w:hAnsi="Calibri" w:cs="Times New Roman"/>
          <w:sz w:val="24"/>
          <w:szCs w:val="24"/>
          <w:lang w:val="en"/>
        </w:rPr>
        <w:t xml:space="preserve">widely available, </w:t>
      </w:r>
      <w:r w:rsidR="00CF1D1E" w:rsidRPr="00CF1D1E">
        <w:rPr>
          <w:rFonts w:ascii="Calibri" w:eastAsia="Calibri" w:hAnsi="Calibri" w:cs="Times New Roman"/>
          <w:sz w:val="24"/>
          <w:szCs w:val="24"/>
          <w:lang w:val="en"/>
        </w:rPr>
        <w:t>selected for this research.</w:t>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jc w:val="both"/>
        <w:rPr>
          <w:rFonts w:ascii="Calibri" w:eastAsia="Calibri" w:hAnsi="Calibri" w:cs="Times New Roman"/>
          <w:b/>
          <w:sz w:val="44"/>
          <w:szCs w:val="44"/>
          <w:lang w:val="en"/>
        </w:rPr>
      </w:pPr>
      <w:r w:rsidRPr="00CF1D1E">
        <w:rPr>
          <w:rFonts w:ascii="Calibri" w:eastAsia="Calibri" w:hAnsi="Calibri" w:cs="Times New Roman"/>
          <w:b/>
          <w:sz w:val="44"/>
          <w:szCs w:val="44"/>
          <w:lang w:val="en"/>
        </w:rPr>
        <w:lastRenderedPageBreak/>
        <w:t>2.2 Methods</w:t>
      </w:r>
    </w:p>
    <w:p w:rsidR="00CF1D1E" w:rsidRPr="00CF1D1E" w:rsidRDefault="00CF1D1E" w:rsidP="00CF1D1E">
      <w:pPr>
        <w:spacing w:line="360" w:lineRule="auto"/>
        <w:jc w:val="both"/>
        <w:rPr>
          <w:rFonts w:ascii="Calibri" w:eastAsia="Calibri" w:hAnsi="Calibri" w:cs="Times New Roman"/>
          <w:sz w:val="24"/>
          <w:szCs w:val="24"/>
          <w:lang w:val="en"/>
        </w:rPr>
      </w:pP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ab/>
        <w:t>Many of the method details used for the polyphenolic characterisation in this chapter are similar to those described in chapter 1. For this reason</w:t>
      </w:r>
      <w:r w:rsidR="006C7B82">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more concise details will be provided in the following sections although any differences will be highlighted. </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ab/>
        <w:t>Initially, each sample was t</w:t>
      </w:r>
      <w:r w:rsidR="006C7B82">
        <w:rPr>
          <w:rFonts w:ascii="Calibri" w:eastAsia="Calibri" w:hAnsi="Calibri" w:cs="Times New Roman"/>
          <w:sz w:val="24"/>
          <w:szCs w:val="24"/>
          <w:lang w:val="en"/>
        </w:rPr>
        <w:t xml:space="preserve">horoughly washed in LC-MS grade </w:t>
      </w:r>
      <w:r w:rsidRPr="00CF1D1E">
        <w:rPr>
          <w:rFonts w:ascii="Calibri" w:eastAsia="Calibri" w:hAnsi="Calibri" w:cs="Times New Roman"/>
          <w:sz w:val="24"/>
          <w:szCs w:val="24"/>
          <w:lang w:val="en"/>
        </w:rPr>
        <w:t>water</w:t>
      </w:r>
      <w:r w:rsidR="006C7B82">
        <w:rPr>
          <w:rFonts w:ascii="Calibri" w:eastAsia="Calibri" w:hAnsi="Calibri" w:cs="Times New Roman"/>
          <w:sz w:val="24"/>
          <w:szCs w:val="24"/>
          <w:lang w:val="en"/>
        </w:rPr>
        <w:t xml:space="preserve"> (Optima)</w:t>
      </w:r>
      <w:r w:rsidRPr="00CF1D1E">
        <w:rPr>
          <w:rFonts w:ascii="Calibri" w:eastAsia="Calibri" w:hAnsi="Calibri" w:cs="Times New Roman"/>
          <w:sz w:val="24"/>
          <w:szCs w:val="24"/>
          <w:lang w:val="en"/>
        </w:rPr>
        <w:t xml:space="preserve"> then transferred to a freeze drying unit. This removes water and enables the samples to be easily converted into a homogenous powder.</w:t>
      </w:r>
      <w:r w:rsidR="006C7B82">
        <w:rPr>
          <w:rFonts w:ascii="Calibri" w:eastAsia="Calibri" w:hAnsi="Calibri" w:cs="Times New Roman"/>
          <w:sz w:val="24"/>
          <w:szCs w:val="24"/>
          <w:lang w:val="en"/>
        </w:rPr>
        <w:t xml:space="preserve"> Freeze drying also prevents the samples from decaying.</w:t>
      </w:r>
      <w:r w:rsidRPr="00CF1D1E">
        <w:rPr>
          <w:rFonts w:ascii="Calibri" w:eastAsia="Calibri" w:hAnsi="Calibri" w:cs="Times New Roman"/>
          <w:sz w:val="24"/>
          <w:szCs w:val="24"/>
          <w:lang w:val="en"/>
        </w:rPr>
        <w:t xml:space="preserve"> After 2 days in the freeze drier, each sample was individually ground</w:t>
      </w:r>
      <w:r w:rsidR="006C7B82">
        <w:rPr>
          <w:rFonts w:ascii="Calibri" w:eastAsia="Calibri" w:hAnsi="Calibri" w:cs="Times New Roman"/>
          <w:sz w:val="24"/>
          <w:szCs w:val="24"/>
          <w:lang w:val="en"/>
        </w:rPr>
        <w:t xml:space="preserve"> </w:t>
      </w:r>
      <w:r w:rsidRPr="00CF1D1E">
        <w:rPr>
          <w:rFonts w:ascii="Calibri" w:eastAsia="Calibri" w:hAnsi="Calibri" w:cs="Times New Roman"/>
          <w:sz w:val="24"/>
          <w:szCs w:val="24"/>
          <w:lang w:val="en"/>
        </w:rPr>
        <w:t>in a coffee grinder unt</w:t>
      </w:r>
      <w:r w:rsidR="00B27D67">
        <w:rPr>
          <w:rFonts w:ascii="Calibri" w:eastAsia="Calibri" w:hAnsi="Calibri" w:cs="Times New Roman"/>
          <w:sz w:val="24"/>
          <w:szCs w:val="24"/>
          <w:lang w:val="en"/>
        </w:rPr>
        <w:t>il a fine powder was achieved. 0.5</w:t>
      </w:r>
      <w:r w:rsidRPr="00CF1D1E">
        <w:rPr>
          <w:rFonts w:ascii="Calibri" w:eastAsia="Calibri" w:hAnsi="Calibri" w:cs="Times New Roman"/>
          <w:sz w:val="24"/>
          <w:szCs w:val="24"/>
          <w:lang w:val="en"/>
        </w:rPr>
        <w:t>g of this powder was weighed in to a clean glass beaker containing 10ml of ethanol and sonicated in an ultra</w:t>
      </w:r>
      <w:r w:rsidR="006C7B82">
        <w:rPr>
          <w:rFonts w:ascii="Calibri" w:eastAsia="Calibri" w:hAnsi="Calibri" w:cs="Times New Roman"/>
          <w:sz w:val="24"/>
          <w:szCs w:val="24"/>
          <w:lang w:val="en"/>
        </w:rPr>
        <w:t>sonic water bath for 30min. The beaker</w:t>
      </w:r>
      <w:r w:rsidRPr="00CF1D1E">
        <w:rPr>
          <w:rFonts w:ascii="Calibri" w:eastAsia="Calibri" w:hAnsi="Calibri" w:cs="Times New Roman"/>
          <w:sz w:val="24"/>
          <w:szCs w:val="24"/>
          <w:lang w:val="en"/>
        </w:rPr>
        <w:t xml:space="preserve"> was covered and left</w:t>
      </w:r>
      <w:r w:rsidR="006C7B82">
        <w:rPr>
          <w:rFonts w:ascii="Calibri" w:eastAsia="Calibri" w:hAnsi="Calibri" w:cs="Times New Roman"/>
          <w:sz w:val="24"/>
          <w:szCs w:val="24"/>
          <w:lang w:val="en"/>
        </w:rPr>
        <w:t xml:space="preserve"> to stand</w:t>
      </w:r>
      <w:r w:rsidRPr="00CF1D1E">
        <w:rPr>
          <w:rFonts w:ascii="Calibri" w:eastAsia="Calibri" w:hAnsi="Calibri" w:cs="Times New Roman"/>
          <w:sz w:val="24"/>
          <w:szCs w:val="24"/>
          <w:lang w:val="en"/>
        </w:rPr>
        <w:t xml:space="preserve"> for 24 hours </w:t>
      </w:r>
      <w:r w:rsidR="006C7B82">
        <w:rPr>
          <w:rFonts w:ascii="Calibri" w:eastAsia="Calibri" w:hAnsi="Calibri" w:cs="Times New Roman"/>
          <w:sz w:val="24"/>
          <w:szCs w:val="24"/>
          <w:lang w:val="en"/>
        </w:rPr>
        <w:t xml:space="preserve">in a fridge </w:t>
      </w:r>
      <w:r w:rsidRPr="00CF1D1E">
        <w:rPr>
          <w:rFonts w:ascii="Calibri" w:eastAsia="Calibri" w:hAnsi="Calibri" w:cs="Times New Roman"/>
          <w:sz w:val="24"/>
          <w:szCs w:val="24"/>
          <w:lang w:val="en"/>
        </w:rPr>
        <w:t xml:space="preserve">and then sonicated for a further 30min. The sample was left to settle, then the supernatant was transferred into a Falcon tube and centrifuged at 10,000 rpm for 30 min. The resultant clear ethanol extract was concentrated to a tenth of the initial volume by gentle heating to 60°C in a fume cupboard, creating a concentration of 1ml of extract being equivalent to 1g of the freeze dried sample. This extract was </w:t>
      </w:r>
      <w:r w:rsidR="006C7B82">
        <w:rPr>
          <w:rFonts w:ascii="Calibri" w:eastAsia="Calibri" w:hAnsi="Calibri" w:cs="Times New Roman"/>
          <w:sz w:val="24"/>
          <w:szCs w:val="24"/>
          <w:lang w:val="en"/>
        </w:rPr>
        <w:t>stored</w:t>
      </w:r>
      <w:r w:rsidRPr="00CF1D1E">
        <w:rPr>
          <w:rFonts w:ascii="Calibri" w:eastAsia="Calibri" w:hAnsi="Calibri" w:cs="Times New Roman"/>
          <w:sz w:val="24"/>
          <w:szCs w:val="24"/>
          <w:lang w:val="en"/>
        </w:rPr>
        <w:t xml:space="preserve"> in a freezer at -20°C until required. The process described was repeated for each s</w:t>
      </w:r>
      <w:r w:rsidR="00801A7C">
        <w:rPr>
          <w:rFonts w:ascii="Calibri" w:eastAsia="Calibri" w:hAnsi="Calibri" w:cs="Times New Roman"/>
          <w:sz w:val="24"/>
          <w:szCs w:val="24"/>
          <w:lang w:val="en"/>
        </w:rPr>
        <w:t>ample. T</w:t>
      </w:r>
      <w:r w:rsidRPr="00CF1D1E">
        <w:rPr>
          <w:rFonts w:ascii="Calibri" w:eastAsia="Calibri" w:hAnsi="Calibri" w:cs="Times New Roman"/>
          <w:sz w:val="24"/>
          <w:szCs w:val="24"/>
          <w:lang w:val="en"/>
        </w:rPr>
        <w:t xml:space="preserve">he sample of gorse </w:t>
      </w:r>
      <w:r w:rsidR="00801A7C">
        <w:rPr>
          <w:rFonts w:ascii="Calibri" w:eastAsia="Calibri" w:hAnsi="Calibri" w:cs="Times New Roman"/>
          <w:sz w:val="24"/>
          <w:szCs w:val="24"/>
          <w:lang w:val="en"/>
        </w:rPr>
        <w:t xml:space="preserve">was separated </w:t>
      </w:r>
      <w:r w:rsidRPr="00CF1D1E">
        <w:rPr>
          <w:rFonts w:ascii="Calibri" w:eastAsia="Calibri" w:hAnsi="Calibri" w:cs="Times New Roman"/>
          <w:sz w:val="24"/>
          <w:szCs w:val="24"/>
          <w:lang w:val="en"/>
        </w:rPr>
        <w:t>into separate flower and stem samples in order to observe whether there were any significant differences in the analytical results of these two physically connected samples.</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ab/>
        <w:t xml:space="preserve">These samples were used in the discovery </w:t>
      </w:r>
      <w:r w:rsidRPr="00CF1D1E">
        <w:rPr>
          <w:rFonts w:ascii="Calibri" w:eastAsia="Calibri" w:hAnsi="Calibri" w:cs="Times New Roman"/>
          <w:sz w:val="24"/>
          <w:szCs w:val="24"/>
          <w:lang w:val="en"/>
        </w:rPr>
        <w:sym w:font="Wingdings" w:char="F0E0"/>
      </w:r>
      <w:r w:rsidRPr="00CF1D1E">
        <w:rPr>
          <w:rFonts w:ascii="Calibri" w:eastAsia="Calibri" w:hAnsi="Calibri" w:cs="Times New Roman"/>
          <w:sz w:val="24"/>
          <w:szCs w:val="24"/>
          <w:lang w:val="en"/>
        </w:rPr>
        <w:t xml:space="preserve"> targeted workflow, details of which are provided in the following sections.</w:t>
      </w:r>
    </w:p>
    <w:p w:rsidR="00CF1D1E" w:rsidRPr="00CF1D1E" w:rsidRDefault="00CF1D1E" w:rsidP="00CF1D1E">
      <w:pPr>
        <w:spacing w:line="360" w:lineRule="auto"/>
        <w:jc w:val="both"/>
        <w:rPr>
          <w:rFonts w:ascii="Calibri" w:eastAsia="Calibri" w:hAnsi="Calibri" w:cs="Times New Roman"/>
          <w:b/>
          <w:sz w:val="44"/>
          <w:szCs w:val="44"/>
          <w:lang w:val="en"/>
        </w:rPr>
      </w:pPr>
    </w:p>
    <w:p w:rsidR="00CF1D1E" w:rsidRPr="00CF1D1E" w:rsidRDefault="00CF1D1E" w:rsidP="00CF1D1E">
      <w:pPr>
        <w:spacing w:line="360" w:lineRule="auto"/>
        <w:jc w:val="both"/>
        <w:rPr>
          <w:rFonts w:ascii="Calibri" w:eastAsia="Calibri" w:hAnsi="Calibri" w:cs="Times New Roman"/>
          <w:b/>
          <w:sz w:val="36"/>
          <w:szCs w:val="36"/>
        </w:rPr>
      </w:pPr>
      <w:r w:rsidRPr="00CF1D1E">
        <w:rPr>
          <w:rFonts w:ascii="Calibri" w:eastAsia="Calibri" w:hAnsi="Calibri" w:cs="Times New Roman"/>
          <w:b/>
          <w:sz w:val="36"/>
          <w:szCs w:val="36"/>
        </w:rPr>
        <w:t>2.21 Synapt G2-Si Untargeted Method (HDMS</w:t>
      </w:r>
      <w:r w:rsidRPr="00CF1D1E">
        <w:rPr>
          <w:rFonts w:ascii="Calibri" w:eastAsia="Calibri" w:hAnsi="Calibri" w:cs="Times New Roman"/>
          <w:b/>
          <w:sz w:val="36"/>
          <w:szCs w:val="36"/>
          <w:vertAlign w:val="superscript"/>
        </w:rPr>
        <w:t>e</w:t>
      </w:r>
      <w:r w:rsidRPr="00CF1D1E">
        <w:rPr>
          <w:rFonts w:ascii="Calibri" w:eastAsia="Calibri" w:hAnsi="Calibri" w:cs="Times New Roman"/>
          <w:b/>
          <w:sz w:val="36"/>
          <w:szCs w:val="36"/>
        </w:rPr>
        <w:t>)</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ab/>
        <w:t xml:space="preserve"> The UPLC used was a Waters I-class instrument. The conditions below were similar to the targeted analysis on the Xevo TQ-XS. Slight modifications were made to accommodate a Waters Cortecs UPLC Shield RP18 </w:t>
      </w:r>
      <w:r w:rsidR="00801A7C">
        <w:rPr>
          <w:rFonts w:ascii="Calibri" w:eastAsia="Calibri" w:hAnsi="Calibri" w:cs="Times New Roman"/>
          <w:sz w:val="24"/>
          <w:szCs w:val="24"/>
          <w:lang w:val="en"/>
        </w:rPr>
        <w:t>(</w:t>
      </w:r>
      <w:r w:rsidRPr="00CF1D1E">
        <w:rPr>
          <w:rFonts w:ascii="Calibri" w:eastAsia="Calibri" w:hAnsi="Calibri" w:cs="Times New Roman"/>
          <w:sz w:val="24"/>
          <w:szCs w:val="24"/>
          <w:lang w:val="en"/>
        </w:rPr>
        <w:t>2.7</w:t>
      </w:r>
      <w:r w:rsidR="00801A7C" w:rsidRPr="00801A7C">
        <w:rPr>
          <w:rFonts w:ascii="Calibri" w:eastAsia="Calibri" w:hAnsi="Calibri" w:cs="Times New Roman"/>
          <w:sz w:val="24"/>
          <w:szCs w:val="24"/>
          <w:lang w:val="en"/>
        </w:rPr>
        <w:t>μ</w:t>
      </w:r>
      <w:r w:rsidR="00801A7C">
        <w:rPr>
          <w:rFonts w:ascii="Calibri" w:eastAsia="Calibri" w:hAnsi="Calibri" w:cs="Times New Roman"/>
          <w:sz w:val="24"/>
          <w:szCs w:val="24"/>
          <w:lang w:val="en"/>
        </w:rPr>
        <w:t>m</w:t>
      </w:r>
      <w:r w:rsidRPr="00CF1D1E">
        <w:rPr>
          <w:rFonts w:ascii="Calibri" w:eastAsia="Calibri" w:hAnsi="Calibri" w:cs="Times New Roman"/>
          <w:sz w:val="24"/>
          <w:szCs w:val="24"/>
          <w:lang w:val="en"/>
        </w:rPr>
        <w:t xml:space="preserve"> x 2.1mm x 100mm</w:t>
      </w:r>
      <w:r w:rsidR="00801A7C">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superficially porous column. As </w:t>
      </w:r>
      <w:r w:rsidRPr="00CF1D1E">
        <w:rPr>
          <w:rFonts w:ascii="Calibri" w:eastAsia="Calibri" w:hAnsi="Calibri" w:cs="Times New Roman"/>
          <w:sz w:val="24"/>
          <w:szCs w:val="24"/>
          <w:lang w:val="en"/>
        </w:rPr>
        <w:lastRenderedPageBreak/>
        <w:t>stated earlier, this stationary phase and incorporates an imbedded polar carbamate group into the bonded phase ligand</w:t>
      </w:r>
      <w:r w:rsidR="00801A7C">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which provides alternative selectivity for phenolic compounds. This modified C18 stationary phase was found to perform well for polyphenol analysis in previous experiments. A Waters Vanguard guard column system was implemented to protect the analytical column. A cartridge with the same stationary phase as the analytical column was used. </w:t>
      </w:r>
    </w:p>
    <w:p w:rsidR="00CF1D1E" w:rsidRPr="00CF1D1E" w:rsidRDefault="00CF1D1E" w:rsidP="00CF1D1E">
      <w:pPr>
        <w:spacing w:line="360" w:lineRule="auto"/>
        <w:jc w:val="both"/>
        <w:rPr>
          <w:rFonts w:ascii="Calibri" w:eastAsia="Calibri" w:hAnsi="Calibri" w:cs="Times New Roman"/>
          <w:sz w:val="24"/>
          <w:szCs w:val="24"/>
          <w:lang w:val="en"/>
        </w:rPr>
      </w:pPr>
    </w:p>
    <w:tbl>
      <w:tblPr>
        <w:tblStyle w:val="TableGrid"/>
        <w:tblW w:w="0" w:type="auto"/>
        <w:tblInd w:w="537" w:type="dxa"/>
        <w:tblLook w:val="04A0" w:firstRow="1" w:lastRow="0" w:firstColumn="1" w:lastColumn="0" w:noHBand="0" w:noVBand="1"/>
      </w:tblPr>
      <w:tblGrid>
        <w:gridCol w:w="8105"/>
      </w:tblGrid>
      <w:tr w:rsidR="00CF1D1E" w:rsidRPr="00CF1D1E" w:rsidTr="00BD03D3">
        <w:tc>
          <w:tcPr>
            <w:tcW w:w="8105" w:type="dxa"/>
          </w:tcPr>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Mobile phase: 90</w:t>
            </w:r>
            <w:r w:rsidR="00BD03D3">
              <w:rPr>
                <w:rFonts w:ascii="Calibri" w:eastAsia="Calibri" w:hAnsi="Calibri" w:cs="Times New Roman"/>
                <w:sz w:val="24"/>
                <w:szCs w:val="24"/>
                <w:lang w:val="en"/>
              </w:rPr>
              <w:t>%A</w:t>
            </w:r>
            <w:proofErr w:type="gramStart"/>
            <w:r w:rsidRPr="00CF1D1E">
              <w:rPr>
                <w:rFonts w:ascii="Calibri" w:eastAsia="Calibri" w:hAnsi="Calibri" w:cs="Times New Roman"/>
                <w:sz w:val="24"/>
                <w:szCs w:val="24"/>
                <w:lang w:val="en"/>
              </w:rPr>
              <w:t>:10</w:t>
            </w:r>
            <w:proofErr w:type="gramEnd"/>
            <w:r w:rsidR="00BD03D3">
              <w:rPr>
                <w:rFonts w:ascii="Calibri" w:eastAsia="Calibri" w:hAnsi="Calibri" w:cs="Times New Roman"/>
                <w:sz w:val="24"/>
                <w:szCs w:val="24"/>
                <w:lang w:val="en"/>
              </w:rPr>
              <w:t>%B. A=Water 0.1% Acetic Acid, B=MeOH</w:t>
            </w:r>
            <w:r w:rsidRPr="00CF1D1E">
              <w:rPr>
                <w:rFonts w:ascii="Calibri" w:eastAsia="Calibri" w:hAnsi="Calibri" w:cs="Times New Roman"/>
                <w:sz w:val="24"/>
                <w:szCs w:val="24"/>
                <w:lang w:val="en"/>
              </w:rPr>
              <w:t xml:space="preserve"> 0.1% Acetic Acid</w:t>
            </w:r>
          </w:p>
        </w:tc>
      </w:tr>
      <w:tr w:rsidR="00CF1D1E" w:rsidRPr="00CF1D1E" w:rsidTr="00BD03D3">
        <w:tc>
          <w:tcPr>
            <w:tcW w:w="8105" w:type="dxa"/>
          </w:tcPr>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Flow: 0.5 ml/min</w:t>
            </w:r>
          </w:p>
        </w:tc>
      </w:tr>
      <w:tr w:rsidR="00CF1D1E" w:rsidRPr="00CF1D1E" w:rsidTr="00BD03D3">
        <w:tc>
          <w:tcPr>
            <w:tcW w:w="8105" w:type="dxa"/>
          </w:tcPr>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Column Oven: 40°C</w:t>
            </w:r>
          </w:p>
        </w:tc>
      </w:tr>
      <w:tr w:rsidR="00CF1D1E" w:rsidRPr="00CF1D1E" w:rsidTr="00BD03D3">
        <w:tc>
          <w:tcPr>
            <w:tcW w:w="8105" w:type="dxa"/>
          </w:tcPr>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Injection volume: 1μl</w:t>
            </w:r>
          </w:p>
        </w:tc>
      </w:tr>
      <w:tr w:rsidR="00CF1D1E" w:rsidRPr="00CF1D1E" w:rsidTr="00BD03D3">
        <w:tc>
          <w:tcPr>
            <w:tcW w:w="8105" w:type="dxa"/>
          </w:tcPr>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Gradient: 90:10 initially to 0:100 over 4 min, back to 90:10 over 0.2min.</w:t>
            </w:r>
          </w:p>
        </w:tc>
      </w:tr>
      <w:tr w:rsidR="00CF1D1E" w:rsidRPr="00CF1D1E" w:rsidTr="00BD03D3">
        <w:tc>
          <w:tcPr>
            <w:tcW w:w="8105" w:type="dxa"/>
          </w:tcPr>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Hold at this combination for 0.8 min to equilibrate prior to the next injection.</w:t>
            </w:r>
          </w:p>
        </w:tc>
      </w:tr>
    </w:tbl>
    <w:p w:rsidR="00CF1D1E" w:rsidRPr="00CF1D1E" w:rsidRDefault="00CF1D1E" w:rsidP="00CF1D1E">
      <w:pPr>
        <w:spacing w:line="360" w:lineRule="auto"/>
        <w:jc w:val="both"/>
        <w:rPr>
          <w:rFonts w:ascii="Calibri" w:eastAsia="Calibri" w:hAnsi="Calibri" w:cs="Times New Roman"/>
          <w:sz w:val="24"/>
          <w:szCs w:val="24"/>
          <w:lang w:val="en"/>
        </w:rPr>
      </w:pPr>
    </w:p>
    <w:p w:rsidR="00CF1D1E" w:rsidRPr="00CF1D1E" w:rsidRDefault="00CF1D1E" w:rsidP="00CF1D1E">
      <w:pPr>
        <w:spacing w:line="360" w:lineRule="auto"/>
        <w:ind w:firstLine="720"/>
        <w:jc w:val="both"/>
        <w:rPr>
          <w:rFonts w:ascii="Calibri" w:eastAsia="Calibri" w:hAnsi="Calibri" w:cs="Times New Roman"/>
          <w:sz w:val="20"/>
          <w:szCs w:val="20"/>
          <w:lang w:val="en"/>
        </w:rPr>
      </w:pPr>
      <w:r w:rsidRPr="00CF1D1E">
        <w:rPr>
          <w:rFonts w:ascii="Calibri" w:eastAsia="Calibri" w:hAnsi="Calibri" w:cs="Times New Roman"/>
          <w:sz w:val="20"/>
          <w:szCs w:val="20"/>
          <w:lang w:val="en"/>
        </w:rPr>
        <w:t>Tab.26 I-class UPLC method conditions</w:t>
      </w:r>
    </w:p>
    <w:p w:rsidR="00CF1D1E" w:rsidRPr="00CF1D1E" w:rsidRDefault="00CF1D1E" w:rsidP="00CF1D1E">
      <w:pPr>
        <w:spacing w:line="360" w:lineRule="auto"/>
        <w:ind w:firstLine="720"/>
        <w:jc w:val="both"/>
        <w:rPr>
          <w:rFonts w:ascii="Calibri" w:eastAsia="Calibri" w:hAnsi="Calibri" w:cs="Times New Roman"/>
          <w:sz w:val="20"/>
          <w:szCs w:val="20"/>
          <w:lang w:val="en"/>
        </w:rPr>
      </w:pP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The detector used was a Synapt G2-Si mass spectrometer as in previous discovery work. The experimental mode selected was HDMS</w:t>
      </w:r>
      <w:r w:rsidRPr="00CF1D1E">
        <w:rPr>
          <w:rFonts w:ascii="Calibri" w:eastAsia="Calibri" w:hAnsi="Calibri" w:cs="Times New Roman"/>
          <w:sz w:val="24"/>
          <w:szCs w:val="24"/>
          <w:vertAlign w:val="superscript"/>
          <w:lang w:val="en"/>
        </w:rPr>
        <w:t>e</w:t>
      </w:r>
      <w:r w:rsidR="00801A7C">
        <w:rPr>
          <w:rFonts w:ascii="Calibri" w:eastAsia="Calibri" w:hAnsi="Calibri" w:cs="Times New Roman"/>
          <w:sz w:val="24"/>
          <w:szCs w:val="24"/>
          <w:lang w:val="en"/>
        </w:rPr>
        <w:t xml:space="preserve">, </w:t>
      </w:r>
      <w:r w:rsidRPr="00CF1D1E">
        <w:rPr>
          <w:rFonts w:ascii="Calibri" w:eastAsia="Calibri" w:hAnsi="Calibri" w:cs="Times New Roman"/>
          <w:sz w:val="24"/>
          <w:szCs w:val="24"/>
          <w:lang w:val="en"/>
        </w:rPr>
        <w:t xml:space="preserve">which gives a rich depth of data providing high resolution, accurate mass, ion mobility spectrometry and fragmentation of all detected parent ions to daughter ions. </w:t>
      </w:r>
      <w:bookmarkStart w:id="0" w:name="OLE_LINK5"/>
      <w:r w:rsidRPr="00CF1D1E">
        <w:rPr>
          <w:rFonts w:ascii="Calibri" w:eastAsia="Calibri" w:hAnsi="Calibri" w:cs="Times New Roman"/>
          <w:sz w:val="24"/>
          <w:szCs w:val="24"/>
          <w:lang w:val="en"/>
        </w:rPr>
        <w:t>The conditions used for the MS were</w:t>
      </w:r>
      <w:bookmarkEnd w:id="0"/>
      <w:r w:rsidRPr="00CF1D1E">
        <w:rPr>
          <w:rFonts w:ascii="Calibri" w:eastAsia="Calibri" w:hAnsi="Calibri" w:cs="Times New Roman"/>
          <w:sz w:val="24"/>
          <w:szCs w:val="24"/>
          <w:lang w:val="en"/>
        </w:rPr>
        <w:t xml:space="preserve"> the same as those listed in section 1.21 (Tab. 3). Mass axis calibration was performed as part of the instrument setup by the use of sodium formate which is cost effective and easily prepared. It is also stable for many months. A preparation of sodium formate creates a series of cluster ions</w:t>
      </w:r>
      <w:r w:rsidR="00AB380A">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which satisfy many points of reference for calibration across the mass range. As with all time of flight (ToF) machines</w:t>
      </w:r>
      <w:r w:rsidR="00AB380A">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the mass axis can quickly vary, although only by small amounts. In order to </w:t>
      </w:r>
      <w:r w:rsidR="00AB380A">
        <w:rPr>
          <w:rFonts w:ascii="Calibri" w:eastAsia="Calibri" w:hAnsi="Calibri" w:cs="Times New Roman"/>
          <w:sz w:val="24"/>
          <w:szCs w:val="24"/>
          <w:lang w:val="en"/>
        </w:rPr>
        <w:t>determine</w:t>
      </w:r>
      <w:r w:rsidRPr="00CF1D1E">
        <w:rPr>
          <w:rFonts w:ascii="Calibri" w:eastAsia="Calibri" w:hAnsi="Calibri" w:cs="Times New Roman"/>
          <w:sz w:val="24"/>
          <w:szCs w:val="24"/>
          <w:lang w:val="en"/>
        </w:rPr>
        <w:t xml:space="preserve"> accurate mass, a lock mass was introduced by a second </w:t>
      </w:r>
      <w:r w:rsidRPr="00CF1D1E">
        <w:rPr>
          <w:rFonts w:ascii="Calibri" w:eastAsia="Calibri" w:hAnsi="Calibri" w:cs="Times New Roman"/>
          <w:sz w:val="24"/>
          <w:szCs w:val="24"/>
        </w:rPr>
        <w:t>axial electrospray probe</w:t>
      </w:r>
      <w:r w:rsidRPr="00CF1D1E">
        <w:rPr>
          <w:rFonts w:ascii="Calibri" w:eastAsia="Calibri" w:hAnsi="Calibri" w:cs="Times New Roman"/>
          <w:sz w:val="24"/>
          <w:szCs w:val="24"/>
          <w:lang w:val="en"/>
        </w:rPr>
        <w:t xml:space="preserve"> to give a mass reference </w:t>
      </w:r>
      <w:r w:rsidRPr="00CF1D1E">
        <w:rPr>
          <w:rFonts w:ascii="Calibri" w:eastAsia="Calibri" w:hAnsi="Calibri" w:cs="Times New Roman"/>
          <w:sz w:val="24"/>
          <w:szCs w:val="24"/>
        </w:rPr>
        <w:t>ensuring the integrity of the exact mass data. A sample baffle, which gives access to the sample spray to enter the cone orifice, rotates periodically in order to allow the lock spray to enter giving an indexed reference. A well-maintaine</w:t>
      </w:r>
      <w:r w:rsidR="00AB380A">
        <w:rPr>
          <w:rFonts w:ascii="Calibri" w:eastAsia="Calibri" w:hAnsi="Calibri" w:cs="Times New Roman"/>
          <w:sz w:val="24"/>
          <w:szCs w:val="24"/>
        </w:rPr>
        <w:t>d instrument is always a necessity</w:t>
      </w:r>
      <w:r w:rsidRPr="00CF1D1E">
        <w:rPr>
          <w:rFonts w:ascii="Calibri" w:eastAsia="Calibri" w:hAnsi="Calibri" w:cs="Times New Roman"/>
          <w:sz w:val="24"/>
          <w:szCs w:val="24"/>
        </w:rPr>
        <w:t xml:space="preserve"> with all research of this type and this principle was strictly adhered to. </w:t>
      </w:r>
    </w:p>
    <w:p w:rsidR="00CF1D1E" w:rsidRPr="00CF1D1E" w:rsidRDefault="00CF1D1E" w:rsidP="00CF1D1E">
      <w:pPr>
        <w:spacing w:line="360" w:lineRule="auto"/>
        <w:jc w:val="both"/>
        <w:rPr>
          <w:rFonts w:ascii="Calibri" w:eastAsia="Calibri" w:hAnsi="Calibri" w:cs="Times New Roman"/>
          <w:b/>
          <w:sz w:val="36"/>
          <w:szCs w:val="36"/>
        </w:rPr>
      </w:pPr>
    </w:p>
    <w:p w:rsidR="00CF1D1E" w:rsidRPr="00CF1D1E" w:rsidRDefault="00CF1D1E" w:rsidP="00CF1D1E">
      <w:pPr>
        <w:spacing w:line="360" w:lineRule="auto"/>
        <w:jc w:val="both"/>
        <w:rPr>
          <w:rFonts w:ascii="Calibri" w:eastAsia="Calibri" w:hAnsi="Calibri" w:cs="Times New Roman"/>
          <w:b/>
          <w:sz w:val="36"/>
          <w:szCs w:val="36"/>
        </w:rPr>
      </w:pPr>
      <w:r w:rsidRPr="00CF1D1E">
        <w:rPr>
          <w:rFonts w:ascii="Calibri" w:eastAsia="Calibri" w:hAnsi="Calibri" w:cs="Times New Roman"/>
          <w:b/>
          <w:sz w:val="36"/>
          <w:szCs w:val="36"/>
        </w:rPr>
        <w:t xml:space="preserve">2.22 Q Exactive </w:t>
      </w:r>
      <w:proofErr w:type="gramStart"/>
      <w:r w:rsidRPr="00CF1D1E">
        <w:rPr>
          <w:rFonts w:ascii="Calibri" w:eastAsia="Calibri" w:hAnsi="Calibri" w:cs="Times New Roman"/>
          <w:b/>
          <w:sz w:val="36"/>
          <w:szCs w:val="36"/>
        </w:rPr>
        <w:t>Plus</w:t>
      </w:r>
      <w:proofErr w:type="gramEnd"/>
      <w:r w:rsidRPr="00CF1D1E">
        <w:rPr>
          <w:rFonts w:ascii="Calibri" w:eastAsia="Calibri" w:hAnsi="Calibri" w:cs="Times New Roman"/>
          <w:b/>
          <w:sz w:val="36"/>
          <w:szCs w:val="36"/>
        </w:rPr>
        <w:t xml:space="preserve"> Targeted Method (PRM)</w:t>
      </w:r>
    </w:p>
    <w:p w:rsidR="00CF1D1E" w:rsidRPr="00CF1D1E" w:rsidRDefault="00CF1D1E" w:rsidP="00CF1D1E">
      <w:pPr>
        <w:spacing w:line="360" w:lineRule="auto"/>
        <w:jc w:val="both"/>
        <w:rPr>
          <w:rFonts w:ascii="Calibri" w:eastAsia="Calibri" w:hAnsi="Calibri" w:cs="Times New Roman"/>
          <w:b/>
          <w:sz w:val="36"/>
          <w:szCs w:val="36"/>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b/>
          <w:sz w:val="36"/>
          <w:szCs w:val="36"/>
        </w:rPr>
        <w:tab/>
      </w:r>
      <w:r w:rsidRPr="00CF1D1E">
        <w:rPr>
          <w:rFonts w:ascii="Calibri" w:eastAsia="Calibri" w:hAnsi="Calibri" w:cs="Times New Roman"/>
          <w:sz w:val="24"/>
          <w:szCs w:val="24"/>
        </w:rPr>
        <w:t xml:space="preserve">As in the previous chapter, the system used for this external standard targeted analysis was a Vanquish UHPLC linked to a Q Exactive Plus mass spectrometer (Thermo Scientific Ltd, Waltham, Massachusetts). The four analytes initially chosen for this targeted work were also Paeonol, S-Equol, (-)-Epigallocatechin-3-gallate (EGCG) and Rutin. These analytes were </w:t>
      </w:r>
      <w:r w:rsidR="00AB380A">
        <w:rPr>
          <w:rFonts w:ascii="Calibri" w:eastAsia="Calibri" w:hAnsi="Calibri" w:cs="Times New Roman"/>
          <w:sz w:val="24"/>
          <w:szCs w:val="24"/>
        </w:rPr>
        <w:t>detected</w:t>
      </w:r>
      <w:r w:rsidRPr="00CF1D1E">
        <w:rPr>
          <w:rFonts w:ascii="Calibri" w:eastAsia="Calibri" w:hAnsi="Calibri" w:cs="Times New Roman"/>
          <w:sz w:val="24"/>
          <w:szCs w:val="24"/>
        </w:rPr>
        <w:t xml:space="preserve"> in the bark extracts of the previous chapter but three</w:t>
      </w:r>
      <w:r w:rsidR="00AB380A">
        <w:rPr>
          <w:rFonts w:ascii="Calibri" w:eastAsia="Calibri" w:hAnsi="Calibri" w:cs="Times New Roman"/>
          <w:sz w:val="24"/>
          <w:szCs w:val="24"/>
        </w:rPr>
        <w:t xml:space="preserve"> of them</w:t>
      </w:r>
      <w:r w:rsidRPr="00CF1D1E">
        <w:rPr>
          <w:rFonts w:ascii="Calibri" w:eastAsia="Calibri" w:hAnsi="Calibri" w:cs="Times New Roman"/>
          <w:sz w:val="24"/>
          <w:szCs w:val="24"/>
        </w:rPr>
        <w:t xml:space="preserve"> were also significantly observed in the wild plant extracts of this section. Paeonol was excluded</w:t>
      </w:r>
      <w:r w:rsidR="00B23FA7">
        <w:rPr>
          <w:rFonts w:ascii="Calibri" w:eastAsia="Calibri" w:hAnsi="Calibri" w:cs="Times New Roman"/>
          <w:sz w:val="24"/>
          <w:szCs w:val="24"/>
        </w:rPr>
        <w:t xml:space="preserve"> as it</w:t>
      </w:r>
      <w:r w:rsidR="00B23FA7" w:rsidRPr="00CF1D1E">
        <w:rPr>
          <w:rFonts w:ascii="Calibri" w:eastAsia="Calibri" w:hAnsi="Calibri" w:cs="Times New Roman"/>
          <w:sz w:val="24"/>
          <w:szCs w:val="24"/>
        </w:rPr>
        <w:t xml:space="preserve"> was not present</w:t>
      </w:r>
      <w:r w:rsidR="00B23FA7">
        <w:rPr>
          <w:rFonts w:ascii="Calibri" w:eastAsia="Calibri" w:hAnsi="Calibri" w:cs="Times New Roman"/>
          <w:sz w:val="24"/>
          <w:szCs w:val="24"/>
        </w:rPr>
        <w:t xml:space="preserve"> </w:t>
      </w:r>
      <w:r w:rsidR="00B23FA7" w:rsidRPr="00CF1D1E">
        <w:rPr>
          <w:rFonts w:ascii="Calibri" w:eastAsia="Calibri" w:hAnsi="Calibri" w:cs="Times New Roman"/>
          <w:sz w:val="24"/>
          <w:szCs w:val="24"/>
        </w:rPr>
        <w:t>in the discovery data</w:t>
      </w:r>
      <w:r w:rsidR="00B23FA7">
        <w:rPr>
          <w:rFonts w:ascii="Calibri" w:eastAsia="Calibri" w:hAnsi="Calibri" w:cs="Times New Roman"/>
          <w:sz w:val="24"/>
          <w:szCs w:val="24"/>
        </w:rPr>
        <w:t xml:space="preserve"> for these extracts.</w:t>
      </w:r>
      <w:r w:rsidRPr="00CF1D1E">
        <w:rPr>
          <w:rFonts w:ascii="Calibri" w:eastAsia="Calibri" w:hAnsi="Calibri" w:cs="Times New Roman"/>
          <w:sz w:val="24"/>
          <w:szCs w:val="24"/>
        </w:rPr>
        <w:t xml:space="preserve"> Both the Vanquish UHPLC and the Q Exactive </w:t>
      </w:r>
      <w:proofErr w:type="gramStart"/>
      <w:r w:rsidRPr="00CF1D1E">
        <w:rPr>
          <w:rFonts w:ascii="Calibri" w:eastAsia="Calibri" w:hAnsi="Calibri" w:cs="Times New Roman"/>
          <w:sz w:val="24"/>
          <w:szCs w:val="24"/>
        </w:rPr>
        <w:t>Plus</w:t>
      </w:r>
      <w:proofErr w:type="gramEnd"/>
      <w:r w:rsidRPr="00CF1D1E">
        <w:rPr>
          <w:rFonts w:ascii="Calibri" w:eastAsia="Calibri" w:hAnsi="Calibri" w:cs="Times New Roman"/>
          <w:sz w:val="24"/>
          <w:szCs w:val="24"/>
        </w:rPr>
        <w:t xml:space="preserve"> MS method details are the same as described in section 1.24 (Tab. 7 and 8). Prior to any analytical work, a </w:t>
      </w:r>
      <w:r w:rsidR="00B23FA7">
        <w:rPr>
          <w:rFonts w:ascii="Calibri" w:eastAsia="Calibri" w:hAnsi="Calibri" w:cs="Times New Roman"/>
          <w:sz w:val="24"/>
          <w:szCs w:val="24"/>
        </w:rPr>
        <w:t>calibration solution</w:t>
      </w:r>
      <w:r w:rsidRPr="00CF1D1E">
        <w:rPr>
          <w:rFonts w:ascii="Calibri" w:eastAsia="Calibri" w:hAnsi="Calibri" w:cs="Times New Roman"/>
          <w:sz w:val="24"/>
          <w:szCs w:val="24"/>
        </w:rPr>
        <w:t xml:space="preserve"> containing Ultramark 1621, was used to calibrate the mass axis. Unlike the To</w:t>
      </w:r>
      <w:r w:rsidR="00B23FA7">
        <w:rPr>
          <w:rFonts w:ascii="Calibri" w:eastAsia="Calibri" w:hAnsi="Calibri" w:cs="Times New Roman"/>
          <w:sz w:val="24"/>
          <w:szCs w:val="24"/>
        </w:rPr>
        <w:t>F, the Q Exactive Plus has better</w:t>
      </w:r>
      <w:r w:rsidRPr="00CF1D1E">
        <w:rPr>
          <w:rFonts w:ascii="Calibri" w:eastAsia="Calibri" w:hAnsi="Calibri" w:cs="Times New Roman"/>
          <w:sz w:val="24"/>
          <w:szCs w:val="24"/>
        </w:rPr>
        <w:t xml:space="preserve"> exact mass stability and therefore doesn’t require a lock mass for this type of experiment. The value of high quality maintenance cannot be overstated. Cleaning of user</w:t>
      </w:r>
      <w:r w:rsidR="00B23FA7">
        <w:rPr>
          <w:rFonts w:ascii="Calibri" w:eastAsia="Calibri" w:hAnsi="Calibri" w:cs="Times New Roman"/>
          <w:sz w:val="24"/>
          <w:szCs w:val="24"/>
        </w:rPr>
        <w:t xml:space="preserve"> accessible</w:t>
      </w:r>
      <w:r w:rsidRPr="00CF1D1E">
        <w:rPr>
          <w:rFonts w:ascii="Calibri" w:eastAsia="Calibri" w:hAnsi="Calibri" w:cs="Times New Roman"/>
          <w:sz w:val="24"/>
          <w:szCs w:val="24"/>
        </w:rPr>
        <w:t xml:space="preserve"> parts was carried out before and after use</w:t>
      </w:r>
      <w:r w:rsidR="00AC7426">
        <w:rPr>
          <w:rFonts w:ascii="Calibri" w:eastAsia="Calibri" w:hAnsi="Calibri" w:cs="Times New Roman"/>
          <w:sz w:val="24"/>
          <w:szCs w:val="24"/>
        </w:rPr>
        <w:t xml:space="preserve"> via procedures described in the manual</w:t>
      </w:r>
      <w:r w:rsidRPr="00CF1D1E">
        <w:rPr>
          <w:rFonts w:ascii="Calibri" w:eastAsia="Calibri" w:hAnsi="Calibri" w:cs="Times New Roman"/>
          <w:sz w:val="24"/>
          <w:szCs w:val="24"/>
        </w:rPr>
        <w:t>.</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numPr>
          <w:ilvl w:val="1"/>
          <w:numId w:val="4"/>
        </w:numPr>
        <w:spacing w:line="360" w:lineRule="auto"/>
        <w:contextualSpacing/>
        <w:rPr>
          <w:rFonts w:ascii="Calibri" w:eastAsia="Calibri" w:hAnsi="Calibri" w:cs="Times New Roman"/>
          <w:b/>
          <w:sz w:val="44"/>
          <w:szCs w:val="44"/>
        </w:rPr>
      </w:pPr>
      <w:r w:rsidRPr="00CF1D1E">
        <w:rPr>
          <w:rFonts w:ascii="Calibri" w:eastAsia="Calibri" w:hAnsi="Calibri" w:cs="Times New Roman"/>
          <w:b/>
          <w:sz w:val="44"/>
          <w:szCs w:val="44"/>
        </w:rPr>
        <w:lastRenderedPageBreak/>
        <w:t>Results</w:t>
      </w:r>
    </w:p>
    <w:p w:rsidR="00CF1D1E" w:rsidRPr="00CF1D1E" w:rsidRDefault="00CF1D1E" w:rsidP="00CF1D1E">
      <w:pPr>
        <w:spacing w:line="360" w:lineRule="auto"/>
        <w:rPr>
          <w:rFonts w:ascii="Calibri" w:eastAsia="Calibri" w:hAnsi="Calibri" w:cs="Times New Roman"/>
          <w:b/>
          <w:sz w:val="44"/>
          <w:szCs w:val="44"/>
        </w:rPr>
      </w:pPr>
    </w:p>
    <w:p w:rsidR="00CF1D1E" w:rsidRPr="00CF1D1E" w:rsidRDefault="00CF1D1E" w:rsidP="00CF1D1E">
      <w:pPr>
        <w:spacing w:line="360" w:lineRule="auto"/>
        <w:rPr>
          <w:rFonts w:ascii="Calibri" w:eastAsia="Calibri" w:hAnsi="Calibri" w:cs="Times New Roman"/>
          <w:b/>
          <w:sz w:val="44"/>
          <w:szCs w:val="4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In this section</w:t>
      </w:r>
      <w:r w:rsidR="00FE7E16">
        <w:rPr>
          <w:rFonts w:ascii="Calibri" w:eastAsia="Calibri" w:hAnsi="Calibri" w:cs="Times New Roman"/>
          <w:sz w:val="24"/>
          <w:szCs w:val="24"/>
        </w:rPr>
        <w:t>,</w:t>
      </w:r>
      <w:r w:rsidRPr="00CF1D1E">
        <w:rPr>
          <w:rFonts w:ascii="Calibri" w:eastAsia="Calibri" w:hAnsi="Calibri" w:cs="Times New Roman"/>
          <w:sz w:val="24"/>
          <w:szCs w:val="24"/>
        </w:rPr>
        <w:t xml:space="preserve"> the results are displayed in the same order as the previously described methods. Addition data, including abundance values, is available in </w:t>
      </w:r>
      <w:r w:rsidR="00B27D67" w:rsidRPr="00B27D67">
        <w:rPr>
          <w:rFonts w:ascii="Calibri" w:eastAsia="Calibri" w:hAnsi="Calibri" w:cs="Times New Roman"/>
          <w:sz w:val="24"/>
          <w:szCs w:val="24"/>
        </w:rPr>
        <w:t>appendice</w:t>
      </w:r>
      <w:r w:rsidR="00771FA8">
        <w:rPr>
          <w:rFonts w:ascii="Calibri" w:eastAsia="Calibri" w:hAnsi="Calibri" w:cs="Times New Roman"/>
          <w:sz w:val="24"/>
          <w:szCs w:val="24"/>
        </w:rPr>
        <w:t>s for Chapter 2 (A2) on page 261</w:t>
      </w:r>
      <w:r w:rsidRPr="00CF1D1E">
        <w:rPr>
          <w:rFonts w:ascii="Calibri" w:eastAsia="Calibri" w:hAnsi="Calibri" w:cs="Times New Roman"/>
          <w:sz w:val="24"/>
          <w:szCs w:val="24"/>
        </w:rPr>
        <w:t>.</w:t>
      </w:r>
    </w:p>
    <w:p w:rsidR="00CF1D1E" w:rsidRPr="00CF1D1E" w:rsidRDefault="00CF1D1E" w:rsidP="00CF1D1E">
      <w:pPr>
        <w:spacing w:line="360" w:lineRule="auto"/>
        <w:rPr>
          <w:rFonts w:ascii="Calibri" w:eastAsia="Calibri" w:hAnsi="Calibri" w:cs="Times New Roman"/>
          <w:b/>
          <w:sz w:val="44"/>
          <w:szCs w:val="44"/>
        </w:rPr>
      </w:pPr>
    </w:p>
    <w:p w:rsidR="00CF1D1E" w:rsidRPr="00CF1D1E" w:rsidRDefault="00CF1D1E" w:rsidP="00CF1D1E">
      <w:pPr>
        <w:spacing w:line="360" w:lineRule="auto"/>
        <w:rPr>
          <w:rFonts w:ascii="Calibri" w:eastAsia="Calibri" w:hAnsi="Calibri" w:cs="Times New Roman"/>
          <w:b/>
          <w:sz w:val="44"/>
          <w:szCs w:val="44"/>
        </w:rPr>
      </w:pPr>
    </w:p>
    <w:p w:rsidR="00CF1D1E" w:rsidRPr="00CF1D1E" w:rsidRDefault="00CF1D1E" w:rsidP="00CF1D1E">
      <w:pPr>
        <w:spacing w:line="360" w:lineRule="auto"/>
        <w:rPr>
          <w:rFonts w:ascii="Calibri" w:eastAsia="Calibri" w:hAnsi="Calibri" w:cs="Times New Roman"/>
          <w:b/>
          <w:sz w:val="36"/>
          <w:szCs w:val="36"/>
        </w:rPr>
      </w:pPr>
      <w:r w:rsidRPr="00CF1D1E">
        <w:rPr>
          <w:rFonts w:ascii="Calibri" w:eastAsia="Calibri" w:hAnsi="Calibri" w:cs="Times New Roman"/>
          <w:b/>
          <w:sz w:val="36"/>
          <w:szCs w:val="36"/>
        </w:rPr>
        <w:t>2.31 Synapt G2-Si Untargeted Method (HDMS</w:t>
      </w:r>
      <w:r w:rsidRPr="00CF1D1E">
        <w:rPr>
          <w:rFonts w:ascii="Calibri" w:eastAsia="Calibri" w:hAnsi="Calibri" w:cs="Times New Roman"/>
          <w:b/>
          <w:sz w:val="36"/>
          <w:szCs w:val="36"/>
          <w:vertAlign w:val="superscript"/>
        </w:rPr>
        <w:t>e</w:t>
      </w:r>
      <w:r w:rsidRPr="00CF1D1E">
        <w:rPr>
          <w:rFonts w:ascii="Calibri" w:eastAsia="Calibri" w:hAnsi="Calibri" w:cs="Times New Roman"/>
          <w:b/>
          <w:sz w:val="36"/>
          <w:szCs w:val="36"/>
        </w:rPr>
        <w:t xml:space="preserve">)               </w:t>
      </w:r>
    </w:p>
    <w:p w:rsidR="00CF1D1E" w:rsidRPr="00CF1D1E" w:rsidRDefault="00CF1D1E" w:rsidP="00CF1D1E">
      <w:pPr>
        <w:rPr>
          <w:rFonts w:ascii="Calibri" w:eastAsia="Calibri" w:hAnsi="Calibri" w:cs="Times New Roman"/>
          <w:b/>
          <w:sz w:val="36"/>
          <w:szCs w:val="36"/>
        </w:rPr>
      </w:pPr>
      <w:r w:rsidRPr="00CF1D1E">
        <w:rPr>
          <w:rFonts w:ascii="Calibri" w:eastAsia="Calibri" w:hAnsi="Calibri" w:cs="Times New Roman"/>
          <w:b/>
          <w:sz w:val="36"/>
          <w:szCs w:val="36"/>
        </w:rPr>
        <w:br w:type="page"/>
      </w:r>
    </w:p>
    <w:tbl>
      <w:tblPr>
        <w:tblW w:w="9229" w:type="dxa"/>
        <w:tblLook w:val="04A0" w:firstRow="1" w:lastRow="0" w:firstColumn="1" w:lastColumn="0" w:noHBand="0" w:noVBand="1"/>
      </w:tblPr>
      <w:tblGrid>
        <w:gridCol w:w="1560"/>
        <w:gridCol w:w="3969"/>
        <w:gridCol w:w="1701"/>
        <w:gridCol w:w="1286"/>
        <w:gridCol w:w="713"/>
      </w:tblGrid>
      <w:tr w:rsidR="00CF1D1E" w:rsidRPr="00CF1D1E" w:rsidTr="000C1128">
        <w:trPr>
          <w:trHeight w:val="300"/>
        </w:trPr>
        <w:tc>
          <w:tcPr>
            <w:tcW w:w="1560" w:type="dxa"/>
            <w:tcBorders>
              <w:top w:val="nil"/>
              <w:left w:val="nil"/>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Accepted ID</w:t>
            </w:r>
          </w:p>
        </w:tc>
        <w:tc>
          <w:tcPr>
            <w:tcW w:w="3969" w:type="dxa"/>
            <w:tcBorders>
              <w:top w:val="nil"/>
              <w:left w:val="single" w:sz="4" w:space="0" w:color="auto"/>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Description</w:t>
            </w:r>
          </w:p>
        </w:tc>
        <w:tc>
          <w:tcPr>
            <w:tcW w:w="1701" w:type="dxa"/>
            <w:tcBorders>
              <w:top w:val="nil"/>
              <w:left w:val="single" w:sz="4" w:space="0" w:color="auto"/>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Adducts</w:t>
            </w:r>
          </w:p>
        </w:tc>
        <w:tc>
          <w:tcPr>
            <w:tcW w:w="1286" w:type="dxa"/>
            <w:tcBorders>
              <w:top w:val="nil"/>
              <w:left w:val="single" w:sz="4" w:space="0" w:color="auto"/>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Formula</w:t>
            </w:r>
          </w:p>
        </w:tc>
        <w:tc>
          <w:tcPr>
            <w:tcW w:w="713" w:type="dxa"/>
            <w:tcBorders>
              <w:top w:val="nil"/>
              <w:left w:val="single" w:sz="4" w:space="0" w:color="auto"/>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Score</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7A2550" w:rsidP="00CF1D1E">
            <w:pPr>
              <w:spacing w:after="0" w:line="240" w:lineRule="auto"/>
              <w:rPr>
                <w:rFonts w:ascii="Calibri" w:eastAsia="Times New Roman" w:hAnsi="Calibri" w:cs="Times New Roman"/>
                <w:color w:val="000000"/>
                <w:lang w:eastAsia="en-GB"/>
              </w:rPr>
            </w:pPr>
            <w:r>
              <w:t>Equol 4'-O-glucuronide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C21H22O9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57.2</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Matairesinol</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C20H22O6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55.7</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CSID4444362</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Rutin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C27H30O16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54.7</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3-Feruloylquinic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C17H20O9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54.5</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B812E3" w:rsidP="00CF1D1E">
            <w:pPr>
              <w:spacing w:after="0" w:line="240" w:lineRule="auto"/>
              <w:rPr>
                <w:rFonts w:ascii="Calibri" w:eastAsia="Times New Roman" w:hAnsi="Calibri" w:cs="Times New Roman"/>
                <w:color w:val="000000"/>
                <w:lang w:eastAsia="en-GB"/>
              </w:rPr>
            </w:pPr>
            <w:proofErr w:type="spellStart"/>
            <w:r w:rsidRPr="00B812E3">
              <w:rPr>
                <w:rFonts w:ascii="Calibri" w:eastAsia="Times New Roman" w:hAnsi="Calibri" w:cs="Times New Roman"/>
                <w:color w:val="000000"/>
                <w:lang w:eastAsia="en-GB"/>
              </w:rPr>
              <w:t>Irisolidone</w:t>
            </w:r>
            <w:proofErr w:type="spellEnd"/>
            <w:r w:rsidRPr="00B812E3">
              <w:rPr>
                <w:rFonts w:ascii="Calibri" w:eastAsia="Times New Roman" w:hAnsi="Calibri" w:cs="Times New Roman"/>
                <w:color w:val="000000"/>
                <w:lang w:eastAsia="en-GB"/>
              </w:rPr>
              <w:t xml:space="preserve"> 7-O-glucuronide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C23H22O12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53.5</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3-Feruloylquinic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C17H20O9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47.7</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CSID390868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Naringin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C27H32O14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47.6</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DA6B0E" w:rsidP="00CF1D1E">
            <w:pPr>
              <w:spacing w:after="0" w:line="240" w:lineRule="auto"/>
              <w:rPr>
                <w:rFonts w:ascii="Calibri" w:eastAsia="Times New Roman" w:hAnsi="Calibri" w:cs="Times New Roman"/>
                <w:color w:val="000000"/>
                <w:lang w:eastAsia="en-GB"/>
              </w:rPr>
            </w:pPr>
            <w:r w:rsidRPr="00DA6B0E">
              <w:rPr>
                <w:rFonts w:ascii="Calibri" w:eastAsia="Times New Roman" w:hAnsi="Calibri" w:cs="Times New Roman"/>
                <w:color w:val="000000"/>
                <w:lang w:eastAsia="en-GB"/>
              </w:rPr>
              <w:t>Genistein-7-O-glucuronide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C21H18O11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47.5</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Homovanillic</w:t>
            </w:r>
            <w:proofErr w:type="spellEnd"/>
            <w:r w:rsidRPr="00CF1D1E">
              <w:rPr>
                <w:rFonts w:ascii="Calibri" w:eastAsia="Times New Roman" w:hAnsi="Calibri" w:cs="Times New Roman"/>
                <w:color w:val="000000"/>
                <w:lang w:eastAsia="en-GB"/>
              </w:rPr>
              <w:t xml:space="preserve">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C9H10O4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46.9</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Hesperidin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C28H34O15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46.5</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B0582D" w:rsidP="00CF1D1E">
            <w:pPr>
              <w:spacing w:after="0" w:line="240" w:lineRule="auto"/>
              <w:rPr>
                <w:rFonts w:ascii="Calibri" w:eastAsia="Times New Roman" w:hAnsi="Calibri" w:cs="Times New Roman"/>
                <w:color w:val="000000"/>
                <w:lang w:eastAsia="en-GB"/>
              </w:rPr>
            </w:pPr>
            <w:r w:rsidRPr="00B0582D">
              <w:rPr>
                <w:rFonts w:ascii="Calibri" w:eastAsia="Times New Roman" w:hAnsi="Calibri" w:cs="Times New Roman"/>
                <w:color w:val="000000"/>
                <w:lang w:eastAsia="en-GB"/>
              </w:rPr>
              <w:t>3,4-Dicaffeoylquinic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 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44.4</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Chlorogenic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C16H18O9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43.8</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tectoridin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C22H22O11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43.2</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Glycitin</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C22H22O10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43.2</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F46C91" w:rsidP="00CF1D1E">
            <w:pPr>
              <w:spacing w:after="0" w:line="240" w:lineRule="auto"/>
              <w:rPr>
                <w:rFonts w:ascii="Calibri" w:eastAsia="Times New Roman" w:hAnsi="Calibri" w:cs="Times New Roman"/>
                <w:color w:val="000000"/>
                <w:lang w:eastAsia="en-GB"/>
              </w:rPr>
            </w:pPr>
            <w:r w:rsidRPr="00F46C91">
              <w:rPr>
                <w:rFonts w:ascii="Calibri" w:eastAsia="Times New Roman" w:hAnsi="Calibri" w:cs="Times New Roman"/>
                <w:color w:val="000000"/>
                <w:lang w:eastAsia="en-GB"/>
              </w:rPr>
              <w:t>Caffeic acid 3-O-glucuronide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C15H16O10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42.9</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3,5-O-dicaffeoylquinic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40.9</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Daidzin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40.6</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3,5-O-dicaffeoylquinic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40.5</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73298A" w:rsidP="0073298A">
            <w:pPr>
              <w:spacing w:after="0" w:line="240" w:lineRule="auto"/>
              <w:rPr>
                <w:rFonts w:ascii="Calibri" w:eastAsia="Times New Roman" w:hAnsi="Calibri" w:cs="Times New Roman"/>
                <w:color w:val="000000"/>
                <w:lang w:eastAsia="en-GB"/>
              </w:rPr>
            </w:pPr>
            <w:proofErr w:type="spellStart"/>
            <w:r w:rsidRPr="0073298A">
              <w:rPr>
                <w:rFonts w:ascii="Calibri" w:eastAsia="Times New Roman" w:hAnsi="Calibri" w:cs="Times New Roman"/>
                <w:color w:val="000000"/>
                <w:lang w:eastAsia="en-GB"/>
              </w:rPr>
              <w:t>Urolithin</w:t>
            </w:r>
            <w:proofErr w:type="spellEnd"/>
            <w:r w:rsidRPr="0073298A">
              <w:rPr>
                <w:rFonts w:ascii="Calibri" w:eastAsia="Times New Roman" w:hAnsi="Calibri" w:cs="Times New Roman"/>
                <w:color w:val="000000"/>
                <w:lang w:eastAsia="en-GB"/>
              </w:rPr>
              <w:t xml:space="preserve"> B 3-O-glucuronide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C19H16O9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40.3</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393B56" w:rsidP="00CF1D1E">
            <w:pPr>
              <w:spacing w:after="0" w:line="240" w:lineRule="auto"/>
              <w:rPr>
                <w:rFonts w:ascii="Calibri" w:eastAsia="Times New Roman" w:hAnsi="Calibri" w:cs="Times New Roman"/>
                <w:color w:val="000000"/>
                <w:lang w:eastAsia="en-GB"/>
              </w:rPr>
            </w:pPr>
            <w:r w:rsidRPr="00393B56">
              <w:rPr>
                <w:rFonts w:ascii="Calibri" w:eastAsia="Times New Roman" w:hAnsi="Calibri" w:cs="Times New Roman"/>
                <w:color w:val="000000"/>
                <w:lang w:eastAsia="en-GB"/>
              </w:rPr>
              <w:t>5,7-Dihydroxy-8,4'-dimethoxyisoflavone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C17H14O7</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40.2</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Naringenin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39.8</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CSID13701</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B0582D" w:rsidP="00CF1D1E">
            <w:pPr>
              <w:spacing w:after="0" w:line="240" w:lineRule="auto"/>
              <w:rPr>
                <w:rFonts w:ascii="Calibri" w:eastAsia="Times New Roman" w:hAnsi="Calibri" w:cs="Times New Roman"/>
                <w:color w:val="000000"/>
                <w:lang w:eastAsia="en-GB"/>
              </w:rPr>
            </w:pPr>
            <w:proofErr w:type="spellStart"/>
            <w:r w:rsidRPr="00B0582D">
              <w:rPr>
                <w:rFonts w:ascii="Calibri" w:eastAsia="Times New Roman" w:hAnsi="Calibri" w:cs="Times New Roman"/>
                <w:color w:val="000000"/>
                <w:lang w:eastAsia="en-GB"/>
              </w:rPr>
              <w:t>Hydroferulic</w:t>
            </w:r>
            <w:proofErr w:type="spellEnd"/>
            <w:r w:rsidRPr="00B0582D">
              <w:rPr>
                <w:rFonts w:ascii="Calibri" w:eastAsia="Times New Roman" w:hAnsi="Calibri" w:cs="Times New Roman"/>
                <w:color w:val="000000"/>
                <w:lang w:eastAsia="en-GB"/>
              </w:rPr>
              <w:t xml:space="preserve">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C10H12O4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39.7</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F46C91" w:rsidP="00CF1D1E">
            <w:pPr>
              <w:spacing w:after="0" w:line="240" w:lineRule="auto"/>
              <w:rPr>
                <w:rFonts w:ascii="Calibri" w:eastAsia="Times New Roman" w:hAnsi="Calibri" w:cs="Times New Roman"/>
                <w:color w:val="000000"/>
                <w:lang w:eastAsia="en-GB"/>
              </w:rPr>
            </w:pPr>
            <w:r w:rsidRPr="00F46C91">
              <w:rPr>
                <w:rFonts w:ascii="Calibri" w:eastAsia="Times New Roman" w:hAnsi="Calibri" w:cs="Times New Roman"/>
                <w:color w:val="000000"/>
                <w:lang w:eastAsia="en-GB"/>
              </w:rPr>
              <w:t>Caffeic acid 3-O-glucuronide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C15H16O10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39.4</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E3226E" w:rsidP="00CF1D1E">
            <w:pPr>
              <w:spacing w:after="0" w:line="240" w:lineRule="auto"/>
              <w:rPr>
                <w:rFonts w:ascii="Calibri" w:eastAsia="Times New Roman" w:hAnsi="Calibri" w:cs="Times New Roman"/>
                <w:color w:val="000000"/>
                <w:lang w:eastAsia="en-GB"/>
              </w:rPr>
            </w:pPr>
            <w:proofErr w:type="spellStart"/>
            <w:r w:rsidRPr="00E3226E">
              <w:rPr>
                <w:rFonts w:ascii="Calibri" w:eastAsia="Times New Roman" w:hAnsi="Calibri" w:cs="Times New Roman"/>
                <w:color w:val="000000"/>
                <w:lang w:eastAsia="en-GB"/>
              </w:rPr>
              <w:t>Dihydrocaffeic</w:t>
            </w:r>
            <w:proofErr w:type="spellEnd"/>
            <w:r w:rsidRPr="00E3226E">
              <w:rPr>
                <w:rFonts w:ascii="Calibri" w:eastAsia="Times New Roman" w:hAnsi="Calibri" w:cs="Times New Roman"/>
                <w:color w:val="000000"/>
                <w:lang w:eastAsia="en-GB"/>
              </w:rPr>
              <w:t xml:space="preserve"> acid 3-O-glucuronide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C15H18O10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39.2</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F46C91" w:rsidP="00CF1D1E">
            <w:pPr>
              <w:spacing w:after="0" w:line="240" w:lineRule="auto"/>
              <w:rPr>
                <w:rFonts w:ascii="Calibri" w:eastAsia="Times New Roman" w:hAnsi="Calibri" w:cs="Times New Roman"/>
                <w:color w:val="000000"/>
                <w:lang w:eastAsia="en-GB"/>
              </w:rPr>
            </w:pPr>
            <w:r w:rsidRPr="00F46C91">
              <w:rPr>
                <w:rFonts w:ascii="Calibri" w:eastAsia="Times New Roman" w:hAnsi="Calibri" w:cs="Times New Roman"/>
                <w:color w:val="000000"/>
                <w:lang w:eastAsia="en-GB"/>
              </w:rPr>
              <w:t>Caffeic acid 3-O-glucuronide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C15H16O10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39.1</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CSID553829</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Isoliquiritigenin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39.1</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Benzoic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C7H6O2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39.0</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7A2550" w:rsidP="00CF1D1E">
            <w:pPr>
              <w:spacing w:after="0" w:line="240" w:lineRule="auto"/>
              <w:rPr>
                <w:rFonts w:ascii="Calibri" w:eastAsia="Times New Roman" w:hAnsi="Calibri" w:cs="Times New Roman"/>
                <w:color w:val="000000"/>
                <w:lang w:eastAsia="en-GB"/>
              </w:rPr>
            </w:pPr>
            <w:r>
              <w:t>Equol 4'-O-glucuronide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C21H22O9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38.9</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tectoridin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C22H22O11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38.9</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CSID25941971</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Urolithin</w:t>
            </w:r>
            <w:proofErr w:type="spellEnd"/>
            <w:r w:rsidRPr="00CF1D1E">
              <w:rPr>
                <w:rFonts w:ascii="Calibri" w:eastAsia="Times New Roman" w:hAnsi="Calibri" w:cs="Times New Roman"/>
                <w:color w:val="000000"/>
                <w:lang w:eastAsia="en-GB"/>
              </w:rPr>
              <w:t xml:space="preserve"> C</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3820BD" w:rsidP="00CF1D1E">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M-H,2M-</w:t>
            </w:r>
            <w:r w:rsidR="00CF1D1E" w:rsidRPr="00CF1D1E">
              <w:rPr>
                <w:rFonts w:ascii="Calibri" w:eastAsia="Times New Roman" w:hAnsi="Calibri" w:cs="Times New Roman"/>
                <w:color w:val="000000"/>
                <w:lang w:eastAsia="en-GB"/>
              </w:rPr>
              <w:t>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C13H8O5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38.8</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Benzoic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C7H6O2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38.8</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556F9" w:rsidP="00CF1D1E">
            <w:pPr>
              <w:spacing w:after="0" w:line="240" w:lineRule="auto"/>
              <w:rPr>
                <w:rFonts w:ascii="Calibri" w:eastAsia="Times New Roman" w:hAnsi="Calibri" w:cs="Times New Roman"/>
                <w:color w:val="000000"/>
                <w:lang w:eastAsia="en-GB"/>
              </w:rPr>
            </w:pPr>
            <w:proofErr w:type="spellStart"/>
            <w:r w:rsidRPr="00C556F9">
              <w:rPr>
                <w:rFonts w:ascii="Calibri" w:eastAsia="Times New Roman" w:hAnsi="Calibri" w:cs="Times New Roman"/>
                <w:color w:val="000000"/>
                <w:lang w:eastAsia="en-GB"/>
              </w:rPr>
              <w:t>Dihydrocaffeic</w:t>
            </w:r>
            <w:proofErr w:type="spellEnd"/>
            <w:r w:rsidRPr="00C556F9">
              <w:rPr>
                <w:rFonts w:ascii="Calibri" w:eastAsia="Times New Roman" w:hAnsi="Calibri" w:cs="Times New Roman"/>
                <w:color w:val="000000"/>
                <w:lang w:eastAsia="en-GB"/>
              </w:rPr>
              <w:t xml:space="preserve"> acid 3-O-glucuronide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C15H18O10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Naringenin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Tectorigenin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C16H12O6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Ferulic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C10H10O4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E3226E">
              <w:rPr>
                <w:rFonts w:ascii="Calibri" w:eastAsia="Times New Roman" w:hAnsi="Calibri" w:cs="Times New Roman"/>
                <w:color w:val="000000"/>
                <w:lang w:eastAsia="en-GB"/>
              </w:rPr>
              <w:t>Dihydroferulic</w:t>
            </w:r>
            <w:proofErr w:type="spellEnd"/>
            <w:r w:rsidRPr="00E3226E">
              <w:rPr>
                <w:rFonts w:ascii="Calibri" w:eastAsia="Times New Roman" w:hAnsi="Calibri" w:cs="Times New Roman"/>
                <w:color w:val="000000"/>
                <w:lang w:eastAsia="en-GB"/>
              </w:rPr>
              <w:t xml:space="preserve"> acid 4-glucuronide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C16H20O10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Genistein</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C15H10O5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B812E3">
              <w:rPr>
                <w:rFonts w:ascii="Calibri" w:eastAsia="Times New Roman" w:hAnsi="Calibri" w:cs="Times New Roman"/>
                <w:color w:val="000000"/>
                <w:lang w:eastAsia="en-GB"/>
              </w:rPr>
              <w:t>Irisolidone</w:t>
            </w:r>
            <w:proofErr w:type="spellEnd"/>
            <w:r w:rsidRPr="00B812E3">
              <w:rPr>
                <w:rFonts w:ascii="Calibri" w:eastAsia="Times New Roman" w:hAnsi="Calibri" w:cs="Times New Roman"/>
                <w:color w:val="000000"/>
                <w:lang w:eastAsia="en-GB"/>
              </w:rPr>
              <w:t xml:space="preserve"> 7-O-glucuronide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C23H22O12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38.6</w:t>
            </w:r>
          </w:p>
        </w:tc>
      </w:tr>
    </w:tbl>
    <w:p w:rsidR="00CF1D1E" w:rsidRPr="00CF1D1E" w:rsidRDefault="00CF1D1E" w:rsidP="00CF1D1E">
      <w:pPr>
        <w:rPr>
          <w:rFonts w:ascii="Calibri" w:eastAsia="Calibri" w:hAnsi="Calibri" w:cs="Times New Roman"/>
        </w:rPr>
      </w:pPr>
      <w:r w:rsidRPr="00CF1D1E">
        <w:rPr>
          <w:rFonts w:ascii="Calibri" w:eastAsia="Calibri" w:hAnsi="Calibri" w:cs="Times New Roman"/>
        </w:rPr>
        <w:br w:type="page"/>
      </w:r>
    </w:p>
    <w:tbl>
      <w:tblPr>
        <w:tblW w:w="9229" w:type="dxa"/>
        <w:tblLook w:val="04A0" w:firstRow="1" w:lastRow="0" w:firstColumn="1" w:lastColumn="0" w:noHBand="0" w:noVBand="1"/>
      </w:tblPr>
      <w:tblGrid>
        <w:gridCol w:w="1560"/>
        <w:gridCol w:w="3969"/>
        <w:gridCol w:w="1701"/>
        <w:gridCol w:w="1286"/>
        <w:gridCol w:w="713"/>
      </w:tblGrid>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Accepted ID</w:t>
            </w:r>
          </w:p>
        </w:tc>
        <w:tc>
          <w:tcPr>
            <w:tcW w:w="3969" w:type="dxa"/>
            <w:tcBorders>
              <w:top w:val="single" w:sz="4" w:space="0" w:color="auto"/>
              <w:left w:val="single" w:sz="4" w:space="0" w:color="auto"/>
              <w:bottom w:val="single" w:sz="4" w:space="0" w:color="auto"/>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Description</w:t>
            </w:r>
          </w:p>
        </w:tc>
        <w:tc>
          <w:tcPr>
            <w:tcW w:w="1701" w:type="dxa"/>
            <w:tcBorders>
              <w:top w:val="single" w:sz="4" w:space="0" w:color="auto"/>
              <w:left w:val="single" w:sz="4" w:space="0" w:color="auto"/>
              <w:bottom w:val="single" w:sz="4" w:space="0" w:color="auto"/>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Adducts</w:t>
            </w:r>
          </w:p>
        </w:tc>
        <w:tc>
          <w:tcPr>
            <w:tcW w:w="1286" w:type="dxa"/>
            <w:tcBorders>
              <w:top w:val="single" w:sz="4" w:space="0" w:color="auto"/>
              <w:left w:val="single" w:sz="4" w:space="0" w:color="auto"/>
              <w:bottom w:val="single" w:sz="4" w:space="0" w:color="auto"/>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Formula</w:t>
            </w:r>
          </w:p>
        </w:tc>
        <w:tc>
          <w:tcPr>
            <w:tcW w:w="713" w:type="dxa"/>
            <w:tcBorders>
              <w:top w:val="single" w:sz="4" w:space="0" w:color="auto"/>
              <w:left w:val="single" w:sz="4" w:space="0" w:color="auto"/>
              <w:bottom w:val="single" w:sz="4" w:space="0" w:color="auto"/>
              <w:right w:val="nil"/>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Score</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CSID34552925</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(2Z)-3-[2-(</w:t>
            </w:r>
            <w:proofErr w:type="spellStart"/>
            <w:r w:rsidRPr="00CF1D1E">
              <w:rPr>
                <w:rFonts w:ascii="Calibri" w:eastAsia="Times New Roman" w:hAnsi="Calibri" w:cs="Times New Roman"/>
                <w:color w:val="000000"/>
                <w:lang w:eastAsia="en-GB"/>
              </w:rPr>
              <w:t>Carboxymethyl</w:t>
            </w:r>
            <w:proofErr w:type="spellEnd"/>
            <w:r w:rsidRPr="00CF1D1E">
              <w:rPr>
                <w:rFonts w:ascii="Calibri" w:eastAsia="Times New Roman" w:hAnsi="Calibri" w:cs="Times New Roman"/>
                <w:color w:val="000000"/>
                <w:lang w:eastAsia="en-GB"/>
              </w:rPr>
              <w:t>)-3,4-dihydroxyphenyl]acrylic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C11H10O6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38.6</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CSID58575</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E3226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t>
            </w:r>
            <w:r w:rsidR="00E3226E">
              <w:rPr>
                <w:rFonts w:ascii="Calibri" w:eastAsia="Times New Roman" w:hAnsi="Calibri" w:cs="Times New Roman"/>
                <w:color w:val="000000"/>
                <w:lang w:eastAsia="en-GB"/>
              </w:rPr>
              <w:t>-</w:t>
            </w:r>
            <w:r w:rsidRPr="00CF1D1E">
              <w:rPr>
                <w:rFonts w:ascii="Calibri" w:eastAsia="Times New Roman" w:hAnsi="Calibri" w:cs="Times New Roman"/>
                <w:color w:val="000000"/>
                <w:lang w:eastAsia="en-GB"/>
              </w:rPr>
              <w:t>)-Epigallocatechin gallate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C22H18O11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38.5</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(E)-p-</w:t>
            </w:r>
            <w:proofErr w:type="spellStart"/>
            <w:r w:rsidRPr="00CF1D1E">
              <w:rPr>
                <w:rFonts w:ascii="Calibri" w:eastAsia="Times New Roman" w:hAnsi="Calibri" w:cs="Times New Roman"/>
                <w:color w:val="000000"/>
                <w:lang w:eastAsia="en-GB"/>
              </w:rPr>
              <w:t>coumaric</w:t>
            </w:r>
            <w:proofErr w:type="spellEnd"/>
            <w:r w:rsidRPr="00CF1D1E">
              <w:rPr>
                <w:rFonts w:ascii="Calibri" w:eastAsia="Times New Roman" w:hAnsi="Calibri" w:cs="Times New Roman"/>
                <w:color w:val="000000"/>
                <w:lang w:eastAsia="en-GB"/>
              </w:rPr>
              <w:t xml:space="preserve">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C9H8O3</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38.5</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3-Feruloylquinic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C17H20O9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38.5</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DB58C1" w:rsidP="00CF1D1E">
            <w:pPr>
              <w:spacing w:after="0" w:line="240" w:lineRule="auto"/>
              <w:rPr>
                <w:rFonts w:ascii="Calibri" w:eastAsia="Times New Roman" w:hAnsi="Calibri" w:cs="Times New Roman"/>
                <w:color w:val="000000"/>
                <w:lang w:eastAsia="en-GB"/>
              </w:rPr>
            </w:pPr>
            <w:r w:rsidRPr="00DB58C1">
              <w:rPr>
                <w:rFonts w:ascii="Calibri" w:eastAsia="Times New Roman" w:hAnsi="Calibri" w:cs="Times New Roman"/>
                <w:color w:val="000000"/>
                <w:lang w:eastAsia="en-GB"/>
              </w:rPr>
              <w:t>3'-Methylcatechin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C16H16O6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38.5</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CSID13860434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Vanillin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C8H8O3</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38.4</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Ferulic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C10H10O4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38.4</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6B1E13" w:rsidP="00CF1D1E">
            <w:pPr>
              <w:spacing w:after="0" w:line="240" w:lineRule="auto"/>
              <w:rPr>
                <w:rFonts w:ascii="Calibri" w:eastAsia="Times New Roman" w:hAnsi="Calibri" w:cs="Times New Roman"/>
                <w:color w:val="000000"/>
                <w:lang w:eastAsia="en-GB"/>
              </w:rPr>
            </w:pPr>
            <w:proofErr w:type="spellStart"/>
            <w:r w:rsidRPr="006B1E13">
              <w:rPr>
                <w:rFonts w:ascii="Calibri" w:eastAsia="Times New Roman" w:hAnsi="Calibri" w:cs="Times New Roman"/>
                <w:color w:val="000000"/>
                <w:lang w:eastAsia="en-GB"/>
              </w:rPr>
              <w:t>Dihydroformononetin</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C16H14O4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38.4</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DB58C1" w:rsidP="00CF1D1E">
            <w:pPr>
              <w:spacing w:after="0" w:line="240" w:lineRule="auto"/>
              <w:rPr>
                <w:rFonts w:ascii="Calibri" w:eastAsia="Times New Roman" w:hAnsi="Calibri" w:cs="Times New Roman"/>
                <w:color w:val="000000"/>
                <w:lang w:eastAsia="en-GB"/>
              </w:rPr>
            </w:pPr>
            <w:r w:rsidRPr="00DB58C1">
              <w:rPr>
                <w:rFonts w:ascii="Calibri" w:eastAsia="Times New Roman" w:hAnsi="Calibri" w:cs="Times New Roman"/>
                <w:color w:val="000000"/>
                <w:lang w:eastAsia="en-GB"/>
              </w:rPr>
              <w:t>3'-Methylcatechin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C16H16O6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38.4</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586C19" w:rsidP="00CF1D1E">
            <w:pPr>
              <w:spacing w:after="0" w:line="240" w:lineRule="auto"/>
              <w:rPr>
                <w:rFonts w:ascii="Calibri" w:eastAsia="Times New Roman" w:hAnsi="Calibri" w:cs="Times New Roman"/>
                <w:color w:val="000000"/>
                <w:lang w:eastAsia="en-GB"/>
              </w:rPr>
            </w:pPr>
            <w:r w:rsidRPr="00586C19">
              <w:rPr>
                <w:rFonts w:ascii="Calibri" w:eastAsia="Times New Roman" w:hAnsi="Calibri" w:cs="Times New Roman"/>
                <w:color w:val="000000"/>
                <w:lang w:eastAsia="en-GB"/>
              </w:rPr>
              <w:t>Equol 4'-O-glucuronide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C21H22O9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38.4</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BB589E" w:rsidP="00CF1D1E">
            <w:pPr>
              <w:spacing w:after="0" w:line="240" w:lineRule="auto"/>
              <w:rPr>
                <w:rFonts w:ascii="Calibri" w:eastAsia="Times New Roman" w:hAnsi="Calibri" w:cs="Times New Roman"/>
                <w:color w:val="000000"/>
                <w:lang w:eastAsia="en-GB"/>
              </w:rPr>
            </w:pPr>
            <w:proofErr w:type="spellStart"/>
            <w:r w:rsidRPr="00BB589E">
              <w:rPr>
                <w:rFonts w:ascii="Calibri" w:eastAsia="Times New Roman" w:hAnsi="Calibri" w:cs="Times New Roman"/>
                <w:color w:val="000000"/>
                <w:lang w:eastAsia="en-GB"/>
              </w:rPr>
              <w:t>Dihydrodaidzein</w:t>
            </w:r>
            <w:proofErr w:type="spellEnd"/>
            <w:r w:rsidRPr="00BB589E">
              <w:rPr>
                <w:rFonts w:ascii="Calibri" w:eastAsia="Times New Roman" w:hAnsi="Calibri" w:cs="Times New Roman"/>
                <w:color w:val="000000"/>
                <w:lang w:eastAsia="en-GB"/>
              </w:rPr>
              <w:t xml:space="preserve"> 7-glucuronide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38.4</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CSID4445092</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Irilone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C16H10O6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38.3</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Chlorogenic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C16H18O9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38.3</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Daidzin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38.3</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B0582D" w:rsidP="00CF1D1E">
            <w:pPr>
              <w:spacing w:after="0" w:line="240" w:lineRule="auto"/>
              <w:rPr>
                <w:rFonts w:ascii="Calibri" w:eastAsia="Times New Roman" w:hAnsi="Calibri" w:cs="Times New Roman"/>
                <w:color w:val="000000"/>
                <w:lang w:eastAsia="en-GB"/>
              </w:rPr>
            </w:pPr>
            <w:proofErr w:type="spellStart"/>
            <w:r w:rsidRPr="00B0582D">
              <w:rPr>
                <w:rFonts w:ascii="Calibri" w:eastAsia="Times New Roman" w:hAnsi="Calibri" w:cs="Times New Roman"/>
                <w:color w:val="000000"/>
                <w:lang w:eastAsia="en-GB"/>
              </w:rPr>
              <w:t>isorhamnetin</w:t>
            </w:r>
            <w:proofErr w:type="spellEnd"/>
            <w:r w:rsidRPr="00B0582D">
              <w:rPr>
                <w:rFonts w:ascii="Calibri" w:eastAsia="Times New Roman" w:hAnsi="Calibri" w:cs="Times New Roman"/>
                <w:color w:val="000000"/>
                <w:lang w:eastAsia="en-GB"/>
              </w:rPr>
              <w:t xml:space="preserve"> 3-glucoside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C22H22O12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38.3</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trans-</w:t>
            </w:r>
            <w:proofErr w:type="spellStart"/>
            <w:r w:rsidRPr="00CF1D1E">
              <w:rPr>
                <w:rFonts w:ascii="Calibri" w:eastAsia="Times New Roman" w:hAnsi="Calibri" w:cs="Times New Roman"/>
                <w:color w:val="000000"/>
                <w:lang w:eastAsia="en-GB"/>
              </w:rPr>
              <w:t>caffeic</w:t>
            </w:r>
            <w:proofErr w:type="spellEnd"/>
            <w:r w:rsidRPr="00CF1D1E">
              <w:rPr>
                <w:rFonts w:ascii="Calibri" w:eastAsia="Times New Roman" w:hAnsi="Calibri" w:cs="Times New Roman"/>
                <w:color w:val="000000"/>
                <w:lang w:eastAsia="en-GB"/>
              </w:rPr>
              <w:t xml:space="preserve">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38.3</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CSID12693</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Ethyl gallate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C9H10O5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38.3</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73298A" w:rsidP="00CF1D1E">
            <w:pPr>
              <w:spacing w:after="0" w:line="240" w:lineRule="auto"/>
              <w:rPr>
                <w:rFonts w:ascii="Calibri" w:eastAsia="Times New Roman" w:hAnsi="Calibri" w:cs="Times New Roman"/>
                <w:color w:val="000000"/>
                <w:lang w:eastAsia="en-GB"/>
              </w:rPr>
            </w:pPr>
            <w:proofErr w:type="spellStart"/>
            <w:r w:rsidRPr="0073298A">
              <w:rPr>
                <w:rFonts w:ascii="Calibri" w:eastAsia="Times New Roman" w:hAnsi="Calibri" w:cs="Times New Roman"/>
                <w:color w:val="000000"/>
                <w:lang w:eastAsia="en-GB"/>
              </w:rPr>
              <w:t>Urolithin</w:t>
            </w:r>
            <w:proofErr w:type="spellEnd"/>
            <w:r w:rsidRPr="0073298A">
              <w:rPr>
                <w:rFonts w:ascii="Calibri" w:eastAsia="Times New Roman" w:hAnsi="Calibri" w:cs="Times New Roman"/>
                <w:color w:val="000000"/>
                <w:lang w:eastAsia="en-GB"/>
              </w:rPr>
              <w:t xml:space="preserve"> B 3-O-glucuronide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C19H16O9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38.3</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Tyrosol</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C8H10O2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38.2</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(E)-p-</w:t>
            </w:r>
            <w:proofErr w:type="spellStart"/>
            <w:r w:rsidRPr="00CF1D1E">
              <w:rPr>
                <w:rFonts w:ascii="Calibri" w:eastAsia="Times New Roman" w:hAnsi="Calibri" w:cs="Times New Roman"/>
                <w:color w:val="000000"/>
                <w:lang w:eastAsia="en-GB"/>
              </w:rPr>
              <w:t>coumaric</w:t>
            </w:r>
            <w:proofErr w:type="spellEnd"/>
            <w:r w:rsidRPr="00CF1D1E">
              <w:rPr>
                <w:rFonts w:ascii="Calibri" w:eastAsia="Times New Roman" w:hAnsi="Calibri" w:cs="Times New Roman"/>
                <w:color w:val="000000"/>
                <w:lang w:eastAsia="en-GB"/>
              </w:rPr>
              <w:t xml:space="preserve">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C9H8O3</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38.2</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Chlorogenic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C16H18O9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38.2</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B0582D" w:rsidP="00CF1D1E">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 xml:space="preserve">4',4"-Dimethylepigallocatechin </w:t>
            </w:r>
            <w:r w:rsidRPr="00B0582D">
              <w:rPr>
                <w:rFonts w:ascii="Calibri" w:eastAsia="Times New Roman" w:hAnsi="Calibri" w:cs="Times New Roman"/>
                <w:color w:val="000000"/>
                <w:lang w:eastAsia="en-GB"/>
              </w:rPr>
              <w:t>gallate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C24H22O11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38.2</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tectoridin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C22H22O11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38.1</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CSID82594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(-)-(S)-Equol</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C15H14O3</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38.1</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2550" w:rsidRPr="007A2550" w:rsidRDefault="007A2550" w:rsidP="00CF1D1E">
            <w:pPr>
              <w:spacing w:after="0" w:line="240" w:lineRule="auto"/>
            </w:pPr>
            <w:r>
              <w:t>Equol 4'-O-glucuronide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C21H22O9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38.1</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F46C91" w:rsidP="00CF1D1E">
            <w:pPr>
              <w:spacing w:after="0" w:line="240" w:lineRule="auto"/>
              <w:rPr>
                <w:rFonts w:ascii="Calibri" w:eastAsia="Times New Roman" w:hAnsi="Calibri" w:cs="Times New Roman"/>
                <w:color w:val="000000"/>
                <w:lang w:eastAsia="en-GB"/>
              </w:rPr>
            </w:pPr>
            <w:r w:rsidRPr="00F46C91">
              <w:rPr>
                <w:rFonts w:ascii="Calibri" w:eastAsia="Times New Roman" w:hAnsi="Calibri" w:cs="Times New Roman"/>
                <w:color w:val="000000"/>
                <w:lang w:eastAsia="en-GB"/>
              </w:rPr>
              <w:t>Caffeic acid 3-O-glucuronide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C15H16O10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38.0</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620251" w:rsidP="00CF1D1E">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 xml:space="preserve">Daidzin </w:t>
            </w:r>
            <w:r w:rsidR="006B1E13">
              <w:rPr>
                <w:rFonts w:ascii="Calibri" w:eastAsia="Times New Roman" w:hAnsi="Calibri" w:cs="Times New Roman"/>
                <w:color w:val="000000"/>
                <w:lang w:eastAsia="en-GB"/>
              </w:rPr>
              <w:t>m</w:t>
            </w:r>
            <w:r w:rsidRPr="00620251">
              <w:rPr>
                <w:rFonts w:ascii="Calibri" w:eastAsia="Times New Roman" w:hAnsi="Calibri" w:cs="Times New Roman"/>
                <w:color w:val="000000"/>
                <w:lang w:eastAsia="en-GB"/>
              </w:rPr>
              <w:t>alonate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C24H22O12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38.0</w:t>
            </w:r>
          </w:p>
        </w:tc>
      </w:tr>
      <w:tr w:rsidR="00CF1D1E" w:rsidRPr="00CF1D1E" w:rsidTr="000C1128">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CSID4445117</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Pseudobaptigenin</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C16H10O5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38.0</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Pr>
                <w:rFonts w:ascii="Calibri" w:eastAsia="Times New Roman" w:hAnsi="Calibri" w:cs="Times New Roman"/>
                <w:color w:val="000000"/>
                <w:lang w:eastAsia="en-GB"/>
              </w:rPr>
              <w:t>I</w:t>
            </w:r>
            <w:r w:rsidRPr="008A652C">
              <w:rPr>
                <w:rFonts w:ascii="Calibri" w:eastAsia="Times New Roman" w:hAnsi="Calibri" w:cs="Times New Roman"/>
                <w:color w:val="000000"/>
                <w:lang w:eastAsia="en-GB"/>
              </w:rPr>
              <w:t>risolidone</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C17H14O6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38.0</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CSID57579554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795E88">
              <w:rPr>
                <w:rFonts w:ascii="Calibri" w:eastAsia="Times New Roman" w:hAnsi="Calibri" w:cs="Times New Roman"/>
                <w:color w:val="000000"/>
                <w:lang w:eastAsia="en-GB"/>
              </w:rPr>
              <w:t>Episesaminol</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C20H18O7</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38.0</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Naringenin 7-O-beta-D-glucuronide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38.0</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CSID10392638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795E88">
              <w:rPr>
                <w:rFonts w:ascii="Calibri" w:eastAsia="Times New Roman" w:hAnsi="Calibri" w:cs="Times New Roman"/>
                <w:color w:val="000000"/>
                <w:lang w:eastAsia="en-GB"/>
              </w:rPr>
              <w:t>4-Feruloylquinic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C17H20O9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37.9</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521121">
              <w:rPr>
                <w:rFonts w:ascii="Calibri" w:eastAsia="Times New Roman" w:hAnsi="Calibri" w:cs="Times New Roman"/>
                <w:color w:val="000000"/>
                <w:lang w:eastAsia="en-GB"/>
              </w:rPr>
              <w:t>Dihydrodaidzein</w:t>
            </w:r>
            <w:proofErr w:type="spellEnd"/>
            <w:r w:rsidRPr="00521121">
              <w:rPr>
                <w:rFonts w:ascii="Calibri" w:eastAsia="Times New Roman" w:hAnsi="Calibri" w:cs="Times New Roman"/>
                <w:color w:val="000000"/>
                <w:lang w:eastAsia="en-GB"/>
              </w:rPr>
              <w:t xml:space="preserve"> 7-glucuronide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37.9</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E3226E">
              <w:rPr>
                <w:rFonts w:ascii="Calibri" w:eastAsia="Times New Roman" w:hAnsi="Calibri" w:cs="Times New Roman"/>
                <w:color w:val="000000"/>
                <w:lang w:eastAsia="en-GB"/>
              </w:rPr>
              <w:t>Dihydroferulic</w:t>
            </w:r>
            <w:proofErr w:type="spellEnd"/>
            <w:r w:rsidRPr="00E3226E">
              <w:rPr>
                <w:rFonts w:ascii="Calibri" w:eastAsia="Times New Roman" w:hAnsi="Calibri" w:cs="Times New Roman"/>
                <w:color w:val="000000"/>
                <w:lang w:eastAsia="en-GB"/>
              </w:rPr>
              <w:t xml:space="preserve"> acid 4-glucuronide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C16H20O10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37.8</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6B4E16">
              <w:rPr>
                <w:rFonts w:ascii="Calibri" w:eastAsia="Times New Roman" w:hAnsi="Calibri" w:cs="Times New Roman"/>
                <w:color w:val="000000"/>
                <w:lang w:eastAsia="en-GB"/>
              </w:rPr>
              <w:t>Violanone</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C17H16O6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37.8</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CSID8065632</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521121">
              <w:rPr>
                <w:rFonts w:ascii="Calibri" w:eastAsia="Times New Roman" w:hAnsi="Calibri" w:cs="Times New Roman"/>
                <w:color w:val="000000"/>
                <w:lang w:eastAsia="en-GB"/>
              </w:rPr>
              <w:t>Phloretin</w:t>
            </w:r>
            <w:proofErr w:type="spellEnd"/>
            <w:r w:rsidRPr="00521121">
              <w:rPr>
                <w:rFonts w:ascii="Calibri" w:eastAsia="Times New Roman" w:hAnsi="Calibri" w:cs="Times New Roman"/>
                <w:color w:val="000000"/>
                <w:lang w:eastAsia="en-GB"/>
              </w:rPr>
              <w:t xml:space="preserve"> 2'-O-glucuronide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C21H22O11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E3226E">
              <w:rPr>
                <w:rFonts w:ascii="Calibri" w:eastAsia="Times New Roman" w:hAnsi="Calibri" w:cs="Times New Roman"/>
                <w:color w:val="000000"/>
                <w:lang w:eastAsia="en-GB"/>
              </w:rPr>
              <w:t>Dihydroferulic</w:t>
            </w:r>
            <w:proofErr w:type="spellEnd"/>
            <w:r w:rsidRPr="00E3226E">
              <w:rPr>
                <w:rFonts w:ascii="Calibri" w:eastAsia="Times New Roman" w:hAnsi="Calibri" w:cs="Times New Roman"/>
                <w:color w:val="000000"/>
                <w:lang w:eastAsia="en-GB"/>
              </w:rPr>
              <w:t xml:space="preserve"> acid 4-glucuronide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C16H20O10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CSID4478806</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Quercetin-3,4'-O-di-beta-glucopyranoside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C27H30O17</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37.6</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0C1128">
              <w:rPr>
                <w:rFonts w:ascii="Calibri" w:eastAsia="Times New Roman" w:hAnsi="Calibri" w:cs="Times New Roman"/>
                <w:color w:val="000000"/>
                <w:lang w:eastAsia="en-GB"/>
              </w:rPr>
              <w:t>3'-Hydroxy-3,4,5,4'-tetramethoxystilbene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C17H18O5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37.5</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Glycitin</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C22H22O10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37.5</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303F9C">
              <w:rPr>
                <w:rFonts w:ascii="Calibri" w:eastAsia="Times New Roman" w:hAnsi="Calibri" w:cs="Times New Roman"/>
                <w:color w:val="000000"/>
                <w:lang w:eastAsia="en-GB"/>
              </w:rPr>
              <w:t>trans</w:t>
            </w:r>
            <w:r w:rsidRPr="006E41D6">
              <w:rPr>
                <w:rFonts w:ascii="Calibri" w:eastAsia="Times New Roman" w:hAnsi="Calibri" w:cs="Times New Roman"/>
                <w:color w:val="000000"/>
                <w:lang w:eastAsia="en-GB"/>
              </w:rPr>
              <w:t>-5-O-(4-coumaroyl)-D-</w:t>
            </w:r>
            <w:proofErr w:type="spellStart"/>
            <w:r w:rsidRPr="006E41D6">
              <w:rPr>
                <w:rFonts w:ascii="Calibri" w:eastAsia="Times New Roman" w:hAnsi="Calibri" w:cs="Times New Roman"/>
                <w:color w:val="000000"/>
                <w:lang w:eastAsia="en-GB"/>
              </w:rPr>
              <w:t>quinic</w:t>
            </w:r>
            <w:proofErr w:type="spellEnd"/>
            <w:r w:rsidRPr="006E41D6">
              <w:rPr>
                <w:rFonts w:ascii="Calibri" w:eastAsia="Times New Roman" w:hAnsi="Calibri" w:cs="Times New Roman"/>
                <w:color w:val="000000"/>
                <w:lang w:eastAsia="en-GB"/>
              </w:rPr>
              <w:t xml:space="preserve"> acid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C16H18O8</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37.4</w:t>
            </w:r>
          </w:p>
        </w:tc>
      </w:tr>
    </w:tbl>
    <w:p w:rsidR="007A2550" w:rsidRDefault="007A2550">
      <w:r>
        <w:br w:type="page"/>
      </w:r>
    </w:p>
    <w:tbl>
      <w:tblPr>
        <w:tblW w:w="9229" w:type="dxa"/>
        <w:tblLook w:val="04A0" w:firstRow="1" w:lastRow="0" w:firstColumn="1" w:lastColumn="0" w:noHBand="0" w:noVBand="1"/>
      </w:tblPr>
      <w:tblGrid>
        <w:gridCol w:w="1560"/>
        <w:gridCol w:w="4252"/>
        <w:gridCol w:w="1276"/>
        <w:gridCol w:w="1428"/>
        <w:gridCol w:w="713"/>
      </w:tblGrid>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Accepted ID</w:t>
            </w:r>
          </w:p>
        </w:tc>
        <w:tc>
          <w:tcPr>
            <w:tcW w:w="4252" w:type="dxa"/>
            <w:tcBorders>
              <w:top w:val="single" w:sz="4" w:space="0" w:color="auto"/>
              <w:left w:val="single" w:sz="4" w:space="0" w:color="auto"/>
              <w:bottom w:val="single" w:sz="4" w:space="0" w:color="auto"/>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Description</w:t>
            </w:r>
          </w:p>
        </w:tc>
        <w:tc>
          <w:tcPr>
            <w:tcW w:w="1276" w:type="dxa"/>
            <w:tcBorders>
              <w:top w:val="single" w:sz="4" w:space="0" w:color="auto"/>
              <w:left w:val="single" w:sz="4" w:space="0" w:color="auto"/>
              <w:bottom w:val="single" w:sz="4" w:space="0" w:color="auto"/>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Adducts</w:t>
            </w:r>
          </w:p>
        </w:tc>
        <w:tc>
          <w:tcPr>
            <w:tcW w:w="1428" w:type="dxa"/>
            <w:tcBorders>
              <w:top w:val="single" w:sz="4" w:space="0" w:color="auto"/>
              <w:left w:val="single" w:sz="4" w:space="0" w:color="auto"/>
              <w:bottom w:val="single" w:sz="4" w:space="0" w:color="auto"/>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Formula</w:t>
            </w:r>
          </w:p>
        </w:tc>
        <w:tc>
          <w:tcPr>
            <w:tcW w:w="713" w:type="dxa"/>
            <w:tcBorders>
              <w:top w:val="single" w:sz="4" w:space="0" w:color="auto"/>
              <w:left w:val="single" w:sz="4" w:space="0" w:color="auto"/>
              <w:bottom w:val="single" w:sz="4" w:space="0" w:color="auto"/>
              <w:right w:val="nil"/>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Score</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521121" w:rsidP="00CF1D1E">
            <w:pPr>
              <w:spacing w:after="0" w:line="240" w:lineRule="auto"/>
              <w:rPr>
                <w:rFonts w:ascii="Calibri" w:eastAsia="Times New Roman" w:hAnsi="Calibri" w:cs="Times New Roman"/>
                <w:color w:val="000000"/>
                <w:lang w:eastAsia="en-GB"/>
              </w:rPr>
            </w:pPr>
            <w:proofErr w:type="spellStart"/>
            <w:r w:rsidRPr="00521121">
              <w:rPr>
                <w:rFonts w:ascii="Calibri" w:eastAsia="Times New Roman" w:hAnsi="Calibri" w:cs="Times New Roman"/>
                <w:color w:val="000000"/>
                <w:lang w:eastAsia="en-GB"/>
              </w:rPr>
              <w:t>Salvianolic</w:t>
            </w:r>
            <w:proofErr w:type="spellEnd"/>
            <w:r w:rsidRPr="00521121">
              <w:rPr>
                <w:rFonts w:ascii="Calibri" w:eastAsia="Times New Roman" w:hAnsi="Calibri" w:cs="Times New Roman"/>
                <w:color w:val="000000"/>
                <w:lang w:eastAsia="en-GB"/>
              </w:rPr>
              <w:t xml:space="preserve"> acid 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C20H18O10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37.4</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trans-</w:t>
            </w:r>
            <w:proofErr w:type="spellStart"/>
            <w:r w:rsidRPr="00CF1D1E">
              <w:rPr>
                <w:rFonts w:ascii="Calibri" w:eastAsia="Times New Roman" w:hAnsi="Calibri" w:cs="Times New Roman"/>
                <w:color w:val="000000"/>
                <w:lang w:eastAsia="en-GB"/>
              </w:rPr>
              <w:t>caffeic</w:t>
            </w:r>
            <w:proofErr w:type="spellEnd"/>
            <w:r w:rsidRPr="00CF1D1E">
              <w:rPr>
                <w:rFonts w:ascii="Calibri" w:eastAsia="Times New Roman" w:hAnsi="Calibri" w:cs="Times New Roman"/>
                <w:color w:val="000000"/>
                <w:lang w:eastAsia="en-GB"/>
              </w:rPr>
              <w:t xml:space="preserve"> acid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C9H8O4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37.4</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CSID390957</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Paeoniflorin</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C23H28O11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37.4</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CSID4945655</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t>
            </w:r>
            <w:proofErr w:type="spellStart"/>
            <w:r w:rsidRPr="00CF1D1E">
              <w:rPr>
                <w:rFonts w:ascii="Calibri" w:eastAsia="Times New Roman" w:hAnsi="Calibri" w:cs="Times New Roman"/>
                <w:color w:val="000000"/>
                <w:lang w:eastAsia="en-GB"/>
              </w:rPr>
              <w:t>Lithospermic</w:t>
            </w:r>
            <w:proofErr w:type="spellEnd"/>
            <w:r w:rsidRPr="00CF1D1E">
              <w:rPr>
                <w:rFonts w:ascii="Calibri" w:eastAsia="Times New Roman" w:hAnsi="Calibri" w:cs="Times New Roman"/>
                <w:color w:val="000000"/>
                <w:lang w:eastAsia="en-GB"/>
              </w:rPr>
              <w:t xml:space="preserve"> acid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C27H22O12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37.3</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6E41D6" w:rsidP="00CF1D1E">
            <w:pPr>
              <w:spacing w:after="0" w:line="240" w:lineRule="auto"/>
              <w:rPr>
                <w:rFonts w:ascii="Calibri" w:eastAsia="Times New Roman" w:hAnsi="Calibri" w:cs="Times New Roman"/>
                <w:color w:val="000000"/>
                <w:lang w:eastAsia="en-GB"/>
              </w:rPr>
            </w:pPr>
            <w:r w:rsidRPr="006E41D6">
              <w:rPr>
                <w:rFonts w:ascii="Calibri" w:eastAsia="Times New Roman" w:hAnsi="Calibri" w:cs="Times New Roman"/>
                <w:color w:val="000000"/>
                <w:lang w:eastAsia="en-GB"/>
              </w:rPr>
              <w:t>(-)-Epigallocatechin (EGC)</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C15H14O7</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37.3</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3,5-O-dicaffeoylquinic acid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37.3</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3,5-O-dicaffeoylquinic acid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37.3</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Homovanillyl</w:t>
            </w:r>
            <w:proofErr w:type="spellEnd"/>
            <w:r w:rsidRPr="00CF1D1E">
              <w:rPr>
                <w:rFonts w:ascii="Calibri" w:eastAsia="Times New Roman" w:hAnsi="Calibri" w:cs="Times New Roman"/>
                <w:color w:val="000000"/>
                <w:lang w:eastAsia="en-GB"/>
              </w:rPr>
              <w:t xml:space="preserve"> alcohol</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C9H12O3</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37.3</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Ferulic acid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C10H10O4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37.2</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3D7F17" w:rsidP="00CF1D1E">
            <w:pPr>
              <w:spacing w:after="0" w:line="240" w:lineRule="auto"/>
              <w:rPr>
                <w:rFonts w:ascii="Calibri" w:eastAsia="Times New Roman" w:hAnsi="Calibri" w:cs="Times New Roman"/>
                <w:color w:val="000000"/>
                <w:lang w:eastAsia="en-GB"/>
              </w:rPr>
            </w:pPr>
            <w:proofErr w:type="spellStart"/>
            <w:r w:rsidRPr="003D7F17">
              <w:rPr>
                <w:rFonts w:ascii="Calibri" w:eastAsia="Times New Roman" w:hAnsi="Calibri" w:cs="Times New Roman"/>
                <w:color w:val="000000"/>
                <w:lang w:eastAsia="en-GB"/>
              </w:rPr>
              <w:t>Dihydroformononetin</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C16H14O4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37.1</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Matairesinol</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C20H22O6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DA6B0E" w:rsidP="00CF1D1E">
            <w:pPr>
              <w:spacing w:after="0" w:line="240" w:lineRule="auto"/>
              <w:rPr>
                <w:rFonts w:ascii="Calibri" w:eastAsia="Times New Roman" w:hAnsi="Calibri" w:cs="Times New Roman"/>
                <w:color w:val="000000"/>
                <w:lang w:eastAsia="en-GB"/>
              </w:rPr>
            </w:pPr>
            <w:r w:rsidRPr="00DA6B0E">
              <w:rPr>
                <w:rFonts w:ascii="Calibri" w:eastAsia="Times New Roman" w:hAnsi="Calibri" w:cs="Times New Roman"/>
                <w:color w:val="000000"/>
                <w:lang w:eastAsia="en-GB"/>
              </w:rPr>
              <w:t>7-Hydroxymatairesinol</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C20H22O7</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556F9" w:rsidP="00CF1D1E">
            <w:pPr>
              <w:spacing w:after="0" w:line="240" w:lineRule="auto"/>
              <w:rPr>
                <w:rFonts w:ascii="Calibri" w:eastAsia="Times New Roman" w:hAnsi="Calibri" w:cs="Times New Roman"/>
                <w:color w:val="000000"/>
                <w:lang w:eastAsia="en-GB"/>
              </w:rPr>
            </w:pPr>
            <w:proofErr w:type="spellStart"/>
            <w:r w:rsidRPr="00C556F9">
              <w:rPr>
                <w:rFonts w:ascii="Calibri" w:eastAsia="Times New Roman" w:hAnsi="Calibri" w:cs="Times New Roman"/>
                <w:color w:val="000000"/>
                <w:lang w:eastAsia="en-GB"/>
              </w:rPr>
              <w:t>Dihydrocaffeic</w:t>
            </w:r>
            <w:proofErr w:type="spellEnd"/>
            <w:r w:rsidRPr="00C556F9">
              <w:rPr>
                <w:rFonts w:ascii="Calibri" w:eastAsia="Times New Roman" w:hAnsi="Calibri" w:cs="Times New Roman"/>
                <w:color w:val="000000"/>
                <w:lang w:eastAsia="en-GB"/>
              </w:rPr>
              <w:t xml:space="preserve"> acid 3-O-glucuronide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 3M-H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C15H18O10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36.9</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Naringenin</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36.8</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6607A">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t>
            </w:r>
            <w:r w:rsidR="00C6607A">
              <w:rPr>
                <w:rFonts w:ascii="Calibri" w:eastAsia="Times New Roman" w:hAnsi="Calibri" w:cs="Times New Roman"/>
                <w:color w:val="000000"/>
                <w:lang w:eastAsia="en-GB"/>
              </w:rPr>
              <w:t>-</w:t>
            </w:r>
            <w:r w:rsidRPr="00CF1D1E">
              <w:rPr>
                <w:rFonts w:ascii="Calibri" w:eastAsia="Times New Roman" w:hAnsi="Calibri" w:cs="Times New Roman"/>
                <w:color w:val="000000"/>
                <w:lang w:eastAsia="en-GB"/>
              </w:rPr>
              <w:t>)-Epicatechin</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C15H14O6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36.7</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CSID392875</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trans-resveratrol</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C14H12O3</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36.7</w:t>
            </w:r>
          </w:p>
        </w:tc>
      </w:tr>
      <w:tr w:rsidR="00CF1D1E"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(+)-Procyanidin B2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2M-2H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C30H26O12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36.5</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B0178D">
              <w:rPr>
                <w:rFonts w:ascii="Calibri" w:eastAsia="Times New Roman" w:hAnsi="Calibri" w:cs="Times New Roman"/>
                <w:color w:val="000000"/>
                <w:lang w:eastAsia="en-GB"/>
              </w:rPr>
              <w:t>4',4"-Dimethylepigallocatechin gallate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M-2H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C24H22O11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36.5</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DA6B0E">
              <w:rPr>
                <w:rFonts w:ascii="Calibri" w:eastAsia="Times New Roman" w:hAnsi="Calibri" w:cs="Times New Roman"/>
                <w:color w:val="000000"/>
                <w:lang w:eastAsia="en-GB"/>
              </w:rPr>
              <w:t>Genistein-7-O-glucuronide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C21H18O11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36.4</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3,5-O-dicaffeoylquinic acid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36.4</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Eriodictyol</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36.2</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3,5-O-dicaffeoylquinic acid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35.8</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Naringenin</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C15H12O5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303F9C">
              <w:rPr>
                <w:rFonts w:ascii="Calibri" w:eastAsia="Times New Roman" w:hAnsi="Calibri" w:cs="Times New Roman"/>
                <w:color w:val="000000"/>
                <w:lang w:eastAsia="en-GB"/>
              </w:rPr>
              <w:t>Equol 4'-O-glucuronide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C21H22O9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521121">
              <w:rPr>
                <w:rFonts w:ascii="Calibri" w:eastAsia="Times New Roman" w:hAnsi="Calibri" w:cs="Times New Roman"/>
                <w:color w:val="000000"/>
                <w:lang w:eastAsia="en-GB"/>
              </w:rPr>
              <w:t>Salvianolic</w:t>
            </w:r>
            <w:proofErr w:type="spellEnd"/>
            <w:r w:rsidRPr="00521121">
              <w:rPr>
                <w:rFonts w:ascii="Calibri" w:eastAsia="Times New Roman" w:hAnsi="Calibri" w:cs="Times New Roman"/>
                <w:color w:val="000000"/>
                <w:lang w:eastAsia="en-GB"/>
              </w:rPr>
              <w:t xml:space="preserve"> acid 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C20H18O10</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35.6</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CSID30777594</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B0178D">
              <w:rPr>
                <w:rFonts w:ascii="Calibri" w:eastAsia="Times New Roman" w:hAnsi="Calibri" w:cs="Times New Roman"/>
                <w:color w:val="000000"/>
                <w:lang w:eastAsia="en-GB"/>
              </w:rPr>
              <w:t>4'-Methyl-(-)-epigallocatechin 3'-glucuronide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C22H24O13</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35.3</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3,5-O-dicaffeoylquinic acid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35.3</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CSID30777628</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521121">
              <w:rPr>
                <w:rFonts w:ascii="Calibri" w:eastAsia="Times New Roman" w:hAnsi="Calibri" w:cs="Times New Roman"/>
                <w:color w:val="000000"/>
                <w:lang w:eastAsia="en-GB"/>
              </w:rPr>
              <w:t>Genistein</w:t>
            </w:r>
            <w:proofErr w:type="spellEnd"/>
            <w:r w:rsidRPr="00521121">
              <w:rPr>
                <w:rFonts w:ascii="Calibri" w:eastAsia="Times New Roman" w:hAnsi="Calibri" w:cs="Times New Roman"/>
                <w:color w:val="000000"/>
                <w:lang w:eastAsia="en-GB"/>
              </w:rPr>
              <w:t xml:space="preserve"> 4',7-O-diglucuronide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M-H2O-H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C27H26O17</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35.1</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Daidzin</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2M-2H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B0178D">
              <w:rPr>
                <w:rFonts w:ascii="Calibri" w:eastAsia="Times New Roman" w:hAnsi="Calibri" w:cs="Times New Roman"/>
                <w:color w:val="000000"/>
                <w:lang w:eastAsia="en-GB"/>
              </w:rPr>
              <w:t>4',4"-Dimethylepigallocatechin gallate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C24H22O11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34.7</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586C19">
              <w:rPr>
                <w:rFonts w:ascii="Calibri" w:eastAsia="Times New Roman" w:hAnsi="Calibri" w:cs="Times New Roman"/>
                <w:color w:val="000000"/>
                <w:lang w:eastAsia="en-GB"/>
              </w:rPr>
              <w:t>Equol 4'-O-glucuronide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2M-2H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C21H22O9</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34.5</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Naringenin 7-O-beta-D-glucuronide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C21H20O11</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34.5</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3,5-O-dicaffeoylquinic acid</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C25H24O12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34.4</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CSID9753486</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proofErr w:type="spellStart"/>
            <w:r w:rsidRPr="001059C6">
              <w:rPr>
                <w:rFonts w:ascii="Calibri" w:eastAsia="Times New Roman" w:hAnsi="Calibri" w:cs="Times New Roman"/>
                <w:color w:val="000000"/>
                <w:lang w:eastAsia="en-GB"/>
              </w:rPr>
              <w:t>Sesaminol</w:t>
            </w:r>
            <w:proofErr w:type="spellEnd"/>
            <w:r w:rsidRPr="001059C6">
              <w:rPr>
                <w:rFonts w:ascii="Calibri" w:eastAsia="Times New Roman" w:hAnsi="Calibri" w:cs="Times New Roman"/>
                <w:color w:val="000000"/>
                <w:lang w:eastAsia="en-GB"/>
              </w:rPr>
              <w:t xml:space="preserve"> 2-O-triglucoside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C36H46O22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34.4</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CSID28481156</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2,6-Dimethoxy-4-[(E)-2-(4-methoxyphenyl)vinyl]phenol</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C17H18O4</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34.2</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B0178D">
              <w:rPr>
                <w:rFonts w:ascii="Calibri" w:eastAsia="Times New Roman" w:hAnsi="Calibri" w:cs="Times New Roman"/>
                <w:color w:val="000000"/>
                <w:lang w:eastAsia="en-GB"/>
              </w:rPr>
              <w:t>Daidzin Malonate</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C24H22O12</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34.1</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1059C6">
              <w:rPr>
                <w:rFonts w:ascii="Calibri" w:eastAsia="Times New Roman" w:hAnsi="Calibri" w:cs="Times New Roman"/>
                <w:color w:val="000000"/>
                <w:lang w:eastAsia="en-GB"/>
              </w:rPr>
              <w:t>5'-Methoxy-O-desmethylangolensin</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C16H16O5</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34.0</w:t>
            </w:r>
          </w:p>
        </w:tc>
      </w:tr>
      <w:tr w:rsidR="00303F9C" w:rsidRPr="00CF1D1E" w:rsidTr="00303F9C">
        <w:trPr>
          <w:trHeight w:val="300"/>
        </w:trPr>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c>
          <w:tcPr>
            <w:tcW w:w="4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Tectorigenin</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3M-H</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3F9C" w:rsidRPr="00CF1D1E" w:rsidRDefault="00303F9C" w:rsidP="00914A10">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C16H12O6</w:t>
            </w:r>
          </w:p>
        </w:tc>
        <w:tc>
          <w:tcPr>
            <w:tcW w:w="713" w:type="dxa"/>
            <w:tcBorders>
              <w:top w:val="single" w:sz="4" w:space="0" w:color="auto"/>
              <w:left w:val="single" w:sz="4" w:space="0" w:color="auto"/>
              <w:bottom w:val="single" w:sz="4" w:space="0" w:color="auto"/>
              <w:right w:val="nil"/>
            </w:tcBorders>
            <w:shd w:val="clear" w:color="auto" w:fill="auto"/>
            <w:noWrap/>
            <w:vAlign w:val="bottom"/>
            <w:hideMark/>
          </w:tcPr>
          <w:p w:rsidR="00303F9C" w:rsidRPr="00CF1D1E" w:rsidRDefault="00303F9C" w:rsidP="00914A10">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w:t>
            </w:r>
          </w:p>
        </w:tc>
      </w:tr>
    </w:tbl>
    <w:p w:rsidR="00303F9C" w:rsidRDefault="00303F9C" w:rsidP="00303F9C"/>
    <w:p w:rsidR="00303F9C" w:rsidRDefault="00303F9C" w:rsidP="00303F9C">
      <w:r w:rsidRPr="00CF1D1E">
        <w:rPr>
          <w:rFonts w:ascii="Calibri" w:eastAsia="Calibri" w:hAnsi="Calibri" w:cs="Times New Roman"/>
          <w:sz w:val="20"/>
          <w:szCs w:val="20"/>
        </w:rPr>
        <w:t>Tab.27 ChemSp</w:t>
      </w:r>
      <w:r>
        <w:rPr>
          <w:rFonts w:ascii="Calibri" w:eastAsia="Calibri" w:hAnsi="Calibri" w:cs="Times New Roman"/>
          <w:sz w:val="20"/>
          <w:szCs w:val="20"/>
        </w:rPr>
        <w:t xml:space="preserve">ider ID, the chemical name, the </w:t>
      </w:r>
      <w:r w:rsidRPr="00CF1D1E">
        <w:rPr>
          <w:rFonts w:ascii="Calibri" w:eastAsia="Calibri" w:hAnsi="Calibri" w:cs="Times New Roman"/>
          <w:sz w:val="20"/>
          <w:szCs w:val="20"/>
        </w:rPr>
        <w:t>adduct observed, the chemical formula and the score rating attributed by Progenesis QI.</w:t>
      </w:r>
      <w:r w:rsidRPr="00CF1D1E">
        <w:rPr>
          <w:rFonts w:ascii="Calibri" w:eastAsia="Calibri" w:hAnsi="Calibri" w:cs="Times New Roman"/>
          <w:sz w:val="24"/>
          <w:szCs w:val="24"/>
        </w:rPr>
        <w:t xml:space="preserve"> </w:t>
      </w:r>
    </w:p>
    <w:p w:rsidR="00CF1D1E" w:rsidRPr="00CF1D1E" w:rsidRDefault="00521121" w:rsidP="00303F9C">
      <w:pPr>
        <w:rPr>
          <w:rFonts w:ascii="Calibri" w:eastAsia="Calibri" w:hAnsi="Calibri" w:cs="Times New Roman"/>
          <w:sz w:val="24"/>
          <w:szCs w:val="24"/>
        </w:rPr>
      </w:pPr>
      <w:r>
        <w:br w:type="page"/>
      </w:r>
      <w:r w:rsidR="00303F9C" w:rsidRPr="00CF1D1E">
        <w:rPr>
          <w:rFonts w:ascii="Calibri" w:eastAsia="Calibri" w:hAnsi="Calibri" w:cs="Times New Roman"/>
          <w:sz w:val="24"/>
          <w:szCs w:val="24"/>
        </w:rPr>
        <w:lastRenderedPageBreak/>
        <w:t xml:space="preserve"> </w:t>
      </w:r>
    </w:p>
    <w:p w:rsidR="006F5041" w:rsidRDefault="006F5041" w:rsidP="00CF1D1E">
      <w:pPr>
        <w:spacing w:line="360" w:lineRule="auto"/>
        <w:jc w:val="both"/>
        <w:rPr>
          <w:rFonts w:ascii="Calibri" w:eastAsia="Calibri" w:hAnsi="Calibri" w:cs="Times New Roman"/>
          <w:sz w:val="24"/>
          <w:szCs w:val="24"/>
        </w:rPr>
      </w:pPr>
      <w:r>
        <w:rPr>
          <w:rFonts w:ascii="Calibri" w:eastAsia="Calibri" w:hAnsi="Calibri" w:cs="Times New Roman"/>
          <w:sz w:val="24"/>
          <w:szCs w:val="24"/>
        </w:rPr>
        <w:tab/>
      </w:r>
      <w:r w:rsidR="00CF1D1E" w:rsidRPr="00CF1D1E">
        <w:rPr>
          <w:rFonts w:ascii="Calibri" w:eastAsia="Calibri" w:hAnsi="Calibri" w:cs="Times New Roman"/>
          <w:sz w:val="24"/>
          <w:szCs w:val="24"/>
        </w:rPr>
        <w:t>Only scores over 30 have been shown</w:t>
      </w:r>
      <w:r>
        <w:rPr>
          <w:rFonts w:ascii="Calibri" w:eastAsia="Calibri" w:hAnsi="Calibri" w:cs="Times New Roman"/>
          <w:sz w:val="24"/>
          <w:szCs w:val="24"/>
        </w:rPr>
        <w:t>,</w:t>
      </w:r>
      <w:r w:rsidR="00CF1D1E" w:rsidRPr="00CF1D1E">
        <w:rPr>
          <w:rFonts w:ascii="Calibri" w:eastAsia="Calibri" w:hAnsi="Calibri" w:cs="Times New Roman"/>
          <w:sz w:val="24"/>
          <w:szCs w:val="24"/>
        </w:rPr>
        <w:t xml:space="preserve"> the rest have been ignored. The higher the score the higher the confidence of a correct identification. Identification should be confirmed by targeting compounds from the above list for confirmation.</w:t>
      </w:r>
      <w:r w:rsidR="007F0A67">
        <w:rPr>
          <w:rFonts w:ascii="Calibri" w:eastAsia="Calibri" w:hAnsi="Calibri" w:cs="Times New Roman"/>
          <w:sz w:val="24"/>
          <w:szCs w:val="24"/>
        </w:rPr>
        <w:t xml:space="preserve"> </w:t>
      </w:r>
    </w:p>
    <w:p w:rsidR="00CF1D1E" w:rsidRDefault="006F5041" w:rsidP="00CF1D1E">
      <w:pPr>
        <w:spacing w:line="360" w:lineRule="auto"/>
        <w:jc w:val="both"/>
        <w:rPr>
          <w:rFonts w:ascii="Calibri" w:eastAsia="Calibri" w:hAnsi="Calibri" w:cs="Times New Roman"/>
          <w:sz w:val="24"/>
          <w:szCs w:val="24"/>
        </w:rPr>
      </w:pPr>
      <w:r>
        <w:rPr>
          <w:rFonts w:ascii="Calibri" w:eastAsia="Calibri" w:hAnsi="Calibri" w:cs="Times New Roman"/>
          <w:sz w:val="24"/>
          <w:szCs w:val="24"/>
        </w:rPr>
        <w:tab/>
      </w:r>
      <w:r w:rsidR="007F0A67">
        <w:rPr>
          <w:rFonts w:ascii="Calibri" w:eastAsia="Calibri" w:hAnsi="Calibri" w:cs="Times New Roman"/>
          <w:sz w:val="24"/>
          <w:szCs w:val="24"/>
        </w:rPr>
        <w:t xml:space="preserve">Once again, as in the bark extracts, these plant extracts show a high number of polyphenol glucuronides. This is of significance as natural plant glucuronides have been used to treat cardio-cerebral vascular diseases as in the injectable drug </w:t>
      </w:r>
      <w:r w:rsidR="007F0A67" w:rsidRPr="007F0A67">
        <w:rPr>
          <w:rFonts w:ascii="Calibri" w:eastAsia="Calibri" w:hAnsi="Calibri" w:cs="Times New Roman"/>
          <w:sz w:val="24"/>
          <w:szCs w:val="24"/>
        </w:rPr>
        <w:t>breviscapine</w:t>
      </w:r>
      <w:r w:rsidR="007F0A67">
        <w:rPr>
          <w:rFonts w:ascii="Calibri" w:eastAsia="Calibri" w:hAnsi="Calibri" w:cs="Times New Roman"/>
          <w:sz w:val="24"/>
          <w:szCs w:val="24"/>
        </w:rPr>
        <w:t xml:space="preserve"> </w:t>
      </w:r>
      <w:r w:rsidR="00817935">
        <w:rPr>
          <w:rFonts w:ascii="Calibri" w:eastAsia="Calibri" w:hAnsi="Calibri" w:cs="Times New Roman"/>
          <w:sz w:val="24"/>
          <w:szCs w:val="24"/>
        </w:rPr>
        <w:t xml:space="preserve">in </w:t>
      </w:r>
      <w:r w:rsidR="007F0A67">
        <w:rPr>
          <w:rFonts w:ascii="Calibri" w:eastAsia="Calibri" w:hAnsi="Calibri" w:cs="Times New Roman"/>
          <w:sz w:val="24"/>
          <w:szCs w:val="24"/>
        </w:rPr>
        <w:t xml:space="preserve">which is </w:t>
      </w:r>
      <w:r w:rsidR="007F0A67" w:rsidRPr="007F0A67">
        <w:rPr>
          <w:rFonts w:ascii="Calibri" w:eastAsia="Calibri" w:hAnsi="Calibri" w:cs="Times New Roman"/>
          <w:sz w:val="24"/>
          <w:szCs w:val="24"/>
        </w:rPr>
        <w:t>scutellarin-7-O-glucuronide</w:t>
      </w:r>
      <w:r w:rsidR="007F0A67">
        <w:rPr>
          <w:rFonts w:ascii="Calibri" w:eastAsia="Calibri" w:hAnsi="Calibri" w:cs="Times New Roman"/>
          <w:sz w:val="24"/>
          <w:szCs w:val="24"/>
        </w:rPr>
        <w:t xml:space="preserve"> </w:t>
      </w:r>
      <w:r w:rsidR="00817935">
        <w:rPr>
          <w:rFonts w:ascii="Calibri" w:eastAsia="Calibri" w:hAnsi="Calibri" w:cs="Times New Roman"/>
          <w:sz w:val="24"/>
          <w:szCs w:val="24"/>
        </w:rPr>
        <w:t xml:space="preserve">is the active ingredient </w:t>
      </w:r>
      <w:r w:rsidR="007F0A67">
        <w:rPr>
          <w:rFonts w:ascii="Calibri" w:eastAsia="Calibri" w:hAnsi="Calibri" w:cs="Times New Roman"/>
          <w:sz w:val="24"/>
          <w:szCs w:val="24"/>
        </w:rPr>
        <w:fldChar w:fldCharType="begin" w:fldLock="1"/>
      </w:r>
      <w:r w:rsidR="00F738BB">
        <w:rPr>
          <w:rFonts w:ascii="Calibri" w:eastAsia="Calibri" w:hAnsi="Calibri" w:cs="Times New Roman"/>
          <w:sz w:val="24"/>
          <w:szCs w:val="24"/>
        </w:rPr>
        <w:instrText>ADDIN CSL_CITATION {"citationItems":[{"id":"ITEM-1","itemData":{"DOI":"10.1021/acs.jafc.9b01769","ISSN":"15205118","abstract":"Many O-glucuronides exhibiting various pharmacological activities have been found in nature and in drug metabolism. The glucuronidation of bioactive natural products or drugs to generate glucuronides with better activity and druggability is important in drug discovery and research. In this study, by using two uridine diphosphate (UDP)-dependent glucuronosyltransferases (GATs, UGT88D4 and UGT88D7) from plants, we developed two glucuronidation approaches, pure enzyme catalysis in vitro and recombinant whole-cell catalysis in vivo, to efficiently synthesize bioactive O-glucuronides by the glucuronidation of natural products. In total, 14 O-glucuronides with different structures, including flavonoids, anthraquinones, coumarins, and lignans, were obtained, 7 of which were new compounds. Furthermore, one of the biosynthesized O-glucuronides, kaempferol-7-O-β-d-glucuronide (3a), potently inhibited protein tyrosine phosphatase (PTP) 1B with an IC50 value of 8.02 × 10-6 M. Some of the biosynthesized O-glucuronides also exhibited significant antioxidant activities.","author":[{"dropping-particle":"","family":"Yue","given":"Tian","non-dropping-particle":"","parse-names":false,"suffix":""},{"dropping-particle":"","family":"Chen","given":"Ridao","non-dropping-particle":"","parse-names":false,"suffix":""},{"dropping-particle":"","family":"Chen","given":"Dawei","non-dropping-particle":"","parse-names":false,"suffix":""},{"dropping-particle":"","family":"Liu","given":"Jimei","non-dropping-particle":"","parse-names":false,"suffix":""},{"dropping-particle":"","family":"Xie","given":"Kebo","non-dropping-particle":"","parse-names":false,"suffix":""},{"dropping-particle":"","family":"Dai","given":"Jungui","non-dropping-particle":"","parse-names":false,"suffix":""}],"container-title":"Journal of Agricultural and Food Chemistry","id":"ITEM-1","issue":"22","issued":{"date-parts":[["2019"]]},"page":"6275-6284","title":"Enzymatic Synthesis of Bioactive O-Glucuronides Using Plant Glucuronosyltransferases","type":"article-journal","volume":"67"},"uris":["http://www.mendeley.com/documents/?uuid=f5ba4ffd-8b9e-4a30-b27f-a90214d580ea"]}],"mendeley":{"formattedCitation":"(Yue et al., 2019)","plainTextFormattedCitation":"(Yue et al., 2019)","previouslyFormattedCitation":"(Yue et al., 2019)"},"properties":{"noteIndex":0},"schema":"https://github.com/citation-style-language/schema/raw/master/csl-citation.json"}</w:instrText>
      </w:r>
      <w:r w:rsidR="007F0A67">
        <w:rPr>
          <w:rFonts w:ascii="Calibri" w:eastAsia="Calibri" w:hAnsi="Calibri" w:cs="Times New Roman"/>
          <w:sz w:val="24"/>
          <w:szCs w:val="24"/>
        </w:rPr>
        <w:fldChar w:fldCharType="separate"/>
      </w:r>
      <w:r w:rsidR="007F0A67" w:rsidRPr="007F0A67">
        <w:rPr>
          <w:rFonts w:ascii="Calibri" w:eastAsia="Calibri" w:hAnsi="Calibri" w:cs="Times New Roman"/>
          <w:noProof/>
          <w:sz w:val="24"/>
          <w:szCs w:val="24"/>
        </w:rPr>
        <w:t xml:space="preserve">(Yue </w:t>
      </w:r>
      <w:r w:rsidR="007F0A67" w:rsidRPr="00F738BB">
        <w:rPr>
          <w:rFonts w:ascii="Calibri" w:eastAsia="Calibri" w:hAnsi="Calibri" w:cs="Times New Roman"/>
          <w:i/>
          <w:noProof/>
          <w:sz w:val="24"/>
          <w:szCs w:val="24"/>
        </w:rPr>
        <w:t>et al</w:t>
      </w:r>
      <w:r w:rsidR="007F0A67" w:rsidRPr="007F0A67">
        <w:rPr>
          <w:rFonts w:ascii="Calibri" w:eastAsia="Calibri" w:hAnsi="Calibri" w:cs="Times New Roman"/>
          <w:noProof/>
          <w:sz w:val="24"/>
          <w:szCs w:val="24"/>
        </w:rPr>
        <w:t>., 2019)</w:t>
      </w:r>
      <w:r w:rsidR="007F0A67">
        <w:rPr>
          <w:rFonts w:ascii="Calibri" w:eastAsia="Calibri" w:hAnsi="Calibri" w:cs="Times New Roman"/>
          <w:sz w:val="24"/>
          <w:szCs w:val="24"/>
        </w:rPr>
        <w:fldChar w:fldCharType="end"/>
      </w:r>
      <w:r w:rsidR="007F0A67">
        <w:rPr>
          <w:rFonts w:ascii="Calibri" w:eastAsia="Calibri" w:hAnsi="Calibri" w:cs="Times New Roman"/>
          <w:sz w:val="24"/>
          <w:szCs w:val="24"/>
        </w:rPr>
        <w:t>.</w:t>
      </w:r>
    </w:p>
    <w:p w:rsidR="00303F9C" w:rsidRPr="00CF1D1E" w:rsidRDefault="00303F9C" w:rsidP="00CF1D1E">
      <w:pPr>
        <w:spacing w:line="360" w:lineRule="auto"/>
        <w:jc w:val="both"/>
        <w:rPr>
          <w:rFonts w:ascii="Calibri" w:eastAsia="Calibri" w:hAnsi="Calibri" w:cs="Times New Roman"/>
          <w:sz w:val="24"/>
          <w:szCs w:val="24"/>
        </w:rPr>
      </w:pP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noProof/>
          <w:lang w:eastAsia="en-GB"/>
        </w:rPr>
        <w:lastRenderedPageBreak/>
        <w:drawing>
          <wp:inline distT="0" distB="0" distL="0" distR="0" wp14:anchorId="276EA8BF" wp14:editId="5B4C6CC5">
            <wp:extent cx="5826897" cy="6260123"/>
            <wp:effectExtent l="0" t="0" r="254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853328" cy="6288519"/>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spacing w:line="360" w:lineRule="auto"/>
        <w:rPr>
          <w:rFonts w:ascii="Calibri" w:eastAsia="Calibri" w:hAnsi="Calibri" w:cs="Times New Roman"/>
          <w:sz w:val="20"/>
          <w:szCs w:val="20"/>
          <w:lang w:val="en"/>
        </w:rPr>
      </w:pPr>
      <w:bookmarkStart w:id="1" w:name="OLE_LINK6"/>
      <w:r w:rsidRPr="00CF1D1E">
        <w:rPr>
          <w:rFonts w:ascii="Calibri" w:eastAsia="Calibri" w:hAnsi="Calibri" w:cs="Times New Roman"/>
          <w:sz w:val="20"/>
          <w:szCs w:val="20"/>
          <w:lang w:val="en"/>
        </w:rPr>
        <w:t xml:space="preserve">Fig.52 </w:t>
      </w:r>
      <w:r w:rsidR="00FE7E16">
        <w:rPr>
          <w:rFonts w:ascii="Calibri" w:eastAsia="Calibri" w:hAnsi="Calibri" w:cs="Times New Roman"/>
          <w:sz w:val="20"/>
          <w:szCs w:val="20"/>
          <w:lang w:val="en"/>
        </w:rPr>
        <w:t>Five</w:t>
      </w:r>
      <w:r w:rsidRPr="00CF1D1E">
        <w:rPr>
          <w:rFonts w:ascii="Calibri" w:eastAsia="Calibri" w:hAnsi="Calibri" w:cs="Times New Roman"/>
          <w:sz w:val="20"/>
          <w:szCs w:val="20"/>
          <w:lang w:val="en"/>
        </w:rPr>
        <w:t xml:space="preserve"> example chromatograms acquired in HDMS</w:t>
      </w:r>
      <w:r w:rsidRPr="00CF1D1E">
        <w:rPr>
          <w:rFonts w:ascii="Calibri" w:eastAsia="Calibri" w:hAnsi="Calibri" w:cs="Times New Roman"/>
          <w:sz w:val="20"/>
          <w:szCs w:val="20"/>
          <w:vertAlign w:val="superscript"/>
          <w:lang w:val="en"/>
        </w:rPr>
        <w:t>e</w:t>
      </w:r>
      <w:r w:rsidRPr="00CF1D1E">
        <w:rPr>
          <w:rFonts w:ascii="Calibri" w:eastAsia="Calibri" w:hAnsi="Calibri" w:cs="Times New Roman"/>
          <w:sz w:val="20"/>
          <w:szCs w:val="20"/>
          <w:lang w:val="en"/>
        </w:rPr>
        <w:t xml:space="preserve"> mode. From top to bottom</w:t>
      </w:r>
      <w:bookmarkEnd w:id="1"/>
      <w:r w:rsidRPr="00CF1D1E">
        <w:rPr>
          <w:rFonts w:ascii="Calibri" w:eastAsia="Calibri" w:hAnsi="Calibri" w:cs="Times New Roman"/>
          <w:sz w:val="20"/>
          <w:szCs w:val="20"/>
          <w:lang w:val="en"/>
        </w:rPr>
        <w:t xml:space="preserve"> they are Wild Garlic leaf, Nettle, Gorse stem, Gorse flower and Alexanders.</w:t>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noProof/>
          <w:lang w:eastAsia="en-GB"/>
        </w:rPr>
        <w:lastRenderedPageBreak/>
        <w:drawing>
          <wp:inline distT="0" distB="0" distL="0" distR="0" wp14:anchorId="1DF5A30D" wp14:editId="737CE942">
            <wp:extent cx="5751783" cy="6231988"/>
            <wp:effectExtent l="0" t="0" r="190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83722" cy="6266594"/>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spacing w:line="360" w:lineRule="auto"/>
        <w:rPr>
          <w:rFonts w:ascii="Calibri" w:eastAsia="Calibri" w:hAnsi="Calibri" w:cs="Times New Roman"/>
          <w:sz w:val="20"/>
          <w:szCs w:val="20"/>
          <w:lang w:val="en"/>
        </w:rPr>
      </w:pPr>
      <w:r w:rsidRPr="00CF1D1E">
        <w:rPr>
          <w:rFonts w:ascii="Calibri" w:eastAsia="Calibri" w:hAnsi="Calibri" w:cs="Times New Roman"/>
          <w:sz w:val="20"/>
          <w:szCs w:val="20"/>
          <w:lang w:val="en"/>
        </w:rPr>
        <w:t xml:space="preserve">Fig.53 </w:t>
      </w:r>
      <w:r w:rsidR="00FE7E16">
        <w:rPr>
          <w:rFonts w:ascii="Calibri" w:eastAsia="Calibri" w:hAnsi="Calibri" w:cs="Times New Roman"/>
          <w:sz w:val="20"/>
          <w:szCs w:val="20"/>
          <w:lang w:val="en"/>
        </w:rPr>
        <w:t>Four</w:t>
      </w:r>
      <w:r w:rsidRPr="00CF1D1E">
        <w:rPr>
          <w:rFonts w:ascii="Calibri" w:eastAsia="Calibri" w:hAnsi="Calibri" w:cs="Times New Roman"/>
          <w:sz w:val="20"/>
          <w:szCs w:val="20"/>
          <w:lang w:val="en"/>
        </w:rPr>
        <w:t xml:space="preserve"> example chromatograms acquired in HDMS</w:t>
      </w:r>
      <w:r w:rsidRPr="00CF1D1E">
        <w:rPr>
          <w:rFonts w:ascii="Calibri" w:eastAsia="Calibri" w:hAnsi="Calibri" w:cs="Times New Roman"/>
          <w:sz w:val="20"/>
          <w:szCs w:val="20"/>
          <w:vertAlign w:val="superscript"/>
          <w:lang w:val="en"/>
        </w:rPr>
        <w:t>e</w:t>
      </w:r>
      <w:r w:rsidRPr="00CF1D1E">
        <w:rPr>
          <w:rFonts w:ascii="Calibri" w:eastAsia="Calibri" w:hAnsi="Calibri" w:cs="Times New Roman"/>
          <w:sz w:val="20"/>
          <w:szCs w:val="20"/>
          <w:lang w:val="en"/>
        </w:rPr>
        <w:t xml:space="preserve"> mode. From top to bottom they are Green Tea (benchmark), Pepper Dulse, Gutweed and a blank.</w:t>
      </w:r>
    </w:p>
    <w:p w:rsidR="00CF1D1E" w:rsidRPr="00CF1D1E" w:rsidRDefault="00CF1D1E" w:rsidP="00CF1D1E">
      <w:pPr>
        <w:rPr>
          <w:rFonts w:ascii="Calibri" w:eastAsia="Calibri" w:hAnsi="Calibri" w:cs="Times New Roman"/>
          <w:b/>
          <w:sz w:val="36"/>
          <w:szCs w:val="36"/>
        </w:rPr>
      </w:pPr>
      <w:r w:rsidRPr="00CF1D1E">
        <w:rPr>
          <w:rFonts w:ascii="Calibri" w:eastAsia="Calibri" w:hAnsi="Calibri" w:cs="Times New Roman"/>
          <w:b/>
          <w:sz w:val="36"/>
          <w:szCs w:val="36"/>
        </w:rPr>
        <w:br w:type="page"/>
      </w:r>
    </w:p>
    <w:p w:rsidR="00CF1D1E" w:rsidRPr="00CF1D1E" w:rsidRDefault="00CF1D1E" w:rsidP="00CF1D1E">
      <w:pPr>
        <w:spacing w:line="360" w:lineRule="auto"/>
        <w:rPr>
          <w:rFonts w:ascii="Calibri" w:eastAsia="Calibri" w:hAnsi="Calibri" w:cs="Times New Roman"/>
          <w:sz w:val="20"/>
          <w:szCs w:val="20"/>
          <w:lang w:val="en"/>
        </w:rPr>
        <w:sectPr w:rsidR="00CF1D1E" w:rsidRPr="00CF1D1E" w:rsidSect="00C8289C">
          <w:pgSz w:w="11906" w:h="16838" w:code="9"/>
          <w:pgMar w:top="1440" w:right="1440" w:bottom="1440" w:left="1440" w:header="709" w:footer="709" w:gutter="0"/>
          <w:cols w:space="708"/>
          <w:docGrid w:linePitch="360"/>
        </w:sectPr>
      </w:pPr>
    </w:p>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ab/>
      </w:r>
      <w:r w:rsidRPr="00CF1D1E">
        <w:rPr>
          <w:rFonts w:ascii="Calibri" w:eastAsia="Calibri" w:hAnsi="Calibri" w:cs="Times New Roman"/>
          <w:sz w:val="24"/>
          <w:szCs w:val="24"/>
          <w:lang w:val="en"/>
        </w:rPr>
        <w:tab/>
      </w:r>
      <w:r w:rsidR="00ED3DC7" w:rsidRPr="00ED3DC7">
        <w:rPr>
          <w:noProof/>
          <w:lang w:eastAsia="en-GB"/>
        </w:rPr>
        <w:drawing>
          <wp:inline distT="0" distB="0" distL="0" distR="0">
            <wp:extent cx="5607586" cy="3978980"/>
            <wp:effectExtent l="0" t="0" r="0" b="254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9137" cy="3987176"/>
                    </a:xfrm>
                    <a:prstGeom prst="rect">
                      <a:avLst/>
                    </a:prstGeom>
                    <a:noFill/>
                    <a:ln>
                      <a:noFill/>
                    </a:ln>
                  </pic:spPr>
                </pic:pic>
              </a:graphicData>
            </a:graphic>
          </wp:inline>
        </w:drawing>
      </w:r>
    </w:p>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FE7E16" w:rsidP="00CF1D1E">
      <w:pPr>
        <w:spacing w:line="360" w:lineRule="auto"/>
        <w:ind w:left="1440"/>
        <w:rPr>
          <w:rFonts w:ascii="Calibri" w:eastAsia="Calibri" w:hAnsi="Calibri" w:cs="Times New Roman"/>
          <w:sz w:val="20"/>
          <w:szCs w:val="20"/>
          <w:lang w:val="en"/>
        </w:rPr>
      </w:pPr>
      <w:r>
        <w:rPr>
          <w:rFonts w:ascii="Calibri" w:eastAsia="Calibri" w:hAnsi="Calibri" w:cs="Times New Roman"/>
          <w:sz w:val="20"/>
          <w:szCs w:val="20"/>
          <w:lang w:val="en"/>
        </w:rPr>
        <w:t>Tab.28</w:t>
      </w:r>
      <w:r w:rsidR="00CF1D1E" w:rsidRPr="00CF1D1E">
        <w:rPr>
          <w:rFonts w:ascii="Calibri" w:eastAsia="Calibri" w:hAnsi="Calibri" w:cs="Times New Roman"/>
          <w:sz w:val="20"/>
          <w:szCs w:val="20"/>
          <w:lang w:val="en"/>
        </w:rPr>
        <w:t xml:space="preserve"> </w:t>
      </w:r>
      <w:r w:rsidR="00067724">
        <w:rPr>
          <w:rFonts w:ascii="Calibri" w:eastAsia="Calibri" w:hAnsi="Calibri" w:cs="Times New Roman"/>
          <w:sz w:val="20"/>
          <w:szCs w:val="20"/>
        </w:rPr>
        <w:t>T</w:t>
      </w:r>
      <w:r w:rsidR="00EE1077" w:rsidRPr="00EE1077">
        <w:rPr>
          <w:rFonts w:ascii="Calibri" w:eastAsia="Calibri" w:hAnsi="Calibri" w:cs="Times New Roman"/>
          <w:sz w:val="20"/>
          <w:szCs w:val="20"/>
        </w:rPr>
        <w:t xml:space="preserve">op 20 </w:t>
      </w:r>
      <w:r w:rsidR="00E514DC">
        <w:rPr>
          <w:rFonts w:ascii="Calibri" w:eastAsia="Calibri" w:hAnsi="Calibri" w:cs="Times New Roman"/>
          <w:sz w:val="20"/>
          <w:szCs w:val="20"/>
        </w:rPr>
        <w:t xml:space="preserve">scores showing </w:t>
      </w:r>
      <w:r w:rsidR="00EE1077" w:rsidRPr="00EE1077">
        <w:rPr>
          <w:rFonts w:ascii="Calibri" w:eastAsia="Calibri" w:hAnsi="Calibri" w:cs="Times New Roman"/>
          <w:sz w:val="20"/>
          <w:szCs w:val="20"/>
        </w:rPr>
        <w:t xml:space="preserve">ANOVA (p), q Values, Max Fold Change, Scores and Accepted ID for </w:t>
      </w:r>
      <w:r w:rsidR="00EE1077">
        <w:rPr>
          <w:rFonts w:ascii="Calibri" w:eastAsia="Calibri" w:hAnsi="Calibri" w:cs="Times New Roman"/>
          <w:sz w:val="20"/>
          <w:szCs w:val="20"/>
        </w:rPr>
        <w:t>plant</w:t>
      </w:r>
      <w:r w:rsidR="00EE1077" w:rsidRPr="00EE1077">
        <w:rPr>
          <w:rFonts w:ascii="Calibri" w:eastAsia="Calibri" w:hAnsi="Calibri" w:cs="Times New Roman"/>
          <w:sz w:val="20"/>
          <w:szCs w:val="20"/>
        </w:rPr>
        <w:t xml:space="preserve"> sample extracts</w:t>
      </w:r>
      <w:r w:rsidR="007807A2">
        <w:rPr>
          <w:rFonts w:ascii="Calibri" w:eastAsia="Calibri" w:hAnsi="Calibri" w:cs="Times New Roman"/>
          <w:sz w:val="20"/>
          <w:szCs w:val="20"/>
          <w:lang w:val="en"/>
        </w:rPr>
        <w:t xml:space="preserve"> (S</w:t>
      </w:r>
      <w:r w:rsidR="008D4D25">
        <w:rPr>
          <w:rFonts w:ascii="Calibri" w:eastAsia="Calibri" w:hAnsi="Calibri" w:cs="Times New Roman"/>
          <w:sz w:val="20"/>
          <w:szCs w:val="20"/>
          <w:lang w:val="en"/>
        </w:rPr>
        <w:t>ame order as Tab.27</w:t>
      </w:r>
      <w:r w:rsidR="007807A2">
        <w:rPr>
          <w:rFonts w:ascii="Calibri" w:eastAsia="Calibri" w:hAnsi="Calibri" w:cs="Times New Roman"/>
          <w:sz w:val="20"/>
          <w:szCs w:val="20"/>
          <w:lang w:val="en"/>
        </w:rPr>
        <w:t>).</w:t>
      </w:r>
      <w:r w:rsidR="00CF1D1E" w:rsidRPr="00CF1D1E">
        <w:rPr>
          <w:rFonts w:ascii="Calibri" w:eastAsia="Calibri" w:hAnsi="Calibri" w:cs="Times New Roman"/>
          <w:sz w:val="20"/>
          <w:szCs w:val="20"/>
          <w:lang w:val="en"/>
        </w:rPr>
        <w:t xml:space="preserve"> These values were used for quality control prior to selection of candidates for this targeted work.</w:t>
      </w:r>
    </w:p>
    <w:p w:rsidR="00CF1D1E" w:rsidRPr="00CF1D1E" w:rsidRDefault="00CF1D1E" w:rsidP="00CF1D1E">
      <w:pPr>
        <w:spacing w:line="360" w:lineRule="auto"/>
        <w:ind w:left="1440"/>
        <w:rPr>
          <w:rFonts w:ascii="Calibri" w:eastAsia="Calibri" w:hAnsi="Calibri" w:cs="Times New Roman"/>
          <w:sz w:val="20"/>
          <w:szCs w:val="20"/>
          <w:lang w:val="en"/>
        </w:rPr>
      </w:pPr>
    </w:p>
    <w:p w:rsidR="00CF1D1E" w:rsidRPr="00CF1D1E" w:rsidRDefault="00CF1D1E" w:rsidP="00CF1D1E">
      <w:pPr>
        <w:spacing w:line="360" w:lineRule="auto"/>
        <w:rPr>
          <w:rFonts w:ascii="Calibri" w:eastAsia="Calibri" w:hAnsi="Calibri" w:cs="Times New Roman"/>
          <w:sz w:val="20"/>
          <w:szCs w:val="20"/>
          <w:lang w:val="en"/>
        </w:rPr>
        <w:sectPr w:rsidR="00CF1D1E" w:rsidRPr="00CF1D1E" w:rsidSect="00C8289C">
          <w:pgSz w:w="11906" w:h="16838" w:code="9"/>
          <w:pgMar w:top="1418" w:right="567" w:bottom="567" w:left="0" w:header="709" w:footer="709" w:gutter="0"/>
          <w:cols w:space="708"/>
          <w:docGrid w:linePitch="360"/>
        </w:sectPr>
      </w:pPr>
    </w:p>
    <w:p w:rsidR="00CF1D1E" w:rsidRPr="00CF1D1E" w:rsidRDefault="00CF1D1E" w:rsidP="00CF1D1E">
      <w:pPr>
        <w:rPr>
          <w:rFonts w:ascii="Calibri" w:eastAsia="Calibri" w:hAnsi="Calibri" w:cs="Times New Roman"/>
          <w:sz w:val="24"/>
          <w:szCs w:val="24"/>
          <w:lang w:val="en"/>
        </w:rPr>
      </w:pPr>
    </w:p>
    <w:p w:rsidR="00CF1D1E" w:rsidRPr="00CF1D1E" w:rsidRDefault="00CF1D1E" w:rsidP="00CF1D1E">
      <w:pPr>
        <w:ind w:left="1440"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mc:AlternateContent>
          <mc:Choice Requires="wps">
            <w:drawing>
              <wp:anchor distT="45720" distB="45720" distL="114300" distR="114300" simplePos="0" relativeHeight="251662336" behindDoc="0" locked="0" layoutInCell="1" allowOverlap="1" wp14:anchorId="7F27A38B" wp14:editId="2EB9FBE4">
                <wp:simplePos x="0" y="0"/>
                <wp:positionH relativeFrom="column">
                  <wp:posOffset>4916805</wp:posOffset>
                </wp:positionH>
                <wp:positionV relativeFrom="paragraph">
                  <wp:posOffset>584835</wp:posOffset>
                </wp:positionV>
                <wp:extent cx="605155" cy="7452360"/>
                <wp:effectExtent l="0" t="0" r="444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7452360"/>
                        </a:xfrm>
                        <a:prstGeom prst="rect">
                          <a:avLst/>
                        </a:prstGeom>
                        <a:solidFill>
                          <a:srgbClr val="FFFFFF"/>
                        </a:solidFill>
                        <a:ln w="9525">
                          <a:noFill/>
                          <a:miter lim="800000"/>
                          <a:headEnd/>
                          <a:tailEnd/>
                        </a:ln>
                      </wps:spPr>
                      <wps:txbx>
                        <w:txbxContent>
                          <w:p w:rsidR="00D842A6" w:rsidRPr="00482B2E" w:rsidRDefault="00D842A6" w:rsidP="00CF1D1E">
                            <w:pPr>
                              <w:spacing w:line="360" w:lineRule="auto"/>
                              <w:jc w:val="both"/>
                              <w:rPr>
                                <w:sz w:val="20"/>
                                <w:szCs w:val="20"/>
                                <w:lang w:val="en"/>
                              </w:rPr>
                            </w:pPr>
                            <w:r>
                              <w:rPr>
                                <w:sz w:val="20"/>
                                <w:szCs w:val="20"/>
                                <w:lang w:val="en"/>
                              </w:rPr>
                              <w:t>Fig. 56 N</w:t>
                            </w:r>
                            <w:r w:rsidRPr="00E862E3">
                              <w:rPr>
                                <w:sz w:val="20"/>
                                <w:szCs w:val="20"/>
                                <w:lang w:val="en"/>
                              </w:rPr>
                              <w:t xml:space="preserve">ormalised abundance profile of Rutin in the plant sample extracts. Nettle and to a lesser extent Gorse Flower are seen to contain this polyphenol. </w:t>
                            </w:r>
                            <w:r w:rsidRPr="00A212EB">
                              <w:rPr>
                                <w:sz w:val="20"/>
                                <w:szCs w:val="20"/>
                                <w:lang w:val="en"/>
                                <w14:textOutline w14:w="9525" w14:cap="rnd" w14:cmpd="sng" w14:algn="ctr">
                                  <w14:noFill/>
                                  <w14:prstDash w14:val="solid"/>
                                  <w14:bevel/>
                                </w14:textOutline>
                              </w:rPr>
                              <w:t>Green</w:t>
                            </w:r>
                            <w:r w:rsidRPr="00E862E3">
                              <w:rPr>
                                <w:sz w:val="20"/>
                                <w:szCs w:val="20"/>
                                <w:lang w:val="en"/>
                              </w:rPr>
                              <w:t xml:space="preserve"> Tea, which is as a bench mark extract, is shown to contain Rutin too as expected.</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7A38B" id="_x0000_s1028" type="#_x0000_t202" style="position:absolute;left:0;text-align:left;margin-left:387.15pt;margin-top:46.05pt;width:47.65pt;height:586.8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" stroked="f">
                <v:textbox style="layout-flow:vertical;mso-layout-flow-alt:bottom-to-top">
                  <w:txbxContent>
                    <w:p w:rsidR="00D842A6" w:rsidRPr="00482B2E" w:rsidRDefault="00D842A6" w:rsidP="00CF1D1E">
                      <w:pPr>
                        <w:spacing w:line="360" w:lineRule="auto"/>
                        <w:jc w:val="both"/>
                        <w:rPr>
                          <w:sz w:val="20"/>
                          <w:szCs w:val="20"/>
                          <w:lang w:val="en"/>
                        </w:rPr>
                      </w:pPr>
                      <w:r>
                        <w:rPr>
                          <w:sz w:val="20"/>
                          <w:szCs w:val="20"/>
                          <w:lang w:val="en"/>
                        </w:rPr>
                        <w:t>Fig. 56 N</w:t>
                      </w:r>
                      <w:r w:rsidRPr="00E862E3">
                        <w:rPr>
                          <w:sz w:val="20"/>
                          <w:szCs w:val="20"/>
                          <w:lang w:val="en"/>
                        </w:rPr>
                        <w:t xml:space="preserve">ormalised abundance profile of Rutin in the plant sample extracts. Nettle and to a lesser extent Gorse Flower are seen to contain this polyphenol. </w:t>
                      </w:r>
                      <w:r w:rsidRPr="00A212EB">
                        <w:rPr>
                          <w:sz w:val="20"/>
                          <w:szCs w:val="20"/>
                          <w:lang w:val="en"/>
                          <w14:textOutline w14:w="9525" w14:cap="rnd" w14:cmpd="sng" w14:algn="ctr">
                            <w14:noFill/>
                            <w14:prstDash w14:val="solid"/>
                            <w14:bevel/>
                          </w14:textOutline>
                        </w:rPr>
                        <w:t>Green</w:t>
                      </w:r>
                      <w:r w:rsidRPr="00E862E3">
                        <w:rPr>
                          <w:sz w:val="20"/>
                          <w:szCs w:val="20"/>
                          <w:lang w:val="en"/>
                        </w:rPr>
                        <w:t xml:space="preserve"> Tea, which is as a bench mark extract, is shown to contain Rutin too as expected.</w:t>
                      </w:r>
                    </w:p>
                    <w:p w:rsidR="00D842A6" w:rsidRDefault="00D842A6" w:rsidP="00CF1D1E"/>
                  </w:txbxContent>
                </v:textbox>
                <w10:wrap type="square"/>
              </v:shape>
            </w:pict>
          </mc:Fallback>
        </mc:AlternateContent>
      </w:r>
      <w:r w:rsidRPr="00CF1D1E">
        <w:rPr>
          <w:rFonts w:ascii="Calibri" w:eastAsia="Calibri" w:hAnsi="Calibri" w:cs="Times New Roman"/>
          <w:noProof/>
          <w:sz w:val="24"/>
          <w:szCs w:val="24"/>
          <w:lang w:eastAsia="en-GB"/>
        </w:rPr>
        <w:drawing>
          <wp:inline distT="0" distB="0" distL="0" distR="0" wp14:anchorId="30011EFD" wp14:editId="360E9C7D">
            <wp:extent cx="8391055" cy="2426023"/>
            <wp:effectExtent l="0" t="8255" r="190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utin Normalised Abundance Profile NEW.png"/>
                    <pic:cNvPicPr/>
                  </pic:nvPicPr>
                  <pic:blipFill>
                    <a:blip r:embed="rId88">
                      <a:extLst>
                        <a:ext uri="{28A0092B-C50C-407E-A947-70E740481C1C}">
                          <a14:useLocalDpi xmlns:a14="http://schemas.microsoft.com/office/drawing/2010/main" val="0"/>
                        </a:ext>
                      </a:extLst>
                    </a:blip>
                    <a:stretch>
                      <a:fillRect/>
                    </a:stretch>
                  </pic:blipFill>
                  <pic:spPr>
                    <a:xfrm rot="16200000">
                      <a:off x="0" y="0"/>
                      <a:ext cx="8461046" cy="2446259"/>
                    </a:xfrm>
                    <a:prstGeom prst="rect">
                      <a:avLst/>
                    </a:prstGeom>
                  </pic:spPr>
                </pic:pic>
              </a:graphicData>
            </a:graphic>
          </wp:inline>
        </w:drawing>
      </w:r>
    </w:p>
    <w:p w:rsidR="00CF1D1E" w:rsidRPr="00CF1D1E" w:rsidRDefault="00CF1D1E" w:rsidP="00CF1D1E">
      <w:pPr>
        <w:ind w:left="1440"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663360" behindDoc="0" locked="0" layoutInCell="1" allowOverlap="1" wp14:anchorId="6996334F" wp14:editId="423B5DFA">
                <wp:simplePos x="0" y="0"/>
                <wp:positionH relativeFrom="margin">
                  <wp:posOffset>5006975</wp:posOffset>
                </wp:positionH>
                <wp:positionV relativeFrom="paragraph">
                  <wp:posOffset>43180</wp:posOffset>
                </wp:positionV>
                <wp:extent cx="544195" cy="8227060"/>
                <wp:effectExtent l="0" t="0" r="8255" b="254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 cy="8227060"/>
                        </a:xfrm>
                        <a:prstGeom prst="rect">
                          <a:avLst/>
                        </a:prstGeom>
                        <a:solidFill>
                          <a:srgbClr val="FFFFFF"/>
                        </a:solidFill>
                        <a:ln w="9525">
                          <a:noFill/>
                          <a:miter lim="800000"/>
                          <a:headEnd/>
                          <a:tailEnd/>
                        </a:ln>
                      </wps:spPr>
                      <wps:txbx>
                        <w:txbxContent>
                          <w:p w:rsidR="00D842A6" w:rsidRPr="00E862E3" w:rsidRDefault="00D842A6" w:rsidP="00CF1D1E">
                            <w:pPr>
                              <w:spacing w:line="360" w:lineRule="auto"/>
                              <w:jc w:val="both"/>
                              <w:rPr>
                                <w:sz w:val="20"/>
                                <w:szCs w:val="20"/>
                                <w:lang w:val="en"/>
                              </w:rPr>
                            </w:pPr>
                            <w:r>
                              <w:rPr>
                                <w:sz w:val="20"/>
                                <w:szCs w:val="20"/>
                                <w:lang w:val="en"/>
                              </w:rPr>
                              <w:t>Fig. 57 N</w:t>
                            </w:r>
                            <w:r w:rsidRPr="00E862E3">
                              <w:rPr>
                                <w:sz w:val="20"/>
                                <w:szCs w:val="20"/>
                                <w:lang w:val="en"/>
                              </w:rPr>
                              <w:t xml:space="preserve">ormalised abundance profile of </w:t>
                            </w:r>
                            <w:r w:rsidRPr="00E862E3">
                              <w:rPr>
                                <w:sz w:val="20"/>
                                <w:szCs w:val="20"/>
                              </w:rPr>
                              <w:t>Matairesinol</w:t>
                            </w:r>
                            <w:r w:rsidRPr="00E862E3">
                              <w:rPr>
                                <w:sz w:val="20"/>
                                <w:szCs w:val="20"/>
                                <w:lang w:val="en"/>
                              </w:rPr>
                              <w:t xml:space="preserve"> in the plant sample extracts. Gorse Stem can be seen to contain this polyphenol in an abundance much greater than the other extracts.</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6334F" id="_x0000_s1029" type="#_x0000_t202" style="position:absolute;left:0;text-align:left;margin-left:394.25pt;margin-top:3.4pt;width:42.85pt;height:647.8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" stroked="f">
                <v:textbox style="layout-flow:vertical;mso-layout-flow-alt:bottom-to-top">
                  <w:txbxContent>
                    <w:p w:rsidR="00D842A6" w:rsidRPr="00E862E3" w:rsidRDefault="00D842A6" w:rsidP="00CF1D1E">
                      <w:pPr>
                        <w:spacing w:line="360" w:lineRule="auto"/>
                        <w:jc w:val="both"/>
                        <w:rPr>
                          <w:sz w:val="20"/>
                          <w:szCs w:val="20"/>
                          <w:lang w:val="en"/>
                        </w:rPr>
                      </w:pPr>
                      <w:r>
                        <w:rPr>
                          <w:sz w:val="20"/>
                          <w:szCs w:val="20"/>
                          <w:lang w:val="en"/>
                        </w:rPr>
                        <w:t>Fig. 57 N</w:t>
                      </w:r>
                      <w:r w:rsidRPr="00E862E3">
                        <w:rPr>
                          <w:sz w:val="20"/>
                          <w:szCs w:val="20"/>
                          <w:lang w:val="en"/>
                        </w:rPr>
                        <w:t xml:space="preserve">ormalised abundance profile of </w:t>
                      </w:r>
                      <w:r w:rsidRPr="00E862E3">
                        <w:rPr>
                          <w:sz w:val="20"/>
                          <w:szCs w:val="20"/>
                        </w:rPr>
                        <w:t>Matairesinol</w:t>
                      </w:r>
                      <w:r w:rsidRPr="00E862E3">
                        <w:rPr>
                          <w:sz w:val="20"/>
                          <w:szCs w:val="20"/>
                          <w:lang w:val="en"/>
                        </w:rPr>
                        <w:t xml:space="preserve"> in the plant sample extracts. Gorse Stem can be seen to contain this polyphenol in an abundance much greater than the other extracts.</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7A911875" wp14:editId="2B643C23">
            <wp:extent cx="8656969" cy="2476668"/>
            <wp:effectExtent l="4128"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tairesinol Normalised Abundance Profile NEW.png"/>
                    <pic:cNvPicPr/>
                  </pic:nvPicPr>
                  <pic:blipFill>
                    <a:blip r:embed="rId89">
                      <a:extLst>
                        <a:ext uri="{28A0092B-C50C-407E-A947-70E740481C1C}">
                          <a14:useLocalDpi xmlns:a14="http://schemas.microsoft.com/office/drawing/2010/main" val="0"/>
                        </a:ext>
                      </a:extLst>
                    </a:blip>
                    <a:stretch>
                      <a:fillRect/>
                    </a:stretch>
                  </pic:blipFill>
                  <pic:spPr>
                    <a:xfrm rot="16200000">
                      <a:off x="0" y="0"/>
                      <a:ext cx="8739148" cy="2500179"/>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lang w:val="en"/>
        </w:rPr>
        <w:sectPr w:rsidR="00CF1D1E" w:rsidRPr="00CF1D1E" w:rsidSect="00C8289C">
          <w:pgSz w:w="11906" w:h="16838" w:code="9"/>
          <w:pgMar w:top="1440" w:right="567" w:bottom="1440" w:left="1440" w:header="709" w:footer="709" w:gutter="0"/>
          <w:cols w:space="708"/>
          <w:docGrid w:linePitch="360"/>
        </w:sectPr>
      </w:pPr>
    </w:p>
    <w:p w:rsidR="00CF1D1E" w:rsidRPr="00CF1D1E" w:rsidRDefault="00CF1D1E" w:rsidP="00CF1D1E">
      <w:pPr>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The following images a</w:t>
      </w:r>
      <w:r w:rsidR="00E12892">
        <w:rPr>
          <w:rFonts w:ascii="Calibri" w:eastAsia="Calibri" w:hAnsi="Calibri" w:cs="Times New Roman"/>
          <w:sz w:val="24"/>
          <w:szCs w:val="24"/>
          <w:lang w:val="en"/>
        </w:rPr>
        <w:t xml:space="preserve">re to illustrate </w:t>
      </w:r>
      <w:r w:rsidR="00BE3E8C">
        <w:rPr>
          <w:rFonts w:ascii="Calibri" w:eastAsia="Calibri" w:hAnsi="Calibri" w:cs="Times New Roman"/>
          <w:sz w:val="24"/>
          <w:szCs w:val="24"/>
          <w:lang w:val="en"/>
        </w:rPr>
        <w:t>a selection of</w:t>
      </w:r>
      <w:r w:rsidRPr="00CF1D1E">
        <w:rPr>
          <w:rFonts w:ascii="Calibri" w:eastAsia="Calibri" w:hAnsi="Calibri" w:cs="Times New Roman"/>
          <w:sz w:val="24"/>
          <w:szCs w:val="24"/>
          <w:lang w:val="en"/>
        </w:rPr>
        <w:t xml:space="preserve"> polyphenols found in significant abundance and how </w:t>
      </w:r>
      <w:r w:rsidR="00BE3E8C">
        <w:rPr>
          <w:rFonts w:ascii="Calibri" w:eastAsia="Calibri" w:hAnsi="Calibri" w:cs="Times New Roman"/>
          <w:sz w:val="24"/>
          <w:szCs w:val="24"/>
          <w:lang w:val="en"/>
        </w:rPr>
        <w:t>their abundances</w:t>
      </w:r>
      <w:r w:rsidRPr="00CF1D1E">
        <w:rPr>
          <w:rFonts w:ascii="Calibri" w:eastAsia="Calibri" w:hAnsi="Calibri" w:cs="Times New Roman"/>
          <w:sz w:val="24"/>
          <w:szCs w:val="24"/>
          <w:lang w:val="en"/>
        </w:rPr>
        <w:t xml:space="preserve"> var</w:t>
      </w:r>
      <w:r w:rsidR="00BE3E8C">
        <w:rPr>
          <w:rFonts w:ascii="Calibri" w:eastAsia="Calibri" w:hAnsi="Calibri" w:cs="Times New Roman"/>
          <w:sz w:val="24"/>
          <w:szCs w:val="24"/>
          <w:lang w:val="en"/>
        </w:rPr>
        <w:t>y</w:t>
      </w:r>
      <w:r w:rsidRPr="00CF1D1E">
        <w:rPr>
          <w:rFonts w:ascii="Calibri" w:eastAsia="Calibri" w:hAnsi="Calibri" w:cs="Times New Roman"/>
          <w:sz w:val="24"/>
          <w:szCs w:val="24"/>
          <w:lang w:val="en"/>
        </w:rPr>
        <w:t xml:space="preserve"> across the </w:t>
      </w:r>
      <w:r w:rsidR="00722B40">
        <w:rPr>
          <w:rFonts w:ascii="Calibri" w:eastAsia="Calibri" w:hAnsi="Calibri" w:cs="Times New Roman"/>
          <w:sz w:val="24"/>
          <w:szCs w:val="24"/>
          <w:lang w:val="en"/>
        </w:rPr>
        <w:t xml:space="preserve">plant </w:t>
      </w:r>
      <w:r w:rsidRPr="00CF1D1E">
        <w:rPr>
          <w:rFonts w:ascii="Calibri" w:eastAsia="Calibri" w:hAnsi="Calibri" w:cs="Times New Roman"/>
          <w:sz w:val="24"/>
          <w:szCs w:val="24"/>
          <w:lang w:val="en"/>
        </w:rPr>
        <w:t>extracts.</w:t>
      </w:r>
    </w:p>
    <w:p w:rsidR="00CF1D1E" w:rsidRPr="00CF1D1E" w:rsidRDefault="00CF1D1E" w:rsidP="00CF1D1E">
      <w:pPr>
        <w:ind w:left="1440"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mc:AlternateContent>
          <mc:Choice Requires="wps">
            <w:drawing>
              <wp:anchor distT="45720" distB="45720" distL="114300" distR="114300" simplePos="0" relativeHeight="251664384" behindDoc="0" locked="0" layoutInCell="1" allowOverlap="1" wp14:anchorId="3F63D977" wp14:editId="749A8065">
                <wp:simplePos x="0" y="0"/>
                <wp:positionH relativeFrom="margin">
                  <wp:posOffset>4432533</wp:posOffset>
                </wp:positionH>
                <wp:positionV relativeFrom="paragraph">
                  <wp:posOffset>1150737</wp:posOffset>
                </wp:positionV>
                <wp:extent cx="739140" cy="651637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6516370"/>
                        </a:xfrm>
                        <a:prstGeom prst="rect">
                          <a:avLst/>
                        </a:prstGeom>
                        <a:noFill/>
                        <a:ln w="9525">
                          <a:noFill/>
                          <a:miter lim="800000"/>
                          <a:headEnd/>
                          <a:tailEnd/>
                        </a:ln>
                      </wps:spPr>
                      <wps:txbx>
                        <w:txbxContent>
                          <w:p w:rsidR="00D842A6" w:rsidRPr="00E862E3" w:rsidRDefault="00D842A6" w:rsidP="00CF1D1E">
                            <w:pPr>
                              <w:spacing w:line="360" w:lineRule="auto"/>
                              <w:jc w:val="both"/>
                              <w:rPr>
                                <w:sz w:val="20"/>
                                <w:szCs w:val="20"/>
                                <w:lang w:val="en"/>
                              </w:rPr>
                            </w:pPr>
                            <w:r>
                              <w:rPr>
                                <w:sz w:val="20"/>
                                <w:szCs w:val="20"/>
                                <w:lang w:val="en"/>
                              </w:rPr>
                              <w:t>Fig. 58 N</w:t>
                            </w:r>
                            <w:r w:rsidRPr="00E862E3">
                              <w:rPr>
                                <w:sz w:val="20"/>
                                <w:szCs w:val="20"/>
                                <w:lang w:val="en"/>
                              </w:rPr>
                              <w:t xml:space="preserve">ormalised abundance profile of </w:t>
                            </w:r>
                            <w:r w:rsidRPr="00E862E3">
                              <w:rPr>
                                <w:sz w:val="20"/>
                                <w:szCs w:val="20"/>
                              </w:rPr>
                              <w:t>Caffeic acid 3-O-glucuronide</w:t>
                            </w:r>
                            <w:r w:rsidRPr="00E862E3">
                              <w:rPr>
                                <w:sz w:val="20"/>
                                <w:szCs w:val="20"/>
                                <w:lang w:val="en"/>
                              </w:rPr>
                              <w:t xml:space="preserve"> in the plant sample extracts. </w:t>
                            </w:r>
                            <w:r w:rsidRPr="00E862E3">
                              <w:rPr>
                                <w:sz w:val="20"/>
                                <w:szCs w:val="20"/>
                              </w:rPr>
                              <w:t>Gut Weed and Pepper Dulse</w:t>
                            </w:r>
                            <w:r w:rsidRPr="00E862E3">
                              <w:rPr>
                                <w:sz w:val="20"/>
                                <w:szCs w:val="20"/>
                                <w:lang w:val="en"/>
                              </w:rPr>
                              <w:t xml:space="preserve"> can be seen to contain this polyphenol in an abundance much greater than the other extracts.</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63D977" id="_x0000_s1030" type="#_x0000_t202" style="position:absolute;left:0;text-align:left;margin-left:349pt;margin-top:90.6pt;width:58.2pt;height:513.1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" filled="f" stroked="f">
                <v:textbox style="layout-flow:vertical;mso-layout-flow-alt:bottom-to-top">
                  <w:txbxContent>
                    <w:p w:rsidR="00D842A6" w:rsidRPr="00E862E3" w:rsidRDefault="00D842A6" w:rsidP="00CF1D1E">
                      <w:pPr>
                        <w:spacing w:line="360" w:lineRule="auto"/>
                        <w:jc w:val="both"/>
                        <w:rPr>
                          <w:sz w:val="20"/>
                          <w:szCs w:val="20"/>
                          <w:lang w:val="en"/>
                        </w:rPr>
                      </w:pPr>
                      <w:r>
                        <w:rPr>
                          <w:sz w:val="20"/>
                          <w:szCs w:val="20"/>
                          <w:lang w:val="en"/>
                        </w:rPr>
                        <w:t>Fig. 58 N</w:t>
                      </w:r>
                      <w:r w:rsidRPr="00E862E3">
                        <w:rPr>
                          <w:sz w:val="20"/>
                          <w:szCs w:val="20"/>
                          <w:lang w:val="en"/>
                        </w:rPr>
                        <w:t xml:space="preserve">ormalised abundance profile of </w:t>
                      </w:r>
                      <w:r w:rsidRPr="00E862E3">
                        <w:rPr>
                          <w:sz w:val="20"/>
                          <w:szCs w:val="20"/>
                        </w:rPr>
                        <w:t>Caffeic acid 3-O-glucuronide</w:t>
                      </w:r>
                      <w:r w:rsidRPr="00E862E3">
                        <w:rPr>
                          <w:sz w:val="20"/>
                          <w:szCs w:val="20"/>
                          <w:lang w:val="en"/>
                        </w:rPr>
                        <w:t xml:space="preserve"> in the plant sample extracts. </w:t>
                      </w:r>
                      <w:r w:rsidRPr="00E862E3">
                        <w:rPr>
                          <w:sz w:val="20"/>
                          <w:szCs w:val="20"/>
                        </w:rPr>
                        <w:t>Gut Weed and Pepper Dulse</w:t>
                      </w:r>
                      <w:r w:rsidRPr="00E862E3">
                        <w:rPr>
                          <w:sz w:val="20"/>
                          <w:szCs w:val="20"/>
                          <w:lang w:val="en"/>
                        </w:rPr>
                        <w:t xml:space="preserve"> can be seen to contain this polyphenol in an abundance much greater than the other extracts.</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663C9E8C" wp14:editId="3E9B4471">
            <wp:extent cx="8158957" cy="2373745"/>
            <wp:effectExtent l="0" t="3175"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epper Dulse and Gutweed Caffeic acid 3-O-glucuronide norm Abundance Profile NEW.png"/>
                    <pic:cNvPicPr/>
                  </pic:nvPicPr>
                  <pic:blipFill>
                    <a:blip r:embed="rId90">
                      <a:extLst>
                        <a:ext uri="{28A0092B-C50C-407E-A947-70E740481C1C}">
                          <a14:useLocalDpi xmlns:a14="http://schemas.microsoft.com/office/drawing/2010/main" val="0"/>
                        </a:ext>
                      </a:extLst>
                    </a:blip>
                    <a:stretch>
                      <a:fillRect/>
                    </a:stretch>
                  </pic:blipFill>
                  <pic:spPr>
                    <a:xfrm rot="16200000">
                      <a:off x="0" y="0"/>
                      <a:ext cx="8262192" cy="2403780"/>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lang w:val="en"/>
        </w:rPr>
      </w:pPr>
    </w:p>
    <w:p w:rsidR="00CF1D1E" w:rsidRPr="00CF1D1E" w:rsidRDefault="00CF1D1E" w:rsidP="00CF1D1E">
      <w:pPr>
        <w:ind w:left="1440"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mc:AlternateContent>
          <mc:Choice Requires="wps">
            <w:drawing>
              <wp:anchor distT="45720" distB="45720" distL="114300" distR="114300" simplePos="0" relativeHeight="251665408" behindDoc="0" locked="0" layoutInCell="1" allowOverlap="1" wp14:anchorId="659D65E3" wp14:editId="625A9034">
                <wp:simplePos x="0" y="0"/>
                <wp:positionH relativeFrom="column">
                  <wp:posOffset>4814570</wp:posOffset>
                </wp:positionH>
                <wp:positionV relativeFrom="paragraph">
                  <wp:posOffset>1433195</wp:posOffset>
                </wp:positionV>
                <wp:extent cx="671195" cy="6350000"/>
                <wp:effectExtent l="0" t="0" r="0" b="0"/>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195" cy="6350000"/>
                        </a:xfrm>
                        <a:prstGeom prst="rect">
                          <a:avLst/>
                        </a:prstGeom>
                        <a:solidFill>
                          <a:srgbClr val="FFFFFF"/>
                        </a:solidFill>
                        <a:ln w="9525">
                          <a:noFill/>
                          <a:miter lim="800000"/>
                          <a:headEnd/>
                          <a:tailEnd/>
                        </a:ln>
                      </wps:spPr>
                      <wps:txbx>
                        <w:txbxContent>
                          <w:p w:rsidR="00D842A6" w:rsidRPr="00E862E3" w:rsidRDefault="00D842A6" w:rsidP="00CF1D1E">
                            <w:pPr>
                              <w:spacing w:line="360" w:lineRule="auto"/>
                              <w:jc w:val="both"/>
                              <w:rPr>
                                <w:sz w:val="20"/>
                                <w:szCs w:val="20"/>
                                <w:lang w:val="en"/>
                              </w:rPr>
                            </w:pPr>
                            <w:r>
                              <w:rPr>
                                <w:sz w:val="20"/>
                                <w:szCs w:val="20"/>
                                <w:lang w:val="en"/>
                              </w:rPr>
                              <w:t>Fig. 59 N</w:t>
                            </w:r>
                            <w:r w:rsidRPr="00E862E3">
                              <w:rPr>
                                <w:sz w:val="20"/>
                                <w:szCs w:val="20"/>
                                <w:lang w:val="en"/>
                              </w:rPr>
                              <w:t xml:space="preserve">ormalised abundance profile of </w:t>
                            </w:r>
                            <w:r w:rsidRPr="00E862E3">
                              <w:rPr>
                                <w:sz w:val="20"/>
                                <w:szCs w:val="20"/>
                              </w:rPr>
                              <w:t>Chlorogenic acid</w:t>
                            </w:r>
                            <w:r w:rsidRPr="00E862E3">
                              <w:rPr>
                                <w:sz w:val="20"/>
                                <w:szCs w:val="20"/>
                                <w:lang w:val="en"/>
                              </w:rPr>
                              <w:t xml:space="preserve"> in the plant sample extracts. </w:t>
                            </w:r>
                            <w:r w:rsidRPr="00E862E3">
                              <w:rPr>
                                <w:sz w:val="20"/>
                                <w:szCs w:val="20"/>
                              </w:rPr>
                              <w:t>Alexander leaf and Nettle</w:t>
                            </w:r>
                            <w:r w:rsidRPr="00E862E3">
                              <w:rPr>
                                <w:sz w:val="20"/>
                                <w:szCs w:val="20"/>
                                <w:lang w:val="en"/>
                              </w:rPr>
                              <w:t xml:space="preserve"> can be seen to contain this polyphenol in an abundance much greater than the other extracts.</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D65E3" id="_x0000_s1031" type="#_x0000_t202" style="position:absolute;left:0;text-align:left;margin-left:379.1pt;margin-top:112.85pt;width:52.85pt;height:500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" stroked="f">
                <v:textbox style="layout-flow:vertical;mso-layout-flow-alt:bottom-to-top">
                  <w:txbxContent>
                    <w:p w:rsidR="00D842A6" w:rsidRPr="00E862E3" w:rsidRDefault="00D842A6" w:rsidP="00CF1D1E">
                      <w:pPr>
                        <w:spacing w:line="360" w:lineRule="auto"/>
                        <w:jc w:val="both"/>
                        <w:rPr>
                          <w:sz w:val="20"/>
                          <w:szCs w:val="20"/>
                          <w:lang w:val="en"/>
                        </w:rPr>
                      </w:pPr>
                      <w:r>
                        <w:rPr>
                          <w:sz w:val="20"/>
                          <w:szCs w:val="20"/>
                          <w:lang w:val="en"/>
                        </w:rPr>
                        <w:t>Fig. 59 N</w:t>
                      </w:r>
                      <w:r w:rsidRPr="00E862E3">
                        <w:rPr>
                          <w:sz w:val="20"/>
                          <w:szCs w:val="20"/>
                          <w:lang w:val="en"/>
                        </w:rPr>
                        <w:t xml:space="preserve">ormalised abundance profile of </w:t>
                      </w:r>
                      <w:r w:rsidRPr="00E862E3">
                        <w:rPr>
                          <w:sz w:val="20"/>
                          <w:szCs w:val="20"/>
                        </w:rPr>
                        <w:t>Chlorogenic acid</w:t>
                      </w:r>
                      <w:r w:rsidRPr="00E862E3">
                        <w:rPr>
                          <w:sz w:val="20"/>
                          <w:szCs w:val="20"/>
                          <w:lang w:val="en"/>
                        </w:rPr>
                        <w:t xml:space="preserve"> in the plant sample extracts. </w:t>
                      </w:r>
                      <w:r w:rsidRPr="00E862E3">
                        <w:rPr>
                          <w:sz w:val="20"/>
                          <w:szCs w:val="20"/>
                        </w:rPr>
                        <w:t>Alexander leaf and Nettle</w:t>
                      </w:r>
                      <w:r w:rsidRPr="00E862E3">
                        <w:rPr>
                          <w:sz w:val="20"/>
                          <w:szCs w:val="20"/>
                          <w:lang w:val="en"/>
                        </w:rPr>
                        <w:t xml:space="preserve"> can be seen to contain this polyphenol in an abundance much greater than the other extracts.</w:t>
                      </w:r>
                    </w:p>
                    <w:p w:rsidR="00D842A6" w:rsidRDefault="00D842A6" w:rsidP="00CF1D1E"/>
                  </w:txbxContent>
                </v:textbox>
                <w10:wrap type="square"/>
              </v:shape>
            </w:pict>
          </mc:Fallback>
        </mc:AlternateContent>
      </w:r>
      <w:r w:rsidRPr="00CF1D1E">
        <w:rPr>
          <w:rFonts w:ascii="Calibri" w:eastAsia="Calibri" w:hAnsi="Calibri" w:cs="Times New Roman"/>
          <w:noProof/>
          <w:sz w:val="24"/>
          <w:szCs w:val="24"/>
          <w:lang w:eastAsia="en-GB"/>
        </w:rPr>
        <w:drawing>
          <wp:inline distT="0" distB="0" distL="0" distR="0" wp14:anchorId="475AF375" wp14:editId="073A9DCF">
            <wp:extent cx="8374099" cy="2422421"/>
            <wp:effectExtent l="4128"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lex and Nettle Chlorogenic Acid norm Abundance Profile NEW.png"/>
                    <pic:cNvPicPr/>
                  </pic:nvPicPr>
                  <pic:blipFill>
                    <a:blip r:embed="rId91">
                      <a:extLst>
                        <a:ext uri="{28A0092B-C50C-407E-A947-70E740481C1C}">
                          <a14:useLocalDpi xmlns:a14="http://schemas.microsoft.com/office/drawing/2010/main" val="0"/>
                        </a:ext>
                      </a:extLst>
                    </a:blip>
                    <a:stretch>
                      <a:fillRect/>
                    </a:stretch>
                  </pic:blipFill>
                  <pic:spPr>
                    <a:xfrm rot="16200000">
                      <a:off x="0" y="0"/>
                      <a:ext cx="8448989" cy="2444085"/>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lang w:val="en"/>
        </w:rPr>
      </w:pPr>
    </w:p>
    <w:p w:rsidR="00CF1D1E" w:rsidRPr="00CF1D1E" w:rsidRDefault="00CF1D1E" w:rsidP="00CF1D1E">
      <w:pPr>
        <w:ind w:left="1440"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mc:AlternateContent>
          <mc:Choice Requires="wps">
            <w:drawing>
              <wp:anchor distT="45720" distB="45720" distL="114300" distR="114300" simplePos="0" relativeHeight="251666432" behindDoc="0" locked="0" layoutInCell="1" allowOverlap="1" wp14:anchorId="6EC4BA8E" wp14:editId="0C35C7CF">
                <wp:simplePos x="0" y="0"/>
                <wp:positionH relativeFrom="column">
                  <wp:posOffset>4808855</wp:posOffset>
                </wp:positionH>
                <wp:positionV relativeFrom="paragraph">
                  <wp:posOffset>1043305</wp:posOffset>
                </wp:positionV>
                <wp:extent cx="659130" cy="6106795"/>
                <wp:effectExtent l="0" t="0" r="7620" b="8255"/>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6106795"/>
                        </a:xfrm>
                        <a:prstGeom prst="rect">
                          <a:avLst/>
                        </a:prstGeom>
                        <a:solidFill>
                          <a:srgbClr val="FFFFFF"/>
                        </a:solidFill>
                        <a:ln w="9525">
                          <a:noFill/>
                          <a:miter lim="800000"/>
                          <a:headEnd/>
                          <a:tailEnd/>
                        </a:ln>
                      </wps:spPr>
                      <wps:txbx>
                        <w:txbxContent>
                          <w:p w:rsidR="00D842A6" w:rsidRPr="004456AB" w:rsidRDefault="00D842A6" w:rsidP="00CF1D1E">
                            <w:pPr>
                              <w:spacing w:line="360" w:lineRule="auto"/>
                              <w:jc w:val="both"/>
                              <w:rPr>
                                <w:sz w:val="20"/>
                                <w:szCs w:val="20"/>
                                <w:lang w:val="en"/>
                              </w:rPr>
                            </w:pPr>
                            <w:r>
                              <w:rPr>
                                <w:sz w:val="20"/>
                                <w:szCs w:val="20"/>
                                <w:lang w:val="en"/>
                              </w:rPr>
                              <w:t>Fig.60 N</w:t>
                            </w:r>
                            <w:r w:rsidRPr="00E862E3">
                              <w:rPr>
                                <w:sz w:val="20"/>
                                <w:szCs w:val="20"/>
                                <w:lang w:val="en"/>
                              </w:rPr>
                              <w:t>ormalised abundance profile of 3-Feruloylquinic acid in the plant sample extracts. Wild garlic can be seen to contain this polyphenol in an abundance much greater than the other extracts.</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4BA8E" id="_x0000_s1032" type="#_x0000_t202" style="position:absolute;left:0;text-align:left;margin-left:378.65pt;margin-top:82.15pt;width:51.9pt;height:480.8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" stroked="f">
                <v:textbox style="layout-flow:vertical;mso-layout-flow-alt:bottom-to-top">
                  <w:txbxContent>
                    <w:p w:rsidR="00D842A6" w:rsidRPr="004456AB" w:rsidRDefault="00D842A6" w:rsidP="00CF1D1E">
                      <w:pPr>
                        <w:spacing w:line="360" w:lineRule="auto"/>
                        <w:jc w:val="both"/>
                        <w:rPr>
                          <w:sz w:val="20"/>
                          <w:szCs w:val="20"/>
                          <w:lang w:val="en"/>
                        </w:rPr>
                      </w:pPr>
                      <w:r>
                        <w:rPr>
                          <w:sz w:val="20"/>
                          <w:szCs w:val="20"/>
                          <w:lang w:val="en"/>
                        </w:rPr>
                        <w:t>Fig.60 N</w:t>
                      </w:r>
                      <w:r w:rsidRPr="00E862E3">
                        <w:rPr>
                          <w:sz w:val="20"/>
                          <w:szCs w:val="20"/>
                          <w:lang w:val="en"/>
                        </w:rPr>
                        <w:t>ormalised abundance profile of 3-Feruloylquinic acid in the plant sample extracts. Wild garlic can be seen to contain this polyphenol in an abundance much greater than the other extracts.</w:t>
                      </w:r>
                    </w:p>
                    <w:p w:rsidR="00D842A6" w:rsidRDefault="00D842A6" w:rsidP="00CF1D1E"/>
                  </w:txbxContent>
                </v:textbox>
                <w10:wrap type="square"/>
              </v:shape>
            </w:pict>
          </mc:Fallback>
        </mc:AlternateContent>
      </w:r>
      <w:r w:rsidRPr="00CF1D1E">
        <w:rPr>
          <w:rFonts w:ascii="Calibri" w:eastAsia="Calibri" w:hAnsi="Calibri" w:cs="Times New Roman"/>
          <w:noProof/>
          <w:sz w:val="24"/>
          <w:szCs w:val="24"/>
          <w:lang w:eastAsia="en-GB"/>
        </w:rPr>
        <w:drawing>
          <wp:inline distT="0" distB="0" distL="0" distR="0" wp14:anchorId="063F0B2C" wp14:editId="3B9C4896">
            <wp:extent cx="8232426" cy="2396944"/>
            <wp:effectExtent l="3175" t="0" r="635" b="6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Wild garlic 3-Feruloylquinic acid  Norm Abundance Profile NEW.png"/>
                    <pic:cNvPicPr/>
                  </pic:nvPicPr>
                  <pic:blipFill>
                    <a:blip r:embed="rId92">
                      <a:extLst>
                        <a:ext uri="{28A0092B-C50C-407E-A947-70E740481C1C}">
                          <a14:useLocalDpi xmlns:a14="http://schemas.microsoft.com/office/drawing/2010/main" val="0"/>
                        </a:ext>
                      </a:extLst>
                    </a:blip>
                    <a:stretch>
                      <a:fillRect/>
                    </a:stretch>
                  </pic:blipFill>
                  <pic:spPr>
                    <a:xfrm rot="16200000">
                      <a:off x="0" y="0"/>
                      <a:ext cx="8300209" cy="2416680"/>
                    </a:xfrm>
                    <a:prstGeom prst="rect">
                      <a:avLst/>
                    </a:prstGeom>
                  </pic:spPr>
                </pic:pic>
              </a:graphicData>
            </a:graphic>
          </wp:inline>
        </w:drawing>
      </w:r>
    </w:p>
    <w:p w:rsidR="00CF1D1E" w:rsidRPr="00CF1D1E" w:rsidRDefault="00CF1D1E" w:rsidP="00CF1D1E">
      <w:pPr>
        <w:spacing w:line="360" w:lineRule="auto"/>
        <w:ind w:left="2160"/>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w:lastRenderedPageBreak/>
        <mc:AlternateContent>
          <mc:Choice Requires="wps">
            <w:drawing>
              <wp:anchor distT="45720" distB="45720" distL="114300" distR="114300" simplePos="0" relativeHeight="251667456" behindDoc="0" locked="0" layoutInCell="1" allowOverlap="1" wp14:anchorId="759985C5" wp14:editId="1DADCA42">
                <wp:simplePos x="0" y="0"/>
                <wp:positionH relativeFrom="margin">
                  <wp:posOffset>4577715</wp:posOffset>
                </wp:positionH>
                <wp:positionV relativeFrom="paragraph">
                  <wp:posOffset>2186305</wp:posOffset>
                </wp:positionV>
                <wp:extent cx="793750" cy="6022340"/>
                <wp:effectExtent l="0" t="0" r="6350" b="0"/>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6022340"/>
                        </a:xfrm>
                        <a:prstGeom prst="rect">
                          <a:avLst/>
                        </a:prstGeom>
                        <a:solidFill>
                          <a:srgbClr val="FFFFFF"/>
                        </a:solidFill>
                        <a:ln w="9525">
                          <a:noFill/>
                          <a:miter lim="800000"/>
                          <a:headEnd/>
                          <a:tailEnd/>
                        </a:ln>
                      </wps:spPr>
                      <wps:txbx>
                        <w:txbxContent>
                          <w:p w:rsidR="00D842A6" w:rsidRPr="00E862E3" w:rsidRDefault="00D842A6" w:rsidP="00CF1D1E">
                            <w:pPr>
                              <w:spacing w:line="360" w:lineRule="auto"/>
                              <w:jc w:val="both"/>
                              <w:rPr>
                                <w:sz w:val="20"/>
                                <w:szCs w:val="20"/>
                                <w:lang w:val="en"/>
                              </w:rPr>
                            </w:pPr>
                            <w:r>
                              <w:rPr>
                                <w:sz w:val="20"/>
                                <w:szCs w:val="20"/>
                                <w:lang w:val="en"/>
                              </w:rPr>
                              <w:t>Fig.61 N</w:t>
                            </w:r>
                            <w:r w:rsidRPr="00E862E3">
                              <w:rPr>
                                <w:sz w:val="20"/>
                                <w:szCs w:val="20"/>
                                <w:lang w:val="en"/>
                              </w:rPr>
                              <w:t xml:space="preserve">ormalised abundance profile of </w:t>
                            </w:r>
                            <w:r w:rsidRPr="00E862E3">
                              <w:rPr>
                                <w:sz w:val="20"/>
                                <w:szCs w:val="20"/>
                              </w:rPr>
                              <w:t>Naringin</w:t>
                            </w:r>
                            <w:r w:rsidRPr="00E862E3">
                              <w:rPr>
                                <w:sz w:val="20"/>
                                <w:szCs w:val="20"/>
                                <w:lang w:val="en"/>
                              </w:rPr>
                              <w:t xml:space="preserve"> in the plant sample extracts. Gorse flower and stem can be seen to contain this polyphenol in an abundance much greater than the other extracts.</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985C5" id="_x0000_s1033" type="#_x0000_t202" style="position:absolute;left:0;text-align:left;margin-left:360.45pt;margin-top:172.15pt;width:62.5pt;height:474.2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" stroked="f">
                <v:textbox style="layout-flow:vertical;mso-layout-flow-alt:bottom-to-top">
                  <w:txbxContent>
                    <w:p w:rsidR="00D842A6" w:rsidRPr="00E862E3" w:rsidRDefault="00D842A6" w:rsidP="00CF1D1E">
                      <w:pPr>
                        <w:spacing w:line="360" w:lineRule="auto"/>
                        <w:jc w:val="both"/>
                        <w:rPr>
                          <w:sz w:val="20"/>
                          <w:szCs w:val="20"/>
                          <w:lang w:val="en"/>
                        </w:rPr>
                      </w:pPr>
                      <w:r>
                        <w:rPr>
                          <w:sz w:val="20"/>
                          <w:szCs w:val="20"/>
                          <w:lang w:val="en"/>
                        </w:rPr>
                        <w:t>Fig.61 N</w:t>
                      </w:r>
                      <w:r w:rsidRPr="00E862E3">
                        <w:rPr>
                          <w:sz w:val="20"/>
                          <w:szCs w:val="20"/>
                          <w:lang w:val="en"/>
                        </w:rPr>
                        <w:t xml:space="preserve">ormalised abundance profile of </w:t>
                      </w:r>
                      <w:r w:rsidRPr="00E862E3">
                        <w:rPr>
                          <w:sz w:val="20"/>
                          <w:szCs w:val="20"/>
                        </w:rPr>
                        <w:t>Naringin</w:t>
                      </w:r>
                      <w:r w:rsidRPr="00E862E3">
                        <w:rPr>
                          <w:sz w:val="20"/>
                          <w:szCs w:val="20"/>
                          <w:lang w:val="en"/>
                        </w:rPr>
                        <w:t xml:space="preserve"> in the plant sample extracts. Gorse flower and stem can be seen to contain this polyphenol in an abundance much greater than the other extracts.</w:t>
                      </w:r>
                    </w:p>
                    <w:p w:rsidR="00D842A6" w:rsidRDefault="00D842A6" w:rsidP="00CF1D1E"/>
                  </w:txbxContent>
                </v:textbox>
                <w10:wrap type="square" anchorx="margin"/>
              </v:shape>
            </w:pict>
          </mc:Fallback>
        </mc:AlternateContent>
      </w:r>
      <w:r w:rsidRPr="00CF1D1E">
        <w:rPr>
          <w:rFonts w:ascii="Calibri" w:eastAsia="Calibri" w:hAnsi="Calibri" w:cs="Times New Roman"/>
          <w:b/>
          <w:noProof/>
          <w:sz w:val="44"/>
          <w:szCs w:val="44"/>
          <w:lang w:eastAsia="en-GB"/>
        </w:rPr>
        <w:drawing>
          <wp:inline distT="0" distB="0" distL="0" distR="0" wp14:anchorId="2F350AD6" wp14:editId="20ED8AD0">
            <wp:extent cx="8372850" cy="2404435"/>
            <wp:effectExtent l="0" t="6667" r="2857" b="2858"/>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Gorse flowers and stem Naringin norm Abundance Profile NEW.png"/>
                    <pic:cNvPicPr/>
                  </pic:nvPicPr>
                  <pic:blipFill>
                    <a:blip r:embed="rId93">
                      <a:extLst>
                        <a:ext uri="{28A0092B-C50C-407E-A947-70E740481C1C}">
                          <a14:useLocalDpi xmlns:a14="http://schemas.microsoft.com/office/drawing/2010/main" val="0"/>
                        </a:ext>
                      </a:extLst>
                    </a:blip>
                    <a:stretch>
                      <a:fillRect/>
                    </a:stretch>
                  </pic:blipFill>
                  <pic:spPr>
                    <a:xfrm rot="16200000">
                      <a:off x="0" y="0"/>
                      <a:ext cx="8473894" cy="2433452"/>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b/>
          <w:noProof/>
          <w:sz w:val="44"/>
          <w:szCs w:val="44"/>
          <w:lang w:eastAsia="en-GB"/>
        </w:rPr>
        <w:lastRenderedPageBreak/>
        <mc:AlternateContent>
          <mc:Choice Requires="wps">
            <w:drawing>
              <wp:anchor distT="45720" distB="45720" distL="114300" distR="114300" simplePos="0" relativeHeight="251668480" behindDoc="0" locked="0" layoutInCell="1" allowOverlap="1" wp14:anchorId="53F30396" wp14:editId="2CDD69E9">
                <wp:simplePos x="0" y="0"/>
                <wp:positionH relativeFrom="margin">
                  <wp:posOffset>4989195</wp:posOffset>
                </wp:positionH>
                <wp:positionV relativeFrom="paragraph">
                  <wp:posOffset>2017395</wp:posOffset>
                </wp:positionV>
                <wp:extent cx="436245" cy="6827520"/>
                <wp:effectExtent l="0" t="0" r="1905" b="0"/>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6827520"/>
                        </a:xfrm>
                        <a:prstGeom prst="rect">
                          <a:avLst/>
                        </a:prstGeom>
                        <a:solidFill>
                          <a:srgbClr val="FFFFFF"/>
                        </a:solidFill>
                        <a:ln w="9525">
                          <a:noFill/>
                          <a:miter lim="800000"/>
                          <a:headEnd/>
                          <a:tailEnd/>
                        </a:ln>
                      </wps:spPr>
                      <wps:txbx>
                        <w:txbxContent>
                          <w:p w:rsidR="00D842A6" w:rsidRDefault="00D842A6" w:rsidP="00CF1D1E">
                            <w:pPr>
                              <w:pStyle w:val="ListParagraph"/>
                              <w:spacing w:line="360" w:lineRule="auto"/>
                              <w:jc w:val="both"/>
                              <w:rPr>
                                <w:sz w:val="24"/>
                                <w:szCs w:val="24"/>
                                <w:lang w:val="en"/>
                              </w:rPr>
                            </w:pPr>
                            <w:r>
                              <w:rPr>
                                <w:sz w:val="20"/>
                                <w:szCs w:val="20"/>
                                <w:lang w:val="en"/>
                              </w:rPr>
                              <w:t>Fig.62 PCA sc</w:t>
                            </w:r>
                            <w:r w:rsidRPr="00162444">
                              <w:rPr>
                                <w:sz w:val="20"/>
                                <w:szCs w:val="20"/>
                                <w:lang w:val="en"/>
                              </w:rPr>
                              <w:t xml:space="preserve">ores plot </w:t>
                            </w:r>
                            <w:r>
                              <w:rPr>
                                <w:sz w:val="20"/>
                                <w:szCs w:val="20"/>
                                <w:lang w:val="en"/>
                              </w:rPr>
                              <w:t xml:space="preserve">of plant extract data </w:t>
                            </w:r>
                            <w:r w:rsidRPr="00162444">
                              <w:rPr>
                                <w:sz w:val="20"/>
                                <w:szCs w:val="20"/>
                                <w:lang w:val="en"/>
                              </w:rPr>
                              <w:t>created with E</w:t>
                            </w:r>
                            <w:r>
                              <w:rPr>
                                <w:sz w:val="20"/>
                                <w:szCs w:val="20"/>
                                <w:lang w:val="en"/>
                              </w:rPr>
                              <w:t>Z</w:t>
                            </w:r>
                            <w:r w:rsidRPr="00162444">
                              <w:rPr>
                                <w:sz w:val="20"/>
                                <w:szCs w:val="20"/>
                                <w:lang w:val="en"/>
                              </w:rPr>
                              <w:t>info</w:t>
                            </w:r>
                            <w:r>
                              <w:rPr>
                                <w:sz w:val="20"/>
                                <w:szCs w:val="20"/>
                                <w:lang w:val="en"/>
                              </w:rPr>
                              <w:t xml:space="preserve">. Plot of principal component 1 against principal component 2. </w:t>
                            </w:r>
                            <w:r>
                              <w:rPr>
                                <w:sz w:val="24"/>
                                <w:szCs w:val="24"/>
                                <w:lang w:val="en"/>
                              </w:rPr>
                              <w:t xml:space="preserve"> </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30396" id="_x0000_s1034" type="#_x0000_t202" style="position:absolute;margin-left:392.85pt;margin-top:158.85pt;width:34.35pt;height:537.6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" stroked="f">
                <v:textbox style="layout-flow:vertical;mso-layout-flow-alt:bottom-to-top">
                  <w:txbxContent>
                    <w:p w:rsidR="00D842A6" w:rsidRDefault="00D842A6" w:rsidP="00CF1D1E">
                      <w:pPr>
                        <w:pStyle w:val="ListParagraph"/>
                        <w:spacing w:line="360" w:lineRule="auto"/>
                        <w:jc w:val="both"/>
                        <w:rPr>
                          <w:sz w:val="24"/>
                          <w:szCs w:val="24"/>
                          <w:lang w:val="en"/>
                        </w:rPr>
                      </w:pPr>
                      <w:r>
                        <w:rPr>
                          <w:sz w:val="20"/>
                          <w:szCs w:val="20"/>
                          <w:lang w:val="en"/>
                        </w:rPr>
                        <w:t>Fig.62 PCA sc</w:t>
                      </w:r>
                      <w:r w:rsidRPr="00162444">
                        <w:rPr>
                          <w:sz w:val="20"/>
                          <w:szCs w:val="20"/>
                          <w:lang w:val="en"/>
                        </w:rPr>
                        <w:t xml:space="preserve">ores plot </w:t>
                      </w:r>
                      <w:r>
                        <w:rPr>
                          <w:sz w:val="20"/>
                          <w:szCs w:val="20"/>
                          <w:lang w:val="en"/>
                        </w:rPr>
                        <w:t xml:space="preserve">of plant extract data </w:t>
                      </w:r>
                      <w:r w:rsidRPr="00162444">
                        <w:rPr>
                          <w:sz w:val="20"/>
                          <w:szCs w:val="20"/>
                          <w:lang w:val="en"/>
                        </w:rPr>
                        <w:t>created with E</w:t>
                      </w:r>
                      <w:r>
                        <w:rPr>
                          <w:sz w:val="20"/>
                          <w:szCs w:val="20"/>
                          <w:lang w:val="en"/>
                        </w:rPr>
                        <w:t>Z</w:t>
                      </w:r>
                      <w:r w:rsidRPr="00162444">
                        <w:rPr>
                          <w:sz w:val="20"/>
                          <w:szCs w:val="20"/>
                          <w:lang w:val="en"/>
                        </w:rPr>
                        <w:t>info</w:t>
                      </w:r>
                      <w:r>
                        <w:rPr>
                          <w:sz w:val="20"/>
                          <w:szCs w:val="20"/>
                          <w:lang w:val="en"/>
                        </w:rPr>
                        <w:t xml:space="preserve">. Plot of principal component 1 against principal component 2. </w:t>
                      </w:r>
                      <w:r>
                        <w:rPr>
                          <w:sz w:val="24"/>
                          <w:szCs w:val="24"/>
                          <w:lang w:val="en"/>
                        </w:rPr>
                        <w:t xml:space="preserve"> </w:t>
                      </w:r>
                    </w:p>
                    <w:p w:rsidR="00D842A6" w:rsidRDefault="00D842A6" w:rsidP="00CF1D1E"/>
                  </w:txbxContent>
                </v:textbox>
                <w10:wrap type="square" anchorx="margin"/>
              </v:shape>
            </w:pict>
          </mc:Fallback>
        </mc:AlternateContent>
      </w:r>
      <w:r w:rsidRPr="00CF1D1E">
        <w:rPr>
          <w:rFonts w:ascii="Calibri" w:eastAsia="Calibri" w:hAnsi="Calibri" w:cs="Times New Roman"/>
          <w:b/>
          <w:sz w:val="44"/>
          <w:szCs w:val="44"/>
          <w:lang w:val="en"/>
        </w:rPr>
        <w:tab/>
      </w:r>
      <w:r w:rsidRPr="00CF1D1E">
        <w:rPr>
          <w:rFonts w:ascii="Calibri" w:eastAsia="Calibri" w:hAnsi="Calibri" w:cs="Times New Roman"/>
          <w:b/>
          <w:noProof/>
          <w:sz w:val="44"/>
          <w:szCs w:val="44"/>
          <w:lang w:eastAsia="en-GB"/>
        </w:rPr>
        <w:drawing>
          <wp:inline distT="0" distB="0" distL="0" distR="0" wp14:anchorId="4534D002" wp14:editId="161CB7B1">
            <wp:extent cx="4333461" cy="9233162"/>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ores plot of conditions Hotelling's T2 Ellipse LEFT90deg.png"/>
                    <pic:cNvPicPr/>
                  </pic:nvPicPr>
                  <pic:blipFill>
                    <a:blip r:embed="rId94">
                      <a:extLst>
                        <a:ext uri="{28A0092B-C50C-407E-A947-70E740481C1C}">
                          <a14:useLocalDpi xmlns:a14="http://schemas.microsoft.com/office/drawing/2010/main" val="0"/>
                        </a:ext>
                      </a:extLst>
                    </a:blip>
                    <a:stretch>
                      <a:fillRect/>
                    </a:stretch>
                  </pic:blipFill>
                  <pic:spPr>
                    <a:xfrm>
                      <a:off x="0" y="0"/>
                      <a:ext cx="4360668" cy="9291132"/>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The Hotelling's T</w:t>
      </w:r>
      <w:r w:rsidRPr="00CF1D1E">
        <w:rPr>
          <w:rFonts w:ascii="Calibri" w:eastAsia="Calibri" w:hAnsi="Calibri" w:cs="Times New Roman"/>
          <w:sz w:val="24"/>
          <w:szCs w:val="24"/>
          <w:vertAlign w:val="superscript"/>
          <w:lang w:val="en"/>
        </w:rPr>
        <w:t>2</w:t>
      </w:r>
      <w:r w:rsidRPr="00CF1D1E">
        <w:rPr>
          <w:rFonts w:ascii="Calibri" w:eastAsia="Calibri" w:hAnsi="Calibri" w:cs="Times New Roman"/>
          <w:sz w:val="24"/>
          <w:szCs w:val="24"/>
          <w:lang w:val="en"/>
        </w:rPr>
        <w:t xml:space="preserve"> Ellipse was set at 95%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{"citationItems":[{"id":"ITEM-1","itemData":{"author":[{"dropping-particle":"","family":"H.Hotelling","given":"","non-dropping-particle":"","parse-names":false,"suffix":""}],"container-title":"Annals of Mathematical Statistics","id":"ITEM-1","issued":{"date-parts":[["1932"]]},"page":"360-378","title":"The generalization of student's ratio","type":"article-journal","volume":"2"},"uris":["http://www.mendeley.com/documents/?uuid=689a96f3-b58b-4b5c-8327-1e0e1f0bc1c5"]}],"mendeley":{"formattedCitation":"(H.Hotelling, 1932)","plainTextFormattedCitation":"(H.Hotelling, 1932)","previouslyFormattedCitation":"(H.Hotelling, 1932)"},"properties":{"noteIndex":0},"schema":"https://github.com/citation-style-language/schema/raw/master/csl-citation.json"}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(H.Hotelling, 1932)</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This PCA plot shows tight clustering within the sample types and the virtual distances between them, highlighting the similarities and differences between extracts.</w:t>
      </w:r>
    </w:p>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18402A" w:rsidP="00CF1D1E">
      <w:pPr>
        <w:spacing w:line="360" w:lineRule="auto"/>
        <w:rPr>
          <w:rFonts w:ascii="Calibri" w:eastAsia="Calibri" w:hAnsi="Calibri" w:cs="Times New Roman"/>
          <w:sz w:val="24"/>
          <w:szCs w:val="24"/>
          <w:lang w:val="en"/>
        </w:rPr>
      </w:pPr>
      <w:r>
        <w:rPr>
          <w:rFonts w:ascii="Calibri" w:eastAsia="Calibri" w:hAnsi="Calibri" w:cs="Times New Roman"/>
          <w:noProof/>
          <w:sz w:val="24"/>
          <w:szCs w:val="24"/>
          <w:lang w:eastAsia="en-GB"/>
        </w:rPr>
        <w:drawing>
          <wp:inline distT="0" distB="0" distL="0" distR="0">
            <wp:extent cx="5731510" cy="2987675"/>
            <wp:effectExtent l="0" t="0" r="2540" b="317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Gorse S-Plot.png"/>
                    <pic:cNvPicPr/>
                  </pic:nvPicPr>
                  <pic:blipFill>
                    <a:blip r:embed="rId95">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096EA0" w:rsidP="00CF1D1E">
      <w:pPr>
        <w:spacing w:line="360" w:lineRule="auto"/>
        <w:jc w:val="both"/>
        <w:rPr>
          <w:rFonts w:ascii="Calibri" w:eastAsia="Calibri" w:hAnsi="Calibri" w:cs="Times New Roman"/>
          <w:sz w:val="24"/>
          <w:szCs w:val="24"/>
          <w:lang w:val="en"/>
        </w:rPr>
      </w:pPr>
      <w:r>
        <w:rPr>
          <w:rFonts w:ascii="Calibri" w:eastAsia="Calibri" w:hAnsi="Calibri" w:cs="Times New Roman"/>
          <w:sz w:val="20"/>
          <w:szCs w:val="20"/>
          <w:lang w:val="en"/>
        </w:rPr>
        <w:t>Fig.</w:t>
      </w:r>
      <w:r w:rsidR="00CF1D1E" w:rsidRPr="00CF1D1E">
        <w:rPr>
          <w:rFonts w:ascii="Calibri" w:eastAsia="Calibri" w:hAnsi="Calibri" w:cs="Times New Roman"/>
          <w:sz w:val="20"/>
          <w:szCs w:val="20"/>
          <w:lang w:val="en"/>
        </w:rPr>
        <w:t xml:space="preserve">63 </w:t>
      </w:r>
      <w:r>
        <w:rPr>
          <w:rFonts w:ascii="Calibri" w:eastAsia="Calibri" w:hAnsi="Calibri" w:cs="Times New Roman"/>
          <w:sz w:val="20"/>
          <w:szCs w:val="20"/>
          <w:lang w:val="en"/>
        </w:rPr>
        <w:t>S-plot of gorse flower compared to gorse stem using OPLS-DA.</w:t>
      </w:r>
      <w:r w:rsidR="00CF1D1E" w:rsidRPr="00CF1D1E">
        <w:rPr>
          <w:rFonts w:ascii="Calibri" w:eastAsia="Calibri" w:hAnsi="Calibri" w:cs="Times New Roman"/>
          <w:sz w:val="24"/>
          <w:szCs w:val="24"/>
          <w:lang w:val="en"/>
        </w:rPr>
        <w:t xml:space="preserve"> </w:t>
      </w:r>
    </w:p>
    <w:p w:rsidR="00CF1D1E" w:rsidRPr="00CF1D1E" w:rsidRDefault="00CF1D1E" w:rsidP="00CF1D1E">
      <w:pPr>
        <w:spacing w:line="360" w:lineRule="auto"/>
        <w:ind w:left="720"/>
        <w:jc w:val="both"/>
        <w:rPr>
          <w:rFonts w:ascii="Calibri" w:eastAsia="Calibri" w:hAnsi="Calibri" w:cs="Times New Roman"/>
          <w:sz w:val="24"/>
          <w:szCs w:val="24"/>
          <w:lang w:val="en"/>
        </w:rPr>
      </w:pPr>
    </w:p>
    <w:p w:rsidR="00CF1D1E" w:rsidRDefault="007E1784" w:rsidP="00CF1D1E">
      <w:pPr>
        <w:spacing w:line="360" w:lineRule="auto"/>
        <w:jc w:val="both"/>
        <w:rPr>
          <w:rFonts w:ascii="Calibri" w:eastAsia="Calibri" w:hAnsi="Calibri" w:cs="Times New Roman"/>
          <w:sz w:val="24"/>
          <w:szCs w:val="24"/>
        </w:rPr>
      </w:pPr>
      <w:r>
        <w:rPr>
          <w:rFonts w:ascii="Calibri" w:eastAsia="Calibri" w:hAnsi="Calibri" w:cs="Times New Roman"/>
          <w:sz w:val="24"/>
          <w:szCs w:val="24"/>
          <w:lang w:val="en"/>
        </w:rPr>
        <w:t>The</w:t>
      </w:r>
      <w:r w:rsidR="00CF1D1E" w:rsidRPr="00CF1D1E">
        <w:rPr>
          <w:rFonts w:ascii="Calibri" w:eastAsia="Calibri" w:hAnsi="Calibri" w:cs="Times New Roman"/>
          <w:sz w:val="24"/>
          <w:szCs w:val="24"/>
          <w:lang w:val="en"/>
        </w:rPr>
        <w:t xml:space="preserve"> S-plot </w:t>
      </w:r>
      <w:r>
        <w:rPr>
          <w:rFonts w:ascii="Calibri" w:eastAsia="Calibri" w:hAnsi="Calibri" w:cs="Times New Roman"/>
          <w:sz w:val="24"/>
          <w:szCs w:val="24"/>
          <w:lang w:val="en"/>
        </w:rPr>
        <w:t xml:space="preserve">shown in Fig.63 </w:t>
      </w:r>
      <w:r w:rsidR="00CF1D1E" w:rsidRPr="00CF1D1E">
        <w:rPr>
          <w:rFonts w:ascii="Calibri" w:eastAsia="Calibri" w:hAnsi="Calibri" w:cs="Times New Roman"/>
          <w:sz w:val="24"/>
          <w:szCs w:val="24"/>
          <w:lang w:val="en"/>
        </w:rPr>
        <w:t xml:space="preserve">illustrates the similarities and differences between gorse stem and gorse flower. This </w:t>
      </w:r>
      <w:r w:rsidR="00EA3009">
        <w:rPr>
          <w:rFonts w:ascii="Calibri" w:eastAsia="Calibri" w:hAnsi="Calibri" w:cs="Times New Roman"/>
          <w:sz w:val="24"/>
          <w:szCs w:val="24"/>
          <w:lang w:val="en"/>
        </w:rPr>
        <w:t xml:space="preserve">type of plot </w:t>
      </w:r>
      <w:r w:rsidR="00CF1D1E" w:rsidRPr="00CF1D1E">
        <w:rPr>
          <w:rFonts w:ascii="Calibri" w:eastAsia="Calibri" w:hAnsi="Calibri" w:cs="Times New Roman"/>
          <w:sz w:val="24"/>
          <w:szCs w:val="24"/>
          <w:lang w:val="en"/>
        </w:rPr>
        <w:t xml:space="preserve">can be used as a tool for identifying </w:t>
      </w:r>
      <w:r w:rsidR="007C632D">
        <w:rPr>
          <w:rFonts w:ascii="Calibri" w:eastAsia="Calibri" w:hAnsi="Calibri" w:cs="Times New Roman"/>
          <w:sz w:val="24"/>
          <w:szCs w:val="24"/>
          <w:lang w:val="en"/>
        </w:rPr>
        <w:t xml:space="preserve">potential </w:t>
      </w:r>
      <w:r w:rsidR="00CF1D1E" w:rsidRPr="00CF1D1E">
        <w:rPr>
          <w:rFonts w:ascii="Calibri" w:eastAsia="Calibri" w:hAnsi="Calibri" w:cs="Times New Roman"/>
          <w:sz w:val="24"/>
          <w:szCs w:val="24"/>
          <w:lang w:val="en"/>
        </w:rPr>
        <w:t>biomarkers for a particular plant, or species or structure. The points at the extremes of the top and the bottom detail the differences (</w:t>
      </w:r>
      <w:r w:rsidR="00CF1D1E" w:rsidRPr="00CF1D1E">
        <w:rPr>
          <w:rFonts w:ascii="Calibri" w:eastAsia="Calibri" w:hAnsi="Calibri" w:cs="Times New Roman"/>
          <w:sz w:val="24"/>
          <w:szCs w:val="24"/>
        </w:rPr>
        <w:t>discriminatory compounds)</w:t>
      </w:r>
      <w:r w:rsidR="00CF1D1E" w:rsidRPr="00CF1D1E">
        <w:rPr>
          <w:rFonts w:ascii="Calibri" w:eastAsia="Calibri" w:hAnsi="Calibri" w:cs="Times New Roman"/>
          <w:sz w:val="24"/>
          <w:szCs w:val="24"/>
          <w:lang w:val="en"/>
        </w:rPr>
        <w:t xml:space="preserve">. The points </w:t>
      </w:r>
      <w:r w:rsidR="00EA3009">
        <w:rPr>
          <w:rFonts w:ascii="Calibri" w:eastAsia="Calibri" w:hAnsi="Calibri" w:cs="Times New Roman"/>
          <w:sz w:val="24"/>
          <w:szCs w:val="24"/>
          <w:lang w:val="en"/>
        </w:rPr>
        <w:t>that cluster</w:t>
      </w:r>
      <w:r w:rsidR="00CF1D1E" w:rsidRPr="00CF1D1E">
        <w:rPr>
          <w:rFonts w:ascii="Calibri" w:eastAsia="Calibri" w:hAnsi="Calibri" w:cs="Times New Roman"/>
          <w:sz w:val="24"/>
          <w:szCs w:val="24"/>
          <w:lang w:val="en"/>
        </w:rPr>
        <w:t xml:space="preserve"> the origin </w:t>
      </w:r>
      <w:r w:rsidR="00EA3009">
        <w:rPr>
          <w:rFonts w:ascii="Calibri" w:eastAsia="Calibri" w:hAnsi="Calibri" w:cs="Times New Roman"/>
          <w:sz w:val="24"/>
          <w:szCs w:val="24"/>
          <w:lang w:val="en"/>
        </w:rPr>
        <w:t>denote</w:t>
      </w:r>
      <w:r w:rsidR="00CF1D1E" w:rsidRPr="00CF1D1E">
        <w:rPr>
          <w:rFonts w:ascii="Calibri" w:eastAsia="Calibri" w:hAnsi="Calibri" w:cs="Times New Roman"/>
          <w:sz w:val="24"/>
          <w:szCs w:val="24"/>
          <w:lang w:val="en"/>
        </w:rPr>
        <w:t xml:space="preserve"> the commonalities.</w:t>
      </w:r>
      <w:r w:rsidR="00274E6A">
        <w:rPr>
          <w:rFonts w:ascii="Calibri" w:eastAsia="Calibri" w:hAnsi="Calibri" w:cs="Times New Roman"/>
          <w:sz w:val="24"/>
          <w:szCs w:val="24"/>
          <w:lang w:val="en"/>
        </w:rPr>
        <w:t xml:space="preserve"> </w:t>
      </w:r>
      <w:r w:rsidR="00CF1D1E" w:rsidRPr="00CF1D1E">
        <w:rPr>
          <w:rFonts w:ascii="Calibri" w:eastAsia="Calibri" w:hAnsi="Calibri" w:cs="Times New Roman"/>
          <w:sz w:val="24"/>
          <w:szCs w:val="24"/>
          <w:lang w:val="en"/>
        </w:rPr>
        <w:t xml:space="preserve"> </w:t>
      </w:r>
      <w:r w:rsidR="00CF1D1E" w:rsidRPr="00CF1D1E">
        <w:rPr>
          <w:rFonts w:ascii="Calibri" w:eastAsia="Calibri" w:hAnsi="Calibri" w:cs="Times New Roman"/>
          <w:sz w:val="24"/>
          <w:szCs w:val="24"/>
        </w:rPr>
        <w:t xml:space="preserve">OPLS-DA (Orthogonal Projection to Latent Structures Discriminant Analysis) was used to identify compounds </w:t>
      </w:r>
      <w:r w:rsidR="00EA3009">
        <w:rPr>
          <w:rFonts w:ascii="Calibri" w:eastAsia="Calibri" w:hAnsi="Calibri" w:cs="Times New Roman"/>
          <w:sz w:val="24"/>
          <w:szCs w:val="24"/>
        </w:rPr>
        <w:t>which describe the</w:t>
      </w:r>
      <w:r w:rsidR="00CF1D1E" w:rsidRPr="00CF1D1E">
        <w:rPr>
          <w:rFonts w:ascii="Calibri" w:eastAsia="Calibri" w:hAnsi="Calibri" w:cs="Times New Roman"/>
          <w:sz w:val="24"/>
          <w:szCs w:val="24"/>
        </w:rPr>
        <w:t xml:space="preserve"> differences between the two conditions.</w:t>
      </w:r>
    </w:p>
    <w:p w:rsidR="00B16599" w:rsidRDefault="00B16599">
      <w:pPr>
        <w:rPr>
          <w:rFonts w:ascii="Calibri" w:eastAsia="Calibri" w:hAnsi="Calibri" w:cs="Times New Roman"/>
          <w:sz w:val="24"/>
          <w:szCs w:val="24"/>
        </w:rPr>
      </w:pPr>
      <w:r>
        <w:rPr>
          <w:rFonts w:ascii="Calibri" w:eastAsia="Calibri" w:hAnsi="Calibri" w:cs="Times New Roman"/>
          <w:sz w:val="24"/>
          <w:szCs w:val="24"/>
        </w:rPr>
        <w:br w:type="page"/>
      </w:r>
    </w:p>
    <w:p w:rsidR="00B16599" w:rsidRPr="00CF1D1E" w:rsidRDefault="00B16599" w:rsidP="00B16599">
      <w:pPr>
        <w:spacing w:line="360" w:lineRule="auto"/>
        <w:rPr>
          <w:rFonts w:ascii="Calibri" w:eastAsia="Calibri" w:hAnsi="Calibri" w:cs="Times New Roman"/>
          <w:b/>
          <w:sz w:val="36"/>
          <w:szCs w:val="36"/>
        </w:rPr>
      </w:pPr>
      <w:r w:rsidRPr="00CF1D1E">
        <w:rPr>
          <w:rFonts w:ascii="Calibri" w:eastAsia="Calibri" w:hAnsi="Calibri" w:cs="Times New Roman"/>
          <w:b/>
          <w:sz w:val="36"/>
          <w:szCs w:val="36"/>
        </w:rPr>
        <w:lastRenderedPageBreak/>
        <w:t xml:space="preserve">2.32 Q Exactive </w:t>
      </w:r>
      <w:proofErr w:type="gramStart"/>
      <w:r w:rsidRPr="00CF1D1E">
        <w:rPr>
          <w:rFonts w:ascii="Calibri" w:eastAsia="Calibri" w:hAnsi="Calibri" w:cs="Times New Roman"/>
          <w:b/>
          <w:sz w:val="36"/>
          <w:szCs w:val="36"/>
        </w:rPr>
        <w:t>Plus</w:t>
      </w:r>
      <w:proofErr w:type="gramEnd"/>
      <w:r w:rsidRPr="00CF1D1E">
        <w:rPr>
          <w:rFonts w:ascii="Calibri" w:eastAsia="Calibri" w:hAnsi="Calibri" w:cs="Times New Roman"/>
          <w:b/>
          <w:sz w:val="36"/>
          <w:szCs w:val="36"/>
        </w:rPr>
        <w:t xml:space="preserve"> Targeted Method (PRM)</w:t>
      </w:r>
    </w:p>
    <w:p w:rsidR="00B16599" w:rsidRPr="00CF1D1E" w:rsidRDefault="00B16599" w:rsidP="00B16599">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 </w:t>
      </w:r>
      <w:r w:rsidRPr="00CF1D1E">
        <w:rPr>
          <w:rFonts w:ascii="Calibri" w:eastAsia="Calibri" w:hAnsi="Calibri" w:cs="Times New Roman"/>
          <w:sz w:val="24"/>
          <w:szCs w:val="24"/>
          <w:lang w:val="en"/>
        </w:rPr>
        <w:tab/>
        <w:t xml:space="preserve">Examples of the standard chromatograms for all analytes can be seen in section 1.34. </w:t>
      </w:r>
      <w:r w:rsidR="003428F5">
        <w:rPr>
          <w:rFonts w:ascii="Calibri" w:eastAsia="Calibri" w:hAnsi="Calibri" w:cs="Times New Roman"/>
          <w:sz w:val="24"/>
          <w:szCs w:val="24"/>
          <w:lang w:val="en"/>
        </w:rPr>
        <w:t>Below</w:t>
      </w:r>
      <w:r w:rsidRPr="00CF1D1E">
        <w:rPr>
          <w:rFonts w:ascii="Calibri" w:eastAsia="Calibri" w:hAnsi="Calibri" w:cs="Times New Roman"/>
          <w:sz w:val="24"/>
          <w:szCs w:val="24"/>
          <w:lang w:val="en"/>
        </w:rPr>
        <w:t xml:space="preserve"> is an example chromatogram and spectra of an extract.</w:t>
      </w:r>
    </w:p>
    <w:p w:rsidR="00B16599" w:rsidRPr="00CF1D1E" w:rsidRDefault="00B16599" w:rsidP="00B16599">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                    </w:t>
      </w:r>
      <w:r>
        <w:rPr>
          <w:rFonts w:ascii="Calibri" w:eastAsia="Calibri" w:hAnsi="Calibri" w:cs="Times New Roman"/>
          <w:noProof/>
          <w:sz w:val="24"/>
          <w:szCs w:val="24"/>
          <w:lang w:eastAsia="en-GB"/>
        </w:rPr>
        <w:drawing>
          <wp:inline distT="0" distB="0" distL="0" distR="0" wp14:anchorId="1227D0F1" wp14:editId="1C8774CF">
            <wp:extent cx="4657725" cy="6591300"/>
            <wp:effectExtent l="0" t="0" r="952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57725" cy="6591300"/>
                    </a:xfrm>
                    <a:prstGeom prst="rect">
                      <a:avLst/>
                    </a:prstGeom>
                    <a:noFill/>
                    <a:ln>
                      <a:noFill/>
                    </a:ln>
                  </pic:spPr>
                </pic:pic>
              </a:graphicData>
            </a:graphic>
          </wp:inline>
        </w:drawing>
      </w:r>
    </w:p>
    <w:p w:rsidR="00B16599" w:rsidRPr="00CF1D1E" w:rsidRDefault="00B16599" w:rsidP="00B16599">
      <w:pPr>
        <w:spacing w:line="360" w:lineRule="auto"/>
        <w:rPr>
          <w:rFonts w:ascii="Calibri" w:eastAsia="Calibri" w:hAnsi="Calibri" w:cs="Times New Roman"/>
          <w:sz w:val="24"/>
          <w:szCs w:val="24"/>
          <w:lang w:val="en"/>
        </w:rPr>
      </w:pPr>
    </w:p>
    <w:p w:rsidR="00B16599" w:rsidRPr="00CF1D1E" w:rsidRDefault="00B16599" w:rsidP="00B16599">
      <w:pPr>
        <w:spacing w:line="360" w:lineRule="auto"/>
        <w:rPr>
          <w:rFonts w:ascii="Calibri" w:eastAsia="Calibri" w:hAnsi="Calibri" w:cs="Times New Roman"/>
          <w:sz w:val="20"/>
          <w:szCs w:val="20"/>
          <w:lang w:val="en"/>
        </w:rPr>
      </w:pPr>
      <w:r w:rsidRPr="00CF1D1E">
        <w:rPr>
          <w:rFonts w:ascii="Calibri" w:eastAsia="Calibri" w:hAnsi="Calibri" w:cs="Times New Roman"/>
          <w:sz w:val="20"/>
          <w:szCs w:val="20"/>
          <w:lang w:val="en"/>
        </w:rPr>
        <w:t>Fig.54 Chromatogram of Gorse flower extract displaying a 5ppm mass tolerance around the EGCG [M-H</w:t>
      </w:r>
      <w:proofErr w:type="gramStart"/>
      <w:r w:rsidRPr="00CF1D1E">
        <w:rPr>
          <w:rFonts w:ascii="Calibri" w:eastAsia="Calibri" w:hAnsi="Calibri" w:cs="Times New Roman"/>
          <w:sz w:val="20"/>
          <w:szCs w:val="20"/>
          <w:lang w:val="en"/>
        </w:rPr>
        <w:t>]</w:t>
      </w:r>
      <w:r w:rsidRPr="00CF1D1E">
        <w:rPr>
          <w:rFonts w:ascii="Calibri" w:eastAsia="Calibri" w:hAnsi="Calibri" w:cs="Times New Roman"/>
          <w:sz w:val="20"/>
          <w:szCs w:val="20"/>
          <w:vertAlign w:val="superscript"/>
          <w:lang w:val="en"/>
        </w:rPr>
        <w:t>-</w:t>
      </w:r>
      <w:proofErr w:type="gramEnd"/>
      <w:r w:rsidRPr="00CF1D1E">
        <w:rPr>
          <w:rFonts w:ascii="Calibri" w:eastAsia="Calibri" w:hAnsi="Calibri" w:cs="Times New Roman"/>
          <w:sz w:val="20"/>
          <w:szCs w:val="20"/>
          <w:lang w:val="en"/>
        </w:rPr>
        <w:t xml:space="preserve"> ion.</w:t>
      </w:r>
    </w:p>
    <w:p w:rsidR="00B16599" w:rsidRPr="00CF1D1E" w:rsidRDefault="00B16599" w:rsidP="00B16599">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B16599" w:rsidRPr="00CF1D1E" w:rsidRDefault="00B16599" w:rsidP="00B16599">
      <w:pPr>
        <w:spacing w:line="360" w:lineRule="auto"/>
        <w:rPr>
          <w:rFonts w:ascii="Calibri" w:eastAsia="Calibri" w:hAnsi="Calibri" w:cs="Times New Roman"/>
          <w:sz w:val="24"/>
          <w:szCs w:val="24"/>
          <w:lang w:val="en"/>
        </w:rPr>
      </w:pPr>
      <w:r w:rsidRPr="00CF1D1E">
        <w:rPr>
          <w:rFonts w:ascii="Calibri" w:eastAsia="Calibri" w:hAnsi="Calibri" w:cs="Times New Roman"/>
          <w:noProof/>
          <w:lang w:eastAsia="en-GB"/>
        </w:rPr>
        <w:lastRenderedPageBreak/>
        <w:drawing>
          <wp:inline distT="0" distB="0" distL="0" distR="0" wp14:anchorId="1398F913" wp14:editId="6E981981">
            <wp:extent cx="5576047" cy="7934620"/>
            <wp:effectExtent l="0" t="0" r="5715"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43842" cy="8031092"/>
                    </a:xfrm>
                    <a:prstGeom prst="rect">
                      <a:avLst/>
                    </a:prstGeom>
                  </pic:spPr>
                </pic:pic>
              </a:graphicData>
            </a:graphic>
          </wp:inline>
        </w:drawing>
      </w:r>
    </w:p>
    <w:p w:rsidR="00B16599" w:rsidRPr="00CF1D1E" w:rsidRDefault="00B16599" w:rsidP="00B16599">
      <w:pPr>
        <w:spacing w:line="360" w:lineRule="auto"/>
        <w:rPr>
          <w:rFonts w:ascii="Calibri" w:eastAsia="Calibri" w:hAnsi="Calibri" w:cs="Times New Roman"/>
          <w:sz w:val="20"/>
          <w:szCs w:val="20"/>
          <w:lang w:val="en"/>
        </w:rPr>
      </w:pPr>
      <w:r w:rsidRPr="00CF1D1E">
        <w:rPr>
          <w:rFonts w:ascii="Calibri" w:eastAsia="Calibri" w:hAnsi="Calibri" w:cs="Times New Roman"/>
          <w:sz w:val="20"/>
          <w:szCs w:val="20"/>
          <w:lang w:val="en"/>
        </w:rPr>
        <w:t>Fig.55 Mass spectra of Gorse flower extract displaying the parent EGCG [M-H</w:t>
      </w:r>
      <w:proofErr w:type="gramStart"/>
      <w:r w:rsidRPr="00CF1D1E">
        <w:rPr>
          <w:rFonts w:ascii="Calibri" w:eastAsia="Calibri" w:hAnsi="Calibri" w:cs="Times New Roman"/>
          <w:sz w:val="20"/>
          <w:szCs w:val="20"/>
          <w:lang w:val="en"/>
        </w:rPr>
        <w:t>]</w:t>
      </w:r>
      <w:r w:rsidRPr="00CF1D1E">
        <w:rPr>
          <w:rFonts w:ascii="Calibri" w:eastAsia="Calibri" w:hAnsi="Calibri" w:cs="Times New Roman"/>
          <w:sz w:val="20"/>
          <w:szCs w:val="20"/>
          <w:vertAlign w:val="superscript"/>
          <w:lang w:val="en"/>
        </w:rPr>
        <w:t>-</w:t>
      </w:r>
      <w:proofErr w:type="gramEnd"/>
      <w:r w:rsidRPr="00CF1D1E">
        <w:rPr>
          <w:rFonts w:ascii="Calibri" w:eastAsia="Calibri" w:hAnsi="Calibri" w:cs="Times New Roman"/>
          <w:sz w:val="20"/>
          <w:szCs w:val="20"/>
          <w:lang w:val="en"/>
        </w:rPr>
        <w:t xml:space="preserve"> (m/z 457.0776) and daughter ion (gallate moiety, m/z 169.0141)</w:t>
      </w:r>
    </w:p>
    <w:p w:rsidR="00B16599" w:rsidRPr="00CF1D1E" w:rsidRDefault="00B16599" w:rsidP="00B16599">
      <w:pPr>
        <w:spacing w:line="360" w:lineRule="auto"/>
        <w:rPr>
          <w:rFonts w:ascii="Calibri" w:eastAsia="Calibri" w:hAnsi="Calibri" w:cs="Times New Roman"/>
          <w:sz w:val="20"/>
          <w:szCs w:val="20"/>
          <w:lang w:val="en"/>
        </w:rPr>
      </w:pPr>
    </w:p>
    <w:p w:rsidR="00B16599" w:rsidRPr="00CF1D1E" w:rsidRDefault="00B16599" w:rsidP="00B16599">
      <w:pPr>
        <w:spacing w:line="360" w:lineRule="auto"/>
        <w:rPr>
          <w:rFonts w:ascii="Calibri" w:eastAsia="Calibri" w:hAnsi="Calibri" w:cs="Times New Roman"/>
          <w:sz w:val="20"/>
          <w:szCs w:val="20"/>
          <w:lang w:val="en"/>
        </w:rPr>
        <w:sectPr w:rsidR="00B16599" w:rsidRPr="00CF1D1E" w:rsidSect="00C8289C">
          <w:pgSz w:w="11906" w:h="16838" w:code="9"/>
          <w:pgMar w:top="1440" w:right="1440" w:bottom="1440" w:left="1440" w:header="709" w:footer="709" w:gutter="0"/>
          <w:cols w:space="708"/>
          <w:docGrid w:linePitch="360"/>
        </w:sectPr>
      </w:pPr>
    </w:p>
    <w:tbl>
      <w:tblPr>
        <w:tblW w:w="9287" w:type="dxa"/>
        <w:tblLook w:val="04A0" w:firstRow="1" w:lastRow="0" w:firstColumn="1" w:lastColumn="0" w:noHBand="0" w:noVBand="1"/>
      </w:tblPr>
      <w:tblGrid>
        <w:gridCol w:w="1464"/>
        <w:gridCol w:w="833"/>
        <w:gridCol w:w="1109"/>
        <w:gridCol w:w="861"/>
        <w:gridCol w:w="645"/>
        <w:gridCol w:w="1208"/>
        <w:gridCol w:w="1138"/>
        <w:gridCol w:w="645"/>
        <w:gridCol w:w="645"/>
        <w:gridCol w:w="739"/>
      </w:tblGrid>
      <w:tr w:rsidR="00B16599" w:rsidRPr="00CF1D1E" w:rsidTr="00B16599">
        <w:trPr>
          <w:trHeight w:val="283"/>
        </w:trPr>
        <w:tc>
          <w:tcPr>
            <w:tcW w:w="1464" w:type="dxa"/>
            <w:tcBorders>
              <w:top w:val="nil"/>
              <w:left w:val="nil"/>
              <w:bottom w:val="single" w:sz="4" w:space="0" w:color="auto"/>
              <w:right w:val="single" w:sz="4" w:space="0" w:color="auto"/>
            </w:tcBorders>
            <w:shd w:val="clear" w:color="000000" w:fill="FCE4D6"/>
            <w:noWrap/>
            <w:vAlign w:val="bottom"/>
            <w:hideMark/>
          </w:tcPr>
          <w:p w:rsidR="00B16599" w:rsidRPr="00CF1D1E" w:rsidRDefault="00B16599" w:rsidP="000F0053">
            <w:pPr>
              <w:spacing w:after="0" w:line="240" w:lineRule="auto"/>
              <w:rPr>
                <w:rFonts w:ascii="Calibri" w:eastAsia="Times New Roman" w:hAnsi="Calibri" w:cs="Times New Roman"/>
                <w:color w:val="305496"/>
                <w:lang w:eastAsia="en-GB"/>
              </w:rPr>
            </w:pPr>
            <w:r w:rsidRPr="00CF1D1E">
              <w:rPr>
                <w:rFonts w:ascii="Calibri" w:eastAsia="Times New Roman" w:hAnsi="Calibri" w:cs="Times New Roman"/>
                <w:color w:val="305496"/>
                <w:lang w:eastAsia="en-GB"/>
              </w:rPr>
              <w:lastRenderedPageBreak/>
              <w:t xml:space="preserve">  File name </w:t>
            </w:r>
          </w:p>
        </w:tc>
        <w:tc>
          <w:tcPr>
            <w:tcW w:w="833" w:type="dxa"/>
            <w:tcBorders>
              <w:top w:val="nil"/>
              <w:left w:val="nil"/>
              <w:bottom w:val="single" w:sz="4" w:space="0" w:color="auto"/>
              <w:right w:val="single" w:sz="4" w:space="0" w:color="auto"/>
            </w:tcBorders>
            <w:shd w:val="clear" w:color="000000" w:fill="FCE4D6"/>
            <w:noWrap/>
            <w:vAlign w:val="bottom"/>
            <w:hideMark/>
          </w:tcPr>
          <w:p w:rsidR="00B16599" w:rsidRPr="00CF1D1E" w:rsidRDefault="00B16599" w:rsidP="000F0053">
            <w:pPr>
              <w:spacing w:after="0" w:line="240" w:lineRule="auto"/>
              <w:rPr>
                <w:rFonts w:ascii="Calibri" w:eastAsia="Times New Roman" w:hAnsi="Calibri" w:cs="Times New Roman"/>
                <w:color w:val="305496"/>
                <w:lang w:eastAsia="en-GB"/>
              </w:rPr>
            </w:pPr>
            <w:r w:rsidRPr="00CF1D1E">
              <w:rPr>
                <w:rFonts w:ascii="Calibri" w:eastAsia="Times New Roman" w:hAnsi="Calibri" w:cs="Times New Roman"/>
                <w:color w:val="305496"/>
                <w:lang w:eastAsia="en-GB"/>
              </w:rPr>
              <w:t xml:space="preserve">  </w:t>
            </w:r>
            <w:proofErr w:type="spellStart"/>
            <w:r w:rsidRPr="00CF1D1E">
              <w:rPr>
                <w:rFonts w:ascii="Calibri" w:eastAsia="Times New Roman" w:hAnsi="Calibri" w:cs="Times New Roman"/>
                <w:color w:val="305496"/>
                <w:lang w:eastAsia="en-GB"/>
              </w:rPr>
              <w:t>Conc</w:t>
            </w:r>
            <w:proofErr w:type="spellEnd"/>
            <w:r w:rsidRPr="00CF1D1E">
              <w:rPr>
                <w:rFonts w:ascii="Calibri" w:eastAsia="Times New Roman" w:hAnsi="Calibri" w:cs="Times New Roman"/>
                <w:color w:val="305496"/>
                <w:lang w:eastAsia="en-GB"/>
              </w:rPr>
              <w:t xml:space="preserve"> (mg/l)</w:t>
            </w:r>
          </w:p>
        </w:tc>
        <w:tc>
          <w:tcPr>
            <w:tcW w:w="1109" w:type="dxa"/>
            <w:tcBorders>
              <w:top w:val="nil"/>
              <w:left w:val="nil"/>
              <w:bottom w:val="single" w:sz="4" w:space="0" w:color="auto"/>
              <w:right w:val="nil"/>
            </w:tcBorders>
            <w:shd w:val="clear" w:color="000000" w:fill="FCE4D6"/>
            <w:noWrap/>
            <w:vAlign w:val="bottom"/>
            <w:hideMark/>
          </w:tcPr>
          <w:p w:rsidR="00B16599" w:rsidRPr="00CF1D1E" w:rsidRDefault="00B16599" w:rsidP="000F0053">
            <w:pPr>
              <w:spacing w:after="0" w:line="240" w:lineRule="auto"/>
              <w:rPr>
                <w:rFonts w:ascii="Calibri" w:eastAsia="Times New Roman" w:hAnsi="Calibri" w:cs="Times New Roman"/>
                <w:color w:val="305496"/>
                <w:lang w:eastAsia="en-GB"/>
              </w:rPr>
            </w:pPr>
            <w:r w:rsidRPr="00CF1D1E">
              <w:rPr>
                <w:rFonts w:ascii="Calibri" w:eastAsia="Times New Roman" w:hAnsi="Calibri" w:cs="Times New Roman"/>
                <w:color w:val="305496"/>
                <w:lang w:eastAsia="en-GB"/>
              </w:rPr>
              <w:t xml:space="preserve">      Area</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noProof/>
                <w:color w:val="000000"/>
                <w:lang w:eastAsia="en-GB"/>
              </w:rPr>
              <w:drawing>
                <wp:anchor distT="0" distB="0" distL="114300" distR="114300" simplePos="0" relativeHeight="251711488" behindDoc="0" locked="0" layoutInCell="1" allowOverlap="1" wp14:anchorId="1528EBCA" wp14:editId="5DEA5AB4">
                  <wp:simplePos x="0" y="0"/>
                  <wp:positionH relativeFrom="column">
                    <wp:posOffset>210820</wp:posOffset>
                  </wp:positionH>
                  <wp:positionV relativeFrom="paragraph">
                    <wp:posOffset>-13970</wp:posOffset>
                  </wp:positionV>
                  <wp:extent cx="3470910" cy="2407285"/>
                  <wp:effectExtent l="0" t="0" r="15240" b="12065"/>
                  <wp:wrapNone/>
                  <wp:docPr id="387" name="Chart 38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p>
          <w:tbl>
            <w:tblPr>
              <w:tblW w:w="645" w:type="dxa"/>
              <w:tblCellSpacing w:w="0" w:type="dxa"/>
              <w:tblCellMar>
                <w:left w:w="0" w:type="dxa"/>
                <w:right w:w="0" w:type="dxa"/>
              </w:tblCellMar>
              <w:tblLook w:val="04A0" w:firstRow="1" w:lastRow="0" w:firstColumn="1" w:lastColumn="0" w:noHBand="0" w:noVBand="1"/>
            </w:tblPr>
            <w:tblGrid>
              <w:gridCol w:w="645"/>
            </w:tblGrid>
            <w:tr w:rsidR="00B16599" w:rsidRPr="00CF1D1E" w:rsidTr="000F0053">
              <w:trPr>
                <w:trHeight w:val="283"/>
                <w:tblCellSpacing w:w="0" w:type="dxa"/>
              </w:trPr>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p>
              </w:tc>
            </w:tr>
          </w:tbl>
          <w:p w:rsidR="00B16599" w:rsidRPr="00CF1D1E" w:rsidRDefault="00B16599" w:rsidP="000F0053">
            <w:pPr>
              <w:spacing w:after="0" w:line="240" w:lineRule="auto"/>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SHDWSTD011</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86464045</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SHDWSTD012</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96650958</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SHDWSTD013</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52709929</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SHDWSTD014</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55173940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SHDWSTD015</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26751264</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SHDWSTD016</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28888567</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SHDWSTD017</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0.95</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14045388</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SHDWSTD018</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0.95</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14435860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SHDWSTD019</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4979488</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SHDWSTD020</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4778513</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SHDWSTD021</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0.19</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888514</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SHDWSTD022</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0.19</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878910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A001</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A002</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A003</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GT001</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Sample</w:t>
            </w:r>
          </w:p>
        </w:tc>
        <w:tc>
          <w:tcPr>
            <w:tcW w:w="1138" w:type="dxa"/>
            <w:tcBorders>
              <w:top w:val="single" w:sz="4" w:space="0" w:color="auto"/>
              <w:left w:val="nil"/>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Conc</w:t>
            </w:r>
            <w:proofErr w:type="spellEnd"/>
            <w:r w:rsidRPr="00CF1D1E">
              <w:rPr>
                <w:rFonts w:ascii="Calibri" w:eastAsia="Times New Roman" w:hAnsi="Calibri" w:cs="Times New Roman"/>
                <w:color w:val="000000"/>
                <w:lang w:eastAsia="en-GB"/>
              </w:rPr>
              <w:t xml:space="preserve"> (mg/Kg)</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GT002</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Alexanders</w:t>
            </w:r>
          </w:p>
        </w:tc>
        <w:tc>
          <w:tcPr>
            <w:tcW w:w="113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GT003</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Green Tea</w:t>
            </w:r>
          </w:p>
        </w:tc>
        <w:tc>
          <w:tcPr>
            <w:tcW w:w="113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WG001</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Wild Garlic</w:t>
            </w:r>
          </w:p>
        </w:tc>
        <w:tc>
          <w:tcPr>
            <w:tcW w:w="113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WG002</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w:t>
            </w:r>
          </w:p>
        </w:tc>
        <w:tc>
          <w:tcPr>
            <w:tcW w:w="113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WG003</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Gorse Flower</w:t>
            </w:r>
          </w:p>
        </w:tc>
        <w:tc>
          <w:tcPr>
            <w:tcW w:w="113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N001</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Gorse Stem</w:t>
            </w:r>
          </w:p>
        </w:tc>
        <w:tc>
          <w:tcPr>
            <w:tcW w:w="113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N002</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Gut Weed</w:t>
            </w:r>
          </w:p>
        </w:tc>
        <w:tc>
          <w:tcPr>
            <w:tcW w:w="113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N003</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single" w:sz="4" w:space="0" w:color="auto"/>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Pepper Dulse</w:t>
            </w:r>
          </w:p>
        </w:tc>
        <w:tc>
          <w:tcPr>
            <w:tcW w:w="1138" w:type="dxa"/>
            <w:tcBorders>
              <w:top w:val="nil"/>
              <w:left w:val="nil"/>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GF001</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97"/>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GF002</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single" w:sz="4" w:space="0" w:color="auto"/>
              <w:left w:val="single" w:sz="4" w:space="0" w:color="auto"/>
              <w:bottom w:val="single" w:sz="12"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LOQ(mg/l)</w:t>
            </w:r>
          </w:p>
        </w:tc>
        <w:tc>
          <w:tcPr>
            <w:tcW w:w="1138" w:type="dxa"/>
            <w:tcBorders>
              <w:top w:val="single" w:sz="4" w:space="0" w:color="auto"/>
              <w:left w:val="nil"/>
              <w:bottom w:val="single" w:sz="12"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LOD(mg/l)</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97"/>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GF003</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single" w:sz="4" w:space="0" w:color="auto"/>
              <w:bottom w:val="single" w:sz="4"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0.0024</w:t>
            </w:r>
          </w:p>
        </w:tc>
        <w:tc>
          <w:tcPr>
            <w:tcW w:w="1138" w:type="dxa"/>
            <w:tcBorders>
              <w:top w:val="nil"/>
              <w:left w:val="nil"/>
              <w:bottom w:val="single" w:sz="4"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0.0007</w:t>
            </w: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GS001</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GS002</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GS003</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4281" w:type="dxa"/>
            <w:gridSpan w:val="5"/>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i/>
                <w:iCs/>
                <w:color w:val="548235"/>
                <w:lang w:eastAsia="en-GB"/>
              </w:rPr>
            </w:pPr>
            <w:r w:rsidRPr="00CF1D1E">
              <w:rPr>
                <w:rFonts w:ascii="Calibri" w:eastAsia="Times New Roman" w:hAnsi="Calibri" w:cs="Times New Roman"/>
                <w:i/>
                <w:iCs/>
                <w:color w:val="548235"/>
                <w:lang w:eastAsia="en-GB"/>
              </w:rPr>
              <w:t>Concentration shown is amount in freeze dried sample.</w:t>
            </w: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i/>
                <w:iCs/>
                <w:color w:val="548235"/>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GW004</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GW005</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GW006</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PD004</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PD005</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B16599">
        <w:trPr>
          <w:trHeight w:val="283"/>
        </w:trPr>
        <w:tc>
          <w:tcPr>
            <w:tcW w:w="1464"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PD006</w:t>
            </w:r>
          </w:p>
        </w:tc>
        <w:tc>
          <w:tcPr>
            <w:tcW w:w="833"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6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2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3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bl>
    <w:p w:rsidR="00B16599" w:rsidRPr="00CF1D1E" w:rsidRDefault="00B16599" w:rsidP="00B16599">
      <w:pPr>
        <w:spacing w:line="360" w:lineRule="auto"/>
        <w:ind w:left="720"/>
        <w:rPr>
          <w:rFonts w:ascii="Calibri" w:eastAsia="Calibri" w:hAnsi="Calibri" w:cs="Times New Roman"/>
          <w:sz w:val="24"/>
          <w:szCs w:val="24"/>
          <w:lang w:val="en"/>
        </w:rPr>
      </w:pPr>
    </w:p>
    <w:p w:rsidR="00B16599" w:rsidRPr="00CF1D1E" w:rsidRDefault="00B16599" w:rsidP="00B16599">
      <w:pPr>
        <w:spacing w:line="360" w:lineRule="auto"/>
        <w:rPr>
          <w:rFonts w:ascii="Calibri" w:eastAsia="Calibri" w:hAnsi="Calibri" w:cs="Times New Roman"/>
          <w:sz w:val="20"/>
          <w:szCs w:val="20"/>
          <w:lang w:val="en"/>
        </w:rPr>
        <w:sectPr w:rsidR="00B16599" w:rsidRPr="00CF1D1E" w:rsidSect="00C8289C">
          <w:pgSz w:w="11906" w:h="16838" w:code="9"/>
          <w:pgMar w:top="1440" w:right="567" w:bottom="567" w:left="1440" w:header="709" w:footer="709" w:gutter="0"/>
          <w:cols w:space="708"/>
          <w:docGrid w:linePitch="360"/>
        </w:sectPr>
      </w:pPr>
      <w:r>
        <w:rPr>
          <w:rFonts w:ascii="Calibri" w:eastAsia="Calibri" w:hAnsi="Calibri" w:cs="Times New Roman"/>
          <w:sz w:val="20"/>
          <w:szCs w:val="20"/>
          <w:lang w:val="en"/>
        </w:rPr>
        <w:t>Tab.29 E</w:t>
      </w:r>
      <w:r w:rsidRPr="00CF1D1E">
        <w:rPr>
          <w:rFonts w:ascii="Calibri" w:eastAsia="Calibri" w:hAnsi="Calibri" w:cs="Times New Roman"/>
          <w:sz w:val="20"/>
          <w:szCs w:val="20"/>
          <w:lang w:val="en"/>
        </w:rPr>
        <w:t>xternal standard calibration and the analytical results for S-Equol in the plant sample extracts.</w:t>
      </w:r>
    </w:p>
    <w:tbl>
      <w:tblPr>
        <w:tblW w:w="8398" w:type="dxa"/>
        <w:tblLook w:val="04A0" w:firstRow="1" w:lastRow="0" w:firstColumn="1" w:lastColumn="0" w:noHBand="0" w:noVBand="1"/>
      </w:tblPr>
      <w:tblGrid>
        <w:gridCol w:w="1573"/>
        <w:gridCol w:w="949"/>
        <w:gridCol w:w="1220"/>
        <w:gridCol w:w="857"/>
        <w:gridCol w:w="641"/>
        <w:gridCol w:w="1208"/>
        <w:gridCol w:w="1138"/>
        <w:gridCol w:w="641"/>
        <w:gridCol w:w="748"/>
        <w:gridCol w:w="748"/>
      </w:tblGrid>
      <w:tr w:rsidR="00B16599" w:rsidRPr="00CF1D1E" w:rsidTr="000F0053">
        <w:trPr>
          <w:trHeight w:val="257"/>
        </w:trPr>
        <w:tc>
          <w:tcPr>
            <w:tcW w:w="1051" w:type="dxa"/>
            <w:tcBorders>
              <w:top w:val="nil"/>
              <w:left w:val="nil"/>
              <w:bottom w:val="single" w:sz="4" w:space="0" w:color="auto"/>
              <w:right w:val="single" w:sz="4" w:space="0" w:color="auto"/>
            </w:tcBorders>
            <w:shd w:val="clear" w:color="000000" w:fill="FCE4D6"/>
            <w:noWrap/>
            <w:vAlign w:val="bottom"/>
            <w:hideMark/>
          </w:tcPr>
          <w:p w:rsidR="00B16599" w:rsidRPr="00CF1D1E" w:rsidRDefault="00B16599" w:rsidP="000F0053">
            <w:pPr>
              <w:spacing w:after="0" w:line="240" w:lineRule="auto"/>
              <w:rPr>
                <w:rFonts w:ascii="Calibri" w:eastAsia="Times New Roman" w:hAnsi="Calibri" w:cs="Times New Roman"/>
                <w:color w:val="305496"/>
                <w:lang w:eastAsia="en-GB"/>
              </w:rPr>
            </w:pPr>
            <w:r w:rsidRPr="00CF1D1E">
              <w:rPr>
                <w:rFonts w:ascii="Calibri" w:eastAsia="Times New Roman" w:hAnsi="Calibri" w:cs="Times New Roman"/>
                <w:color w:val="305496"/>
                <w:lang w:eastAsia="en-GB"/>
              </w:rPr>
              <w:lastRenderedPageBreak/>
              <w:t xml:space="preserve">  File name </w:t>
            </w:r>
          </w:p>
        </w:tc>
        <w:tc>
          <w:tcPr>
            <w:tcW w:w="949" w:type="dxa"/>
            <w:tcBorders>
              <w:top w:val="nil"/>
              <w:left w:val="nil"/>
              <w:bottom w:val="single" w:sz="4" w:space="0" w:color="auto"/>
              <w:right w:val="single" w:sz="4" w:space="0" w:color="auto"/>
            </w:tcBorders>
            <w:shd w:val="clear" w:color="000000" w:fill="FCE4D6"/>
            <w:noWrap/>
            <w:vAlign w:val="bottom"/>
            <w:hideMark/>
          </w:tcPr>
          <w:p w:rsidR="00B16599" w:rsidRPr="00CF1D1E" w:rsidRDefault="00B16599" w:rsidP="000F0053">
            <w:pPr>
              <w:spacing w:after="0" w:line="240" w:lineRule="auto"/>
              <w:rPr>
                <w:rFonts w:ascii="Calibri" w:eastAsia="Times New Roman" w:hAnsi="Calibri" w:cs="Times New Roman"/>
                <w:color w:val="305496"/>
                <w:lang w:eastAsia="en-GB"/>
              </w:rPr>
            </w:pPr>
            <w:r w:rsidRPr="00CF1D1E">
              <w:rPr>
                <w:rFonts w:ascii="Calibri" w:eastAsia="Times New Roman" w:hAnsi="Calibri" w:cs="Times New Roman"/>
                <w:color w:val="305496"/>
                <w:lang w:eastAsia="en-GB"/>
              </w:rPr>
              <w:t xml:space="preserve">  </w:t>
            </w:r>
            <w:proofErr w:type="spellStart"/>
            <w:r w:rsidRPr="00CF1D1E">
              <w:rPr>
                <w:rFonts w:ascii="Calibri" w:eastAsia="Times New Roman" w:hAnsi="Calibri" w:cs="Times New Roman"/>
                <w:color w:val="305496"/>
                <w:lang w:eastAsia="en-GB"/>
              </w:rPr>
              <w:t>Conc</w:t>
            </w:r>
            <w:proofErr w:type="spellEnd"/>
            <w:r w:rsidRPr="00CF1D1E">
              <w:rPr>
                <w:rFonts w:ascii="Calibri" w:eastAsia="Times New Roman" w:hAnsi="Calibri" w:cs="Times New Roman"/>
                <w:color w:val="305496"/>
                <w:lang w:eastAsia="en-GB"/>
              </w:rPr>
              <w:t xml:space="preserve"> (mg/l)</w:t>
            </w:r>
          </w:p>
        </w:tc>
        <w:tc>
          <w:tcPr>
            <w:tcW w:w="815" w:type="dxa"/>
            <w:tcBorders>
              <w:top w:val="nil"/>
              <w:left w:val="nil"/>
              <w:bottom w:val="single" w:sz="4" w:space="0" w:color="auto"/>
              <w:right w:val="nil"/>
            </w:tcBorders>
            <w:shd w:val="clear" w:color="000000" w:fill="FCE4D6"/>
            <w:noWrap/>
            <w:vAlign w:val="bottom"/>
            <w:hideMark/>
          </w:tcPr>
          <w:p w:rsidR="00B16599" w:rsidRPr="00CF1D1E" w:rsidRDefault="00B16599" w:rsidP="000F0053">
            <w:pPr>
              <w:spacing w:after="0" w:line="240" w:lineRule="auto"/>
              <w:rPr>
                <w:rFonts w:ascii="Calibri" w:eastAsia="Times New Roman" w:hAnsi="Calibri" w:cs="Times New Roman"/>
                <w:color w:val="305496"/>
                <w:lang w:eastAsia="en-GB"/>
              </w:rPr>
            </w:pPr>
            <w:r w:rsidRPr="00CF1D1E">
              <w:rPr>
                <w:rFonts w:ascii="Calibri" w:eastAsia="Times New Roman" w:hAnsi="Calibri" w:cs="Times New Roman"/>
                <w:color w:val="305496"/>
                <w:lang w:eastAsia="en-GB"/>
              </w:rPr>
              <w:t xml:space="preserve">      Area</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p>
          <w:tbl>
            <w:tblPr>
              <w:tblW w:w="641" w:type="dxa"/>
              <w:tblCellSpacing w:w="0" w:type="dxa"/>
              <w:tblCellMar>
                <w:left w:w="0" w:type="dxa"/>
                <w:right w:w="0" w:type="dxa"/>
              </w:tblCellMar>
              <w:tblLook w:val="04A0" w:firstRow="1" w:lastRow="0" w:firstColumn="1" w:lastColumn="0" w:noHBand="0" w:noVBand="1"/>
            </w:tblPr>
            <w:tblGrid>
              <w:gridCol w:w="641"/>
            </w:tblGrid>
            <w:tr w:rsidR="00B16599" w:rsidRPr="00CF1D1E" w:rsidTr="000F0053">
              <w:trPr>
                <w:trHeight w:val="257"/>
                <w:tblCellSpacing w:w="0" w:type="dxa"/>
              </w:trPr>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p>
              </w:tc>
            </w:tr>
          </w:tbl>
          <w:p w:rsidR="00B16599" w:rsidRPr="00CF1D1E" w:rsidRDefault="00B16599" w:rsidP="000F0053">
            <w:pPr>
              <w:spacing w:after="0" w:line="240" w:lineRule="auto"/>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SHDWSTD011*</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26118826</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r w:rsidRPr="00CF1D1E">
              <w:rPr>
                <w:rFonts w:ascii="Calibri" w:eastAsia="Times New Roman" w:hAnsi="Calibri" w:cs="Times New Roman"/>
                <w:noProof/>
                <w:color w:val="000000"/>
                <w:lang w:eastAsia="en-GB"/>
              </w:rPr>
              <w:drawing>
                <wp:anchor distT="0" distB="0" distL="114300" distR="114300" simplePos="0" relativeHeight="251712512" behindDoc="0" locked="0" layoutInCell="1" allowOverlap="1" wp14:anchorId="02A69FAF" wp14:editId="4D48AC74">
                  <wp:simplePos x="0" y="0"/>
                  <wp:positionH relativeFrom="column">
                    <wp:posOffset>-537210</wp:posOffset>
                  </wp:positionH>
                  <wp:positionV relativeFrom="paragraph">
                    <wp:posOffset>-327025</wp:posOffset>
                  </wp:positionV>
                  <wp:extent cx="3647440" cy="2049780"/>
                  <wp:effectExtent l="0" t="0" r="10160" b="7620"/>
                  <wp:wrapNone/>
                  <wp:docPr id="388" name="Chart 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SHDWSTD012*</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31108350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SHDWSTD013</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12554987</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SHDWSTD014</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12133423</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SHDWSTD015</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0.65</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6435632</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SHDWSTD016</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0.65</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6981008</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SHDWSTD017</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2734527</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SHDWSTD018</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2928068</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SHDWSTD019</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0.13</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835836</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SHDWSTD020</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0.13</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871966</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SHDWSTD021</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154453</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SHDWSTD022</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142507</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A001</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A002</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A003</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GT004</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11.99</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119939708</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Sample</w:t>
            </w:r>
          </w:p>
        </w:tc>
        <w:tc>
          <w:tcPr>
            <w:tcW w:w="908" w:type="dxa"/>
            <w:tcBorders>
              <w:top w:val="single" w:sz="4" w:space="0" w:color="auto"/>
              <w:left w:val="nil"/>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Conc</w:t>
            </w:r>
            <w:proofErr w:type="spellEnd"/>
            <w:r w:rsidRPr="00CF1D1E">
              <w:rPr>
                <w:rFonts w:ascii="Calibri" w:eastAsia="Times New Roman" w:hAnsi="Calibri" w:cs="Times New Roman"/>
                <w:color w:val="000000"/>
                <w:lang w:eastAsia="en-GB"/>
              </w:rPr>
              <w:t xml:space="preserve"> (mg/Kg)</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GT005</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10.55</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105535814</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Alexanders</w:t>
            </w:r>
          </w:p>
        </w:tc>
        <w:tc>
          <w:tcPr>
            <w:tcW w:w="90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GT006</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11.11</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111138883</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Green Tea</w:t>
            </w:r>
          </w:p>
        </w:tc>
        <w:tc>
          <w:tcPr>
            <w:tcW w:w="90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22433.3</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WG001</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Wild Garlic</w:t>
            </w:r>
          </w:p>
        </w:tc>
        <w:tc>
          <w:tcPr>
            <w:tcW w:w="90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WG002</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w:t>
            </w:r>
          </w:p>
        </w:tc>
        <w:tc>
          <w:tcPr>
            <w:tcW w:w="90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WG003</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Gorse Flower</w:t>
            </w:r>
          </w:p>
        </w:tc>
        <w:tc>
          <w:tcPr>
            <w:tcW w:w="90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N001</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Gorse Stem</w:t>
            </w:r>
          </w:p>
        </w:tc>
        <w:tc>
          <w:tcPr>
            <w:tcW w:w="90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N002</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Gut Weed</w:t>
            </w:r>
          </w:p>
        </w:tc>
        <w:tc>
          <w:tcPr>
            <w:tcW w:w="908"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N003</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single" w:sz="4" w:space="0" w:color="auto"/>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Pepper Dulse</w:t>
            </w:r>
          </w:p>
        </w:tc>
        <w:tc>
          <w:tcPr>
            <w:tcW w:w="908" w:type="dxa"/>
            <w:tcBorders>
              <w:top w:val="nil"/>
              <w:left w:val="nil"/>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GF001</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0.0126</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126329</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70"/>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GF002</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0.0433</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432723</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single" w:sz="4" w:space="0" w:color="auto"/>
              <w:left w:val="single" w:sz="4" w:space="0" w:color="auto"/>
              <w:bottom w:val="single" w:sz="12"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LOQ(mg/l)</w:t>
            </w:r>
          </w:p>
        </w:tc>
        <w:tc>
          <w:tcPr>
            <w:tcW w:w="908" w:type="dxa"/>
            <w:tcBorders>
              <w:top w:val="single" w:sz="4" w:space="0" w:color="auto"/>
              <w:left w:val="nil"/>
              <w:bottom w:val="single" w:sz="12"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LOD(mg/l)</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70"/>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GF003</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0.0362</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362080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single" w:sz="4" w:space="0" w:color="auto"/>
              <w:bottom w:val="single" w:sz="4"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0.0063</w:t>
            </w:r>
          </w:p>
        </w:tc>
        <w:tc>
          <w:tcPr>
            <w:tcW w:w="908" w:type="dxa"/>
            <w:tcBorders>
              <w:top w:val="nil"/>
              <w:left w:val="nil"/>
              <w:bottom w:val="single" w:sz="4"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0.0019</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GS001</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FF0000"/>
                <w:lang w:eastAsia="en-GB"/>
              </w:rPr>
            </w:pPr>
            <w:r w:rsidRPr="00CF1D1E">
              <w:rPr>
                <w:rFonts w:ascii="Calibri" w:eastAsia="Times New Roman" w:hAnsi="Calibri" w:cs="Times New Roman"/>
                <w:color w:val="FF0000"/>
                <w:lang w:eastAsia="en-GB"/>
              </w:rPr>
              <w:t>0.0018</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17769</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GS002</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FF0000"/>
                <w:lang w:eastAsia="en-GB"/>
              </w:rPr>
            </w:pPr>
            <w:r w:rsidRPr="00CF1D1E">
              <w:rPr>
                <w:rFonts w:ascii="Calibri" w:eastAsia="Times New Roman" w:hAnsi="Calibri" w:cs="Times New Roman"/>
                <w:color w:val="FF0000"/>
                <w:lang w:eastAsia="en-GB"/>
              </w:rPr>
              <w:t>0.0013</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13240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3301" w:type="dxa"/>
            <w:gridSpan w:val="4"/>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Not used in calibration due to overloading.</w:t>
            </w: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GS003</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FF0000"/>
                <w:lang w:eastAsia="en-GB"/>
              </w:rPr>
            </w:pPr>
            <w:r w:rsidRPr="00CF1D1E">
              <w:rPr>
                <w:rFonts w:ascii="Calibri" w:eastAsia="Times New Roman" w:hAnsi="Calibri" w:cs="Times New Roman"/>
                <w:color w:val="FF0000"/>
                <w:lang w:eastAsia="en-GB"/>
              </w:rPr>
              <w:t>0.0025</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25326</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GW004</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4050" w:type="dxa"/>
            <w:gridSpan w:val="5"/>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i/>
                <w:iCs/>
                <w:color w:val="548235"/>
                <w:lang w:eastAsia="en-GB"/>
              </w:rPr>
            </w:pPr>
            <w:r w:rsidRPr="00CF1D1E">
              <w:rPr>
                <w:rFonts w:ascii="Calibri" w:eastAsia="Times New Roman" w:hAnsi="Calibri" w:cs="Times New Roman"/>
                <w:i/>
                <w:iCs/>
                <w:color w:val="548235"/>
                <w:lang w:eastAsia="en-GB"/>
              </w:rPr>
              <w:t>Concentration shown is amount in freeze-dried sample.</w:t>
            </w: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i/>
                <w:iCs/>
                <w:color w:val="548235"/>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GW005</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GW006</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2660" w:type="dxa"/>
            <w:gridSpan w:val="3"/>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color w:val="FF0000"/>
                <w:lang w:eastAsia="en-GB"/>
              </w:rPr>
            </w:pPr>
            <w:r w:rsidRPr="00CF1D1E">
              <w:rPr>
                <w:rFonts w:ascii="Calibri" w:eastAsia="Times New Roman" w:hAnsi="Calibri" w:cs="Times New Roman"/>
                <w:color w:val="FF0000"/>
                <w:lang w:eastAsia="en-GB"/>
              </w:rPr>
              <w:t>RED denotes figures below the LOQ</w:t>
            </w: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color w:val="FF000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PD004</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PD005</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57"/>
        </w:trPr>
        <w:tc>
          <w:tcPr>
            <w:tcW w:w="1051"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PD006</w:t>
            </w:r>
          </w:p>
        </w:tc>
        <w:tc>
          <w:tcPr>
            <w:tcW w:w="949"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81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78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110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0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64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48"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bl>
    <w:p w:rsidR="00B16599" w:rsidRPr="00CF1D1E" w:rsidRDefault="00B16599" w:rsidP="00B16599">
      <w:pPr>
        <w:spacing w:line="360" w:lineRule="auto"/>
        <w:ind w:left="720"/>
        <w:rPr>
          <w:rFonts w:ascii="Calibri" w:eastAsia="Calibri" w:hAnsi="Calibri" w:cs="Times New Roman"/>
          <w:sz w:val="24"/>
          <w:szCs w:val="24"/>
          <w:lang w:val="en"/>
        </w:rPr>
      </w:pPr>
    </w:p>
    <w:p w:rsidR="00B16599" w:rsidRPr="00CF1D1E" w:rsidRDefault="00B16599" w:rsidP="00B16599">
      <w:pPr>
        <w:spacing w:line="360" w:lineRule="auto"/>
        <w:rPr>
          <w:rFonts w:ascii="Calibri" w:eastAsia="Calibri" w:hAnsi="Calibri" w:cs="Times New Roman"/>
          <w:sz w:val="20"/>
          <w:szCs w:val="20"/>
          <w:lang w:val="en"/>
        </w:rPr>
        <w:sectPr w:rsidR="00B16599" w:rsidRPr="00CF1D1E" w:rsidSect="00C8289C">
          <w:pgSz w:w="11906" w:h="16838" w:code="9"/>
          <w:pgMar w:top="1418" w:right="567" w:bottom="567" w:left="1418" w:header="709" w:footer="709" w:gutter="0"/>
          <w:cols w:space="708"/>
          <w:docGrid w:linePitch="360"/>
        </w:sectPr>
      </w:pPr>
      <w:r>
        <w:rPr>
          <w:rFonts w:ascii="Calibri" w:eastAsia="Calibri" w:hAnsi="Calibri" w:cs="Times New Roman"/>
          <w:sz w:val="20"/>
          <w:szCs w:val="20"/>
          <w:lang w:val="en"/>
        </w:rPr>
        <w:t>Tab.30 E</w:t>
      </w:r>
      <w:r w:rsidRPr="00CF1D1E">
        <w:rPr>
          <w:rFonts w:ascii="Calibri" w:eastAsia="Calibri" w:hAnsi="Calibri" w:cs="Times New Roman"/>
          <w:sz w:val="20"/>
          <w:szCs w:val="20"/>
          <w:lang w:val="en"/>
        </w:rPr>
        <w:t>xternal standard calibration and the analytical results for EGCG in the plant sample extracts.</w:t>
      </w:r>
    </w:p>
    <w:tbl>
      <w:tblPr>
        <w:tblW w:w="8420" w:type="dxa"/>
        <w:tblLook w:val="04A0" w:firstRow="1" w:lastRow="0" w:firstColumn="1" w:lastColumn="0" w:noHBand="0" w:noVBand="1"/>
      </w:tblPr>
      <w:tblGrid>
        <w:gridCol w:w="1464"/>
        <w:gridCol w:w="1150"/>
        <w:gridCol w:w="1220"/>
        <w:gridCol w:w="873"/>
        <w:gridCol w:w="739"/>
        <w:gridCol w:w="1208"/>
        <w:gridCol w:w="1138"/>
        <w:gridCol w:w="753"/>
        <w:gridCol w:w="726"/>
        <w:gridCol w:w="356"/>
      </w:tblGrid>
      <w:tr w:rsidR="00B16599" w:rsidRPr="00CF1D1E" w:rsidTr="000F0053">
        <w:trPr>
          <w:trHeight w:val="263"/>
        </w:trPr>
        <w:tc>
          <w:tcPr>
            <w:tcW w:w="1082" w:type="dxa"/>
            <w:tcBorders>
              <w:top w:val="nil"/>
              <w:left w:val="nil"/>
              <w:bottom w:val="single" w:sz="4" w:space="0" w:color="auto"/>
              <w:right w:val="single" w:sz="4" w:space="0" w:color="auto"/>
            </w:tcBorders>
            <w:shd w:val="clear" w:color="000000" w:fill="FCE4D6"/>
            <w:noWrap/>
            <w:vAlign w:val="bottom"/>
            <w:hideMark/>
          </w:tcPr>
          <w:p w:rsidR="00B16599" w:rsidRPr="00CF1D1E" w:rsidRDefault="00B16599" w:rsidP="000F0053">
            <w:pPr>
              <w:spacing w:after="0" w:line="240" w:lineRule="auto"/>
              <w:rPr>
                <w:rFonts w:ascii="Calibri" w:eastAsia="Times New Roman" w:hAnsi="Calibri" w:cs="Times New Roman"/>
                <w:color w:val="305496"/>
                <w:lang w:eastAsia="en-GB"/>
              </w:rPr>
            </w:pPr>
            <w:r w:rsidRPr="00CF1D1E">
              <w:rPr>
                <w:rFonts w:ascii="Calibri" w:eastAsia="Times New Roman" w:hAnsi="Calibri" w:cs="Times New Roman"/>
                <w:color w:val="305496"/>
                <w:lang w:eastAsia="en-GB"/>
              </w:rPr>
              <w:lastRenderedPageBreak/>
              <w:t xml:space="preserve">  File name </w:t>
            </w:r>
          </w:p>
        </w:tc>
        <w:tc>
          <w:tcPr>
            <w:tcW w:w="1150" w:type="dxa"/>
            <w:tcBorders>
              <w:top w:val="nil"/>
              <w:left w:val="nil"/>
              <w:bottom w:val="single" w:sz="4" w:space="0" w:color="auto"/>
              <w:right w:val="single" w:sz="4" w:space="0" w:color="auto"/>
            </w:tcBorders>
            <w:shd w:val="clear" w:color="000000" w:fill="FCE4D6"/>
            <w:noWrap/>
            <w:vAlign w:val="bottom"/>
            <w:hideMark/>
          </w:tcPr>
          <w:p w:rsidR="00B16599" w:rsidRPr="00CF1D1E" w:rsidRDefault="00B16599" w:rsidP="000F0053">
            <w:pPr>
              <w:spacing w:after="0" w:line="240" w:lineRule="auto"/>
              <w:rPr>
                <w:rFonts w:ascii="Calibri" w:eastAsia="Times New Roman" w:hAnsi="Calibri" w:cs="Times New Roman"/>
                <w:color w:val="305496"/>
                <w:lang w:eastAsia="en-GB"/>
              </w:rPr>
            </w:pPr>
            <w:r w:rsidRPr="00CF1D1E">
              <w:rPr>
                <w:rFonts w:ascii="Calibri" w:eastAsia="Times New Roman" w:hAnsi="Calibri" w:cs="Times New Roman"/>
                <w:color w:val="305496"/>
                <w:lang w:eastAsia="en-GB"/>
              </w:rPr>
              <w:t xml:space="preserve">  </w:t>
            </w:r>
            <w:proofErr w:type="spellStart"/>
            <w:r w:rsidRPr="00CF1D1E">
              <w:rPr>
                <w:rFonts w:ascii="Calibri" w:eastAsia="Times New Roman" w:hAnsi="Calibri" w:cs="Times New Roman"/>
                <w:color w:val="305496"/>
                <w:lang w:eastAsia="en-GB"/>
              </w:rPr>
              <w:t>Conc</w:t>
            </w:r>
            <w:proofErr w:type="spellEnd"/>
            <w:r w:rsidRPr="00CF1D1E">
              <w:rPr>
                <w:rFonts w:ascii="Calibri" w:eastAsia="Times New Roman" w:hAnsi="Calibri" w:cs="Times New Roman"/>
                <w:color w:val="305496"/>
                <w:lang w:eastAsia="en-GB"/>
              </w:rPr>
              <w:t xml:space="preserve"> (mg/l)</w:t>
            </w:r>
          </w:p>
        </w:tc>
        <w:tc>
          <w:tcPr>
            <w:tcW w:w="986" w:type="dxa"/>
            <w:tcBorders>
              <w:top w:val="nil"/>
              <w:left w:val="nil"/>
              <w:bottom w:val="single" w:sz="4" w:space="0" w:color="auto"/>
              <w:right w:val="nil"/>
            </w:tcBorders>
            <w:shd w:val="clear" w:color="000000" w:fill="FCE4D6"/>
            <w:noWrap/>
            <w:vAlign w:val="bottom"/>
            <w:hideMark/>
          </w:tcPr>
          <w:p w:rsidR="00B16599" w:rsidRPr="00CF1D1E" w:rsidRDefault="00B16599" w:rsidP="000F0053">
            <w:pPr>
              <w:spacing w:after="0" w:line="240" w:lineRule="auto"/>
              <w:rPr>
                <w:rFonts w:ascii="Calibri" w:eastAsia="Times New Roman" w:hAnsi="Calibri" w:cs="Times New Roman"/>
                <w:color w:val="305496"/>
                <w:lang w:eastAsia="en-GB"/>
              </w:rPr>
            </w:pPr>
            <w:r w:rsidRPr="00CF1D1E">
              <w:rPr>
                <w:rFonts w:ascii="Calibri" w:eastAsia="Times New Roman" w:hAnsi="Calibri" w:cs="Times New Roman"/>
                <w:color w:val="305496"/>
                <w:lang w:eastAsia="en-GB"/>
              </w:rPr>
              <w:t xml:space="preserve">      Area</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p>
          <w:tbl>
            <w:tblPr>
              <w:tblW w:w="657" w:type="dxa"/>
              <w:tblCellSpacing w:w="0" w:type="dxa"/>
              <w:tblCellMar>
                <w:left w:w="0" w:type="dxa"/>
                <w:right w:w="0" w:type="dxa"/>
              </w:tblCellMar>
              <w:tblLook w:val="04A0" w:firstRow="1" w:lastRow="0" w:firstColumn="1" w:lastColumn="0" w:noHBand="0" w:noVBand="1"/>
            </w:tblPr>
            <w:tblGrid>
              <w:gridCol w:w="657"/>
            </w:tblGrid>
            <w:tr w:rsidR="00B16599" w:rsidRPr="00CF1D1E" w:rsidTr="000F0053">
              <w:trPr>
                <w:trHeight w:val="263"/>
                <w:tblCellSpacing w:w="0" w:type="dxa"/>
              </w:trPr>
              <w:tc>
                <w:tcPr>
                  <w:tcW w:w="657"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p>
              </w:tc>
            </w:tr>
          </w:tbl>
          <w:p w:rsidR="00B16599" w:rsidRPr="00CF1D1E" w:rsidRDefault="00B16599" w:rsidP="000F0053">
            <w:pPr>
              <w:spacing w:after="0" w:line="240" w:lineRule="auto"/>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r w:rsidRPr="00CF1D1E">
              <w:rPr>
                <w:rFonts w:ascii="Calibri" w:eastAsia="Times New Roman" w:hAnsi="Calibri" w:cs="Times New Roman"/>
                <w:noProof/>
                <w:color w:val="000000"/>
                <w:lang w:eastAsia="en-GB"/>
              </w:rPr>
              <w:drawing>
                <wp:anchor distT="0" distB="0" distL="114300" distR="114300" simplePos="0" relativeHeight="251713536" behindDoc="0" locked="0" layoutInCell="1" allowOverlap="1" wp14:anchorId="780CBA9A" wp14:editId="1B5F9C56">
                  <wp:simplePos x="0" y="0"/>
                  <wp:positionH relativeFrom="column">
                    <wp:posOffset>-570230</wp:posOffset>
                  </wp:positionH>
                  <wp:positionV relativeFrom="paragraph">
                    <wp:posOffset>-1270</wp:posOffset>
                  </wp:positionV>
                  <wp:extent cx="3550920" cy="1935480"/>
                  <wp:effectExtent l="0" t="0" r="11430" b="7620"/>
                  <wp:wrapNone/>
                  <wp:docPr id="389" name="Chart 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page">
                    <wp14:pctWidth>0</wp14:pctWidth>
                  </wp14:sizeRelH>
                  <wp14:sizeRelV relativeFrom="page">
                    <wp14:pctHeight>0</wp14:pctHeight>
                  </wp14:sizeRelV>
                </wp:anchor>
              </w:drawing>
            </w: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SHDWSTD011</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9.0</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89374539</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SHDWSTD012</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9.0</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91422863</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76"/>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SHDWSTD013</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45098992</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SHDWSTD014</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45578610</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SHDWSTD015</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24068776</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SHDWSTD016</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25137399</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SHDWSTD017</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13626628</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SHDWSTD018</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13518806</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SHDWSTD019</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4552513</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SHDWSTD020</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4668700</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SHDWSTD021</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0.23</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864949</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SHDWSTD022</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0.23</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873954</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A001</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0.0062</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62056</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A002</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0.0047</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46648</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A003</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0.0066</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66151</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Sample</w:t>
            </w:r>
          </w:p>
        </w:tc>
        <w:tc>
          <w:tcPr>
            <w:tcW w:w="931" w:type="dxa"/>
            <w:tcBorders>
              <w:top w:val="single" w:sz="4" w:space="0" w:color="auto"/>
              <w:left w:val="nil"/>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roofErr w:type="spellStart"/>
            <w:r w:rsidRPr="00CF1D1E">
              <w:rPr>
                <w:rFonts w:ascii="Calibri" w:eastAsia="Times New Roman" w:hAnsi="Calibri" w:cs="Times New Roman"/>
                <w:color w:val="000000"/>
                <w:lang w:eastAsia="en-GB"/>
              </w:rPr>
              <w:t>Conc</w:t>
            </w:r>
            <w:proofErr w:type="spellEnd"/>
            <w:r w:rsidRPr="00CF1D1E">
              <w:rPr>
                <w:rFonts w:ascii="Calibri" w:eastAsia="Times New Roman" w:hAnsi="Calibri" w:cs="Times New Roman"/>
                <w:color w:val="000000"/>
                <w:lang w:eastAsia="en-GB"/>
              </w:rPr>
              <w:t xml:space="preserve"> (mg/Kg)</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76"/>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GT004</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0.804</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8043609</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Alexanders</w:t>
            </w:r>
          </w:p>
        </w:tc>
        <w:tc>
          <w:tcPr>
            <w:tcW w:w="931"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GT005</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0.620</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6199917</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Green Tea</w:t>
            </w:r>
          </w:p>
        </w:tc>
        <w:tc>
          <w:tcPr>
            <w:tcW w:w="931"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1370.70</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GT006</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0.632</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6315728</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Wild Garlic</w:t>
            </w:r>
          </w:p>
        </w:tc>
        <w:tc>
          <w:tcPr>
            <w:tcW w:w="931"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0.16</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76"/>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WG001</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0.0005</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4572</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w:t>
            </w:r>
          </w:p>
        </w:tc>
        <w:tc>
          <w:tcPr>
            <w:tcW w:w="931"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2321.30</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WG002</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0.0007</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6797</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Gorse Flower</w:t>
            </w:r>
          </w:p>
        </w:tc>
        <w:tc>
          <w:tcPr>
            <w:tcW w:w="931"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82.70</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WG003</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0.0012</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11703</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Gorse Stem</w:t>
            </w:r>
          </w:p>
        </w:tc>
        <w:tc>
          <w:tcPr>
            <w:tcW w:w="931"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N001</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12.00</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120075558</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single" w:sz="4" w:space="0" w:color="auto"/>
              <w:bottom w:val="nil"/>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Gut Weed</w:t>
            </w:r>
          </w:p>
        </w:tc>
        <w:tc>
          <w:tcPr>
            <w:tcW w:w="931" w:type="dxa"/>
            <w:tcBorders>
              <w:top w:val="nil"/>
              <w:left w:val="nil"/>
              <w:bottom w:val="nil"/>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0.06</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N002</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11.45</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114504864</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single" w:sz="4" w:space="0" w:color="auto"/>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Pepper Dulse</w:t>
            </w:r>
          </w:p>
        </w:tc>
        <w:tc>
          <w:tcPr>
            <w:tcW w:w="931" w:type="dxa"/>
            <w:tcBorders>
              <w:top w:val="nil"/>
              <w:left w:val="nil"/>
              <w:bottom w:val="single" w:sz="4" w:space="0" w:color="auto"/>
              <w:right w:val="single" w:sz="4" w:space="0" w:color="auto"/>
            </w:tcBorders>
            <w:shd w:val="clear" w:color="000000" w:fill="C6E0B4"/>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N003</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11.37</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113734775</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76"/>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GF001</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4189631</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single" w:sz="4" w:space="0" w:color="auto"/>
              <w:left w:val="single" w:sz="4" w:space="0" w:color="auto"/>
              <w:bottom w:val="single" w:sz="12"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LOQ(mg/l)</w:t>
            </w:r>
          </w:p>
        </w:tc>
        <w:tc>
          <w:tcPr>
            <w:tcW w:w="931" w:type="dxa"/>
            <w:tcBorders>
              <w:top w:val="single" w:sz="4" w:space="0" w:color="auto"/>
              <w:left w:val="nil"/>
              <w:bottom w:val="single" w:sz="12"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LOD(mg/l)</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76"/>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GF002</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3958621</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single" w:sz="4" w:space="0" w:color="auto"/>
              <w:bottom w:val="single" w:sz="4"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0.0005</w:t>
            </w:r>
          </w:p>
        </w:tc>
        <w:tc>
          <w:tcPr>
            <w:tcW w:w="931" w:type="dxa"/>
            <w:tcBorders>
              <w:top w:val="nil"/>
              <w:left w:val="nil"/>
              <w:bottom w:val="single" w:sz="4" w:space="0" w:color="auto"/>
              <w:right w:val="single" w:sz="4" w:space="0" w:color="auto"/>
            </w:tcBorders>
            <w:shd w:val="clear" w:color="000000" w:fill="EDEDED"/>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0.0002</w:t>
            </w: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center"/>
              <w:rPr>
                <w:rFonts w:ascii="Calibri" w:eastAsia="Times New Roman" w:hAnsi="Calibri" w:cs="Times New Roman"/>
                <w:color w:val="00000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GF003</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4163606</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GS001</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0.0066</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65776</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GS002</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0.0032</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32242</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GS003</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0.0080</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79761</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GW004</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0.0011</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10860</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4041" w:type="dxa"/>
            <w:gridSpan w:val="5"/>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i/>
                <w:iCs/>
                <w:color w:val="548235"/>
                <w:lang w:eastAsia="en-GB"/>
              </w:rPr>
            </w:pPr>
            <w:r w:rsidRPr="00CF1D1E">
              <w:rPr>
                <w:rFonts w:ascii="Calibri" w:eastAsia="Times New Roman" w:hAnsi="Calibri" w:cs="Times New Roman"/>
                <w:i/>
                <w:iCs/>
                <w:color w:val="548235"/>
                <w:lang w:eastAsia="en-GB"/>
              </w:rPr>
              <w:t>Concentration shown is amount in freeze-dried sample.</w:t>
            </w: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Calibri" w:eastAsia="Times New Roman" w:hAnsi="Calibri" w:cs="Times New Roman"/>
                <w:i/>
                <w:iCs/>
                <w:color w:val="548235"/>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GW005</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0.0016</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15542</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GW006</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0.0016</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16223</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PD004</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0.0006</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5858</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PD005</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0.0023</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22689</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r w:rsidR="00B16599" w:rsidRPr="00CF1D1E" w:rsidTr="000F0053">
        <w:trPr>
          <w:trHeight w:val="263"/>
        </w:trPr>
        <w:tc>
          <w:tcPr>
            <w:tcW w:w="1082" w:type="dxa"/>
            <w:tcBorders>
              <w:top w:val="nil"/>
              <w:left w:val="nil"/>
              <w:bottom w:val="nil"/>
              <w:right w:val="single" w:sz="4" w:space="0" w:color="auto"/>
            </w:tcBorders>
            <w:shd w:val="clear" w:color="000000" w:fill="DDEBF7"/>
            <w:noWrap/>
            <w:vAlign w:val="bottom"/>
            <w:hideMark/>
          </w:tcPr>
          <w:p w:rsidR="00B16599" w:rsidRPr="00CF1D1E" w:rsidRDefault="00B16599" w:rsidP="000F0053">
            <w:pPr>
              <w:spacing w:after="0" w:line="240" w:lineRule="auto"/>
              <w:rPr>
                <w:rFonts w:ascii="Calibri" w:eastAsia="Times New Roman" w:hAnsi="Calibri" w:cs="Times New Roman"/>
                <w:color w:val="548235"/>
                <w:lang w:eastAsia="en-GB"/>
              </w:rPr>
            </w:pPr>
            <w:r w:rsidRPr="00CF1D1E">
              <w:rPr>
                <w:rFonts w:ascii="Calibri" w:eastAsia="Times New Roman" w:hAnsi="Calibri" w:cs="Times New Roman"/>
                <w:color w:val="548235"/>
                <w:lang w:eastAsia="en-GB"/>
              </w:rPr>
              <w:t>PD006</w:t>
            </w:r>
          </w:p>
        </w:tc>
        <w:tc>
          <w:tcPr>
            <w:tcW w:w="1150" w:type="dxa"/>
            <w:tcBorders>
              <w:top w:val="nil"/>
              <w:left w:val="nil"/>
              <w:bottom w:val="nil"/>
              <w:right w:val="single" w:sz="4" w:space="0" w:color="auto"/>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0.0024</w:t>
            </w:r>
          </w:p>
        </w:tc>
        <w:tc>
          <w:tcPr>
            <w:tcW w:w="98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23996</w:t>
            </w:r>
          </w:p>
        </w:tc>
        <w:tc>
          <w:tcPr>
            <w:tcW w:w="805"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jc w:val="right"/>
              <w:rPr>
                <w:rFonts w:ascii="Calibri" w:eastAsia="Times New Roman" w:hAnsi="Calibri" w:cs="Times New Roman"/>
                <w:color w:val="000000"/>
                <w:lang w:eastAsia="en-GB"/>
              </w:rPr>
            </w:pPr>
          </w:p>
        </w:tc>
        <w:tc>
          <w:tcPr>
            <w:tcW w:w="739"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890"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931"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72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c>
          <w:tcPr>
            <w:tcW w:w="356" w:type="dxa"/>
            <w:tcBorders>
              <w:top w:val="nil"/>
              <w:left w:val="nil"/>
              <w:bottom w:val="nil"/>
              <w:right w:val="nil"/>
            </w:tcBorders>
            <w:shd w:val="clear" w:color="auto" w:fill="auto"/>
            <w:noWrap/>
            <w:vAlign w:val="bottom"/>
            <w:hideMark/>
          </w:tcPr>
          <w:p w:rsidR="00B16599" w:rsidRPr="00CF1D1E" w:rsidRDefault="00B16599" w:rsidP="000F0053">
            <w:pPr>
              <w:spacing w:after="0" w:line="240" w:lineRule="auto"/>
              <w:rPr>
                <w:rFonts w:ascii="Times New Roman" w:eastAsia="Times New Roman" w:hAnsi="Times New Roman" w:cs="Times New Roman"/>
                <w:sz w:val="20"/>
                <w:szCs w:val="20"/>
                <w:lang w:eastAsia="en-GB"/>
              </w:rPr>
            </w:pPr>
          </w:p>
        </w:tc>
      </w:tr>
    </w:tbl>
    <w:p w:rsidR="00B16599" w:rsidRPr="00CF1D1E" w:rsidRDefault="00B16599" w:rsidP="00B16599">
      <w:pPr>
        <w:spacing w:line="360" w:lineRule="auto"/>
        <w:ind w:left="720"/>
        <w:rPr>
          <w:rFonts w:ascii="Calibri" w:eastAsia="Calibri" w:hAnsi="Calibri" w:cs="Times New Roman"/>
          <w:sz w:val="24"/>
          <w:szCs w:val="24"/>
          <w:lang w:val="en"/>
        </w:rPr>
      </w:pPr>
    </w:p>
    <w:p w:rsidR="00B16599" w:rsidRPr="00CF1D1E" w:rsidRDefault="00B16599" w:rsidP="00B16599">
      <w:pPr>
        <w:spacing w:line="360" w:lineRule="auto"/>
        <w:rPr>
          <w:rFonts w:ascii="Calibri" w:eastAsia="Calibri" w:hAnsi="Calibri" w:cs="Times New Roman"/>
          <w:sz w:val="20"/>
          <w:szCs w:val="20"/>
          <w:lang w:val="en"/>
        </w:rPr>
        <w:sectPr w:rsidR="00B16599" w:rsidRPr="00CF1D1E" w:rsidSect="00C8289C">
          <w:pgSz w:w="11906" w:h="16838" w:code="9"/>
          <w:pgMar w:top="1418" w:right="567" w:bottom="567" w:left="1418" w:header="709" w:footer="709" w:gutter="0"/>
          <w:cols w:space="708"/>
          <w:docGrid w:linePitch="360"/>
        </w:sectPr>
      </w:pPr>
      <w:r>
        <w:rPr>
          <w:rFonts w:ascii="Calibri" w:eastAsia="Calibri" w:hAnsi="Calibri" w:cs="Times New Roman"/>
          <w:sz w:val="20"/>
          <w:szCs w:val="20"/>
          <w:lang w:val="en"/>
        </w:rPr>
        <w:t>Tab.31 E</w:t>
      </w:r>
      <w:r w:rsidRPr="00CF1D1E">
        <w:rPr>
          <w:rFonts w:ascii="Calibri" w:eastAsia="Calibri" w:hAnsi="Calibri" w:cs="Times New Roman"/>
          <w:sz w:val="20"/>
          <w:szCs w:val="20"/>
          <w:lang w:val="en"/>
        </w:rPr>
        <w:t>xternal standard calibration and the analytical results for Rutin in the plant sample extract</w:t>
      </w:r>
    </w:p>
    <w:p w:rsidR="00CF1D1E" w:rsidRPr="00CF1D1E" w:rsidRDefault="00CF1D1E" w:rsidP="00B16599">
      <w:pPr>
        <w:rPr>
          <w:rFonts w:ascii="Calibri" w:eastAsia="Calibri" w:hAnsi="Calibri" w:cs="Times New Roman"/>
          <w:b/>
          <w:sz w:val="44"/>
          <w:szCs w:val="44"/>
          <w:lang w:val="en"/>
        </w:rPr>
      </w:pPr>
      <w:r w:rsidRPr="00CF1D1E">
        <w:rPr>
          <w:rFonts w:ascii="Calibri" w:eastAsia="Calibri" w:hAnsi="Calibri" w:cs="Times New Roman"/>
          <w:b/>
          <w:sz w:val="44"/>
          <w:szCs w:val="44"/>
          <w:lang w:val="en"/>
        </w:rPr>
        <w:lastRenderedPageBreak/>
        <w:t xml:space="preserve">Discussion </w:t>
      </w:r>
    </w:p>
    <w:p w:rsidR="00CF1D1E" w:rsidRPr="00CF1D1E" w:rsidRDefault="00CF1D1E" w:rsidP="00CF1D1E">
      <w:pPr>
        <w:spacing w:line="360" w:lineRule="auto"/>
        <w:ind w:left="720"/>
        <w:contextualSpacing/>
        <w:rPr>
          <w:rFonts w:ascii="Calibri" w:eastAsia="Calibri" w:hAnsi="Calibri" w:cs="Times New Roman"/>
          <w:b/>
          <w:sz w:val="44"/>
          <w:szCs w:val="44"/>
          <w:lang w:val="en"/>
        </w:rPr>
      </w:pPr>
    </w:p>
    <w:p w:rsidR="00CF1D1E" w:rsidRPr="00CF1D1E" w:rsidRDefault="003428F5" w:rsidP="00CF1D1E">
      <w:pPr>
        <w:spacing w:line="360" w:lineRule="auto"/>
        <w:ind w:firstLine="720"/>
        <w:jc w:val="both"/>
        <w:rPr>
          <w:rFonts w:ascii="Calibri" w:eastAsia="Calibri" w:hAnsi="Calibri" w:cs="Times New Roman"/>
          <w:i/>
          <w:sz w:val="24"/>
          <w:szCs w:val="24"/>
        </w:rPr>
      </w:pPr>
      <w:r>
        <w:rPr>
          <w:rFonts w:ascii="Calibri" w:eastAsia="Calibri" w:hAnsi="Calibri" w:cs="Times New Roman"/>
          <w:sz w:val="24"/>
          <w:szCs w:val="24"/>
        </w:rPr>
        <w:t>The</w:t>
      </w:r>
      <w:r w:rsidR="00CF1D1E" w:rsidRPr="00CF1D1E">
        <w:rPr>
          <w:rFonts w:ascii="Calibri" w:eastAsia="Calibri" w:hAnsi="Calibri" w:cs="Times New Roman"/>
          <w:sz w:val="24"/>
          <w:szCs w:val="24"/>
        </w:rPr>
        <w:t xml:space="preserve"> discussion of this chapter of research </w:t>
      </w:r>
      <w:r>
        <w:rPr>
          <w:rFonts w:ascii="Calibri" w:eastAsia="Calibri" w:hAnsi="Calibri" w:cs="Times New Roman"/>
          <w:sz w:val="24"/>
          <w:szCs w:val="24"/>
        </w:rPr>
        <w:t xml:space="preserve">will </w:t>
      </w:r>
      <w:r w:rsidR="00CF1D1E" w:rsidRPr="00CF1D1E">
        <w:rPr>
          <w:rFonts w:ascii="Calibri" w:eastAsia="Calibri" w:hAnsi="Calibri" w:cs="Times New Roman"/>
          <w:sz w:val="24"/>
          <w:szCs w:val="24"/>
        </w:rPr>
        <w:t xml:space="preserve">begin with a reminder of the research question: </w:t>
      </w:r>
      <w:r w:rsidR="00CF1D1E" w:rsidRPr="00CF1D1E">
        <w:rPr>
          <w:rFonts w:ascii="Calibri" w:eastAsia="Calibri" w:hAnsi="Calibri" w:cs="Times New Roman"/>
          <w:i/>
          <w:sz w:val="24"/>
          <w:szCs w:val="24"/>
        </w:rPr>
        <w:t>can significant value be added to waste from the agricultural and aquacultural industries of North Wales through characterisation by the use of modern mass spectrometry based analysis?</w:t>
      </w:r>
    </w:p>
    <w:p w:rsidR="00CF1D1E" w:rsidRPr="00CF1D1E" w:rsidRDefault="00274E6A"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Q</w:t>
      </w:r>
      <w:r w:rsidR="00CF1D1E" w:rsidRPr="00CF1D1E">
        <w:rPr>
          <w:rFonts w:ascii="Calibri" w:eastAsia="Calibri" w:hAnsi="Calibri" w:cs="Times New Roman"/>
          <w:sz w:val="24"/>
          <w:szCs w:val="24"/>
        </w:rPr>
        <w:t xml:space="preserve">uestions of this nature have been asked by many researchers, with varying degrees of success. From the early characterisation of crocus flowers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{"citationItems":[{"id":"ITEM-1","itemData":{"DOI":"10.1016/S0031-9422(97)00625-0","ISSN":"00319422","abstract":"The perianth segments of three cultivars of Crocus were investigated by HPLC for their content of anthocyanins. The investigation revealed the presence of four known and two new anthocyanins. The novel anthocyanins were isolated from the blue flowers of C. chrysanthus 'Skyline', and identified as petunidin 3-O-(6-O-malonyl-β-D-glucoside)-7-O-(6-O-malonyl-β-D-glucoside) and malvidin 3-O-(6-O-malonyl-β-D-glucoside)-7-O-(6-O-malonyl-β-D- glucoside). The anthocyanins, isolated from the blue flowers of C. sieberi ssp. sublimis 'Tricolor', were identified as 3,5-β-D-diglucosides of delphinidin and petunidin, and from C. chrysanthus 'Eyecatcher' were as their 3-β-rutinosides. The complete structural determination of each compound was achieved by use of 1D and 2D NMR techniques and other spectral evidence.","author":[{"dropping-particle":"","family":"NØrbÆk","given":"Rikke","non-dropping-particle":"","parse-names":false,"suffix":""},{"dropping-particle":"","family":"Kondo","given":"Tadao","non-dropping-particle":"","parse-names":false,"suffix":""}],"container-title":"Phytochemistry","id":"ITEM-1","issue":"5","issued":{"date-parts":[["1998"]]},"page":"861-864","title":"Anthocyanins from flowers of Crocus (Iridaceae)","type":"article-journal","volume":"47"},"uris":["http://www.mendeley.com/documents/?uuid=f8c50653-b6ed-4630-b0d0-8a9ad5adcebc"]}],"mendeley":{"formattedCitation":"(NØrbÆk &amp; Kondo, 1998)","plainTextFormattedCitation":"(NØrbÆk &amp; Kondo, 1998)","previouslyFormattedCitation":"(NØrbÆk &amp; Kondo, 1998)"},"properties":{"noteIndex":0},"schema":"https://github.com/citation-style-language/schema/raw/master/csl-citation.json"}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(NØrbÆk &amp; Kondo, 1998)</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 xml:space="preserve"> with relatively basic techniques, to the advanced characterisation of crocus flowers recently published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{"citationItems":[{"id":"ITEM-1","itemData":{"DOI":"10.1016/j.jpba.2018.11.022","ISSN":"1873264X","abstract":"In the quest for new drugs of herbal origin, the ethyl acetate (EAE), methanol (ME), and water (WE) extracts of Crocus chrysanthus (Herb.) Herb. flowers were analyzed for their polyphenolic composition, antioxidant, and enzyme inhibitory potential. WE showed the highest antioxidant activities in all assays including metal chelating, phosphomolybdenum, FRAP, CUPRAC, ABTS and DPPH. EAE was the most effective enzyme inhibitor, exhibiting the highest inhibition against some enzymes linked to Alzheimer's disease (cholinesterases), diabetes mellitus (α-glucosidase and α-amylase) and hyperpigmentation problems (tyrosinase). The highest total phenolics (34.99 mg GAE/g) and flavonoids content (77.58 mg RE/g) were observed in WE and ME, respectively. Eight compounds were identified in EAE, 24 in ME, and 15 in WE. Kaempferol 3-O glucoside was found in all extracts. In conclusion, C. chrysanthus flowers can be suggested as a source of bioactive components with potential use against chronic disorders caused by oxidative stress. Future in-depth studies are recommended to determine the biological effects of isolated compounds from C. chrysanthus to identify the main compounds modulating the observed activities.","author":[{"dropping-particle":"","family":"Zengin","given":"Gokhan","non-dropping-particle":"","parse-names":false,"suffix":""},{"dropping-particle":"","family":"Aumeeruddy","given":"Muhammad Zakariyyah","non-dropping-particle":"","parse-names":false,"suffix":""},{"dropping-particle":"","family":"Diuzheva","given":"Alina","non-dropping-particle":"","parse-names":false,"suffix":""},{"dropping-particle":"","family":"Jekő","given":"József","non-dropping-particle":"","parse-names":false,"suffix":""},{"dropping-particle":"","family":"Cziáky","given":"Zoltán","non-dropping-particle":"","parse-names":false,"suffix":""},{"dropping-particle":"","family":"Yıldıztugay","given":"Aysegul","non-dropping-particle":"","parse-names":false,"suffix":""},{"dropping-particle":"","family":"Yıldıztugay","given":"Evren","non-dropping-particle":"","parse-names":false,"suffix":""},{"dropping-particle":"","family":"Mahomoodally","given":"Mohamad Fawzi","non-dropping-particle":"","parse-names":false,"suffix":""}],"container-title":"Journal of Pharmaceutical and Biomedical Analysis","id":"ITEM-1","issued":{"date-parts":[["2019"]]},"page":"581-589","publisher":"Elsevier B.V.","title":"A comprehensive appraisal on Crocus chrysanthus (Herb.) Herb. flower extracts with HPLC–MS/MS profiles, antioxidant and enzyme inhibitory properties","type":"article-journal","volume":"164"},"uris":["http://www.mendeley.com/documents/?uuid=ab38817b-ef74-44ed-9721-853948180e90"]}],"mendeley":{"formattedCitation":"(Zengin et al., 2019)","plainTextFormattedCitation":"(Zengin et al., 2019)","previouslyFormattedCitation":"(Zengin et al., 2019)"},"properties":{"noteIndex":0},"schema":"https://github.com/citation-style-language/schema/raw/master/csl-citation.json"}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(Zengin </w:t>
      </w:r>
      <w:r w:rsidR="00941740" w:rsidRPr="000E1A5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2019)</w:t>
      </w:r>
      <w:r w:rsidR="00CF1D1E" w:rsidRPr="00CF1D1E">
        <w:rPr>
          <w:rFonts w:ascii="Calibri" w:eastAsia="Calibri" w:hAnsi="Calibri" w:cs="Times New Roman"/>
          <w:sz w:val="24"/>
          <w:szCs w:val="24"/>
        </w:rPr>
        <w:fldChar w:fldCharType="end"/>
      </w:r>
      <w:r w:rsidR="00FF5225">
        <w:rPr>
          <w:rFonts w:ascii="Calibri" w:eastAsia="Calibri" w:hAnsi="Calibri" w:cs="Times New Roman"/>
          <w:sz w:val="24"/>
          <w:szCs w:val="24"/>
        </w:rPr>
        <w:t>, t</w:t>
      </w:r>
      <w:r w:rsidR="00CF1D1E" w:rsidRPr="00CF1D1E">
        <w:rPr>
          <w:rFonts w:ascii="Calibri" w:eastAsia="Calibri" w:hAnsi="Calibri" w:cs="Times New Roman"/>
          <w:sz w:val="24"/>
          <w:szCs w:val="24"/>
        </w:rPr>
        <w:t>he success of these researchers and others has led the way</w:t>
      </w:r>
      <w:r w:rsidR="00FF5225">
        <w:rPr>
          <w:rFonts w:ascii="Calibri" w:eastAsia="Calibri" w:hAnsi="Calibri" w:cs="Times New Roman"/>
          <w:sz w:val="24"/>
          <w:szCs w:val="24"/>
        </w:rPr>
        <w:t>.</w:t>
      </w:r>
      <w:r w:rsidR="00CF1D1E" w:rsidRPr="00CF1D1E">
        <w:rPr>
          <w:rFonts w:ascii="Calibri" w:eastAsia="Calibri" w:hAnsi="Calibri" w:cs="Times New Roman"/>
          <w:sz w:val="24"/>
          <w:szCs w:val="24"/>
        </w:rPr>
        <w:t xml:space="preserve"> </w:t>
      </w:r>
      <w:r w:rsidR="00FF5225">
        <w:rPr>
          <w:rFonts w:ascii="Calibri" w:eastAsia="Calibri" w:hAnsi="Calibri" w:cs="Times New Roman"/>
          <w:sz w:val="24"/>
          <w:szCs w:val="24"/>
        </w:rPr>
        <w:t>This type of research</w:t>
      </w:r>
      <w:r w:rsidR="00CF1D1E" w:rsidRPr="00CF1D1E">
        <w:rPr>
          <w:rFonts w:ascii="Calibri" w:eastAsia="Calibri" w:hAnsi="Calibri" w:cs="Times New Roman"/>
          <w:sz w:val="24"/>
          <w:szCs w:val="24"/>
        </w:rPr>
        <w:t xml:space="preserve"> has established that deeper information of plant metabolites, via </w:t>
      </w:r>
      <w:r w:rsidR="00FF5225">
        <w:rPr>
          <w:rFonts w:ascii="Calibri" w:eastAsia="Calibri" w:hAnsi="Calibri" w:cs="Times New Roman"/>
          <w:sz w:val="24"/>
          <w:szCs w:val="24"/>
        </w:rPr>
        <w:t>advances in</w:t>
      </w:r>
      <w:r w:rsidR="00CF1D1E" w:rsidRPr="00CF1D1E">
        <w:rPr>
          <w:rFonts w:ascii="Calibri" w:eastAsia="Calibri" w:hAnsi="Calibri" w:cs="Times New Roman"/>
          <w:sz w:val="24"/>
          <w:szCs w:val="24"/>
        </w:rPr>
        <w:t xml:space="preserve"> characterisation</w:t>
      </w:r>
      <w:r w:rsidR="00FF5225">
        <w:rPr>
          <w:rFonts w:ascii="Calibri" w:eastAsia="Calibri" w:hAnsi="Calibri" w:cs="Times New Roman"/>
          <w:sz w:val="24"/>
          <w:szCs w:val="24"/>
        </w:rPr>
        <w:t xml:space="preserve"> techniques</w:t>
      </w:r>
      <w:r w:rsidR="00CF1D1E" w:rsidRPr="00CF1D1E">
        <w:rPr>
          <w:rFonts w:ascii="Calibri" w:eastAsia="Calibri" w:hAnsi="Calibri" w:cs="Times New Roman"/>
          <w:sz w:val="24"/>
          <w:szCs w:val="24"/>
        </w:rPr>
        <w:t xml:space="preserve">, </w:t>
      </w:r>
      <w:r w:rsidR="00FF5225">
        <w:rPr>
          <w:rFonts w:ascii="Calibri" w:eastAsia="Calibri" w:hAnsi="Calibri" w:cs="Times New Roman"/>
          <w:sz w:val="24"/>
          <w:szCs w:val="24"/>
        </w:rPr>
        <w:t xml:space="preserve">can lead to better understanding of the composition of complex natural extracts and subsequently will generate </w:t>
      </w:r>
      <w:r w:rsidR="00FF5225" w:rsidRPr="00CF1D1E">
        <w:rPr>
          <w:rFonts w:ascii="Calibri" w:eastAsia="Calibri" w:hAnsi="Calibri" w:cs="Times New Roman"/>
          <w:sz w:val="24"/>
          <w:szCs w:val="24"/>
        </w:rPr>
        <w:t>benefit</w:t>
      </w:r>
      <w:r w:rsidR="00FF5225">
        <w:rPr>
          <w:rFonts w:ascii="Calibri" w:eastAsia="Calibri" w:hAnsi="Calibri" w:cs="Times New Roman"/>
          <w:sz w:val="24"/>
          <w:szCs w:val="24"/>
        </w:rPr>
        <w:t>s</w:t>
      </w:r>
      <w:r w:rsidR="00FF5225" w:rsidRPr="00CF1D1E">
        <w:rPr>
          <w:rFonts w:ascii="Calibri" w:eastAsia="Calibri" w:hAnsi="Calibri" w:cs="Times New Roman"/>
          <w:sz w:val="24"/>
          <w:szCs w:val="24"/>
        </w:rPr>
        <w:t xml:space="preserve"> in terms </w:t>
      </w:r>
      <w:r w:rsidR="00CF1D1E" w:rsidRPr="00CF1D1E">
        <w:rPr>
          <w:rFonts w:ascii="Calibri" w:eastAsia="Calibri" w:hAnsi="Calibri" w:cs="Times New Roman"/>
          <w:sz w:val="24"/>
          <w:szCs w:val="24"/>
        </w:rPr>
        <w:t xml:space="preserve">of health and/or profit. Plants synthesise diverse groups of secondary metabolites; polyphenols, alkaloids and terpenes, </w:t>
      </w:r>
      <w:r w:rsidR="00FF5225">
        <w:rPr>
          <w:rFonts w:ascii="Calibri" w:eastAsia="Calibri" w:hAnsi="Calibri" w:cs="Times New Roman"/>
          <w:sz w:val="24"/>
          <w:szCs w:val="24"/>
        </w:rPr>
        <w:t>many of which are important</w:t>
      </w:r>
      <w:r w:rsidR="00CF1D1E" w:rsidRPr="00CF1D1E">
        <w:rPr>
          <w:rFonts w:ascii="Calibri" w:eastAsia="Calibri" w:hAnsi="Calibri" w:cs="Times New Roman"/>
          <w:sz w:val="24"/>
          <w:szCs w:val="24"/>
        </w:rPr>
        <w:t xml:space="preserve"> due to their versatility in the design of nutraceuticals, functional foods, pharmaceuticals and analogues for synthetic drugs.</w:t>
      </w:r>
    </w:p>
    <w:p w:rsidR="00CF1D1E" w:rsidRPr="00CF1D1E" w:rsidRDefault="00AA60B5"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D</w:t>
      </w:r>
      <w:r w:rsidR="00CF1D1E" w:rsidRPr="00CF1D1E">
        <w:rPr>
          <w:rFonts w:ascii="Calibri" w:eastAsia="Calibri" w:hAnsi="Calibri" w:cs="Times New Roman"/>
          <w:sz w:val="24"/>
          <w:szCs w:val="24"/>
        </w:rPr>
        <w:t>ata pr</w:t>
      </w:r>
      <w:r>
        <w:rPr>
          <w:rFonts w:ascii="Calibri" w:eastAsia="Calibri" w:hAnsi="Calibri" w:cs="Times New Roman"/>
          <w:sz w:val="24"/>
          <w:szCs w:val="24"/>
        </w:rPr>
        <w:t>oduced</w:t>
      </w:r>
      <w:r w:rsidR="00CF1D1E" w:rsidRPr="00CF1D1E">
        <w:rPr>
          <w:rFonts w:ascii="Calibri" w:eastAsia="Calibri" w:hAnsi="Calibri" w:cs="Times New Roman"/>
          <w:sz w:val="24"/>
          <w:szCs w:val="24"/>
        </w:rPr>
        <w:t xml:space="preserve"> </w:t>
      </w:r>
      <w:r>
        <w:rPr>
          <w:rFonts w:ascii="Calibri" w:eastAsia="Calibri" w:hAnsi="Calibri" w:cs="Times New Roman"/>
          <w:sz w:val="24"/>
          <w:szCs w:val="24"/>
        </w:rPr>
        <w:t>via</w:t>
      </w:r>
      <w:r w:rsidR="00CF1D1E" w:rsidRPr="00CF1D1E">
        <w:rPr>
          <w:rFonts w:ascii="Calibri" w:eastAsia="Calibri" w:hAnsi="Calibri" w:cs="Times New Roman"/>
          <w:sz w:val="24"/>
          <w:szCs w:val="24"/>
        </w:rPr>
        <w:t xml:space="preserve"> discovery omics</w:t>
      </w:r>
      <w:r w:rsidR="00FF5225">
        <w:rPr>
          <w:rFonts w:ascii="Calibri" w:eastAsia="Calibri" w:hAnsi="Calibri" w:cs="Times New Roman"/>
          <w:sz w:val="24"/>
          <w:szCs w:val="24"/>
        </w:rPr>
        <w:t xml:space="preserve"> is </w:t>
      </w:r>
      <w:r>
        <w:rPr>
          <w:rFonts w:ascii="Calibri" w:eastAsia="Calibri" w:hAnsi="Calibri" w:cs="Times New Roman"/>
          <w:sz w:val="24"/>
          <w:szCs w:val="24"/>
        </w:rPr>
        <w:t>complex</w:t>
      </w:r>
      <w:r w:rsidR="00CF1D1E" w:rsidRPr="00CF1D1E">
        <w:rPr>
          <w:rFonts w:ascii="Calibri" w:eastAsia="Calibri" w:hAnsi="Calibri" w:cs="Times New Roman"/>
          <w:sz w:val="24"/>
          <w:szCs w:val="24"/>
        </w:rPr>
        <w:t xml:space="preserve">. The filtering of data, as detailed in chapter 1, is a good strategy for revealing the highest quality results. The same strategy was applied to this data. Only the data with a high score, very high fold change between sample and blank, low ANOVA-p and q values and high abundance will be discussed here. </w:t>
      </w:r>
      <w:r w:rsidR="00FF5225">
        <w:rPr>
          <w:rFonts w:ascii="Calibri" w:eastAsia="Calibri" w:hAnsi="Calibri" w:cs="Times New Roman"/>
          <w:sz w:val="24"/>
          <w:szCs w:val="24"/>
        </w:rPr>
        <w:t xml:space="preserve">The data sets reveal </w:t>
      </w:r>
      <w:r w:rsidR="00493A1A">
        <w:rPr>
          <w:rFonts w:ascii="Calibri" w:eastAsia="Calibri" w:hAnsi="Calibri" w:cs="Times New Roman"/>
          <w:sz w:val="24"/>
          <w:szCs w:val="24"/>
        </w:rPr>
        <w:t xml:space="preserve">that </w:t>
      </w:r>
      <w:r w:rsidR="00CF1D1E" w:rsidRPr="00CF1D1E">
        <w:rPr>
          <w:rFonts w:ascii="Calibri" w:eastAsia="Calibri" w:hAnsi="Calibri" w:cs="Times New Roman"/>
          <w:sz w:val="24"/>
          <w:szCs w:val="24"/>
        </w:rPr>
        <w:t>many potentially important discovery level identifications have been made</w:t>
      </w:r>
      <w:r w:rsidR="00FF5225">
        <w:rPr>
          <w:rFonts w:ascii="Calibri" w:eastAsia="Calibri" w:hAnsi="Calibri" w:cs="Times New Roman"/>
          <w:sz w:val="24"/>
          <w:szCs w:val="24"/>
        </w:rPr>
        <w:t xml:space="preserve"> and many</w:t>
      </w:r>
      <w:r w:rsidR="00CF1D1E" w:rsidRPr="00CF1D1E">
        <w:rPr>
          <w:rFonts w:ascii="Calibri" w:eastAsia="Calibri" w:hAnsi="Calibri" w:cs="Times New Roman"/>
          <w:sz w:val="24"/>
          <w:szCs w:val="24"/>
        </w:rPr>
        <w:t xml:space="preserve"> of these frequently </w:t>
      </w:r>
      <w:r w:rsidR="00493A1A">
        <w:rPr>
          <w:rFonts w:ascii="Calibri" w:eastAsia="Calibri" w:hAnsi="Calibri" w:cs="Times New Roman"/>
          <w:sz w:val="24"/>
          <w:szCs w:val="24"/>
        </w:rPr>
        <w:t xml:space="preserve">appear </w:t>
      </w:r>
      <w:r w:rsidR="00CF1D1E" w:rsidRPr="00CF1D1E">
        <w:rPr>
          <w:rFonts w:ascii="Calibri" w:eastAsia="Calibri" w:hAnsi="Calibri" w:cs="Times New Roman"/>
          <w:sz w:val="24"/>
          <w:szCs w:val="24"/>
        </w:rPr>
        <w:t>in publications about polyphenolics extolling their health benefits. The choice of components to be</w:t>
      </w:r>
      <w:r w:rsidR="00FF5225">
        <w:rPr>
          <w:rFonts w:ascii="Calibri" w:eastAsia="Calibri" w:hAnsi="Calibri" w:cs="Times New Roman"/>
          <w:sz w:val="24"/>
          <w:szCs w:val="24"/>
        </w:rPr>
        <w:t xml:space="preserve"> investigated in further targeted research</w:t>
      </w:r>
      <w:r w:rsidR="00FF5225" w:rsidRPr="00CF1D1E">
        <w:rPr>
          <w:rFonts w:ascii="Calibri" w:eastAsia="Calibri" w:hAnsi="Calibri" w:cs="Times New Roman"/>
          <w:sz w:val="24"/>
          <w:szCs w:val="24"/>
        </w:rPr>
        <w:t xml:space="preserve"> </w:t>
      </w:r>
      <w:r w:rsidR="00CF1D1E" w:rsidRPr="00CF1D1E">
        <w:rPr>
          <w:rFonts w:ascii="Calibri" w:eastAsia="Calibri" w:hAnsi="Calibri" w:cs="Times New Roman"/>
          <w:sz w:val="24"/>
          <w:szCs w:val="24"/>
        </w:rPr>
        <w:t>can be difficult. In an ideal world with no boundaries of time and money, all high scoring candidates would be selected</w:t>
      </w:r>
      <w:r w:rsidR="001E5DE1">
        <w:rPr>
          <w:rFonts w:ascii="Calibri" w:eastAsia="Calibri" w:hAnsi="Calibri" w:cs="Times New Roman"/>
          <w:sz w:val="24"/>
          <w:szCs w:val="24"/>
        </w:rPr>
        <w:t xml:space="preserve"> and analysed</w:t>
      </w:r>
      <w:r w:rsidR="00CF1D1E" w:rsidRPr="00CF1D1E">
        <w:rPr>
          <w:rFonts w:ascii="Calibri" w:eastAsia="Calibri" w:hAnsi="Calibri" w:cs="Times New Roman"/>
          <w:sz w:val="24"/>
          <w:szCs w:val="24"/>
        </w:rPr>
        <w:t>. The plant lignan, Matairesinol, for example, is seen in high abundan</w:t>
      </w:r>
      <w:r w:rsidR="00493A1A">
        <w:rPr>
          <w:rFonts w:ascii="Calibri" w:eastAsia="Calibri" w:hAnsi="Calibri" w:cs="Times New Roman"/>
          <w:sz w:val="24"/>
          <w:szCs w:val="24"/>
        </w:rPr>
        <w:t>ce with a very high score in</w:t>
      </w:r>
      <w:r w:rsidR="00CF1D1E" w:rsidRPr="00CF1D1E">
        <w:rPr>
          <w:rFonts w:ascii="Calibri" w:eastAsia="Calibri" w:hAnsi="Calibri" w:cs="Times New Roman"/>
          <w:sz w:val="24"/>
          <w:szCs w:val="24"/>
        </w:rPr>
        <w:t xml:space="preserve"> gorse stem extract and at about a fifth of this level in the gorse flower extracts</w:t>
      </w:r>
      <w:r w:rsidR="004200E7">
        <w:rPr>
          <w:rFonts w:ascii="Calibri" w:eastAsia="Calibri" w:hAnsi="Calibri" w:cs="Times New Roman"/>
          <w:sz w:val="24"/>
          <w:szCs w:val="24"/>
        </w:rPr>
        <w:t xml:space="preserve"> (Fig.57 for abundance profile, A2-004 and A2-005 abundance/injection highlighted in blue)</w:t>
      </w:r>
      <w:r w:rsidR="00CF1D1E" w:rsidRPr="00CF1D1E">
        <w:rPr>
          <w:rFonts w:ascii="Calibri" w:eastAsia="Calibri" w:hAnsi="Calibri" w:cs="Times New Roman"/>
          <w:sz w:val="24"/>
          <w:szCs w:val="24"/>
        </w:rPr>
        <w:t xml:space="preserve">. This is an order of magnitude higher than </w:t>
      </w:r>
      <w:r w:rsidR="003A67E3">
        <w:rPr>
          <w:rFonts w:ascii="Calibri" w:eastAsia="Calibri" w:hAnsi="Calibri" w:cs="Times New Roman"/>
          <w:sz w:val="24"/>
          <w:szCs w:val="24"/>
        </w:rPr>
        <w:t>the</w:t>
      </w:r>
      <w:r w:rsidR="00CF1D1E" w:rsidRPr="00CF1D1E">
        <w:rPr>
          <w:rFonts w:ascii="Calibri" w:eastAsia="Calibri" w:hAnsi="Calibri" w:cs="Times New Roman"/>
          <w:sz w:val="24"/>
          <w:szCs w:val="24"/>
        </w:rPr>
        <w:t xml:space="preserve"> highest observed abundance in the previous chapte</w:t>
      </w:r>
      <w:r w:rsidR="00DE64EB">
        <w:rPr>
          <w:rFonts w:ascii="Calibri" w:eastAsia="Calibri" w:hAnsi="Calibri" w:cs="Times New Roman"/>
          <w:sz w:val="24"/>
          <w:szCs w:val="24"/>
        </w:rPr>
        <w:t xml:space="preserve">r which was Oak bark (A1-002 also </w:t>
      </w:r>
      <w:r w:rsidR="00DE64EB">
        <w:rPr>
          <w:rFonts w:ascii="Calibri" w:eastAsia="Calibri" w:hAnsi="Calibri" w:cs="Times New Roman"/>
          <w:sz w:val="24"/>
          <w:szCs w:val="24"/>
        </w:rPr>
        <w:lastRenderedPageBreak/>
        <w:t>highlighted in blue)</w:t>
      </w:r>
      <w:r w:rsidR="003A67E3">
        <w:rPr>
          <w:rFonts w:ascii="Calibri" w:eastAsia="Calibri" w:hAnsi="Calibri" w:cs="Times New Roman"/>
          <w:sz w:val="24"/>
          <w:szCs w:val="24"/>
        </w:rPr>
        <w:t>. T</w:t>
      </w:r>
      <w:r w:rsidR="00CF1D1E" w:rsidRPr="00CF1D1E">
        <w:rPr>
          <w:rFonts w:ascii="Calibri" w:eastAsia="Calibri" w:hAnsi="Calibri" w:cs="Times New Roman"/>
          <w:sz w:val="24"/>
          <w:szCs w:val="24"/>
        </w:rPr>
        <w:t xml:space="preserve">he publication “Radical and superoxide scavenging activities of matairesinol and oxidized matairesinol” </w:t>
      </w:r>
      <w:r w:rsidR="00CF1D1E" w:rsidRPr="00CF1D1E">
        <w:rPr>
          <w:rFonts w:ascii="Calibri" w:eastAsia="Calibri" w:hAnsi="Calibri" w:cs="Times New Roman"/>
          <w:sz w:val="24"/>
          <w:szCs w:val="24"/>
        </w:rPr>
        <w:fldChar w:fldCharType="begin" w:fldLock="1"/>
      </w:r>
      <w:r w:rsidR="00EE39BD">
        <w:rPr>
          <w:rFonts w:ascii="Calibri" w:eastAsia="Calibri" w:hAnsi="Calibri" w:cs="Times New Roman"/>
          <w:sz w:val="24"/>
          <w:szCs w:val="24"/>
        </w:rPr>
        <w:instrText>ADDIN CSL_CITATION {"citationItems":[{"id":"ITEM-1","itemData":{"DOI":"10.1271/bbb.60096","ISSN":"0916-8451","abstract":"The radical and superoxide scavenging activities of oxidized matairesinols were examined. It could be assumed that the free benzylic position was important for higher radical scavenging activity. The different level of activity was observed between 7'-oxomatairesinol (Mat 2) and 7-oxomatairesinol (Mat 3). The activity of 8-hydroxymatairesinol was lower than that of matairesinol (Mat 1). The superoxide scavenging activity of the oxidized matairesinols was also demonstrated for the first time. It is assumed that the pKa value of phenol in the oxidized matairesinols affected this activity.","author":[{"dropping-particle":"","family":"Yamauchi","given":"Satoshi","non-dropping-particle":"","parse-names":false,"suffix":""},{"dropping-particle":"","family":"SUGAHARA","given":"Takuya","non-dropping-particle":"","parse-names":false,"suffix":""},{"dropping-particle":"","family":"NAKASHIMA","given":"Yuki","non-dropping-particle":"","parse-names":false,"suffix":""},{"dropping-particle":"","family":"OKADA","given":"Akihiro","non-dropping-particle":"","parse-names":false,"suffix":""},{"dropping-particle":"","family":"AKIYAMA","given":"Koichi","non-dropping-particle":"","parse-names":false,"suffix":""},{"dropping-particle":"","family":"KISHIDA","given":"Taro","non-dropping-particle":"","parse-names":false,"suffix":""},{"dropping-particle":"","family":"MARUYAMA","given":"Masashi","non-dropping-particle":"","parse-names":false,"suffix":""},{"dropping-particle":"","family":"MASUDA","given":"Toshiya","non-dropping-particle":"","parse-names":false,"suffix":""}],"container-title":"Bioscience, Biotechnology, and Biochemistry","id":"ITEM-1","issue":"8","issued":{"date-parts":[["2006"]]},"page":"1934-1940","title":"Radical and Superoxide Scavenging Activities of Matairesinol and Oxidized Matairesinol","type":"article-journal","volume":"70"},"uris":["http://www.mendeley.com/documents/?uuid=4ddebee3-45f0-4bea-a4c4-55d95b52a6f7"]}],"mendeley":{"formattedCitation":"(Yamauchi et al., 2006)","plainTextFormattedCitation":"(Yamauchi et al., 2006)","previouslyFormattedCitation":"(Yamauchi et al., 2006)"},"properties":{"noteIndex":0},"schema":"https://github.com/citation-style-language/schema/raw/master/csl-citation.json"}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1E5DE1" w:rsidRPr="001E5DE1">
        <w:rPr>
          <w:rFonts w:ascii="Calibri" w:eastAsia="Calibri" w:hAnsi="Calibri" w:cs="Times New Roman"/>
          <w:noProof/>
          <w:sz w:val="24"/>
          <w:szCs w:val="24"/>
        </w:rPr>
        <w:t xml:space="preserve">(Yamauchi </w:t>
      </w:r>
      <w:r w:rsidR="001E5DE1" w:rsidRPr="000E1A5F">
        <w:rPr>
          <w:rFonts w:ascii="Calibri" w:eastAsia="Calibri" w:hAnsi="Calibri" w:cs="Times New Roman"/>
          <w:i/>
          <w:noProof/>
          <w:sz w:val="24"/>
          <w:szCs w:val="24"/>
        </w:rPr>
        <w:t>et al</w:t>
      </w:r>
      <w:r w:rsidR="001E5DE1" w:rsidRPr="001E5DE1">
        <w:rPr>
          <w:rFonts w:ascii="Calibri" w:eastAsia="Calibri" w:hAnsi="Calibri" w:cs="Times New Roman"/>
          <w:noProof/>
          <w:sz w:val="24"/>
          <w:szCs w:val="24"/>
        </w:rPr>
        <w:t>., 2006)</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 xml:space="preserve">, </w:t>
      </w:r>
      <w:r w:rsidR="003A67E3">
        <w:rPr>
          <w:rFonts w:ascii="Calibri" w:eastAsia="Calibri" w:hAnsi="Calibri" w:cs="Times New Roman"/>
          <w:sz w:val="24"/>
          <w:szCs w:val="24"/>
        </w:rPr>
        <w:t xml:space="preserve">shows </w:t>
      </w:r>
      <w:r w:rsidR="00CF1D1E" w:rsidRPr="00CF1D1E">
        <w:rPr>
          <w:rFonts w:ascii="Calibri" w:eastAsia="Calibri" w:hAnsi="Calibri" w:cs="Times New Roman"/>
          <w:sz w:val="24"/>
          <w:szCs w:val="24"/>
        </w:rPr>
        <w:t xml:space="preserve">this a </w:t>
      </w:r>
      <w:r w:rsidR="001E5DE1">
        <w:rPr>
          <w:rFonts w:ascii="Calibri" w:eastAsia="Calibri" w:hAnsi="Calibri" w:cs="Times New Roman"/>
          <w:sz w:val="24"/>
          <w:szCs w:val="24"/>
        </w:rPr>
        <w:t xml:space="preserve">promising </w:t>
      </w:r>
      <w:r w:rsidR="00CF1D1E" w:rsidRPr="00CF1D1E">
        <w:rPr>
          <w:rFonts w:ascii="Calibri" w:eastAsia="Calibri" w:hAnsi="Calibri" w:cs="Times New Roman"/>
          <w:sz w:val="24"/>
          <w:szCs w:val="24"/>
        </w:rPr>
        <w:t>candidate for further investigation. As this costs £400 for 5mg of analytical standard, this avenue of research will have to wait due to availability of funding. Other examples that would warrant further research would be Caffeic acid 3-O-glucuronide (Gut Weed and Pepper Dulse</w:t>
      </w:r>
      <w:r w:rsidR="00EE39BD">
        <w:rPr>
          <w:rFonts w:ascii="Calibri" w:eastAsia="Calibri" w:hAnsi="Calibri" w:cs="Times New Roman"/>
          <w:sz w:val="24"/>
          <w:szCs w:val="24"/>
        </w:rPr>
        <w:t>, Fig.</w:t>
      </w:r>
      <w:r w:rsidR="00164390">
        <w:rPr>
          <w:rFonts w:ascii="Calibri" w:eastAsia="Calibri" w:hAnsi="Calibri" w:cs="Times New Roman"/>
          <w:sz w:val="24"/>
          <w:szCs w:val="24"/>
        </w:rPr>
        <w:t>58</w:t>
      </w:r>
      <w:r w:rsidR="00CF1D1E" w:rsidRPr="00CF1D1E">
        <w:rPr>
          <w:rFonts w:ascii="Calibri" w:eastAsia="Calibri" w:hAnsi="Calibri" w:cs="Times New Roman"/>
          <w:sz w:val="24"/>
          <w:szCs w:val="24"/>
        </w:rPr>
        <w:t>)</w:t>
      </w:r>
      <w:r w:rsidR="00EE39BD">
        <w:rPr>
          <w:rFonts w:ascii="Calibri" w:eastAsia="Calibri" w:hAnsi="Calibri" w:cs="Times New Roman"/>
          <w:sz w:val="24"/>
          <w:szCs w:val="24"/>
        </w:rPr>
        <w:fldChar w:fldCharType="begin" w:fldLock="1"/>
      </w:r>
      <w:r w:rsidR="00601064">
        <w:rPr>
          <w:rFonts w:ascii="Calibri" w:eastAsia="Calibri" w:hAnsi="Calibri" w:cs="Times New Roman"/>
          <w:sz w:val="24"/>
          <w:szCs w:val="24"/>
        </w:rPr>
        <w:instrText>ADDIN CSL_CITATION {"citationItems":[{"id":"ITEM-1","itemData":{"DOI":"10.1021/jf304076z","ISSN":"00218561","abstract":"The main metabolites of caffeic and ferulic acids (ferulic acid-4′-O-sulfate, caffeic acid-4′-O-sulfate, and caffeic acid-3′-O-sulfate), the most representative phenolic acids in fruits and vegetables, and the acyl glucuronide of ferulic acid were synthesized, purified, and tested for their antioxidant activity in comparison with those of their parent compounds and other related phenolics. Both the ferric reducing antioxidant power (FRAP) assay and the 2,2′-azino-bis(3- ethylbenzothiazoline-6-sulfonic acid) (ABTS) radical scavenging method were used. Ferulic acid-4′-O-sulfate and ferulic acid-4′-O-glucuronide exhibited very low antioxidant activity, while the monosulfate derivatives of caffeic acid were 4-fold less efficient as the antioxidant than caffeic acid. The acyl glucuronide of ferulic acid showed strong antioxidant action. The antioxidant activity of caffeic acid-3′-O-glucuronide and caffeic acid-4′-O-glucuronide was also studied. Our results demonstrate that some of the products of phenolic acid metabolism still retain strong antioxidant properties. Moreover, we first demonstrate the ex vivo synthesis of the acyl glucuronide of ferulic acid by mouse liver microsomes, in addition to the phenyl glucuronide. © 2012 American Chemical Society.","author":[{"dropping-particle":"","family":"Piazzon","given":"A.","non-dropping-particle":"","parse-names":false,"suffix":""},{"dropping-particle":"","family":"Vrhovsek","given":"U.","non-dropping-particle":"","parse-names":false,"suffix":""},{"dropping-particle":"","family":"Masuero","given":"D.","non-dropping-particle":"","parse-names":false,"suffix":""},{"dropping-particle":"","family":"Mattivi","given":"F.","non-dropping-particle":"","parse-names":false,"suffix":""},{"dropping-particle":"","family":"Mandoj","given":"F.","non-dropping-particle":"","parse-names":false,"suffix":""},{"dropping-particle":"","family":"Nardini","given":"M.","non-dropping-particle":"","parse-names":false,"suffix":""}],"container-title":"Journal of Agricultural and Food Chemistry","id":"ITEM-1","issue":"50","issued":{"date-parts":[["2012"]]},"page":"12312-12323","title":"Antioxidant activity of phenolic acids and their metabolites: Synthesis and antioxidant properties of the sulfate derivatives of ferulic and caffeic acids and of the acyl glucuronide of ferulic acid","type":"article-journal","volume":"60"},"uris":["http://www.mendeley.com/documents/?uuid=38196155-d153-44ef-945c-2437d3be77bd"]}],"mendeley":{"formattedCitation":"(Piazzon et al., 2012)","plainTextFormattedCitation":"(Piazzon et al., 2012)","previouslyFormattedCitation":"(Piazzon et al., 2012)"},"properties":{"noteIndex":0},"schema":"https://github.com/citation-style-language/schema/raw/master/csl-citation.json"}</w:instrText>
      </w:r>
      <w:r w:rsidR="00EE39BD">
        <w:rPr>
          <w:rFonts w:ascii="Calibri" w:eastAsia="Calibri" w:hAnsi="Calibri" w:cs="Times New Roman"/>
          <w:sz w:val="24"/>
          <w:szCs w:val="24"/>
        </w:rPr>
        <w:fldChar w:fldCharType="separate"/>
      </w:r>
      <w:r w:rsidR="00EE39BD" w:rsidRPr="00EE39BD">
        <w:rPr>
          <w:rFonts w:ascii="Calibri" w:eastAsia="Calibri" w:hAnsi="Calibri" w:cs="Times New Roman"/>
          <w:noProof/>
          <w:sz w:val="24"/>
          <w:szCs w:val="24"/>
        </w:rPr>
        <w:t xml:space="preserve">(Piazzon </w:t>
      </w:r>
      <w:r w:rsidR="00EE39BD" w:rsidRPr="00EE39BD">
        <w:rPr>
          <w:rFonts w:ascii="Calibri" w:eastAsia="Calibri" w:hAnsi="Calibri" w:cs="Times New Roman"/>
          <w:i/>
          <w:noProof/>
          <w:sz w:val="24"/>
          <w:szCs w:val="24"/>
        </w:rPr>
        <w:t>et al</w:t>
      </w:r>
      <w:r w:rsidR="00EE39BD" w:rsidRPr="00EE39BD">
        <w:rPr>
          <w:rFonts w:ascii="Calibri" w:eastAsia="Calibri" w:hAnsi="Calibri" w:cs="Times New Roman"/>
          <w:noProof/>
          <w:sz w:val="24"/>
          <w:szCs w:val="24"/>
        </w:rPr>
        <w:t>., 2012)</w:t>
      </w:r>
      <w:r w:rsidR="00EE39BD">
        <w:rPr>
          <w:rFonts w:ascii="Calibri" w:eastAsia="Calibri" w:hAnsi="Calibri" w:cs="Times New Roman"/>
          <w:sz w:val="24"/>
          <w:szCs w:val="24"/>
        </w:rPr>
        <w:fldChar w:fldCharType="end"/>
      </w:r>
      <w:r w:rsidR="00CF1D1E" w:rsidRPr="00CF1D1E">
        <w:rPr>
          <w:rFonts w:ascii="Calibri" w:eastAsia="Calibri" w:hAnsi="Calibri" w:cs="Times New Roman"/>
          <w:sz w:val="24"/>
          <w:szCs w:val="24"/>
        </w:rPr>
        <w:t>, Chlorogenic acid (Alexanders and Nettle</w:t>
      </w:r>
      <w:r w:rsidR="00EE39BD">
        <w:rPr>
          <w:rFonts w:ascii="Calibri" w:eastAsia="Calibri" w:hAnsi="Calibri" w:cs="Times New Roman"/>
          <w:sz w:val="24"/>
          <w:szCs w:val="24"/>
        </w:rPr>
        <w:t>, Fig.</w:t>
      </w:r>
      <w:r w:rsidR="00164390">
        <w:rPr>
          <w:rFonts w:ascii="Calibri" w:eastAsia="Calibri" w:hAnsi="Calibri" w:cs="Times New Roman"/>
          <w:sz w:val="24"/>
          <w:szCs w:val="24"/>
        </w:rPr>
        <w:t>59</w:t>
      </w:r>
      <w:r w:rsidR="00CF1D1E" w:rsidRPr="00CF1D1E">
        <w:rPr>
          <w:rFonts w:ascii="Calibri" w:eastAsia="Calibri" w:hAnsi="Calibri" w:cs="Times New Roman"/>
          <w:sz w:val="24"/>
          <w:szCs w:val="24"/>
        </w:rPr>
        <w:t xml:space="preserve">)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{"citationItems":[{"id":"ITEM-1","itemData":{"DOI":"10.1155/2013/801457","ISBN":"1741-427X (Print) 1741-427X (Linking)","ISSN":"1741427X","PMID":"24062792","abstract":"&lt;p&gt;Intracellular glucose and lipid metabolic homeostasis is vital for maintaining basic life activities of a cell or an organism. Glucose and lipid metabolic disorders are closely related with the occurrence and progression of diabetes, obesity, hepatic steatosis, cardiovascular disease, and cancer. Chlorogenic acid (CGA), one of the most abundant polyphenol compounds in the human diet, is a group of phenolic secondary metabolites produced by certain plant species and is an important component of coffee. Accumulating evidence has demonstrated that CGA exerts many biological properties, including antibacterial, antioxidant, and anticarcinogenic activities. Recently, the roles and applications of CGA, particularly in relation to glucose and lipid metabolism, have been highlighted. This review addresses current studies investigating the roles of CGA in glucose and lipid metabolism.&lt;/p&gt;","author":[{"dropping-particle":"","family":"Meng","given":"Shengxi","non-dropping-particle":"","parse-names":false,"suffix":""},{"dropping-particle":"","family":"Cao","given":"Jianmei","non-dropping-particle":"","parse-names":false,"suffix":""},{"dropping-particle":"","family":"Feng","given":"Qin","non-dropping-particle":"","parse-names":false,"suffix":""},{"dropping-particle":"","family":"Peng","given":"Jinghua","non-dropping-particle":"","parse-names":false,"suffix":""},{"dropping-particle":"","family":"Hu","given":"Yiyang","non-dropping-particle":"","parse-names":false,"suffix":""}],"container-title":"Evidence-based Complementary and Alternative Medicine","id":"ITEM-1","issued":{"date-parts":[["2013"]]},"title":"Roles of chlorogenic acid on regulating glucose and lipids metabolism: A review","type":"article-journal","volume":"2013"},"uris":["http://www.mendeley.com/documents/?uuid=6a16007d-db83-4510-8cd9-e87bfd1beef1"]}],"mendeley":{"formattedCitation":"(Meng, Cao, Feng, Peng, &amp; Hu, 2013)","plainTextFormattedCitation":"(Meng, Cao, Feng, Peng, &amp; Hu, 2013)","previouslyFormattedCitation":"(Meng, Cao, Feng, Peng, &amp; Hu, 2013)"},"properties":{"noteIndex":0},"schema":"https://github.com/citation-style-language/schema/raw/master/csl-citation.json"}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(Meng, Cao, Feng, Peng, &amp; Hu, 2013)</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 xml:space="preserve"> and  3-Feruloylquinic acid (Wild Garlic</w:t>
      </w:r>
      <w:r w:rsidR="00EE39BD">
        <w:rPr>
          <w:rFonts w:ascii="Calibri" w:eastAsia="Calibri" w:hAnsi="Calibri" w:cs="Times New Roman"/>
          <w:sz w:val="24"/>
          <w:szCs w:val="24"/>
        </w:rPr>
        <w:t>, Fig</w:t>
      </w:r>
      <w:r w:rsidR="00164390">
        <w:rPr>
          <w:rFonts w:ascii="Calibri" w:eastAsia="Calibri" w:hAnsi="Calibri" w:cs="Times New Roman"/>
          <w:sz w:val="24"/>
          <w:szCs w:val="24"/>
        </w:rPr>
        <w:t>.60</w:t>
      </w:r>
      <w:r w:rsidR="00CF1D1E" w:rsidRPr="00CF1D1E">
        <w:rPr>
          <w:rFonts w:ascii="Calibri" w:eastAsia="Calibri" w:hAnsi="Calibri" w:cs="Times New Roman"/>
          <w:sz w:val="24"/>
          <w:szCs w:val="24"/>
        </w:rPr>
        <w:t xml:space="preserve">)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{"citationItems":[{"id":"ITEM-1","itemData":{"DOI":"10.3390/nu2080820","ISSN":"20726643","abstract":"This paper reviews recent human studies on the bioavailability of chlorogenic acids in coffee and green tea flavan-3-ols in which the identification of metabolites, catabolites and parent compounds in plasma, urine and ileal fluid was based on mass spectrometric methodology. Both the chlorogenic acids and the flavan-3-ols are absorbed in the small intestine and appear in the circulatory system predominantly as glucuronide, sulfate and methylated metabolites. Even when absorption occurs in the small intestine, feeding studies with ileostomists reveal that substantial amounts of the parent compounds and some of their metabolites appear in ileal fluid indicating that in volunteers with a functioning colon these compounds will pass to the large intestine where they are subjected to the action of the colonic microflora. A diversity of colonic-derived catabolites are absorbed into the bloodstream and pass through the body prior to excretion in urine. There is growing evidence that these compounds, which were little investigated until recently, are produced in quantity in the colon and form a key part of the bioavailability equation of flavonoids and related compounds that occur in fruits, vegetables and beverages. Recent evidence indicates that some colon-derived phenolic acids have in vitro anti-inflammatory activity.","author":[{"dropping-particle":"","family":"Rio","given":"Daniele","non-dropping-particle":"Del","parse-names":false,"suffix":""},{"dropping-particle":"","family":"Stalmach","given":"Angelique","non-dropping-particle":"","parse-names":false,"suffix":""},{"dropping-particle":"","family":"Calani","given":"Luca","non-dropping-particle":"","parse-names":false,"suffix":""},{"dropping-particle":"","family":"Crozier","given":"Alan","non-dropping-particle":"","parse-names":false,"suffix":""}],"container-title":"Nutrients","id":"ITEM-1","issue":"8","issued":{"date-parts":[["2010"]]},"page":"820-833","title":"Bioavailability of coffee chlorogenic acids and green tea flavan-3-ols","type":"article-journal","volume":"2"},"uris":["http://www.mendeley.com/documents/?uuid=c7bd5a44-25de-4d67-8302-baa48426a771"]}],"mendeley":{"formattedCitation":"(Del Rio, Stalmach, Calani, &amp; Crozier, 2010)","plainTextFormattedCitation":"(Del Rio, Stalmach, Calani, &amp; Crozier, 2010)","previouslyFormattedCitation":"(Del Rio, Stalmach, Calani, &amp; Crozier, 2010)"},"properties":{"noteIndex":0},"schema":"https://github.com/citation-style-language/schema/raw/master/csl-citation.json"}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(Del Rio, Stalmach, Calani, &amp; Crozier, 2010)</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 Furthermore, in gorse flower, and stem to a lesser extent, there are a wealth of high abundance, high confidence polyphenols of significance; Naringin</w:t>
      </w:r>
      <w:r w:rsidR="00EE39BD">
        <w:rPr>
          <w:rFonts w:ascii="Calibri" w:eastAsia="Calibri" w:hAnsi="Calibri" w:cs="Times New Roman"/>
          <w:sz w:val="24"/>
          <w:szCs w:val="24"/>
        </w:rPr>
        <w:t xml:space="preserve"> (</w:t>
      </w:r>
      <w:r w:rsidR="00EE39BD">
        <w:rPr>
          <w:rFonts w:ascii="Calibri" w:eastAsia="Calibri" w:hAnsi="Calibri" w:cs="Times New Roman"/>
          <w:sz w:val="24"/>
          <w:szCs w:val="24"/>
          <w:lang w:val="en"/>
        </w:rPr>
        <w:t>Fig.</w:t>
      </w:r>
      <w:r w:rsidR="00EE39BD" w:rsidRPr="00EE39BD">
        <w:rPr>
          <w:rFonts w:ascii="Calibri" w:eastAsia="Calibri" w:hAnsi="Calibri" w:cs="Times New Roman"/>
          <w:sz w:val="24"/>
          <w:szCs w:val="24"/>
          <w:lang w:val="en"/>
        </w:rPr>
        <w:t>61</w:t>
      </w:r>
      <w:r w:rsidR="00EE39BD">
        <w:rPr>
          <w:rFonts w:ascii="Calibri" w:eastAsia="Calibri" w:hAnsi="Calibri" w:cs="Times New Roman"/>
          <w:sz w:val="24"/>
          <w:szCs w:val="24"/>
        </w:rPr>
        <w:t>)</w:t>
      </w:r>
      <w:r w:rsidR="00CF1D1E" w:rsidRPr="00CF1D1E">
        <w:rPr>
          <w:rFonts w:ascii="Calibri" w:eastAsia="Calibri" w:hAnsi="Calibri" w:cs="Times New Roman"/>
          <w:sz w:val="24"/>
          <w:szCs w:val="24"/>
        </w:rPr>
        <w:t xml:space="preserve">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{"citationItems":[{"id":"ITEM-1","itemData":{"DOI":"81/1/230S [pii]","ISBN":"0002-9165 (Print)\\n0002-9165 (Linking)","ISSN":"00029165","PMID":"15640486","abstract":"For some classes of dietary polyphenols, there are now sufficient intervention studies to indicate the type and magnitude of effects among humans in vivo, on the basis of short-term changes in biomarkers. Isoflavones (genistein and daidzein, found in soy) have significant effects on bone health among postmenopausal women, together with some weak hormonal effects.Monomeric catechins (found at especially high concentrations in tea) have effects on plasma antioxidant biomarkers and energy metabolism.Procyanidins (oligomeric catechins found at high concentrations in red wine, grapes, cocoa, cranberries, apples, and some supplements such as Pycnogenol) have pronounced effects on the vascular system, including but not limited to plasma antioxidant activity.Quercetin (the main representative of the flavonol class, found at high concentrations in onions, apples, red wine, broccoli, tea, and Ginkgo biloba) influences some carcinogenesis markers and has small effects on plasma antioxidant biomarkers in vivo, although some studies failed to find this effect.Compared with the effects of polyphenols in vitro, the effects in vivo, although significant, are more limited.The reasons for this are 1) lack of validated in vivo biomarkers, especially in the area of carcinogenesis; 2) lack of long-term studies; and 3) lack of understanding or consideration of bioavailability in the in vitro studies, which are subsequently used for the design of in vivo experiments.It is time to rethink the design of in vitro and in vivo studies, so that these issues are carefully considered.The length of human intervention studies should be increased, to more closely reflect the long-term dietary consumption of polyphenols.","author":[{"dropping-particle":"","family":"Williamson","given":"G","non-dropping-particle":"","parse-names":false,"suffix":""},{"dropping-particle":"","family":"Manach","given":"C","non-dropping-particle":"","parse-names":false,"suffix":""}],"container-title":"Am J Clin Nutr","id":"ITEM-1","issued":{"date-parts":[["2005"]]},"page":"243S-255S","title":"Bioavailability and bioefficacy of polyphenols in humans.II.Review of 93 intervention studies","type":"article-journal","volume":"81"},"uris":["http://www.mendeley.com/documents/?uuid=76ca51de-182c-421e-8aa3-3425ed5207aa"]}],"mendeley":{"formattedCitation":"(Williamson &amp; Manach, 2005)","plainTextFormattedCitation":"(Williamson &amp; Manach, 2005)","previouslyFormattedCitation":"(Williamson &amp; Manach, 2005)"},"properties":{"noteIndex":0},"schema":"https://github.com/citation-style-language/schema/raw/master/csl-citation.json"}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(Williamson &amp; Manach, 2005)</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 xml:space="preserve">, Tectoridin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{"citationItems":[{"id":"ITEM-1","itemData":{"abstract":"Kurihara et al. and Kubo et al. isolated a series of isoflavonoids. 2—5) Recently, Park et al. have isolated glycitin, tectoridin, 6Љ-O-xylosyltectoridin, and 6Љ-O-xylosylglycitin from the flowers of P. thunbergiana. 6) Most traditional medicines are administered orally, and components of these medicines inevitably come into contact with intestinal microflora in the alimentary tract. Most com-ponents are transformed by intestinal bacteria before being absorbed from the gastrointestinal tract. 7,8) The metabolism of the main components 6Љ-O-xylosyltectoridin and tec-toridin isolated from the flowers of P. thunbergiana was stud-ied. Tectoridin was transformed into tectorigenin by human intestinal bacteria (Fig. 1), and the transformant tectorigenin showed more potent cytotoxicity against tumor cells. 9) How-ever, studies on metabolites of tectoridin in urine and blood were not performed. Therefore, we isolated the main metabo-lite in urine after tectoridin was orally administered to rats and investigated the inhibitory effect of tectoridin and its main metabolite tectorigenin on the passive cutaneous ana-phylaxis (PCA) reaction. MATERIALS AND METHODS Materials and Cells RBL-2H3 rat basophil cells and RAW 264.7 murine macrophage cells were purchased from the Korean Cell Line Bank. Egg albumin, p-nitrophenyl-N-acetyl-b-D-glucosaminide, anti-dinitrophenyl (DNP)-IgE, DNP-human serum albumin (HSA), Evans blue, and diso-dium cromoglycate (DSCG) were purchased from Sigma Chemical Co. (U.S.A.). Griess reagent was purchased from Promega Co. (U.S.A.). Tectoridin was isolated from dried flowers (4.8 kg) of P. thunbergiana according to our previous method.","author":[{"dropping-particle":"","family":"Kurihara et al. and Kubo et a","given":"","non-dropping-particle":"","parse-names":false,"suffix":""}],"container-title":"Biol. Pharm. Bull.","id":"ITEM-1","issued":{"date-parts":[["2004"]]},"page":"1099-1102","title":"Passive Cutaneous Anaphylaxis-Inhibitory Action of Tectorigenin, a Metabolite of Tectoridin by Intestinal Microflora","type":"article-journal","volume":"27"},"uris":["http://www.mendeley.com/documents/?uuid=164fe1c0-2b7b-3d74-9361-d1fde6638c2c"]}],"mendeley":{"formattedCitation":"(Kurihara et al. and Kubo et a, 2004)","plainTextFormattedCitation":"(Kurihara et al. and Kubo et a, 2004)","previouslyFormattedCitation":"(Kurihara et al. and Kubo et a, 2004)"},"properties":{"noteIndex":0},"schema":"https://github.com/citation-style-language/schema/raw/master/csl-citation.json"}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(Kurihara et al. and Kubo et a, 2004)</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 xml:space="preserve">, </w:t>
      </w:r>
      <w:r w:rsidR="00066402" w:rsidRPr="00066402">
        <w:rPr>
          <w:rFonts w:ascii="Calibri" w:eastAsia="Calibri" w:hAnsi="Calibri" w:cs="Calibri"/>
          <w:color w:val="222222"/>
          <w:sz w:val="24"/>
          <w:szCs w:val="24"/>
          <w:shd w:val="clear" w:color="auto" w:fill="FFFFFF"/>
        </w:rPr>
        <w:t>Equol 4'-O-glucuronide</w:t>
      </w:r>
      <w:r w:rsidR="00CF1D1E" w:rsidRPr="00CF1D1E">
        <w:rPr>
          <w:rFonts w:ascii="Calibri" w:eastAsia="Calibri" w:hAnsi="Calibri" w:cs="Calibri"/>
          <w:color w:val="222222"/>
          <w:sz w:val="24"/>
          <w:szCs w:val="24"/>
          <w:shd w:val="clear" w:color="auto" w:fill="FFFFFF"/>
        </w:rPr>
        <w:t xml:space="preserve"> </w:t>
      </w:r>
      <w:r w:rsidR="00CF1D1E" w:rsidRPr="00CF1D1E">
        <w:rPr>
          <w:rFonts w:ascii="Calibri" w:eastAsia="Calibri" w:hAnsi="Calibri" w:cs="Calibri"/>
          <w:color w:val="222222"/>
          <w:sz w:val="24"/>
          <w:szCs w:val="24"/>
          <w:shd w:val="clear" w:color="auto" w:fill="FFFFFF"/>
        </w:rPr>
        <w:fldChar w:fldCharType="begin" w:fldLock="1"/>
      </w:r>
      <w:r w:rsidR="00B61A01">
        <w:rPr>
          <w:rFonts w:ascii="Calibri" w:eastAsia="Calibri" w:hAnsi="Calibri" w:cs="Calibri"/>
          <w:color w:val="222222"/>
          <w:sz w:val="24"/>
          <w:szCs w:val="24"/>
          <w:shd w:val="clear" w:color="auto" w:fill="FFFFFF"/>
        </w:rPr>
        <w:instrText>ADDIN CSL_CITATION {"citationItems":[{"id":"ITEM-1","itemData":{"DOI":"10.1016/j.jpba.2012.06.006","ISSN":"07317085","abstract":"Calycosin and calycosin-7-O-β-d-glucoside are two main bioactive isoflavonoids in Astragali Radix. To profile the metabolites of calycosin in rat hepatic 9000×g supernatant incubation system and the metabolites of calycosin-7-O-β-d-glucoside in rat urine, high performance liquid chromatography with diode array detector and combined with electrospray ionization ion trap time-of-flight multistage mass spectrometry (HPLC-DAD-ESI-IT-TOF-MS n ) technique was used. Totally, 24 new in vitro metabolites of calycosin and 33 new in vivo metabolites of calycosin-7-O-β-d-glucoside were identified. Monoglucosylation, monopentosylation, demethylation, dehydroxylation, dimerization, and trimerization were found to be new in vitro metabolic reactions of calycosin; hydroxylation and hydrogenation were new metabolic reactions of calycosin-7-O-β-d-glucoside in vivo. The major metabolic reactions of calycosin in rat hepatic 9000×g supernatant incubation system were monohydroxylation on A-ring, dimerization (CO coupling), dimerization (CC coupling) and dehydroxylation; the major phase I metabolic reactions of calycosin-7-O-β-d-glucoside in rats were deglycosylation, hydroxylation, demethylation and dehydroxylation. Hydroxylation, dehydroxylation, and demethylation were common metabolic pathways to calycosin and calycosin-7-O-β-d-glucoside, and some of their metabolites formed through these reactions, such as 8-hydroxycalycosin (S10, M10), pratensein (5-hydroxycalycosin, S19, M27) and formononetin (S22, M28), daidzein (M22), 7,3',4'-trihydroxyisoflavone (S13, aglycon of M3 and M8), equol (aglycon of M19 and M20) had been reported to have many bioactivities related to the pharmacological effects of calycosin and calycosin-7-O-β-d-glucoside. These findings would enhance understanding of the metabolism and real active forms of calycosin and calycosin-7-O-β-d-glucoside. © 2012 .","author":[{"dropping-particle":"","family":"Zhang","given":"Ya Zhou","non-dropping-particle":"","parse-names":false,"suffix":""},{"dropping-particle":"","family":"Xu","given":"Feng","non-dropping-particle":"","parse-names":false,"suffix":""},{"dropping-particle":"","family":"Dong","given":"Jing","non-dropping-particle":"","parse-names":false,"suffix":""},{"dropping-particle":"","family":"Liang","given":"Jing","non-dropping-particle":"","parse-names":false,"suffix":""},{"dropping-particle":"","family":"Hashi","given":"Yuki","non-dropping-particle":"","parse-names":false,"suffix":""},{"dropping-particle":"","family":"Shang","given":"Ming Ying","non-dropping-particle":"","parse-names":false,"suffix":""},{"dropping-particle":"","family":"Yang","given":"Dong Hui","non-dropping-particle":"","parse-names":false,"suffix":""},{"dropping-particle":"","family":"Wang","given":"Xuan","non-dropping-particle":"","parse-names":false,"suffix":""},{"dropping-particle":"","family":"Cai","given":"Shao Qing","non-dropping-particle":"","parse-names":false,"suffix":""}],"container-title":"Journal of Pharmaceutical and Biomedical Analysis","id":"ITEM-1","issued":{"date-parts":[["2012"]]},"page":"425-439","publisher":"Elsevier B.V.","title":"Profiling and identification of the metabolites of calycosin in rat hepatic 9000×g supernatant incubation system and the metabolites of calycosin-7-O-β-d-glucoside in rat urine by HPLC-DAD-ESI-IT-TOF-MS n technique","type":"article-journal","volume":"70"},"uris":["http://www.mendeley.com/documents/?uuid=27023c47-1034-457d-8b1a-1c93401c400c"]},{"id":"ITEM-2","itemData":{"DOI":"10.3390/antiox9040306","ISSN":"20763921","abstract":"Artichoke is a relevant source of health-promoting compounds such as polyphenols and sesquiterpene lactones. In this study, the bioaccessibility and gut bioavailability of artichoke constituents were evaluated by combining in vitro digestion and large intestine fermentation, metabolomics, and Caco-2 human intestinal cells model. Moreover, the ability of artichoke polyphenols to modulate the in vitro starch digestibility was also explored. An untargeted metabolomic approach based on liquid chromatography quadrupole-time-of-flight (UHPLC/QTOF) mass spectrometry coupled with multivariate statistics was used to comprehensively screen the phytochemical composition of raw, digested, and fermented artichoke. Overall, a large abundance of phenolic acids and sesquiterpene lactones was detected, being 13.77 and 11.99 mg·g−1, respectively. After 20 h of in vitro large intestine fermentation, a decrease in polyphenols and sesquiterpene lactones content was observed. The most abundant compounds characterizing the raw material (i.e., chlorogenic acid and cynaropicrin equivalents) showed an average % bioaccessibility of 1.6%. The highest % bioaccessibility values were recorded for flavonoids such as anthocyanin and flavone equivalents (on average, 13.6%). However, the relatively high bioavailability values recorded for flavonols, phenolic acids, and sesquiterpene lactones (from 71.6% up to 82.4%) demonstrated that these compounds are able to be transported through the Caco-2 monolayer. The phenolic compounds having the highest permeation rates through the Caco-2 model included low molecular weight phenolics such as tyrosol and 4-ethylcatechol; the isoflavonoids 3′-O-methylviolanone, equol 4′-O-glucuronide, and hydroxyisoflavone; together with the methyl and acetyl derivatives of glycosylated anthocyanins. Therefore, although human in vivo confirmatory trials are deemed possible, current findings provide insights into the mechanistic effects underlying artichoke polyphenols and sesquiterpenoids bioavailability following gastrointestinal and large intestine processes.","author":[{"dropping-particle":"","family":"Rocchetti","given":"Gabriele","non-dropping-particle":"","parse-names":false,"suffix":""},{"dropping-particle":"","family":"Giuberti","given":"Gianluca","non-dropping-particle":"","parse-names":false,"suffix":""},{"dropping-particle":"","family":"Lucchini","given":"Franco","non-dropping-particle":"","parse-names":false,"suffix":""},{"dropping-particle":"","family":"Lucini","given":"Luigi","non-dropping-particle":"","parse-names":false,"suffix":""}],"container-title":"Antioxidants","id":"ITEM-2","issue":"4","issued":{"date-parts":[["2020"]]},"page":"306","title":"Polyphenols and Sesquiterpene Lactones from Artichoke Heads: Modulation of Starch Digestion, Gut Bioaccessibility, and Bioavailability following In Vitro Digestion and Large Intestine Fermentation","type":"article-journal","volume":"9"},"uris":["http://www.mendeley.com/documents/?uuid=c22520f1-5d8b-4cd0-b591-c451c8c08778"]}],"mendeley":{"formattedCitation":"(Rocchetti, Giuberti, Lucchini, &amp; Lucini, 2020; Y. Z. Zhang et al., 2012)","plainTextFormattedCitation":"(Rocchetti, Giuberti, Lucchini, &amp; Lucini, 2020; Y. Z. Zhang et al., 2012)","previouslyFormattedCitation":"(Rocchetti, Giuberti, Lucchini, &amp; Lucini, 2020; Y. Z. Zhang et al., 2012)"},"properties":{"noteIndex":0},"schema":"https://github.com/citation-style-language/schema/raw/master/csl-citation.json"}</w:instrText>
      </w:r>
      <w:r w:rsidR="00CF1D1E" w:rsidRPr="00CF1D1E">
        <w:rPr>
          <w:rFonts w:ascii="Calibri" w:eastAsia="Calibri" w:hAnsi="Calibri" w:cs="Calibri"/>
          <w:color w:val="222222"/>
          <w:sz w:val="24"/>
          <w:szCs w:val="24"/>
          <w:shd w:val="clear" w:color="auto" w:fill="FFFFFF"/>
        </w:rPr>
        <w:fldChar w:fldCharType="separate"/>
      </w:r>
      <w:r w:rsidR="00820C01" w:rsidRPr="00820C01">
        <w:rPr>
          <w:rFonts w:ascii="Calibri" w:eastAsia="Calibri" w:hAnsi="Calibri" w:cs="Calibri"/>
          <w:noProof/>
          <w:color w:val="222222"/>
          <w:sz w:val="24"/>
          <w:szCs w:val="24"/>
          <w:shd w:val="clear" w:color="auto" w:fill="FFFFFF"/>
        </w:rPr>
        <w:t>(Rocchetti, Giuberti, Lucchini, &amp; Lucini, 2020; Y. Z. Zhang et al., 2012)</w:t>
      </w:r>
      <w:r w:rsidR="00CF1D1E" w:rsidRPr="00CF1D1E">
        <w:rPr>
          <w:rFonts w:ascii="Calibri" w:eastAsia="Calibri" w:hAnsi="Calibri" w:cs="Calibri"/>
          <w:color w:val="222222"/>
          <w:sz w:val="24"/>
          <w:szCs w:val="24"/>
          <w:shd w:val="clear" w:color="auto" w:fill="FFFFFF"/>
        </w:rPr>
        <w:fldChar w:fldCharType="end"/>
      </w:r>
      <w:r w:rsidR="00CF1D1E" w:rsidRPr="00CF1D1E">
        <w:rPr>
          <w:rFonts w:ascii="Calibri" w:eastAsia="Calibri" w:hAnsi="Calibri" w:cs="Calibri"/>
          <w:sz w:val="24"/>
          <w:szCs w:val="24"/>
        </w:rPr>
        <w:t xml:space="preserve"> </w:t>
      </w:r>
      <w:r w:rsidR="00CF1D1E" w:rsidRPr="00CF1D1E">
        <w:rPr>
          <w:rFonts w:ascii="Calibri" w:eastAsia="Calibri" w:hAnsi="Calibri" w:cs="Times New Roman"/>
          <w:sz w:val="24"/>
          <w:szCs w:val="24"/>
        </w:rPr>
        <w:t xml:space="preserve">and Daidzin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{"citationItems":[{"id":"ITEM-1","itemData":{"DOI":"10.1016/j.cofs.2017.09.004","ISSN":"22147993","abstract":"The key to link intake of polyphenols to health benefits is the quantitative and kinetic assessment of their metabolites in circulation. Current analytical approaches have only provided limited quantitative coverage of the internal polyphenol metabolome, this in particular pertains to conjugated microbial catabolites. Current modelling approaches to describe the kinetic appearance of polyphenol metabolites into circulation mostly neglect the multi-compartment nature of polyphenol metabolism in the body. Furthermore, inter-individual variation is mostly neglected in current modelling approaches. These gaps hamper clear definition of the modulating effects of metabotypes and food matrix on the internal polyphenol metabolome.","author":[{"dropping-particle":"","family":"Duynhoven","given":"John","non-dropping-particle":"van","parse-names":false,"suffix":""},{"dropping-particle":"","family":"Velzen","given":"Ewoud","non-dropping-particle":"van","parse-names":false,"suffix":""},{"dropping-particle":"","family":"Jacobs","given":"Doris Maria","non-dropping-particle":"","parse-names":false,"suffix":""}],"container-title":"Current Opinion in Food Science","id":"ITEM-1","issued":{"date-parts":[["2017"]]},"page":"88-95","publisher":"Elsevier Ltd","title":"Nutrikinetic assessment of polyphenol exposure","type":"article-journal","volume":"16"},"uris":["http://www.mendeley.com/documents/?uuid=83f0b87e-ec35-40ba-9ea7-8ce075126a82"]}],"mendeley":{"formattedCitation":"(van Duynhoven, van Velzen, &amp; Jacobs, 2017)","plainTextFormattedCitation":"(van Duynhoven, van Velzen, &amp; Jacobs, 2017)","previouslyFormattedCitation":"(van Duynhoven, van Velzen, &amp; Jacobs, 2017)"},"properties":{"noteIndex":0},"schema":"https://github.com/citation-style-language/schema/raw/master/csl-citation.json"}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(van Duynhoven, van Velzen, &amp; Jacobs, 2017)</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w:t>
      </w:r>
      <w:r w:rsidR="00AF7D68">
        <w:rPr>
          <w:rFonts w:ascii="Calibri" w:eastAsia="Calibri" w:hAnsi="Calibri" w:cs="Times New Roman"/>
          <w:sz w:val="24"/>
          <w:szCs w:val="24"/>
        </w:rPr>
        <w:t xml:space="preserve"> See Tab.27 and also </w:t>
      </w:r>
      <w:r w:rsidR="00702BFE">
        <w:rPr>
          <w:rFonts w:ascii="Calibri" w:eastAsia="Calibri" w:hAnsi="Calibri" w:cs="Times New Roman"/>
          <w:sz w:val="24"/>
          <w:szCs w:val="24"/>
        </w:rPr>
        <w:t>Tab.</w:t>
      </w:r>
      <w:r w:rsidR="00AF7D68">
        <w:rPr>
          <w:rFonts w:ascii="Calibri" w:eastAsia="Calibri" w:hAnsi="Calibri" w:cs="Times New Roman"/>
          <w:sz w:val="24"/>
          <w:szCs w:val="24"/>
        </w:rPr>
        <w:t xml:space="preserve">A2-001 to </w:t>
      </w:r>
      <w:r w:rsidR="00702BFE">
        <w:rPr>
          <w:rFonts w:ascii="Calibri" w:eastAsia="Calibri" w:hAnsi="Calibri" w:cs="Times New Roman"/>
          <w:sz w:val="24"/>
          <w:szCs w:val="24"/>
        </w:rPr>
        <w:t>Tab.</w:t>
      </w:r>
      <w:r w:rsidR="00AF7D68">
        <w:rPr>
          <w:rFonts w:ascii="Calibri" w:eastAsia="Calibri" w:hAnsi="Calibri" w:cs="Times New Roman"/>
          <w:sz w:val="24"/>
          <w:szCs w:val="24"/>
        </w:rPr>
        <w:t>A2-008 for details of the plant extract discovery results.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An overall observation of the discovery data </w:t>
      </w:r>
      <w:r w:rsidR="001E5DE1">
        <w:rPr>
          <w:rFonts w:ascii="Calibri" w:eastAsia="Calibri" w:hAnsi="Calibri" w:cs="Times New Roman"/>
          <w:sz w:val="24"/>
          <w:szCs w:val="24"/>
        </w:rPr>
        <w:t>suggest</w:t>
      </w:r>
      <w:r w:rsidRPr="00CF1D1E">
        <w:rPr>
          <w:rFonts w:ascii="Calibri" w:eastAsia="Calibri" w:hAnsi="Calibri" w:cs="Times New Roman"/>
          <w:sz w:val="24"/>
          <w:szCs w:val="24"/>
        </w:rPr>
        <w:t xml:space="preserve"> that there is a diverse array of polyphenolic compounds </w:t>
      </w:r>
      <w:r w:rsidR="001E5DE1">
        <w:rPr>
          <w:rFonts w:ascii="Calibri" w:eastAsia="Calibri" w:hAnsi="Calibri" w:cs="Times New Roman"/>
          <w:sz w:val="24"/>
          <w:szCs w:val="24"/>
        </w:rPr>
        <w:t xml:space="preserve">present, </w:t>
      </w:r>
      <w:r w:rsidRPr="00CF1D1E">
        <w:rPr>
          <w:rFonts w:ascii="Calibri" w:eastAsia="Calibri" w:hAnsi="Calibri" w:cs="Times New Roman"/>
          <w:sz w:val="24"/>
          <w:szCs w:val="24"/>
        </w:rPr>
        <w:t>which have been tentatively identified in these extracts</w:t>
      </w:r>
      <w:r w:rsidR="00F738BB">
        <w:rPr>
          <w:rFonts w:ascii="Calibri" w:eastAsia="Calibri" w:hAnsi="Calibri" w:cs="Times New Roman"/>
          <w:sz w:val="24"/>
          <w:szCs w:val="24"/>
        </w:rPr>
        <w:t xml:space="preserve"> including polyphenol glucuronides which can have pharmaceutical uses as with breviscapine (</w:t>
      </w:r>
      <w:r w:rsidR="00F738BB" w:rsidRPr="00F738BB">
        <w:rPr>
          <w:rFonts w:ascii="Calibri" w:eastAsia="Calibri" w:hAnsi="Calibri" w:cs="Times New Roman"/>
          <w:sz w:val="24"/>
          <w:szCs w:val="24"/>
        </w:rPr>
        <w:t>scutellarin-7-O-glucuronide</w:t>
      </w:r>
      <w:r w:rsidR="00F738BB">
        <w:rPr>
          <w:rFonts w:ascii="Calibri" w:eastAsia="Calibri" w:hAnsi="Calibri" w:cs="Times New Roman"/>
          <w:sz w:val="24"/>
          <w:szCs w:val="24"/>
        </w:rPr>
        <w:t xml:space="preserve">) </w:t>
      </w:r>
      <w:r w:rsidR="00F738BB">
        <w:rPr>
          <w:rFonts w:ascii="Calibri" w:eastAsia="Calibri" w:hAnsi="Calibri" w:cs="Times New Roman"/>
          <w:sz w:val="24"/>
          <w:szCs w:val="24"/>
        </w:rPr>
        <w:fldChar w:fldCharType="begin" w:fldLock="1"/>
      </w:r>
      <w:r w:rsidR="00F738BB">
        <w:rPr>
          <w:rFonts w:ascii="Calibri" w:eastAsia="Calibri" w:hAnsi="Calibri" w:cs="Times New Roman"/>
          <w:sz w:val="24"/>
          <w:szCs w:val="24"/>
        </w:rPr>
        <w:instrText>ADDIN CSL_CITATION {"citationItems":[{"id":"ITEM-1","itemData":{"DOI":"10.1021/acs.jafc.9b01769","ISSN":"15205118","abstract":"Many O-glucuronides exhibiting various pharmacological activities have been found in nature and in drug metabolism. The glucuronidation of bioactive natural products or drugs to generate glucuronides with better activity and druggability is important in drug discovery and research. In this study, by using two uridine diphosphate (UDP)-dependent glucuronosyltransferases (GATs, UGT88D4 and UGT88D7) from plants, we developed two glucuronidation approaches, pure enzyme catalysis in vitro and recombinant whole-cell catalysis in vivo, to efficiently synthesize bioactive O-glucuronides by the glucuronidation of natural products. In total, 14 O-glucuronides with different structures, including flavonoids, anthraquinones, coumarins, and lignans, were obtained, 7 of which were new compounds. Furthermore, one of the biosynthesized O-glucuronides, kaempferol-7-O-β-d-glucuronide (3a), potently inhibited protein tyrosine phosphatase (PTP) 1B with an IC50 value of 8.02 × 10-6 M. Some of the biosynthesized O-glucuronides also exhibited significant antioxidant activities.","author":[{"dropping-particle":"","family":"Yue","given":"Tian","non-dropping-particle":"","parse-names":false,"suffix":""},{"dropping-particle":"","family":"Chen","given":"Ridao","non-dropping-particle":"","parse-names":false,"suffix":""},{"dropping-particle":"","family":"Chen","given":"Dawei","non-dropping-particle":"","parse-names":false,"suffix":""},{"dropping-particle":"","family":"Liu","given":"Jimei","non-dropping-particle":"","parse-names":false,"suffix":""},{"dropping-particle":"","family":"Xie","given":"Kebo","non-dropping-particle":"","parse-names":false,"suffix":""},{"dropping-particle":"","family":"Dai","given":"Jungui","non-dropping-particle":"","parse-names":false,"suffix":""}],"container-title":"Journal of Agricultural and Food Chemistry","id":"ITEM-1","issue":"22","issued":{"date-parts":[["2019"]]},"page":"6275-6284","title":"Enzymatic Synthesis of Bioactive O-Glucuronides Using Plant Glucuronosyltransferases","type":"article-journal","volume":"67"},"uris":["http://www.mendeley.com/documents/?uuid=f5ba4ffd-8b9e-4a30-b27f-a90214d580ea"]}],"mendeley":{"formattedCitation":"(Yue et al., 2019)","plainTextFormattedCitation":"(Yue et al., 2019)"},"properties":{"noteIndex":0},"schema":"https://github.com/citation-style-language/schema/raw/master/csl-citation.json"}</w:instrText>
      </w:r>
      <w:r w:rsidR="00F738BB">
        <w:rPr>
          <w:rFonts w:ascii="Calibri" w:eastAsia="Calibri" w:hAnsi="Calibri" w:cs="Times New Roman"/>
          <w:sz w:val="24"/>
          <w:szCs w:val="24"/>
        </w:rPr>
        <w:fldChar w:fldCharType="separate"/>
      </w:r>
      <w:r w:rsidR="00F738BB" w:rsidRPr="00F738BB">
        <w:rPr>
          <w:rFonts w:ascii="Calibri" w:eastAsia="Calibri" w:hAnsi="Calibri" w:cs="Times New Roman"/>
          <w:noProof/>
          <w:sz w:val="24"/>
          <w:szCs w:val="24"/>
        </w:rPr>
        <w:t xml:space="preserve">(Yue </w:t>
      </w:r>
      <w:r w:rsidR="00F738BB" w:rsidRPr="00F738BB">
        <w:rPr>
          <w:rFonts w:ascii="Calibri" w:eastAsia="Calibri" w:hAnsi="Calibri" w:cs="Times New Roman"/>
          <w:i/>
          <w:noProof/>
          <w:sz w:val="24"/>
          <w:szCs w:val="24"/>
        </w:rPr>
        <w:t>et al</w:t>
      </w:r>
      <w:r w:rsidR="00F738BB" w:rsidRPr="00F738BB">
        <w:rPr>
          <w:rFonts w:ascii="Calibri" w:eastAsia="Calibri" w:hAnsi="Calibri" w:cs="Times New Roman"/>
          <w:noProof/>
          <w:sz w:val="24"/>
          <w:szCs w:val="24"/>
        </w:rPr>
        <w:t>., 2019)</w:t>
      </w:r>
      <w:r w:rsidR="00F738BB">
        <w:rPr>
          <w:rFonts w:ascii="Calibri" w:eastAsia="Calibri" w:hAnsi="Calibri" w:cs="Times New Roman"/>
          <w:sz w:val="24"/>
          <w:szCs w:val="24"/>
        </w:rPr>
        <w:fldChar w:fldCharType="end"/>
      </w:r>
      <w:r w:rsidR="00F738BB">
        <w:rPr>
          <w:rFonts w:ascii="Calibri" w:eastAsia="Calibri" w:hAnsi="Calibri" w:cs="Times New Roman"/>
          <w:sz w:val="24"/>
          <w:szCs w:val="24"/>
        </w:rPr>
        <w:t xml:space="preserve"> </w:t>
      </w:r>
      <w:r w:rsidRPr="00CF1D1E">
        <w:rPr>
          <w:rFonts w:ascii="Calibri" w:eastAsia="Calibri" w:hAnsi="Calibri" w:cs="Times New Roman"/>
          <w:sz w:val="24"/>
          <w:szCs w:val="24"/>
        </w:rPr>
        <w:t xml:space="preserve">. </w:t>
      </w:r>
      <w:r w:rsidR="001E5DE1">
        <w:rPr>
          <w:rFonts w:ascii="Calibri" w:eastAsia="Calibri" w:hAnsi="Calibri" w:cs="Times New Roman"/>
          <w:sz w:val="24"/>
          <w:szCs w:val="24"/>
        </w:rPr>
        <w:t>The</w:t>
      </w:r>
      <w:r w:rsidRPr="00CF1D1E">
        <w:rPr>
          <w:rFonts w:ascii="Calibri" w:eastAsia="Calibri" w:hAnsi="Calibri" w:cs="Times New Roman"/>
          <w:sz w:val="24"/>
          <w:szCs w:val="24"/>
        </w:rPr>
        <w:t xml:space="preserve"> abundance and variety of polyphenolics</w:t>
      </w:r>
      <w:r w:rsidR="001E5DE1">
        <w:rPr>
          <w:rFonts w:ascii="Calibri" w:eastAsia="Calibri" w:hAnsi="Calibri" w:cs="Times New Roman"/>
          <w:sz w:val="24"/>
          <w:szCs w:val="24"/>
        </w:rPr>
        <w:t xml:space="preserve"> is lowest in both seaweeds</w:t>
      </w:r>
      <w:r w:rsidR="00702BFE">
        <w:rPr>
          <w:rFonts w:ascii="Calibri" w:eastAsia="Calibri" w:hAnsi="Calibri" w:cs="Times New Roman"/>
          <w:sz w:val="24"/>
          <w:szCs w:val="24"/>
        </w:rPr>
        <w:t xml:space="preserve"> </w:t>
      </w:r>
      <w:r w:rsidR="00702BFE" w:rsidRPr="00702BFE">
        <w:rPr>
          <w:rFonts w:ascii="Calibri" w:eastAsia="Calibri" w:hAnsi="Calibri" w:cs="Times New Roman"/>
          <w:sz w:val="24"/>
          <w:szCs w:val="24"/>
        </w:rPr>
        <w:t>(Tab.A2-00</w:t>
      </w:r>
      <w:r w:rsidR="00702BFE">
        <w:rPr>
          <w:rFonts w:ascii="Calibri" w:eastAsia="Calibri" w:hAnsi="Calibri" w:cs="Times New Roman"/>
          <w:sz w:val="24"/>
          <w:szCs w:val="24"/>
        </w:rPr>
        <w:t xml:space="preserve">6 &amp; </w:t>
      </w:r>
      <w:r w:rsidR="00702BFE" w:rsidRPr="00702BFE">
        <w:rPr>
          <w:rFonts w:ascii="Calibri" w:eastAsia="Calibri" w:hAnsi="Calibri" w:cs="Times New Roman"/>
          <w:sz w:val="24"/>
          <w:szCs w:val="24"/>
        </w:rPr>
        <w:t>Tab.A2-00</w:t>
      </w:r>
      <w:r w:rsidR="00137B3E">
        <w:rPr>
          <w:rFonts w:ascii="Calibri" w:eastAsia="Calibri" w:hAnsi="Calibri" w:cs="Times New Roman"/>
          <w:sz w:val="24"/>
          <w:szCs w:val="24"/>
        </w:rPr>
        <w:t>7</w:t>
      </w:r>
      <w:r w:rsidR="00702BFE" w:rsidRPr="00702BFE">
        <w:rPr>
          <w:rFonts w:ascii="Calibri" w:eastAsia="Calibri" w:hAnsi="Calibri" w:cs="Times New Roman"/>
          <w:sz w:val="24"/>
          <w:szCs w:val="24"/>
        </w:rPr>
        <w:t>)</w:t>
      </w:r>
      <w:r w:rsidR="001E5DE1">
        <w:rPr>
          <w:rFonts w:ascii="Calibri" w:eastAsia="Calibri" w:hAnsi="Calibri" w:cs="Times New Roman"/>
          <w:sz w:val="24"/>
          <w:szCs w:val="24"/>
        </w:rPr>
        <w:t>, whereas g</w:t>
      </w:r>
      <w:r w:rsidRPr="00CF1D1E">
        <w:rPr>
          <w:rFonts w:ascii="Calibri" w:eastAsia="Calibri" w:hAnsi="Calibri" w:cs="Times New Roman"/>
          <w:sz w:val="24"/>
          <w:szCs w:val="24"/>
        </w:rPr>
        <w:t xml:space="preserve">orse flower and stem </w:t>
      </w:r>
      <w:r w:rsidR="00137B3E" w:rsidRPr="00137B3E">
        <w:rPr>
          <w:rFonts w:ascii="Calibri" w:eastAsia="Calibri" w:hAnsi="Calibri" w:cs="Times New Roman"/>
          <w:sz w:val="24"/>
          <w:szCs w:val="24"/>
        </w:rPr>
        <w:t>(Tab.A2-00</w:t>
      </w:r>
      <w:r w:rsidR="00137B3E">
        <w:rPr>
          <w:rFonts w:ascii="Calibri" w:eastAsia="Calibri" w:hAnsi="Calibri" w:cs="Times New Roman"/>
          <w:sz w:val="24"/>
          <w:szCs w:val="24"/>
        </w:rPr>
        <w:t>4</w:t>
      </w:r>
      <w:r w:rsidR="00137B3E" w:rsidRPr="00137B3E">
        <w:rPr>
          <w:rFonts w:ascii="Calibri" w:eastAsia="Calibri" w:hAnsi="Calibri" w:cs="Times New Roman"/>
          <w:sz w:val="24"/>
          <w:szCs w:val="24"/>
        </w:rPr>
        <w:t xml:space="preserve"> &amp; Tab.A2-00</w:t>
      </w:r>
      <w:r w:rsidR="00137B3E">
        <w:rPr>
          <w:rFonts w:ascii="Calibri" w:eastAsia="Calibri" w:hAnsi="Calibri" w:cs="Times New Roman"/>
          <w:sz w:val="24"/>
          <w:szCs w:val="24"/>
        </w:rPr>
        <w:t>5</w:t>
      </w:r>
      <w:r w:rsidR="00137B3E" w:rsidRPr="00137B3E">
        <w:rPr>
          <w:rFonts w:ascii="Calibri" w:eastAsia="Calibri" w:hAnsi="Calibri" w:cs="Times New Roman"/>
          <w:sz w:val="24"/>
          <w:szCs w:val="24"/>
        </w:rPr>
        <w:t>)</w:t>
      </w:r>
      <w:r w:rsidR="00137B3E">
        <w:rPr>
          <w:rFonts w:ascii="Calibri" w:eastAsia="Calibri" w:hAnsi="Calibri" w:cs="Times New Roman"/>
          <w:sz w:val="24"/>
          <w:szCs w:val="24"/>
        </w:rPr>
        <w:t xml:space="preserve"> </w:t>
      </w:r>
      <w:r w:rsidRPr="00CF1D1E">
        <w:rPr>
          <w:rFonts w:ascii="Calibri" w:eastAsia="Calibri" w:hAnsi="Calibri" w:cs="Times New Roman"/>
          <w:sz w:val="24"/>
          <w:szCs w:val="24"/>
        </w:rPr>
        <w:t>have abundances and diversity comparable to that of the green tea extract which was used as a benchmark</w:t>
      </w:r>
      <w:r w:rsidR="00702BFE">
        <w:rPr>
          <w:rFonts w:ascii="Calibri" w:eastAsia="Calibri" w:hAnsi="Calibri" w:cs="Times New Roman"/>
          <w:sz w:val="24"/>
          <w:szCs w:val="24"/>
        </w:rPr>
        <w:t xml:space="preserve"> (Tab.A2-008)</w:t>
      </w:r>
      <w:r w:rsidRPr="00CF1D1E">
        <w:rPr>
          <w:rFonts w:ascii="Calibri" w:eastAsia="Calibri" w:hAnsi="Calibri" w:cs="Times New Roman"/>
          <w:sz w:val="24"/>
          <w:szCs w:val="24"/>
        </w:rPr>
        <w:t xml:space="preserve">. The terrestrial plants studied here, in general, have higher abundances and a greater variety of polyphenolics compared to the aquatic macroalgae. This </w:t>
      </w:r>
      <w:r w:rsidR="00137B3E">
        <w:rPr>
          <w:rFonts w:ascii="Calibri" w:eastAsia="Calibri" w:hAnsi="Calibri" w:cs="Times New Roman"/>
          <w:sz w:val="24"/>
          <w:szCs w:val="24"/>
        </w:rPr>
        <w:t>may</w:t>
      </w:r>
      <w:r w:rsidRPr="00CF1D1E">
        <w:rPr>
          <w:rFonts w:ascii="Calibri" w:eastAsia="Calibri" w:hAnsi="Calibri" w:cs="Times New Roman"/>
          <w:sz w:val="24"/>
          <w:szCs w:val="24"/>
        </w:rPr>
        <w:t xml:space="preserve"> be </w:t>
      </w:r>
      <w:r w:rsidR="00137B3E">
        <w:rPr>
          <w:rFonts w:ascii="Calibri" w:eastAsia="Calibri" w:hAnsi="Calibri" w:cs="Times New Roman"/>
          <w:sz w:val="24"/>
          <w:szCs w:val="24"/>
        </w:rPr>
        <w:t>a result of</w:t>
      </w:r>
      <w:r w:rsidRPr="00CF1D1E">
        <w:rPr>
          <w:rFonts w:ascii="Calibri" w:eastAsia="Calibri" w:hAnsi="Calibri" w:cs="Times New Roman"/>
          <w:sz w:val="24"/>
          <w:szCs w:val="24"/>
        </w:rPr>
        <w:t xml:space="preserve"> less research focus</w:t>
      </w:r>
      <w:r w:rsidR="00137B3E">
        <w:rPr>
          <w:rFonts w:ascii="Calibri" w:eastAsia="Calibri" w:hAnsi="Calibri" w:cs="Times New Roman"/>
          <w:sz w:val="24"/>
          <w:szCs w:val="24"/>
        </w:rPr>
        <w:t>ing on</w:t>
      </w:r>
      <w:r w:rsidRPr="00CF1D1E">
        <w:rPr>
          <w:rFonts w:ascii="Calibri" w:eastAsia="Calibri" w:hAnsi="Calibri" w:cs="Times New Roman"/>
          <w:sz w:val="24"/>
          <w:szCs w:val="24"/>
        </w:rPr>
        <w:t xml:space="preserve"> seaweed polyphenolics </w:t>
      </w:r>
      <w:r w:rsidR="00137B3E">
        <w:rPr>
          <w:rFonts w:ascii="Calibri" w:eastAsia="Calibri" w:hAnsi="Calibri" w:cs="Times New Roman"/>
          <w:sz w:val="24"/>
          <w:szCs w:val="24"/>
        </w:rPr>
        <w:t>than</w:t>
      </w:r>
      <w:r w:rsidRPr="00CF1D1E">
        <w:rPr>
          <w:rFonts w:ascii="Calibri" w:eastAsia="Calibri" w:hAnsi="Calibri" w:cs="Times New Roman"/>
          <w:sz w:val="24"/>
          <w:szCs w:val="24"/>
        </w:rPr>
        <w:t xml:space="preserve"> on terrestrial plants. </w:t>
      </w:r>
      <w:r w:rsidR="001E5DE1">
        <w:rPr>
          <w:rFonts w:ascii="Calibri" w:eastAsia="Calibri" w:hAnsi="Calibri" w:cs="Times New Roman"/>
          <w:sz w:val="24"/>
          <w:szCs w:val="24"/>
        </w:rPr>
        <w:t>As an</w:t>
      </w:r>
      <w:r w:rsidRPr="00CF1D1E">
        <w:rPr>
          <w:rFonts w:ascii="Calibri" w:eastAsia="Calibri" w:hAnsi="Calibri" w:cs="Times New Roman"/>
          <w:sz w:val="24"/>
          <w:szCs w:val="24"/>
        </w:rPr>
        <w:t xml:space="preserve"> example</w:t>
      </w:r>
      <w:r w:rsidR="001E5DE1">
        <w:rPr>
          <w:rFonts w:ascii="Calibri" w:eastAsia="Calibri" w:hAnsi="Calibri" w:cs="Times New Roman"/>
          <w:sz w:val="24"/>
          <w:szCs w:val="24"/>
        </w:rPr>
        <w:t>,</w:t>
      </w:r>
      <w:r w:rsidRPr="00CF1D1E">
        <w:rPr>
          <w:rFonts w:ascii="Calibri" w:eastAsia="Calibri" w:hAnsi="Calibri" w:cs="Times New Roman"/>
          <w:sz w:val="24"/>
          <w:szCs w:val="24"/>
        </w:rPr>
        <w:t xml:space="preserve"> the main polyphenolic components of brown seaweeds are phlorotannins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{"citationItems":[{"id":"ITEM-1","itemData":{"DOI":"10.1016/J.FOODRES.2017.03.043","ISSN":"0963-9969","abstract":"The phenolic compounds of extracts from Ascophyllum nodosum (ANE), Bifurcaria bifurcata (BBE) and Fucus vesiculosus (FVE) from Galicia (NW Spain) were analyzed by liquid chromatography-diode array detection coupled to negative electrospray ionization-tandem mass spectrometry (LC-DAD–ESI-MS/MS) with the interest to evaluate their potential application as functional ingredients. Phlorotannins were tentatively identified as the main phenolic compounds in the three extracts, followed by phenolic acids, and flavonoids. Fuhalols were present in ANE and BBE, while hydroxyfuhalols were identified in BBE and FVE. Eckol derivatives were present in the three extracts. Quinic acid derivatives were tentatively identified in the three seaweed species; in addition, ANE showed specifically hydroxybenzoic and rosmarinic acid derivatives, BBE showed rosmarinic acid, and FVE contained p-coumaric and ferulic acid derivatives. Regarding flavonoids, acacetin derivatives were tentatively identified in the three extracts, hispidulin and a gallocatechin derivative were specifically detected in ANE, and cypellocarpin C was present in BBE. In conclusion, all brown seaweed extracts studied could be exploited as sources of antioxidant phenolic compounds with potential applications in the food and health sectors.","author":[{"dropping-particle":"","family":"Agregán","given":"Rubén","non-dropping-particle":"","parse-names":false,"suffix":""},{"dropping-particle":"","family":"Munekata","given":"Paulo E.S.","non-dropping-particle":"","parse-names":false,"suffix":""},{"dropping-particle":"","family":"Franco","given":"Daniel","non-dropping-particle":"","parse-names":false,"suffix":""},{"dropping-particle":"","family":"Dominguez","given":"Ruben","non-dropping-particle":"","parse-names":false,"suffix":""},{"dropping-particle":"","family":"Carballo","given":"Javier","non-dropping-particle":"","parse-names":false,"suffix":""},{"dropping-particle":"","family":"Lorenzo","given":"José M.","non-dropping-particle":"","parse-names":false,"suffix":""}],"container-title":"Food Research International","id":"ITEM-1","issued":{"date-parts":[["2017","9","1"]]},"page":"979-985","publisher":"Elsevier","title":"Phenolic compounds from three brown seaweed species using LC-DAD–ESI-MS/MS","type":"article-journal","volume":"99"},"uris":["http://www.mendeley.com/documents/?uuid=93eda0c3-23c8-3732-ac41-601c173b60ee"]}],"mendeley":{"formattedCitation":"(Agregán et al., 2017)","plainTextFormattedCitation":"(Agregán et al., 2017)","previouslyFormattedCitation":"(Agregán et al., 2017)"},"properties":{"noteIndex":0},"schema":"https://github.com/citation-style-language/schema/raw/master/csl-citation.json"}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(Agregán </w:t>
      </w:r>
      <w:r w:rsidR="00941740" w:rsidRPr="000E1A5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These are oligomers of phloroglucinol (1,3,5- trihydroxybenzene) and are not yet </w:t>
      </w:r>
      <w:r w:rsidR="001E5DE1">
        <w:rPr>
          <w:rFonts w:ascii="Calibri" w:eastAsia="Calibri" w:hAnsi="Calibri" w:cs="Times New Roman"/>
          <w:sz w:val="24"/>
          <w:szCs w:val="24"/>
        </w:rPr>
        <w:t>incorporated</w:t>
      </w:r>
      <w:r w:rsidRPr="00CF1D1E">
        <w:rPr>
          <w:rFonts w:ascii="Calibri" w:eastAsia="Calibri" w:hAnsi="Calibri" w:cs="Times New Roman"/>
          <w:sz w:val="24"/>
          <w:szCs w:val="24"/>
        </w:rPr>
        <w:t xml:space="preserve"> i</w:t>
      </w:r>
      <w:r w:rsidR="001E5DE1">
        <w:rPr>
          <w:rFonts w:ascii="Calibri" w:eastAsia="Calibri" w:hAnsi="Calibri" w:cs="Times New Roman"/>
          <w:sz w:val="24"/>
          <w:szCs w:val="24"/>
        </w:rPr>
        <w:t>n the searched database (Phenol-</w:t>
      </w:r>
      <w:r w:rsidRPr="00CF1D1E">
        <w:rPr>
          <w:rFonts w:ascii="Calibri" w:eastAsia="Calibri" w:hAnsi="Calibri" w:cs="Times New Roman"/>
          <w:sz w:val="24"/>
          <w:szCs w:val="24"/>
        </w:rPr>
        <w:t xml:space="preserve">Explorer) although these phenolic compounds are integral structural components of the cell wall in brown algae. They also play many secondary ecological roles such as protection from UV radiation and defence against grazing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{"citationItems":[{"id":"ITEM-1","itemData":{"DOI":"10.3390/md13010509","ISSN":"16603397","abstract":"Phlorotannins are a group of complex polymers of phloroglucinol (1,3,5-trihydroxybenzene) unique to macroalgae. These phenolic compounds are integral structural components of the cell wall in brown algae, but also play many secondary ecological roles such as protection from UV radiation and defense against grazing. This study employed Ultra Performance Liquid Chromatography (UPLC) with tandem mass spectrometry to investigate isomeric complexity and observed differences in phlorotannins derived from macroalgae harvested off the Irish coast (Fucus serratus, Fucus vesiculosus, Himanthalia elongata and Cystoseira nodicaulis). Antioxidant activity and total phenolic content assays were used as an index for producing phlorotannin fractions, enriched using molecular weight cut-off dialysis with subsequent flash chromatography to profile phlorotannin isomers in these macroalgae. These fractions were profiled using UPLC-MS with multiple reaction monitoring (MRM) and the level of isomerization for specific molecular weight phlorotannins between 3 and 16 monomers were determined. The majority of the low molecular weight (LMW) phlorotannins were found to have a molecular weight range equivalent to 4-12 monomers of phloroglucinol. The level of isomerization within the individual macroalgal species differed, resulting in substantially different numbers of phlorotannin isomers for particular molecular weights. F. vesiculosushad the highest number of isomers of 61 at one specific molecular mass, corresponding to 12 phloroglucinol units (PGUs). These results highlight the complex nature of these extracts and emphasize the challenges involved in structural elucidation of these compounds.","author":[{"dropping-particle":"","family":"Heffernan","given":"Natalie","non-dropping-particle":"","parse-names":false,"suffix":""},{"dropping-particle":"","family":"Brunton","given":"Nigel P.","non-dropping-particle":"","parse-names":false,"suffix":""},{"dropping-particle":"","family":"FitzGerald","given":"Richard J.","non-dropping-particle":"","parse-names":false,"suffix":""},{"dropping-particle":"","family":"Smyth","given":"Thomas J.","non-dropping-particle":"","parse-names":false,"suffix":""}],"container-title":"Marine Drugs","id":"ITEM-1","issue":"1","issued":{"date-parts":[["2015"]]},"page":"509-528","title":"Profiling of the molecular weight and structural isomer abundance of macroalgae-derived phlorotannins","type":"article-journal","volume":"13"},"uris":["http://www.mendeley.com/documents/?uuid=b5fc6ea5-4846-4fe7-a2d3-c90949a47964"]}],"mendeley":{"formattedCitation":"(Heffernan, Brunton, FitzGerald, &amp; Smyth, 2015)","plainTextFormattedCitation":"(Heffernan, Brunton, FitzGerald, &amp; Smyth, 2015)","previouslyFormattedCitation":"(Heffernan, Brunton, FitzGerald, &amp; Smyth,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(Heffernan, Brunton, FitzGerald, &amp; Smyth,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r w:rsidR="00117E5B">
        <w:rPr>
          <w:rFonts w:ascii="Calibri" w:eastAsia="Calibri" w:hAnsi="Calibri" w:cs="Times New Roman"/>
          <w:sz w:val="24"/>
          <w:szCs w:val="24"/>
        </w:rPr>
        <w:t xml:space="preserve"> A solution to this would be to create a local database </w:t>
      </w:r>
      <w:r w:rsidR="00EC4843">
        <w:rPr>
          <w:rFonts w:ascii="Calibri" w:eastAsia="Calibri" w:hAnsi="Calibri" w:cs="Times New Roman"/>
          <w:sz w:val="24"/>
          <w:szCs w:val="24"/>
        </w:rPr>
        <w:t>and to also contribute to the Phenol-Explorer database.</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Many polyphenolic compounds will be common across seaweeds and terrestrial plants but will depend on many variables such as habitat, harvesting season and environmental conditions such as salinity, temperature and light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{"citationItems":[{"id":"ITEM-1","itemData":{"DOI":"10.1016/j.foodchem.2009.12.078","ISSN":"03088146","abstract":"In the present study, a reversed-phase liquid chromatographic method to analyse polyphenols in red and brown macroalgae for human consumption is presented. Different parameters that influence the extraction procedure such as solvent volume and composition, extraction time and temperature and sample amount were optimised. In addition three homogenisation systems (ultrasonic bath, magnetic stirring and water bath with constant shaking) were assayed. The method was validated in terms of linearity, repeatabilities within day and between days, and recoveries. Satisfactory recoveries (&gt;91%) appropriate repeatabilities (within day: RSD (n = 6) &lt;2%, and between days; RSD (n = 6) &lt;3%) and an excellent sensitivity were achieved. Five species of seaweeds included; Palmaria spp., Porphyra spp., Himanthalia elongata, Laminaria ochroleuca and Undaria pinnatifida were analysed. © 2010 Elsevier Ltd. All rights reserved.","author":[{"dropping-particle":"","family":"Rodríguez-Bernaldo de Quirós","given":"A.","non-dropping-particle":"","parse-names":false,"suffix":""},{"dropping-particle":"","family":"Lage-Yusty","given":"M. A.","non-dropping-particle":"","parse-names":false,"suffix":""},{"dropping-particle":"","family":"López-Hernández","given":"J.","non-dropping-particle":"","parse-names":false,"suffix":""}],"container-title":"Food Chemistry","id":"ITEM-1","issue":"2","issued":{"date-parts":[["2010"]]},"page":"634-638","publisher":"Elsevier Ltd","title":"Determination of phenolic compounds in macroalgae for human consumption","type":"article-journal","volume":"121"},"uris":["http://www.mendeley.com/documents/?uuid=1173ad94-af05-4f8c-9d32-04417b440b6e"]}],"mendeley":{"formattedCitation":"(Rodríguez-Bernaldo de Quirós, Lage-Yusty, &amp; López-Hernández, 2010)","plainTextFormattedCitation":"(Rodríguez-Bernaldo de Quirós, Lage-Yusty, &amp; López-Hernández, 2010)","previouslyFormattedCitation":"(Rodríguez-Bernaldo de Quirós, Lage-Yusty, &amp; López-Hernández,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(Rodríguez-Bernaldo de Quirós, Lage-Yusty, &amp; López-Hernández,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r w:rsidR="00C44B52" w:rsidRPr="00C44B52">
        <w:rPr>
          <w:rFonts w:ascii="Calibri" w:eastAsia="Calibri" w:hAnsi="Calibri" w:cs="Times New Roman"/>
          <w:sz w:val="24"/>
          <w:szCs w:val="24"/>
        </w:rPr>
        <w:t xml:space="preserve">The content and profile of phenolic substances in marine algae vary </w:t>
      </w:r>
      <w:r w:rsidR="00C44B52">
        <w:rPr>
          <w:rFonts w:ascii="Calibri" w:eastAsia="Calibri" w:hAnsi="Calibri" w:cs="Times New Roman"/>
          <w:sz w:val="24"/>
          <w:szCs w:val="24"/>
        </w:rPr>
        <w:t>much between</w:t>
      </w:r>
      <w:r w:rsidR="00C44B52" w:rsidRPr="00C44B52">
        <w:rPr>
          <w:rFonts w:ascii="Calibri" w:eastAsia="Calibri" w:hAnsi="Calibri" w:cs="Times New Roman"/>
          <w:sz w:val="24"/>
          <w:szCs w:val="24"/>
        </w:rPr>
        <w:t xml:space="preserve"> species</w:t>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{"citationItems":[{"id":"ITEM-1","itemData":{"ISSN":"0022-1155","abstract":"Seaweeds or macroalgae have been a source of food, feed and medicine in the orient as well as the West since ancient times. Being plants of unique structure and biochemical composition, seaweeds could be exploited for their multifunctional properties. They are sources of useful bioactive components like phycocolloids, proteins, vitamins, minerals, carotenoids like fucoxanthin and n3 fatty acids, which are known to possess nutritional value apart from their potential biomedical applications. The present review highlights the various bioactive materials of seaweed origin and their potential applications.","author":[{"dropping-particle":"","family":"Kumar","given":"Chandini S","non-dropping-particle":"","parse-names":false,"suffix":""},{"dropping-particle":"","family":"Ganesan","given":"P","non-dropping-particle":"","parse-names":false,"suffix":""},{"dropping-particle":"","family":"Suresh V","given":"P","non-dropping-particle":"","parse-names":false,"suffix":""},{"dropping-particle":"","family":"Bhaskar","given":"N","non-dropping-particle":"","parse-names":false,"suffix":""}],"container-title":"Journal of Food Science and Technology-Mysore","id":"ITEM-1","issue":"1","issued":{"date-parts":[["2008"]]},"page":"1-13","title":"Seaweeds as a source of nutritionally beneficial compounds - A review","type":"article-journal","volume":"45"},"uris":["http://www.mendeley.com/documents/?uuid=70008be4-a9e0-4601-80f7-c59dd60b54f3"]},{"id":"ITEM-2","itemData":{"DOI":"10.1007/s10811-006-9152-5","ISSN":"09218971","abstract":"Extracts from 48 marine macroalgae species (17 Chlorophyta, 8 Phaeophyta and 23 Rhodophyta) from the coasts of Yucatan and Quintana Roo (Mexico) were evaluated for antioxidant activity. The antioxidant activity was measured with the DPPH (2,2-diphenyl-1-picrylhydrasyl) method, and the phenolic content of each extract were also evaluated. All species exhibited a DPPH radical scavenging activity, and three species (Avrainvillea longicaulis, Chondria baileyana and Lobophora variegata) demonstrated great antioxidant potential with very low oxidation index EC50 (1.44±0.01, 2.84±0.07 and 0.32±0.01 mg mL-1, respectively), significantly equivalent to EC50 of some commercial antioxidants such as α-tocopherol, ascorbic acid, BHA and BHT. Moreover, extracts of the most active species exhibited reducing activities, superoxide anion radical scavenging and inhibition of lipid peroxidation. These results suggest that some macroalgae from the Yucatan peninsula have a great antioxidant potential which could be considered for future applications in medicine, food production or cosmetic industry. © 2007 Springer Science+Business Media, Inc.","author":[{"dropping-particle":"","family":"Zubia","given":"Mayalen","non-dropping-particle":"","parse-names":false,"suffix":""},{"dropping-particle":"","family":"Robledo","given":"Daniel","non-dropping-particle":"","parse-names":false,"suffix":""},{"dropping-particle":"","family":"Freile-Pelegrin","given":"Yolanda","non-dropping-particle":"","parse-names":false,"suffix":""}],"container-title":"Journal of Applied Phycology","id":"ITEM-2","issue":"5","issued":{"date-parts":[["2007"]]},"page":"449-458","title":"Antioxidant activities in tropical marine macroalgae from the Yucatan Peninsula, Mexico","type":"article-journal","volume":"19"},"uris":["http://www.mendeley.com/documents/?uuid=3e9d1ba7-b929-44a6-85f0-996729a63a92"]}],"mendeley":{"formattedCitation":"(Kumar, Ganesan, Suresh V, &amp; Bhaskar, 2008; Zubia, Robledo, &amp; Freile-Pelegrin, 2007)","plainTextFormattedCitation":"(Kumar, Ganesan, Suresh V, &amp; Bhaskar, 2008; Zubia, Robledo, &amp; Freile-Pelegrin, 2007)","previouslyFormattedCitation":"(Kumar, Ganesan, Suresh V, &amp; Bhaskar, 2008; Zubia, Robledo, &amp; Freile-Pelegrin, 2007)"},"properties":{"noteIndex":0},"schema":"https://github.com/citation-style-language/schema/raw/master/csl-citation.json"}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(Kumar, Ganesan, Suresh V, &amp; Bhaskar, 2008; Zubia, Robledo, &amp; Freile-Pelegrin, 2007)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Method development should apply a continuous improvement approach, where development is seen as ‘</w:t>
      </w:r>
      <w:proofErr w:type="gramStart"/>
      <w:r w:rsidRPr="00CF1D1E">
        <w:rPr>
          <w:rFonts w:ascii="Calibri" w:eastAsia="Calibri" w:hAnsi="Calibri" w:cs="Times New Roman"/>
          <w:sz w:val="24"/>
          <w:szCs w:val="24"/>
        </w:rPr>
        <w:t>work in progress’</w:t>
      </w:r>
      <w:proofErr w:type="gramEnd"/>
      <w:r w:rsidRPr="00CF1D1E">
        <w:rPr>
          <w:rFonts w:ascii="Calibri" w:eastAsia="Calibri" w:hAnsi="Calibri" w:cs="Times New Roman"/>
          <w:sz w:val="24"/>
          <w:szCs w:val="24"/>
        </w:rPr>
        <w:t xml:space="preserve">. An efficient targeted extraction protocol would inevitably lead to a higher chance of success for future applications. </w:t>
      </w:r>
    </w:p>
    <w:p w:rsidR="00CF1D1E" w:rsidRDefault="00CF1D1E" w:rsidP="00E36EC7">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stability of polyphenolics in algal extracts and conditions used may affect the extraction of polyphenolics from seaweeds. Polyphenolics in algae seem to be particularly sensitive to heating as well as UV radiation exposure as Le </w:t>
      </w:r>
      <w:proofErr w:type="spellStart"/>
      <w:r w:rsidRPr="00CF1D1E">
        <w:rPr>
          <w:rFonts w:ascii="Calibri" w:eastAsia="Calibri" w:hAnsi="Calibri" w:cs="Times New Roman"/>
          <w:sz w:val="24"/>
          <w:szCs w:val="24"/>
        </w:rPr>
        <w:t>Lann</w:t>
      </w:r>
      <w:proofErr w:type="spellEnd"/>
      <w:r w:rsidRPr="00CF1D1E">
        <w:rPr>
          <w:rFonts w:ascii="Calibri" w:eastAsia="Calibri" w:hAnsi="Calibri" w:cs="Times New Roman"/>
          <w:sz w:val="24"/>
          <w:szCs w:val="24"/>
        </w:rPr>
        <w:t xml:space="preserve">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have illustrated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{"citationItems":[{"id":"ITEM-1","itemData":{"DOI":"10.1111/j.1440-1835.2008.00505.x","ISSN":"14401835","abstract":"Abstract Brown algae from tropical and temperate regions of the world's oceans have been shown to contain phlorotannins as typical primary and secondary metabolites. Here, phlorotannin contents of nine abundant Antarctic brown algal species were determined, which ranged between 0.5 and 9% DW. These values were higher than phlorotannin levels in most tropical and North Pacific brown algae but were comparable to levels in Australasian species. Phlorotannins showed clear patterns within distinct thallus portions in most species. Overall, phlorotannin allocation seemed to follow patterns predicted by the optimal defense theory, which states that chemical defenses are allocated preferentially towards thallus parts that are highly valuable to the organism. Phlorotannins also were comprised of distinct size classes in most thallus parts, although trends within individual species should be regarded with care because of the low number of samples per species. Although there were marked differences in size class dis...","author":[{"dropping-particle":"","family":"Lann","given":"Klervi","non-dropping-particle":"Le","parse-names":false,"suffix":""},{"dropping-particle":"","family":"Jégou","given":"Camille","non-dropping-particle":"","parse-names":false,"suffix":""},{"dropping-particle":"","family":"Stiger-Pouvreau","given":"Valérie","non-dropping-particle":"","parse-names":false,"suffix":""}],"container-title":"Phycological Research","id":"ITEM-1","issue":"4","issued":{"date-parts":[["2008"]]},"page":"238-245","title":"Effect of different conditioning treatments on total phenolic content and antioxidant activities in two Sargassacean species: Comparison of the frondose Sargassum muticum (Yendo) Fensholt and the cylindrical Bifurcaria bifurcata R. Ross","type":"article-journal","volume":"56"},"uris":["http://www.mendeley.com/documents/?uuid=0e704c06-6c77-4165-8a86-b7754e637ad9"]}],"mendeley":{"formattedCitation":"(Le Lann, Jégou, &amp; Stiger-Pouvreau, 2008)","plainTextFormattedCitation":"(Le Lann, Jégou, &amp; Stiger-Pouvreau, 2008)","previouslyFormattedCitation":"(Le Lann, Jégou, &amp; Stiger-Pouvreau, 2008)"},"properties":{"noteIndex":0},"schema":"https://github.com/citation-style-language/schema/raw/master/csl-citation.json"}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(Le Lann, Jégou, &amp; Stiger-Pouvreau, 2008)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These authors reported a significant reduction in the content of polyphenolic compounds due to these factors. Another point </w:t>
      </w:r>
      <w:r w:rsidR="002710F0">
        <w:rPr>
          <w:rFonts w:ascii="Calibri" w:eastAsia="Calibri" w:hAnsi="Calibri" w:cs="Times New Roman"/>
          <w:sz w:val="24"/>
          <w:szCs w:val="24"/>
        </w:rPr>
        <w:t>to consider</w:t>
      </w:r>
      <w:r w:rsidR="00C362DE">
        <w:rPr>
          <w:rFonts w:ascii="Calibri" w:eastAsia="Calibri" w:hAnsi="Calibri" w:cs="Times New Roman"/>
          <w:sz w:val="24"/>
          <w:szCs w:val="24"/>
        </w:rPr>
        <w:t xml:space="preserve"> </w:t>
      </w:r>
      <w:r w:rsidRPr="00CF1D1E">
        <w:rPr>
          <w:rFonts w:ascii="Calibri" w:eastAsia="Calibri" w:hAnsi="Calibri" w:cs="Times New Roman"/>
          <w:sz w:val="24"/>
          <w:szCs w:val="24"/>
        </w:rPr>
        <w:t>is that a higher mineral salt content in seaweed extracts may lead to ion suppression and lower signal/abundance. This links back to a previous statement about t</w:t>
      </w:r>
      <w:r w:rsidR="00BA359A">
        <w:rPr>
          <w:rFonts w:ascii="Calibri" w:eastAsia="Calibri" w:hAnsi="Calibri" w:cs="Times New Roman"/>
          <w:sz w:val="24"/>
          <w:szCs w:val="24"/>
        </w:rPr>
        <w:t>he</w:t>
      </w:r>
      <w:r w:rsidRPr="00CF1D1E">
        <w:rPr>
          <w:rFonts w:ascii="Calibri" w:eastAsia="Calibri" w:hAnsi="Calibri" w:cs="Times New Roman"/>
          <w:sz w:val="24"/>
          <w:szCs w:val="24"/>
        </w:rPr>
        <w:t xml:space="preserve"> need for a specific and tailored extraction method for seaweeds maybe including a salt removal step usin</w:t>
      </w:r>
      <w:r w:rsidR="00E36EC7">
        <w:rPr>
          <w:rFonts w:ascii="Calibri" w:eastAsia="Calibri" w:hAnsi="Calibri" w:cs="Times New Roman"/>
          <w:sz w:val="24"/>
          <w:szCs w:val="24"/>
        </w:rPr>
        <w:t>g solid phase extraction (SPE).</w:t>
      </w:r>
    </w:p>
    <w:p w:rsidR="00EC4843" w:rsidRPr="00CF1D1E" w:rsidRDefault="00EC4843" w:rsidP="00E36EC7">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In considering the functions of these secondary metabolites, it seems reasonable to question whether aquatic plants are subject to the same level of environmental stress that terrestrial plants are.</w:t>
      </w:r>
    </w:p>
    <w:p w:rsidR="00CF1D1E" w:rsidRPr="00CF1D1E" w:rsidRDefault="00CF1D1E" w:rsidP="00E36EC7">
      <w:pPr>
        <w:spacing w:line="360" w:lineRule="auto"/>
        <w:ind w:left="720" w:firstLine="720"/>
        <w:rPr>
          <w:rFonts w:ascii="Calibri" w:eastAsia="Calibri" w:hAnsi="Calibri" w:cs="Times New Roman"/>
          <w:sz w:val="24"/>
          <w:szCs w:val="24"/>
        </w:rPr>
      </w:pPr>
      <w:r w:rsidRPr="00CF1D1E">
        <w:rPr>
          <w:rFonts w:ascii="Calibri" w:eastAsia="Calibri" w:hAnsi="Calibri" w:cs="Times New Roman"/>
          <w:sz w:val="24"/>
          <w:szCs w:val="24"/>
        </w:rPr>
        <w:t>To summarise the main funct</w:t>
      </w:r>
      <w:r w:rsidR="00E36EC7">
        <w:rPr>
          <w:rFonts w:ascii="Calibri" w:eastAsia="Calibri" w:hAnsi="Calibri" w:cs="Times New Roman"/>
          <w:sz w:val="24"/>
          <w:szCs w:val="24"/>
        </w:rPr>
        <w:t xml:space="preserve">ions of polyphenols in plants: </w:t>
      </w:r>
    </w:p>
    <w:p w:rsidR="00CF1D1E" w:rsidRPr="00CF1D1E" w:rsidRDefault="00CF1D1E" w:rsidP="00CF1D1E">
      <w:pPr>
        <w:numPr>
          <w:ilvl w:val="0"/>
          <w:numId w:val="6"/>
        </w:numPr>
        <w:spacing w:line="360" w:lineRule="auto"/>
        <w:contextualSpacing/>
        <w:rPr>
          <w:rFonts w:ascii="Calibri" w:eastAsia="Calibri" w:hAnsi="Calibri" w:cs="Times New Roman"/>
          <w:sz w:val="24"/>
          <w:szCs w:val="24"/>
        </w:rPr>
      </w:pPr>
      <w:r w:rsidRPr="00CF1D1E">
        <w:rPr>
          <w:rFonts w:ascii="Calibri" w:eastAsia="Calibri" w:hAnsi="Calibri" w:cs="Times New Roman"/>
          <w:sz w:val="24"/>
          <w:szCs w:val="24"/>
        </w:rPr>
        <w:t xml:space="preserve">Control of the growth hormone auxin. </w:t>
      </w:r>
    </w:p>
    <w:p w:rsidR="00CF1D1E" w:rsidRPr="00CF1D1E" w:rsidRDefault="00CF1D1E" w:rsidP="00CF1D1E">
      <w:pPr>
        <w:numPr>
          <w:ilvl w:val="0"/>
          <w:numId w:val="6"/>
        </w:numPr>
        <w:spacing w:line="360" w:lineRule="auto"/>
        <w:contextualSpacing/>
        <w:rPr>
          <w:rFonts w:ascii="Calibri" w:eastAsia="Calibri" w:hAnsi="Calibri" w:cs="Times New Roman"/>
          <w:sz w:val="24"/>
          <w:szCs w:val="24"/>
        </w:rPr>
      </w:pPr>
      <w:r w:rsidRPr="00CF1D1E">
        <w:rPr>
          <w:rFonts w:ascii="Calibri" w:eastAsia="Calibri" w:hAnsi="Calibri" w:cs="Times New Roman"/>
          <w:sz w:val="24"/>
          <w:szCs w:val="24"/>
        </w:rPr>
        <w:t xml:space="preserve">UV protection. </w:t>
      </w:r>
    </w:p>
    <w:p w:rsidR="00CF1D1E" w:rsidRPr="00CF1D1E" w:rsidRDefault="00CF1D1E" w:rsidP="00CF1D1E">
      <w:pPr>
        <w:numPr>
          <w:ilvl w:val="0"/>
          <w:numId w:val="6"/>
        </w:numPr>
        <w:spacing w:line="360" w:lineRule="auto"/>
        <w:contextualSpacing/>
        <w:rPr>
          <w:rFonts w:ascii="Calibri" w:eastAsia="Calibri" w:hAnsi="Calibri" w:cs="Times New Roman"/>
          <w:sz w:val="24"/>
          <w:szCs w:val="24"/>
        </w:rPr>
      </w:pPr>
      <w:r w:rsidRPr="00CF1D1E">
        <w:rPr>
          <w:rFonts w:ascii="Calibri" w:eastAsia="Calibri" w:hAnsi="Calibri" w:cs="Times New Roman"/>
          <w:sz w:val="24"/>
          <w:szCs w:val="24"/>
        </w:rPr>
        <w:t>Antimicrobial properties to defend against infections.</w:t>
      </w:r>
    </w:p>
    <w:p w:rsidR="00CF1D1E" w:rsidRPr="00CF1D1E" w:rsidRDefault="00CF1D1E" w:rsidP="00CF1D1E">
      <w:pPr>
        <w:numPr>
          <w:ilvl w:val="0"/>
          <w:numId w:val="6"/>
        </w:numPr>
        <w:spacing w:line="360" w:lineRule="auto"/>
        <w:contextualSpacing/>
        <w:rPr>
          <w:rFonts w:ascii="Calibri" w:eastAsia="Calibri" w:hAnsi="Calibri" w:cs="Times New Roman"/>
          <w:sz w:val="24"/>
          <w:szCs w:val="24"/>
        </w:rPr>
      </w:pPr>
      <w:r w:rsidRPr="00CF1D1E">
        <w:rPr>
          <w:rFonts w:ascii="Calibri" w:eastAsia="Calibri" w:hAnsi="Calibri" w:cs="Times New Roman"/>
          <w:sz w:val="24"/>
          <w:szCs w:val="24"/>
        </w:rPr>
        <w:t xml:space="preserve">To act as a deterrents to herbivores. </w:t>
      </w:r>
    </w:p>
    <w:p w:rsidR="00CF1D1E" w:rsidRDefault="00CF1D1E" w:rsidP="00CF1D1E">
      <w:pPr>
        <w:numPr>
          <w:ilvl w:val="0"/>
          <w:numId w:val="6"/>
        </w:numPr>
        <w:spacing w:line="360" w:lineRule="auto"/>
        <w:contextualSpacing/>
        <w:rPr>
          <w:rFonts w:ascii="Calibri" w:eastAsia="Calibri" w:hAnsi="Calibri" w:cs="Times New Roman"/>
          <w:sz w:val="24"/>
          <w:szCs w:val="24"/>
        </w:rPr>
      </w:pPr>
      <w:r w:rsidRPr="00CF1D1E">
        <w:rPr>
          <w:rFonts w:ascii="Calibri" w:eastAsia="Calibri" w:hAnsi="Calibri" w:cs="Times New Roman"/>
          <w:sz w:val="24"/>
          <w:szCs w:val="24"/>
        </w:rPr>
        <w:t>Signalling molecules involved in growth processes e.g. ripening.</w:t>
      </w:r>
    </w:p>
    <w:p w:rsidR="00631009" w:rsidRPr="00CF1D1E" w:rsidRDefault="00631009" w:rsidP="00CF1D1E">
      <w:pPr>
        <w:numPr>
          <w:ilvl w:val="0"/>
          <w:numId w:val="6"/>
        </w:numPr>
        <w:spacing w:line="360" w:lineRule="auto"/>
        <w:contextualSpacing/>
        <w:rPr>
          <w:rFonts w:ascii="Calibri" w:eastAsia="Calibri" w:hAnsi="Calibri" w:cs="Times New Roman"/>
          <w:sz w:val="24"/>
          <w:szCs w:val="24"/>
        </w:rPr>
      </w:pPr>
      <w:r>
        <w:rPr>
          <w:rFonts w:ascii="Calibri" w:eastAsia="Calibri" w:hAnsi="Calibri" w:cs="Times New Roman"/>
          <w:sz w:val="24"/>
          <w:szCs w:val="24"/>
        </w:rPr>
        <w:t>Attractants to pollinators e.g. brightly coloured pigments</w:t>
      </w:r>
    </w:p>
    <w:p w:rsidR="00CF1D1E" w:rsidRPr="00CF1D1E" w:rsidRDefault="00CF1D1E" w:rsidP="00CF1D1E">
      <w:pPr>
        <w:spacing w:line="360" w:lineRule="auto"/>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Oxidative stress, which is a factor in polyphenol production, will be different in environments of differing UV exposure. Another example, based on heat stress, is that thermal stress has been shown to induce the accumulation of polyphenolics in plants by activating their biosynthesis as well as inhibiting their oxidation. Water melons and tomatoes have been shown to accumulate polyphenols in their cells in response to heat or cold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{"citationItems":[{"id":"ITEM-1","itemData":{"author":[{"dropping-particle":"","family":"Rivero","given":"Rosa M","non-dropping-particle":"","parse-names":false,"suffix":""},{"dropping-particle":"","family":"Ruiz","given":"Juan M","non-dropping-particle":"","parse-names":false,"suffix":""},{"dropping-particle":"","family":"Garcı","given":"Pablo C","non-dropping-particle":"","parse-names":false,"suffix":""},{"dropping-particle":"","family":"Lo","given":"Luis R","non-dropping-particle":"","parse-names":false,"suffix":""},{"dropping-particle":"","family":"Sa","given":"Esteban","non-dropping-particle":"","parse-names":false,"suffix":""},{"dropping-particle":"","family":"Romero","given":"Luis","non-dropping-particle":"","parse-names":false,"suffix":""}],"id":"ITEM-1","issued":{"date-parts":[["2001"]]},"page":"315-321","title":"Resistance to cold and heat stress:polyphenolics","type":"article-journal","volume":"160"},"uris":["http://www.mendeley.com/documents/?uuid=60be5690-61da-41b4-86be-0e86bc5ca507"]}],"mendeley":{"formattedCitation":"(Rivero et al., 2001)","plainTextFormattedCitation":"(Rivero et al., 2001)","previouslyFormattedCitation":"(Rivero et al., 2001)"},"properties":{"noteIndex":0},"schema":"https://github.com/citation-style-language/schema/raw/master/csl-citation.json"}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(Rivero </w:t>
      </w:r>
      <w:r w:rsidR="00941740" w:rsidRPr="000E1A5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2001)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ocean is a large heatsink which avoids the sudden temperature fluctuations that terrestrial plants experience, even from day to night, but especially from season to season. Is it possible to </w:t>
      </w:r>
      <w:r w:rsidR="00EC4843">
        <w:rPr>
          <w:rFonts w:ascii="Calibri" w:eastAsia="Calibri" w:hAnsi="Calibri" w:cs="Times New Roman"/>
          <w:sz w:val="24"/>
          <w:szCs w:val="24"/>
        </w:rPr>
        <w:t xml:space="preserve">make </w:t>
      </w:r>
      <w:r w:rsidRPr="00CF1D1E">
        <w:rPr>
          <w:rFonts w:ascii="Calibri" w:eastAsia="Calibri" w:hAnsi="Calibri" w:cs="Times New Roman"/>
          <w:sz w:val="24"/>
          <w:szCs w:val="24"/>
        </w:rPr>
        <w:t>use</w:t>
      </w:r>
      <w:r w:rsidR="00EC4843">
        <w:rPr>
          <w:rFonts w:ascii="Calibri" w:eastAsia="Calibri" w:hAnsi="Calibri" w:cs="Times New Roman"/>
          <w:sz w:val="24"/>
          <w:szCs w:val="24"/>
        </w:rPr>
        <w:t xml:space="preserve"> of</w:t>
      </w:r>
      <w:r w:rsidRPr="00CF1D1E">
        <w:rPr>
          <w:rFonts w:ascii="Calibri" w:eastAsia="Calibri" w:hAnsi="Calibri" w:cs="Times New Roman"/>
          <w:sz w:val="24"/>
          <w:szCs w:val="24"/>
        </w:rPr>
        <w:t xml:space="preserve"> this function to trigger highe</w:t>
      </w:r>
      <w:r w:rsidR="00EC4843">
        <w:rPr>
          <w:rFonts w:ascii="Calibri" w:eastAsia="Calibri" w:hAnsi="Calibri" w:cs="Times New Roman"/>
          <w:sz w:val="24"/>
          <w:szCs w:val="24"/>
        </w:rPr>
        <w:t>r polyphenolic content in plant based products</w:t>
      </w:r>
      <w:r w:rsidRPr="00CF1D1E">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t xml:space="preserve">Continuing with the evaluation of the discovery mode results, Figs 56 through to </w:t>
      </w:r>
      <w:r w:rsidR="00BC20F7" w:rsidRPr="00CF1D1E">
        <w:rPr>
          <w:rFonts w:ascii="Calibri" w:eastAsia="Calibri" w:hAnsi="Calibri" w:cs="Times New Roman"/>
          <w:sz w:val="24"/>
          <w:szCs w:val="24"/>
        </w:rPr>
        <w:t>61 illustrate</w:t>
      </w:r>
      <w:r w:rsidRPr="00CF1D1E">
        <w:rPr>
          <w:rFonts w:ascii="Calibri" w:eastAsia="Calibri" w:hAnsi="Calibri" w:cs="Times New Roman"/>
          <w:sz w:val="24"/>
          <w:szCs w:val="24"/>
        </w:rPr>
        <w:t xml:space="preserve"> the differences in polyphenols present across the </w:t>
      </w:r>
      <w:r w:rsidR="00117E5B">
        <w:rPr>
          <w:rFonts w:ascii="Calibri" w:eastAsia="Calibri" w:hAnsi="Calibri" w:cs="Times New Roman"/>
          <w:sz w:val="24"/>
          <w:szCs w:val="24"/>
        </w:rPr>
        <w:t>plant</w:t>
      </w:r>
      <w:r w:rsidRPr="00CF1D1E">
        <w:rPr>
          <w:rFonts w:ascii="Calibri" w:eastAsia="Calibri" w:hAnsi="Calibri" w:cs="Times New Roman"/>
          <w:sz w:val="24"/>
          <w:szCs w:val="24"/>
        </w:rPr>
        <w:t xml:space="preserve"> extracts. It </w:t>
      </w:r>
      <w:r w:rsidR="009F3F77">
        <w:rPr>
          <w:rFonts w:ascii="Calibri" w:eastAsia="Calibri" w:hAnsi="Calibri" w:cs="Times New Roman"/>
          <w:sz w:val="24"/>
          <w:szCs w:val="24"/>
        </w:rPr>
        <w:t>seems very likely</w:t>
      </w:r>
      <w:r w:rsidRPr="00CF1D1E">
        <w:rPr>
          <w:rFonts w:ascii="Calibri" w:eastAsia="Calibri" w:hAnsi="Calibri" w:cs="Times New Roman"/>
          <w:sz w:val="24"/>
          <w:szCs w:val="24"/>
        </w:rPr>
        <w:t xml:space="preserve"> that all of these plants and seaweeds could be used in the production of nutraceuticals or food additives. They could also be selectively used to provide specific polyphenols of interest to a certain end product</w:t>
      </w:r>
      <w:r w:rsidR="00211845">
        <w:rPr>
          <w:rFonts w:ascii="Calibri" w:eastAsia="Calibri" w:hAnsi="Calibri" w:cs="Times New Roman"/>
          <w:sz w:val="24"/>
          <w:szCs w:val="24"/>
        </w:rPr>
        <w:t xml:space="preserve"> based on the particular product requirements</w:t>
      </w:r>
      <w:r w:rsidRPr="00CF1D1E">
        <w:rPr>
          <w:rFonts w:ascii="Calibri" w:eastAsia="Calibri" w:hAnsi="Calibri" w:cs="Times New Roman"/>
          <w:sz w:val="24"/>
          <w:szCs w:val="24"/>
        </w:rPr>
        <w:t xml:space="preserve">. The </w:t>
      </w:r>
      <w:r w:rsidR="00211845">
        <w:rPr>
          <w:rFonts w:ascii="Calibri" w:eastAsia="Calibri" w:hAnsi="Calibri" w:cs="Times New Roman"/>
          <w:sz w:val="24"/>
          <w:szCs w:val="24"/>
        </w:rPr>
        <w:t xml:space="preserve">PCA </w:t>
      </w:r>
      <w:r w:rsidRPr="00CF1D1E">
        <w:rPr>
          <w:rFonts w:ascii="Calibri" w:eastAsia="Calibri" w:hAnsi="Calibri" w:cs="Times New Roman"/>
          <w:sz w:val="24"/>
          <w:szCs w:val="24"/>
        </w:rPr>
        <w:t xml:space="preserve">scores plot in Fig.62 shows the wide differences amongst the extracts analysed and also shows the groups which are most similar. The tight clustering of sample injections of a certain type illustrates good agreement within a condition giving additional confidence in the quality of this data. </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t xml:space="preserve">The S-plot in </w:t>
      </w:r>
      <w:r w:rsidRPr="00CF1D1E">
        <w:rPr>
          <w:rFonts w:ascii="Calibri" w:eastAsia="Calibri" w:hAnsi="Calibri" w:cs="Times New Roman"/>
          <w:sz w:val="24"/>
          <w:szCs w:val="24"/>
          <w:lang w:val="en"/>
        </w:rPr>
        <w:t xml:space="preserve">Fig. 63 was created </w:t>
      </w:r>
      <w:r w:rsidR="001274C1">
        <w:rPr>
          <w:rFonts w:ascii="Calibri" w:eastAsia="Calibri" w:hAnsi="Calibri" w:cs="Times New Roman"/>
          <w:sz w:val="24"/>
          <w:szCs w:val="24"/>
          <w:lang w:val="en"/>
        </w:rPr>
        <w:t>to illustrate</w:t>
      </w:r>
      <w:r w:rsidRPr="00CF1D1E">
        <w:rPr>
          <w:rFonts w:ascii="Calibri" w:eastAsia="Calibri" w:hAnsi="Calibri" w:cs="Times New Roman"/>
          <w:sz w:val="24"/>
          <w:szCs w:val="24"/>
          <w:lang w:val="en"/>
        </w:rPr>
        <w:t xml:space="preserve"> the differences and similarities</w:t>
      </w:r>
      <w:r w:rsidR="00211845">
        <w:rPr>
          <w:rFonts w:ascii="Calibri" w:eastAsia="Calibri" w:hAnsi="Calibri" w:cs="Times New Roman"/>
          <w:sz w:val="24"/>
          <w:szCs w:val="24"/>
          <w:lang w:val="en"/>
        </w:rPr>
        <w:t xml:space="preserve"> between samples</w:t>
      </w:r>
      <w:r w:rsidRPr="00CF1D1E">
        <w:rPr>
          <w:rFonts w:ascii="Calibri" w:eastAsia="Calibri" w:hAnsi="Calibri" w:cs="Times New Roman"/>
          <w:sz w:val="24"/>
          <w:szCs w:val="24"/>
          <w:lang w:val="en"/>
        </w:rPr>
        <w:t xml:space="preserve">. Gorse flower (bottom left) and gorse stem (top right) were plotted against one another as a way of showing that even different structures within the same plant </w:t>
      </w:r>
      <w:r w:rsidR="001274C1">
        <w:rPr>
          <w:rFonts w:ascii="Calibri" w:eastAsia="Calibri" w:hAnsi="Calibri" w:cs="Times New Roman"/>
          <w:sz w:val="24"/>
          <w:szCs w:val="24"/>
          <w:lang w:val="en"/>
        </w:rPr>
        <w:t>have features which can potentially be used as</w:t>
      </w:r>
      <w:r w:rsidRPr="00CF1D1E">
        <w:rPr>
          <w:rFonts w:ascii="Calibri" w:eastAsia="Calibri" w:hAnsi="Calibri" w:cs="Times New Roman"/>
          <w:sz w:val="24"/>
          <w:szCs w:val="24"/>
          <w:lang w:val="en"/>
        </w:rPr>
        <w:t xml:space="preserve"> biomarkers. These </w:t>
      </w:r>
      <w:r w:rsidR="001274C1">
        <w:rPr>
          <w:rFonts w:ascii="Calibri" w:eastAsia="Calibri" w:hAnsi="Calibri" w:cs="Times New Roman"/>
          <w:sz w:val="24"/>
          <w:szCs w:val="24"/>
          <w:lang w:val="en"/>
        </w:rPr>
        <w:t xml:space="preserve">markers </w:t>
      </w:r>
      <w:r w:rsidRPr="00CF1D1E">
        <w:rPr>
          <w:rFonts w:ascii="Calibri" w:eastAsia="Calibri" w:hAnsi="Calibri" w:cs="Times New Roman"/>
          <w:sz w:val="24"/>
          <w:szCs w:val="24"/>
          <w:lang w:val="en"/>
        </w:rPr>
        <w:t>can be selected in EZ Info, imported into Progenesis QI and used to create tags. These tags can then be used to filter data by specific biomarkers; a powerful technique that could be applied to distinguish between Alexanders and its deadly lookalike Hemlock Water-dropwort (</w:t>
      </w:r>
      <w:proofErr w:type="spellStart"/>
      <w:r w:rsidRPr="00CF1D1E">
        <w:rPr>
          <w:rFonts w:ascii="Calibri" w:eastAsia="Calibri" w:hAnsi="Calibri" w:cs="Times New Roman"/>
          <w:i/>
          <w:sz w:val="24"/>
          <w:szCs w:val="24"/>
        </w:rPr>
        <w:t>Oenanthe</w:t>
      </w:r>
      <w:proofErr w:type="spellEnd"/>
      <w:r w:rsidRPr="00CF1D1E">
        <w:rPr>
          <w:rFonts w:ascii="Calibri" w:eastAsia="Calibri" w:hAnsi="Calibri" w:cs="Times New Roman"/>
          <w:i/>
          <w:sz w:val="24"/>
          <w:szCs w:val="24"/>
        </w:rPr>
        <w:t xml:space="preserve"> </w:t>
      </w:r>
      <w:proofErr w:type="spellStart"/>
      <w:r w:rsidRPr="00CF1D1E">
        <w:rPr>
          <w:rFonts w:ascii="Calibri" w:eastAsia="Calibri" w:hAnsi="Calibri" w:cs="Times New Roman"/>
          <w:i/>
          <w:sz w:val="24"/>
          <w:szCs w:val="24"/>
        </w:rPr>
        <w:t>crocata</w:t>
      </w:r>
      <w:proofErr w:type="spellEnd"/>
      <w:r w:rsidRPr="00CF1D1E">
        <w:rPr>
          <w:rFonts w:ascii="Calibri" w:eastAsia="Calibri" w:hAnsi="Calibri" w:cs="Times New Roman"/>
        </w:rPr>
        <w:t xml:space="preserve">) </w:t>
      </w:r>
      <w:r w:rsidRPr="00CF1D1E">
        <w:rPr>
          <w:rFonts w:ascii="Calibri" w:eastAsia="Calibri" w:hAnsi="Calibri" w:cs="Times New Roman"/>
          <w:sz w:val="24"/>
          <w:szCs w:val="24"/>
        </w:rPr>
        <w:t>(Edible Seashore – J. Wright)</w:t>
      </w:r>
      <w:r w:rsidRPr="00CF1D1E">
        <w:rPr>
          <w:rFonts w:ascii="Calibri" w:eastAsia="Calibri" w:hAnsi="Calibri" w:cs="Times New Roman"/>
          <w:sz w:val="24"/>
          <w:szCs w:val="24"/>
          <w:lang w:val="en"/>
        </w:rPr>
        <w:t xml:space="preserve">. </w:t>
      </w:r>
      <w:r w:rsidR="00D73FD8">
        <w:rPr>
          <w:rFonts w:ascii="Calibri" w:eastAsia="Calibri" w:hAnsi="Calibri" w:cs="Times New Roman"/>
          <w:sz w:val="24"/>
          <w:szCs w:val="24"/>
          <w:lang w:val="en"/>
        </w:rPr>
        <w:t>This way of dealing with discovery data is applied much more thoroughly in chapter 3.</w:t>
      </w:r>
    </w:p>
    <w:p w:rsidR="00CF1D1E" w:rsidRPr="000E1A5F" w:rsidRDefault="00CF1D1E" w:rsidP="00CF1D1E">
      <w:pPr>
        <w:spacing w:line="360" w:lineRule="auto"/>
        <w:ind w:firstLine="720"/>
        <w:jc w:val="both"/>
        <w:rPr>
          <w:sz w:val="24"/>
          <w:szCs w:val="24"/>
        </w:rPr>
      </w:pPr>
      <w:r w:rsidRPr="00CF1D1E">
        <w:rPr>
          <w:rFonts w:ascii="Calibri" w:eastAsia="Calibri" w:hAnsi="Calibri" w:cs="Times New Roman"/>
          <w:sz w:val="24"/>
          <w:szCs w:val="24"/>
        </w:rPr>
        <w:t>Partly due to reasons mentioned earlier, the targeted analysis</w:t>
      </w:r>
      <w:r w:rsidR="001274C1">
        <w:rPr>
          <w:rFonts w:ascii="Calibri" w:eastAsia="Calibri" w:hAnsi="Calibri" w:cs="Times New Roman"/>
          <w:sz w:val="24"/>
          <w:szCs w:val="24"/>
        </w:rPr>
        <w:t xml:space="preserve"> for these extracts</w:t>
      </w:r>
      <w:r w:rsidRPr="00CF1D1E">
        <w:rPr>
          <w:rFonts w:ascii="Calibri" w:eastAsia="Calibri" w:hAnsi="Calibri" w:cs="Times New Roman"/>
          <w:sz w:val="24"/>
          <w:szCs w:val="24"/>
        </w:rPr>
        <w:t xml:space="preserve"> was restricted to the same four components as the first chapter. Three of these analytes were highlighted in the discovery data for these extracts. Paeonol was not present and was therefore excluded from this round of analysis. The targeted method </w:t>
      </w:r>
      <w:r w:rsidR="001274C1">
        <w:rPr>
          <w:rFonts w:ascii="Calibri" w:eastAsia="Calibri" w:hAnsi="Calibri" w:cs="Times New Roman"/>
          <w:sz w:val="24"/>
          <w:szCs w:val="24"/>
        </w:rPr>
        <w:t>f</w:t>
      </w:r>
      <w:r w:rsidRPr="00CF1D1E">
        <w:rPr>
          <w:rFonts w:ascii="Calibri" w:eastAsia="Calibri" w:hAnsi="Calibri" w:cs="Times New Roman"/>
          <w:sz w:val="24"/>
          <w:szCs w:val="24"/>
        </w:rPr>
        <w:t xml:space="preserve">ocused on EGCG, Rutin and S-Equol. The fact that S-equol was not found again provides a further indication of a </w:t>
      </w:r>
      <w:r w:rsidRPr="00CF1D1E">
        <w:rPr>
          <w:rFonts w:ascii="Calibri" w:eastAsia="Calibri" w:hAnsi="Calibri" w:cs="Times New Roman"/>
          <w:sz w:val="24"/>
          <w:szCs w:val="24"/>
        </w:rPr>
        <w:lastRenderedPageBreak/>
        <w:t xml:space="preserve">misidentification. Maybe an isobaric species is the actual component present or S-equol is below the LOD of the targeted method. This again highlights </w:t>
      </w:r>
      <w:r w:rsidR="001274C1">
        <w:rPr>
          <w:rFonts w:ascii="Calibri" w:eastAsia="Calibri" w:hAnsi="Calibri" w:cs="Times New Roman"/>
          <w:sz w:val="24"/>
          <w:szCs w:val="24"/>
        </w:rPr>
        <w:t>the</w:t>
      </w:r>
      <w:r w:rsidRPr="00CF1D1E">
        <w:rPr>
          <w:rFonts w:ascii="Calibri" w:eastAsia="Calibri" w:hAnsi="Calibri" w:cs="Times New Roman"/>
          <w:sz w:val="24"/>
          <w:szCs w:val="24"/>
        </w:rPr>
        <w:t xml:space="preserve"> n</w:t>
      </w:r>
      <w:r w:rsidR="001274C1">
        <w:rPr>
          <w:rFonts w:ascii="Calibri" w:eastAsia="Calibri" w:hAnsi="Calibri" w:cs="Times New Roman"/>
          <w:sz w:val="24"/>
          <w:szCs w:val="24"/>
        </w:rPr>
        <w:t>eed for</w:t>
      </w:r>
      <w:r w:rsidRPr="00CF1D1E">
        <w:rPr>
          <w:rFonts w:ascii="Calibri" w:eastAsia="Calibri" w:hAnsi="Calibri" w:cs="Times New Roman"/>
          <w:sz w:val="24"/>
          <w:szCs w:val="24"/>
        </w:rPr>
        <w:t xml:space="preserve"> caution with respect to discovery data. Gorse and nettle are abundant in the countryside and are regularly cut back by farmers and county councils alike. The availability of this </w:t>
      </w:r>
      <w:r w:rsidR="001274C1">
        <w:rPr>
          <w:rFonts w:ascii="Calibri" w:eastAsia="Calibri" w:hAnsi="Calibri" w:cs="Times New Roman"/>
          <w:sz w:val="24"/>
          <w:szCs w:val="24"/>
        </w:rPr>
        <w:t>resource</w:t>
      </w:r>
      <w:r w:rsidRPr="00CF1D1E">
        <w:rPr>
          <w:rFonts w:ascii="Calibri" w:eastAsia="Calibri" w:hAnsi="Calibri" w:cs="Times New Roman"/>
          <w:sz w:val="24"/>
          <w:szCs w:val="24"/>
        </w:rPr>
        <w:t xml:space="preserve"> is abundant. These plants have emerged as the success of this chapter with nettles having twice </w:t>
      </w:r>
      <w:r w:rsidR="001274C1">
        <w:rPr>
          <w:rFonts w:ascii="Calibri" w:eastAsia="Calibri" w:hAnsi="Calibri" w:cs="Times New Roman"/>
          <w:sz w:val="24"/>
          <w:szCs w:val="24"/>
        </w:rPr>
        <w:t>as much</w:t>
      </w:r>
      <w:r w:rsidRPr="00CF1D1E">
        <w:rPr>
          <w:rFonts w:ascii="Calibri" w:eastAsia="Calibri" w:hAnsi="Calibri" w:cs="Times New Roman"/>
          <w:sz w:val="24"/>
          <w:szCs w:val="24"/>
        </w:rPr>
        <w:t xml:space="preserve"> rutin </w:t>
      </w:r>
      <w:r w:rsidR="001274C1">
        <w:rPr>
          <w:rFonts w:ascii="Calibri" w:eastAsia="Calibri" w:hAnsi="Calibri" w:cs="Times New Roman"/>
          <w:sz w:val="24"/>
          <w:szCs w:val="24"/>
        </w:rPr>
        <w:t>as</w:t>
      </w:r>
      <w:r w:rsidRPr="00CF1D1E">
        <w:rPr>
          <w:rFonts w:ascii="Calibri" w:eastAsia="Calibri" w:hAnsi="Calibri" w:cs="Times New Roman"/>
          <w:sz w:val="24"/>
          <w:szCs w:val="24"/>
        </w:rPr>
        <w:t xml:space="preserve"> </w:t>
      </w:r>
      <w:r w:rsidRPr="000E1A5F">
        <w:rPr>
          <w:rFonts w:ascii="Calibri" w:eastAsia="Calibri" w:hAnsi="Calibri" w:cs="Times New Roman"/>
          <w:sz w:val="24"/>
          <w:szCs w:val="24"/>
        </w:rPr>
        <w:t xml:space="preserve">green tea. Gorse flowers, and to a lesser extent gorse stem, </w:t>
      </w:r>
      <w:r w:rsidR="001274C1" w:rsidRPr="000E1A5F">
        <w:rPr>
          <w:rFonts w:ascii="Calibri" w:eastAsia="Calibri" w:hAnsi="Calibri" w:cs="Times New Roman"/>
          <w:sz w:val="24"/>
          <w:szCs w:val="24"/>
        </w:rPr>
        <w:t>containing both</w:t>
      </w:r>
      <w:r w:rsidRPr="000E1A5F">
        <w:rPr>
          <w:rFonts w:ascii="Calibri" w:eastAsia="Calibri" w:hAnsi="Calibri" w:cs="Times New Roman"/>
          <w:sz w:val="24"/>
          <w:szCs w:val="24"/>
        </w:rPr>
        <w:t xml:space="preserve"> EGCG and rutin. </w:t>
      </w:r>
      <w:r w:rsidR="001274C1" w:rsidRPr="000E1A5F">
        <w:rPr>
          <w:sz w:val="24"/>
          <w:szCs w:val="24"/>
        </w:rPr>
        <w:t>The simplest way to make these compounds available as a nutraceutical for human consumption would be in the form of tea</w:t>
      </w:r>
      <w:r w:rsidR="00D73FD8">
        <w:rPr>
          <w:sz w:val="24"/>
          <w:szCs w:val="24"/>
        </w:rPr>
        <w:t>.</w:t>
      </w:r>
      <w:r w:rsidRPr="000E1A5F">
        <w:rPr>
          <w:rFonts w:ascii="Calibri" w:eastAsia="Calibri" w:hAnsi="Calibri" w:cs="Times New Roman"/>
          <w:sz w:val="24"/>
          <w:szCs w:val="24"/>
        </w:rPr>
        <w:t xml:space="preserve"> The extraction of these polyphenols could be</w:t>
      </w:r>
      <w:r w:rsidR="001274C1" w:rsidRPr="000E1A5F">
        <w:rPr>
          <w:rFonts w:ascii="Calibri" w:eastAsia="Calibri" w:hAnsi="Calibri" w:cs="Times New Roman"/>
          <w:sz w:val="24"/>
          <w:szCs w:val="24"/>
        </w:rPr>
        <w:t xml:space="preserve"> scaled up</w:t>
      </w:r>
      <w:r w:rsidRPr="000E1A5F">
        <w:rPr>
          <w:rFonts w:ascii="Calibri" w:eastAsia="Calibri" w:hAnsi="Calibri" w:cs="Times New Roman"/>
          <w:sz w:val="24"/>
          <w:szCs w:val="24"/>
        </w:rPr>
        <w:t xml:space="preserve"> </w:t>
      </w:r>
      <w:r w:rsidR="001274C1" w:rsidRPr="000E1A5F">
        <w:rPr>
          <w:rFonts w:ascii="Calibri" w:eastAsia="Calibri" w:hAnsi="Calibri" w:cs="Times New Roman"/>
          <w:sz w:val="24"/>
          <w:szCs w:val="24"/>
        </w:rPr>
        <w:t>to</w:t>
      </w:r>
      <w:r w:rsidRPr="000E1A5F">
        <w:rPr>
          <w:rFonts w:ascii="Calibri" w:eastAsia="Calibri" w:hAnsi="Calibri" w:cs="Times New Roman"/>
          <w:sz w:val="24"/>
          <w:szCs w:val="24"/>
        </w:rPr>
        <w:t xml:space="preserve"> a production plant scale </w:t>
      </w:r>
      <w:r w:rsidR="001274C1" w:rsidRPr="000E1A5F">
        <w:rPr>
          <w:rFonts w:ascii="Calibri" w:eastAsia="Calibri" w:hAnsi="Calibri" w:cs="Times New Roman"/>
          <w:sz w:val="24"/>
          <w:szCs w:val="24"/>
        </w:rPr>
        <w:t xml:space="preserve">in order </w:t>
      </w:r>
      <w:r w:rsidRPr="000E1A5F">
        <w:rPr>
          <w:rFonts w:ascii="Calibri" w:eastAsia="Calibri" w:hAnsi="Calibri" w:cs="Times New Roman"/>
          <w:sz w:val="24"/>
          <w:szCs w:val="24"/>
        </w:rPr>
        <w:t>to create a multi-component extract to enhance nutrition in many areas. The extraction methods available have been discussed in chapter 1 and could be conceivably applied to create a Pycnogenol-type, nutraceutical tablet based on the waste of these industries.</w:t>
      </w:r>
    </w:p>
    <w:p w:rsidR="00CF1D1E" w:rsidRPr="00CF1D1E" w:rsidRDefault="001274C1" w:rsidP="00CF1D1E">
      <w:pPr>
        <w:spacing w:line="360" w:lineRule="auto"/>
        <w:ind w:firstLine="720"/>
        <w:jc w:val="both"/>
        <w:rPr>
          <w:rFonts w:ascii="Calibri" w:eastAsia="Calibri" w:hAnsi="Calibri" w:cs="Times New Roman"/>
          <w:sz w:val="24"/>
          <w:szCs w:val="24"/>
        </w:rPr>
      </w:pPr>
      <w:r w:rsidRPr="001274C1">
        <w:rPr>
          <w:rFonts w:ascii="Calibri" w:eastAsia="Calibri" w:hAnsi="Calibri" w:cs="Times New Roman"/>
          <w:sz w:val="24"/>
          <w:szCs w:val="24"/>
        </w:rPr>
        <w:t>Disappointingly, the molecules which were targeted in the extracts from</w:t>
      </w:r>
      <w:r>
        <w:rPr>
          <w:rFonts w:ascii="Calibri" w:eastAsia="Calibri" w:hAnsi="Calibri" w:cs="Times New Roman"/>
          <w:sz w:val="24"/>
          <w:szCs w:val="24"/>
        </w:rPr>
        <w:t xml:space="preserve"> seaweeds and Alexander were</w:t>
      </w:r>
      <w:r w:rsidR="00532378">
        <w:rPr>
          <w:rFonts w:ascii="Calibri" w:eastAsia="Calibri" w:hAnsi="Calibri" w:cs="Times New Roman"/>
          <w:sz w:val="24"/>
          <w:szCs w:val="24"/>
        </w:rPr>
        <w:t xml:space="preserve"> not seen apart from low concentrations of rutin</w:t>
      </w:r>
      <w:r w:rsidR="00CF1D1E" w:rsidRPr="00CF1D1E">
        <w:rPr>
          <w:rFonts w:ascii="Calibri" w:eastAsia="Calibri" w:hAnsi="Calibri" w:cs="Times New Roman"/>
          <w:sz w:val="24"/>
          <w:szCs w:val="24"/>
        </w:rPr>
        <w:t xml:space="preserve">. </w:t>
      </w:r>
      <w:r w:rsidR="00532378">
        <w:rPr>
          <w:rFonts w:ascii="Calibri" w:eastAsia="Calibri" w:hAnsi="Calibri" w:cs="Times New Roman"/>
          <w:sz w:val="24"/>
          <w:szCs w:val="24"/>
        </w:rPr>
        <w:t>T</w:t>
      </w:r>
      <w:r w:rsidR="00CF1D1E" w:rsidRPr="00CF1D1E">
        <w:rPr>
          <w:rFonts w:ascii="Calibri" w:eastAsia="Calibri" w:hAnsi="Calibri" w:cs="Times New Roman"/>
          <w:sz w:val="24"/>
          <w:szCs w:val="24"/>
        </w:rPr>
        <w:t xml:space="preserve">he targeted work has created a more negative impression than is necessarily warranted. Cost restriction should be considered. The molecules that were targeted were ideal for illustrating the potential of this approach for this kind of waste. If other polyphenolics could have been targeted, it is believed that the potential of the plants and seaweeds could be illustrated in a better way. </w:t>
      </w:r>
      <w:r w:rsidR="00532378">
        <w:rPr>
          <w:rFonts w:ascii="Calibri" w:eastAsia="Calibri" w:hAnsi="Calibri" w:cs="Times New Roman"/>
          <w:sz w:val="24"/>
          <w:szCs w:val="24"/>
        </w:rPr>
        <w:t>In contrast</w:t>
      </w:r>
      <w:r w:rsidR="00CF1D1E" w:rsidRPr="00CF1D1E">
        <w:rPr>
          <w:rFonts w:ascii="Calibri" w:eastAsia="Calibri" w:hAnsi="Calibri" w:cs="Times New Roman"/>
          <w:sz w:val="24"/>
          <w:szCs w:val="24"/>
        </w:rPr>
        <w:t>, the discovery work shows that a rich array of polyphenolics have been tentatively identified in all extracts. With the low false discovery rates created through prudent data filtering, it can be expected that a great majority of these identifications will be correct. From the q-values of t</w:t>
      </w:r>
      <w:r w:rsidR="00532378">
        <w:rPr>
          <w:rFonts w:ascii="Calibri" w:eastAsia="Calibri" w:hAnsi="Calibri" w:cs="Times New Roman"/>
          <w:sz w:val="24"/>
          <w:szCs w:val="24"/>
        </w:rPr>
        <w:t xml:space="preserve">he selected components, </w:t>
      </w:r>
      <w:r w:rsidR="00CF1D1E" w:rsidRPr="00CF1D1E">
        <w:rPr>
          <w:rFonts w:ascii="Calibri" w:eastAsia="Calibri" w:hAnsi="Calibri" w:cs="Times New Roman"/>
          <w:sz w:val="24"/>
          <w:szCs w:val="24"/>
        </w:rPr>
        <w:t xml:space="preserve">a </w:t>
      </w:r>
      <w:r w:rsidR="00532378">
        <w:rPr>
          <w:rFonts w:ascii="Calibri" w:eastAsia="Calibri" w:hAnsi="Calibri" w:cs="Times New Roman"/>
          <w:sz w:val="24"/>
          <w:szCs w:val="24"/>
        </w:rPr>
        <w:t>95% correct discovery rate can</w:t>
      </w:r>
      <w:r w:rsidR="00CF1D1E" w:rsidRPr="00CF1D1E">
        <w:rPr>
          <w:rFonts w:ascii="Calibri" w:eastAsia="Calibri" w:hAnsi="Calibri" w:cs="Times New Roman"/>
          <w:sz w:val="24"/>
          <w:szCs w:val="24"/>
        </w:rPr>
        <w:t xml:space="preserve"> be a reasonable expectation. Furthermore, the creation of a highly specific local database would create higher certainty and confidence with respect to this discovery workflow. This can be achieved </w:t>
      </w:r>
      <w:r w:rsidR="00532378">
        <w:rPr>
          <w:rFonts w:ascii="Calibri" w:eastAsia="Calibri" w:hAnsi="Calibri" w:cs="Times New Roman"/>
          <w:sz w:val="24"/>
          <w:szCs w:val="24"/>
        </w:rPr>
        <w:t>using</w:t>
      </w:r>
      <w:r w:rsidR="00CF1D1E" w:rsidRPr="00CF1D1E">
        <w:rPr>
          <w:rFonts w:ascii="Calibri" w:eastAsia="Calibri" w:hAnsi="Calibri" w:cs="Times New Roman"/>
          <w:sz w:val="24"/>
          <w:szCs w:val="24"/>
        </w:rPr>
        <w:t xml:space="preserve"> Progenesis QI Metascope, which will be discussed, in full, in the following chapter.</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i/>
          <w:sz w:val="24"/>
          <w:szCs w:val="24"/>
        </w:rPr>
        <w:t xml:space="preserve"> </w:t>
      </w:r>
      <w:r w:rsidRPr="00CF1D1E">
        <w:rPr>
          <w:rFonts w:ascii="Calibri" w:eastAsia="Calibri" w:hAnsi="Calibri" w:cs="Times New Roman"/>
          <w:sz w:val="24"/>
          <w:szCs w:val="24"/>
        </w:rPr>
        <w:t>Significant value can be added to waste from the agricultural and aquacultural industries of North Wales through characterisation by the use of modern mass spectrometry based analysis. The research presented here provides direction and focus for the next step in new product development.</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rPr>
          <w:rFonts w:ascii="Calibri" w:eastAsia="Calibri" w:hAnsi="Calibri" w:cs="Times New Roman"/>
          <w:sz w:val="24"/>
          <w:szCs w:val="24"/>
        </w:rPr>
      </w:pPr>
      <w:r w:rsidRPr="00CF1D1E">
        <w:rPr>
          <w:rFonts w:ascii="Calibri" w:eastAsia="Calibri" w:hAnsi="Calibri" w:cs="Times New Roman"/>
          <w:b/>
          <w:sz w:val="44"/>
          <w:szCs w:val="44"/>
          <w:lang w:val="en"/>
        </w:rPr>
        <w:lastRenderedPageBreak/>
        <w:t>2.5 Conclusion</w:t>
      </w:r>
    </w:p>
    <w:p w:rsidR="00CF1D1E" w:rsidRPr="00CF1D1E" w:rsidRDefault="00CF1D1E" w:rsidP="00CF1D1E">
      <w:pPr>
        <w:spacing w:line="360" w:lineRule="auto"/>
        <w:ind w:firstLine="720"/>
        <w:rPr>
          <w:rFonts w:ascii="Calibri" w:eastAsia="Calibri" w:hAnsi="Calibri" w:cs="Times New Roman"/>
          <w:sz w:val="24"/>
          <w:szCs w:val="24"/>
        </w:rPr>
      </w:pPr>
    </w:p>
    <w:p w:rsidR="00641F37" w:rsidRDefault="005D5119"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 xml:space="preserve">This research expands </w:t>
      </w:r>
      <w:r w:rsidR="00D73FD8">
        <w:rPr>
          <w:rFonts w:ascii="Calibri" w:eastAsia="Calibri" w:hAnsi="Calibri" w:cs="Times New Roman"/>
          <w:sz w:val="24"/>
          <w:szCs w:val="24"/>
        </w:rPr>
        <w:t>on the approach</w:t>
      </w:r>
      <w:r>
        <w:rPr>
          <w:rFonts w:ascii="Calibri" w:eastAsia="Calibri" w:hAnsi="Calibri" w:cs="Times New Roman"/>
          <w:sz w:val="24"/>
          <w:szCs w:val="24"/>
        </w:rPr>
        <w:t xml:space="preserve"> </w:t>
      </w:r>
      <w:r w:rsidR="00D73FD8">
        <w:rPr>
          <w:rFonts w:ascii="Calibri" w:eastAsia="Calibri" w:hAnsi="Calibri" w:cs="Times New Roman"/>
          <w:sz w:val="24"/>
          <w:szCs w:val="24"/>
        </w:rPr>
        <w:t>described in</w:t>
      </w:r>
      <w:r>
        <w:rPr>
          <w:rFonts w:ascii="Calibri" w:eastAsia="Calibri" w:hAnsi="Calibri" w:cs="Times New Roman"/>
          <w:sz w:val="24"/>
          <w:szCs w:val="24"/>
        </w:rPr>
        <w:t xml:space="preserve"> chapter 1 and once again shows a </w:t>
      </w:r>
      <w:r w:rsidRPr="00CF1D1E">
        <w:rPr>
          <w:rFonts w:ascii="Calibri" w:eastAsia="Calibri" w:hAnsi="Calibri" w:cs="Times New Roman"/>
          <w:sz w:val="24"/>
          <w:szCs w:val="24"/>
        </w:rPr>
        <w:t xml:space="preserve">diverse </w:t>
      </w:r>
      <w:r>
        <w:rPr>
          <w:rFonts w:ascii="Calibri" w:eastAsia="Calibri" w:hAnsi="Calibri" w:cs="Times New Roman"/>
          <w:sz w:val="24"/>
          <w:szCs w:val="24"/>
        </w:rPr>
        <w:t>array of</w:t>
      </w:r>
      <w:r w:rsidRPr="00CF1D1E">
        <w:rPr>
          <w:rFonts w:ascii="Calibri" w:eastAsia="Calibri" w:hAnsi="Calibri" w:cs="Times New Roman"/>
          <w:sz w:val="24"/>
          <w:szCs w:val="24"/>
        </w:rPr>
        <w:t xml:space="preserve"> polyphenols, </w:t>
      </w:r>
      <w:r>
        <w:rPr>
          <w:rFonts w:ascii="Calibri" w:eastAsia="Calibri" w:hAnsi="Calibri" w:cs="Times New Roman"/>
          <w:sz w:val="24"/>
          <w:szCs w:val="24"/>
        </w:rPr>
        <w:t>many of which are important</w:t>
      </w:r>
      <w:r w:rsidRPr="00CF1D1E">
        <w:rPr>
          <w:rFonts w:ascii="Calibri" w:eastAsia="Calibri" w:hAnsi="Calibri" w:cs="Times New Roman"/>
          <w:sz w:val="24"/>
          <w:szCs w:val="24"/>
        </w:rPr>
        <w:t xml:space="preserve"> due to their versatility in the design of nutraceuticals, functional foods, pharmaceuticals and analogues for synthetic drugs.</w:t>
      </w:r>
      <w:r>
        <w:rPr>
          <w:rFonts w:ascii="Calibri" w:eastAsia="Calibri" w:hAnsi="Calibri" w:cs="Times New Roman"/>
          <w:sz w:val="24"/>
          <w:szCs w:val="24"/>
        </w:rPr>
        <w:t xml:space="preserve"> </w:t>
      </w:r>
      <w:r w:rsidR="00CF1D1E" w:rsidRPr="00CF1D1E">
        <w:rPr>
          <w:rFonts w:ascii="Calibri" w:eastAsia="Calibri" w:hAnsi="Calibri" w:cs="Times New Roman"/>
          <w:sz w:val="24"/>
          <w:szCs w:val="24"/>
        </w:rPr>
        <w:t xml:space="preserve">The characterisation of this selection of plants and seaweeds has </w:t>
      </w:r>
      <w:r>
        <w:rPr>
          <w:rFonts w:ascii="Calibri" w:eastAsia="Calibri" w:hAnsi="Calibri" w:cs="Times New Roman"/>
          <w:sz w:val="24"/>
          <w:szCs w:val="24"/>
        </w:rPr>
        <w:t>provided a way</w:t>
      </w:r>
      <w:r w:rsidR="00CF1D1E" w:rsidRPr="00CF1D1E">
        <w:rPr>
          <w:rFonts w:ascii="Calibri" w:eastAsia="Calibri" w:hAnsi="Calibri" w:cs="Times New Roman"/>
          <w:sz w:val="24"/>
          <w:szCs w:val="24"/>
        </w:rPr>
        <w:t xml:space="preserve"> to valorisation </w:t>
      </w:r>
      <w:r>
        <w:rPr>
          <w:rFonts w:ascii="Calibri" w:eastAsia="Calibri" w:hAnsi="Calibri" w:cs="Times New Roman"/>
          <w:sz w:val="24"/>
          <w:szCs w:val="24"/>
        </w:rPr>
        <w:t>through the use of</w:t>
      </w:r>
      <w:r w:rsidR="00CF1D1E" w:rsidRPr="00CF1D1E">
        <w:rPr>
          <w:rFonts w:ascii="Calibri" w:eastAsia="Calibri" w:hAnsi="Calibri" w:cs="Times New Roman"/>
          <w:sz w:val="24"/>
          <w:szCs w:val="24"/>
        </w:rPr>
        <w:t xml:space="preserve"> this </w:t>
      </w:r>
      <w:r w:rsidR="00C221D3">
        <w:rPr>
          <w:rFonts w:ascii="Calibri" w:eastAsia="Calibri" w:hAnsi="Calibri" w:cs="Times New Roman"/>
          <w:sz w:val="24"/>
          <w:szCs w:val="24"/>
        </w:rPr>
        <w:t>LC-</w:t>
      </w:r>
      <w:r w:rsidR="00CF1D1E" w:rsidRPr="00CF1D1E">
        <w:rPr>
          <w:rFonts w:ascii="Calibri" w:eastAsia="Calibri" w:hAnsi="Calibri" w:cs="Times New Roman"/>
          <w:sz w:val="24"/>
          <w:szCs w:val="24"/>
        </w:rPr>
        <w:t>MS workflow.</w:t>
      </w:r>
      <w:r w:rsidR="00052906">
        <w:rPr>
          <w:rFonts w:ascii="Calibri" w:eastAsia="Calibri" w:hAnsi="Calibri" w:cs="Times New Roman"/>
          <w:sz w:val="24"/>
          <w:szCs w:val="24"/>
        </w:rPr>
        <w:t xml:space="preserve"> </w:t>
      </w:r>
    </w:p>
    <w:p w:rsidR="00641F37" w:rsidRDefault="00052906"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Gorse flowers and nettles were shown to be the highlights of this study.</w:t>
      </w:r>
      <w:r w:rsidR="00BB0920">
        <w:rPr>
          <w:rFonts w:ascii="Calibri" w:eastAsia="Calibri" w:hAnsi="Calibri" w:cs="Times New Roman"/>
          <w:sz w:val="24"/>
          <w:szCs w:val="24"/>
        </w:rPr>
        <w:t xml:space="preserve"> The ubiquitous nature of these plants, which establish readily in diverse terrains, adds to the potential of these natural sources of nutrients.</w:t>
      </w:r>
      <w:r>
        <w:rPr>
          <w:rFonts w:ascii="Calibri" w:eastAsia="Calibri" w:hAnsi="Calibri" w:cs="Times New Roman"/>
          <w:sz w:val="24"/>
          <w:szCs w:val="24"/>
        </w:rPr>
        <w:t xml:space="preserve"> The application of m</w:t>
      </w:r>
      <w:r w:rsidRPr="00CF1D1E">
        <w:rPr>
          <w:rFonts w:ascii="Calibri" w:eastAsia="Calibri" w:hAnsi="Calibri" w:cs="Times New Roman"/>
          <w:sz w:val="24"/>
          <w:szCs w:val="24"/>
        </w:rPr>
        <w:t xml:space="preserve">ultivariate analysis </w:t>
      </w:r>
      <w:r>
        <w:rPr>
          <w:rFonts w:ascii="Calibri" w:eastAsia="Calibri" w:hAnsi="Calibri" w:cs="Times New Roman"/>
          <w:sz w:val="24"/>
          <w:szCs w:val="24"/>
        </w:rPr>
        <w:t>can help to convert the acquired data into useful information which can be used towards quality control in the production process and screening for harmful components.</w:t>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The development of</w:t>
      </w:r>
      <w:r w:rsidR="002210B4">
        <w:rPr>
          <w:rFonts w:ascii="Calibri" w:eastAsia="Calibri" w:hAnsi="Calibri" w:cs="Times New Roman"/>
          <w:sz w:val="24"/>
          <w:szCs w:val="24"/>
        </w:rPr>
        <w:t xml:space="preserve"> this research to create</w:t>
      </w:r>
      <w:r w:rsidRPr="00CF1D1E">
        <w:rPr>
          <w:rFonts w:ascii="Calibri" w:eastAsia="Calibri" w:hAnsi="Calibri" w:cs="Times New Roman"/>
          <w:sz w:val="24"/>
          <w:szCs w:val="24"/>
        </w:rPr>
        <w:t xml:space="preserve"> saleable natural products and contributions to functional foods would be the necessary next step. Evaluation of health and safety aspects, cost and marketing would be necessary for successful prog</w:t>
      </w:r>
      <w:r w:rsidR="00D73FD8">
        <w:rPr>
          <w:rFonts w:ascii="Calibri" w:eastAsia="Calibri" w:hAnsi="Calibri" w:cs="Times New Roman"/>
          <w:sz w:val="24"/>
          <w:szCs w:val="24"/>
        </w:rPr>
        <w:t>ress from this initial research</w:t>
      </w:r>
      <w:r w:rsidRPr="00CF1D1E">
        <w:rPr>
          <w:rFonts w:ascii="Calibri" w:eastAsia="Calibri" w:hAnsi="Calibri" w:cs="Times New Roman"/>
          <w:sz w:val="24"/>
          <w:szCs w:val="24"/>
        </w:rPr>
        <w:t xml:space="preserve">. </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rPr>
          <w:rFonts w:ascii="Calibri" w:eastAsia="Calibri" w:hAnsi="Calibri" w:cs="Times New Roman"/>
          <w:sz w:val="96"/>
          <w:szCs w:val="96"/>
        </w:rPr>
      </w:pPr>
      <w:r w:rsidRPr="00CF1D1E">
        <w:rPr>
          <w:rFonts w:ascii="Calibri" w:eastAsia="Calibri" w:hAnsi="Calibri" w:cs="Times New Roman"/>
          <w:sz w:val="96"/>
          <w:szCs w:val="96"/>
          <w:highlight w:val="lightGray"/>
        </w:rPr>
        <w:lastRenderedPageBreak/>
        <w:t>Chapter 3</w:t>
      </w:r>
      <w:r w:rsidRPr="00CF1D1E">
        <w:rPr>
          <w:rFonts w:ascii="Calibri" w:eastAsia="Calibri" w:hAnsi="Calibri" w:cs="Times New Roman"/>
          <w:sz w:val="96"/>
          <w:szCs w:val="96"/>
        </w:rPr>
        <w:t xml:space="preserve"> </w:t>
      </w:r>
    </w:p>
    <w:p w:rsidR="00CF1D1E" w:rsidRPr="00CF1D1E" w:rsidRDefault="00CF1D1E" w:rsidP="00CF1D1E">
      <w:pPr>
        <w:spacing w:line="360" w:lineRule="auto"/>
        <w:rPr>
          <w:rFonts w:ascii="Calibri" w:eastAsia="Calibri" w:hAnsi="Calibri" w:cs="Times New Roman"/>
          <w:sz w:val="72"/>
          <w:szCs w:val="72"/>
        </w:rPr>
      </w:pPr>
    </w:p>
    <w:p w:rsidR="00CF1D1E" w:rsidRPr="00CF1D1E" w:rsidRDefault="00CF1D1E" w:rsidP="00CF1D1E">
      <w:pPr>
        <w:spacing w:line="360" w:lineRule="auto"/>
        <w:rPr>
          <w:rFonts w:ascii="Calibri" w:eastAsia="Calibri" w:hAnsi="Calibri" w:cs="Times New Roman"/>
          <w:sz w:val="72"/>
          <w:szCs w:val="72"/>
        </w:rPr>
      </w:pPr>
      <w:r w:rsidRPr="00CF1D1E">
        <w:rPr>
          <w:rFonts w:ascii="Calibri" w:eastAsia="Calibri" w:hAnsi="Calibri" w:cs="Times New Roman"/>
          <w:sz w:val="72"/>
          <w:szCs w:val="72"/>
        </w:rPr>
        <w:t>Characterisation of various types of tea by the use of UPLC with a Q Exactive Plus in dd-MS</w:t>
      </w:r>
      <w:r w:rsidRPr="00CF1D1E">
        <w:rPr>
          <w:rFonts w:ascii="Calibri" w:eastAsia="Calibri" w:hAnsi="Calibri" w:cs="Times New Roman"/>
          <w:sz w:val="72"/>
          <w:szCs w:val="72"/>
          <w:vertAlign w:val="superscript"/>
        </w:rPr>
        <w:t>2</w:t>
      </w:r>
      <w:r w:rsidRPr="00CF1D1E">
        <w:rPr>
          <w:rFonts w:ascii="Calibri" w:eastAsia="Calibri" w:hAnsi="Calibri" w:cs="Times New Roman"/>
          <w:sz w:val="72"/>
          <w:szCs w:val="72"/>
        </w:rPr>
        <w:t xml:space="preserve"> mode and multivariate data analysis.</w:t>
      </w:r>
      <w:r w:rsidRPr="00CF1D1E">
        <w:rPr>
          <w:rFonts w:ascii="Calibri" w:eastAsia="Calibri" w:hAnsi="Calibri" w:cs="Times New Roman"/>
          <w:b/>
          <w:bCs/>
          <w:sz w:val="72"/>
          <w:szCs w:val="72"/>
        </w:rPr>
        <w:br w:type="page"/>
      </w:r>
    </w:p>
    <w:p w:rsidR="00CF1D1E" w:rsidRPr="00CF1D1E" w:rsidRDefault="00CF1D1E" w:rsidP="00CF1D1E">
      <w:pPr>
        <w:numPr>
          <w:ilvl w:val="1"/>
          <w:numId w:val="7"/>
        </w:numPr>
        <w:autoSpaceDE w:val="0"/>
        <w:autoSpaceDN w:val="0"/>
        <w:adjustRightInd w:val="0"/>
        <w:spacing w:after="0" w:line="360" w:lineRule="auto"/>
        <w:rPr>
          <w:rFonts w:ascii="Calibri" w:eastAsia="Calibri" w:hAnsi="Calibri" w:cs="Times New Roman"/>
          <w:b/>
          <w:bCs/>
          <w:color w:val="000000"/>
          <w:sz w:val="44"/>
          <w:szCs w:val="44"/>
        </w:rPr>
      </w:pPr>
      <w:r w:rsidRPr="00CF1D1E">
        <w:rPr>
          <w:rFonts w:ascii="Calibri" w:eastAsia="Calibri" w:hAnsi="Calibri" w:cs="Times New Roman"/>
          <w:b/>
          <w:bCs/>
          <w:color w:val="000000"/>
          <w:sz w:val="44"/>
          <w:szCs w:val="44"/>
        </w:rPr>
        <w:lastRenderedPageBreak/>
        <w:t xml:space="preserve">Introduction </w:t>
      </w:r>
    </w:p>
    <w:p w:rsidR="00CF1D1E" w:rsidRPr="00CF1D1E" w:rsidRDefault="00CF1D1E" w:rsidP="00CF1D1E">
      <w:pPr>
        <w:autoSpaceDE w:val="0"/>
        <w:autoSpaceDN w:val="0"/>
        <w:adjustRightInd w:val="0"/>
        <w:spacing w:after="0" w:line="360" w:lineRule="auto"/>
        <w:ind w:left="720"/>
        <w:rPr>
          <w:rFonts w:ascii="Calibri" w:eastAsia="Calibri" w:hAnsi="Calibri" w:cs="Times New Roman"/>
          <w:b/>
          <w:bCs/>
          <w:color w:val="000000"/>
          <w:sz w:val="44"/>
          <w:szCs w:val="44"/>
        </w:rPr>
      </w:pPr>
    </w:p>
    <w:p w:rsidR="00CF1D1E" w:rsidRPr="00CF1D1E" w:rsidRDefault="004E38CE"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Often it is said</w:t>
      </w:r>
      <w:r w:rsidR="00CF1D1E" w:rsidRPr="00CF1D1E">
        <w:rPr>
          <w:rFonts w:ascii="Calibri" w:eastAsia="Calibri" w:hAnsi="Calibri" w:cs="Times New Roman"/>
          <w:sz w:val="24"/>
          <w:szCs w:val="24"/>
        </w:rPr>
        <w:t xml:space="preserve"> that tea is the second most popular drink in the world, only being surpassed by water itself (Tea Fact Sheet – 2018-2019, Tea Association of the USA Inc.). Apparently, discovered almost 5</w:t>
      </w:r>
      <w:r w:rsidR="00F147CF">
        <w:rPr>
          <w:rFonts w:ascii="Calibri" w:eastAsia="Calibri" w:hAnsi="Calibri" w:cs="Times New Roman"/>
          <w:sz w:val="24"/>
          <w:szCs w:val="24"/>
        </w:rPr>
        <w:t>,</w:t>
      </w:r>
      <w:r w:rsidR="00CF1D1E" w:rsidRPr="00CF1D1E">
        <w:rPr>
          <w:rFonts w:ascii="Calibri" w:eastAsia="Calibri" w:hAnsi="Calibri" w:cs="Times New Roman"/>
          <w:sz w:val="24"/>
          <w:szCs w:val="24"/>
        </w:rPr>
        <w:t xml:space="preserve">000 years ago by Chinese Emperor </w:t>
      </w:r>
      <w:proofErr w:type="spellStart"/>
      <w:r w:rsidR="00CF1D1E" w:rsidRPr="00CF1D1E">
        <w:rPr>
          <w:rFonts w:ascii="Calibri" w:eastAsia="Calibri" w:hAnsi="Calibri" w:cs="Times New Roman"/>
          <w:sz w:val="24"/>
          <w:szCs w:val="24"/>
        </w:rPr>
        <w:t>Shennong</w:t>
      </w:r>
      <w:proofErr w:type="spellEnd"/>
      <w:r w:rsidR="00CF1D1E" w:rsidRPr="00CF1D1E">
        <w:rPr>
          <w:rFonts w:ascii="Calibri" w:eastAsia="Calibri" w:hAnsi="Calibri" w:cs="Times New Roman"/>
          <w:sz w:val="24"/>
          <w:szCs w:val="24"/>
        </w:rPr>
        <w:t xml:space="preserve">, also known as The Divine Healer, tea has become embedded in history, culture, industry, ceremony and economics. Cultures differ vastly worldwide from the ‘builder’s brew’ of the working class British to the elaborate Japanese </w:t>
      </w:r>
      <w:proofErr w:type="spellStart"/>
      <w:r w:rsidR="00CF1D1E" w:rsidRPr="00CF1D1E">
        <w:rPr>
          <w:rFonts w:ascii="Calibri" w:eastAsia="Calibri" w:hAnsi="Calibri" w:cs="Times New Roman"/>
          <w:sz w:val="24"/>
          <w:szCs w:val="24"/>
        </w:rPr>
        <w:t>Chanoyu</w:t>
      </w:r>
      <w:proofErr w:type="spellEnd"/>
      <w:r w:rsidR="00CF1D1E" w:rsidRPr="00CF1D1E">
        <w:rPr>
          <w:rFonts w:ascii="Calibri" w:eastAsia="Calibri" w:hAnsi="Calibri" w:cs="Times New Roman"/>
          <w:sz w:val="24"/>
          <w:szCs w:val="24"/>
        </w:rPr>
        <w:t xml:space="preserve"> meditative ritual, which can last up to 4 hours when the protocols of its </w:t>
      </w:r>
      <w:proofErr w:type="spellStart"/>
      <w:r w:rsidR="00CF1D1E" w:rsidRPr="00CF1D1E">
        <w:rPr>
          <w:rFonts w:ascii="Calibri" w:eastAsia="Calibri" w:hAnsi="Calibri" w:cs="Times New Roman"/>
          <w:sz w:val="24"/>
          <w:szCs w:val="24"/>
        </w:rPr>
        <w:t>Chaji</w:t>
      </w:r>
      <w:proofErr w:type="spellEnd"/>
      <w:r w:rsidR="00CF1D1E" w:rsidRPr="00CF1D1E">
        <w:rPr>
          <w:rFonts w:ascii="Calibri" w:eastAsia="Calibri" w:hAnsi="Calibri" w:cs="Times New Roman"/>
          <w:sz w:val="24"/>
          <w:szCs w:val="24"/>
        </w:rPr>
        <w:t xml:space="preserve"> variation are adhered to </w:t>
      </w:r>
      <w:r w:rsidR="00CF1D1E"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{"citationItems":[{"id":"ITEM-1","itemData":{"ISBN":"9781465436061","author":[{"dropping-particle":"","family":"L.Gaylard","given":"","non-dropping-particle":"","parse-names":false,"suffix":""}],"id":"ITEM-1","issued":{"date-parts":[["2015"]]},"title":"The Tea Book","type":"book"},"uris":["http://www.mendeley.com/documents/?uuid=a02c7812-4281-4c36-b6e0-5bd62498e844"]}],"mendeley":{"formattedCitation":"(L.Gaylard, 2015)","plainTextFormattedCitation":"(L.Gaylard, 2015)","previouslyFormattedCitation":"(L.Gaylard, 2015)"},"properties":{"noteIndex":0},"schema":"https://github.com/citation-style-language/schema/raw/master/csl-citation.json"}</w:instrText>
      </w:r>
      <w:r w:rsidR="00CF1D1E"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(L.Gaylard, 2015)</w:t>
      </w:r>
      <w:r w:rsidR="00CF1D1E" w:rsidRPr="00CF1D1E">
        <w:rPr>
          <w:rFonts w:ascii="Calibri" w:eastAsia="Calibri" w:hAnsi="Calibri" w:cs="Times New Roman"/>
          <w:sz w:val="24"/>
          <w:szCs w:val="24"/>
        </w:rPr>
        <w:fldChar w:fldCharType="end"/>
      </w:r>
      <w:r w:rsidR="00CF1D1E"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The economic impact of tea is steeped in history too. With the British East India Company monopolising half the world tea trade in the 1600s, tea established its importance in Western high society. The high taxation by the British government led to the Boston tea party in 1773</w:t>
      </w:r>
      <w:r w:rsidR="00F147CF">
        <w:rPr>
          <w:rFonts w:ascii="Calibri" w:eastAsia="Calibri" w:hAnsi="Calibri" w:cs="Times New Roman"/>
          <w:sz w:val="24"/>
          <w:szCs w:val="24"/>
        </w:rPr>
        <w:t>,</w:t>
      </w:r>
      <w:r w:rsidRPr="00CF1D1E">
        <w:rPr>
          <w:rFonts w:ascii="Calibri" w:eastAsia="Calibri" w:hAnsi="Calibri" w:cs="Times New Roman"/>
          <w:sz w:val="24"/>
          <w:szCs w:val="24"/>
        </w:rPr>
        <w:t xml:space="preserve"> which was followed in 1784 by the lowering of tax in Britain leading to the beverage becoming the mainstay of life for the everyday British people and not just in the realms of the elite. The economic relevance of tea has continued to grow in modern times.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Tea is produced in many countries including China, Kenya, India, Sri Lanka, Turkey and Vietnam. World tea production now exceeds 4 billion kilograms and is continuing to grow year on year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{"citationItems":[{"id":"ITEM-1","itemData":{"author":[{"dropping-particle":"","family":"L.Gupta","given":"","non-dropping-particle":"","parse-names":false,"suffix":""}],"id":"ITEM-1","issue":"6","issued":{"date-parts":[["2018"]]},"page":"63-105","title":"Indian Tea Scenario","type":"article-journal","volume":"6"},"uris":["http://www.mendeley.com/documents/?uuid=c0b1a133-d175-41cc-b832-8769743e0ff8"]}],"mendeley":{"formattedCitation":"(L.Gupta, 2018)","plainTextFormattedCitation":"(L.Gupta, 2018)","previouslyFormattedCitation":"(L.Gupta, 2018)"},"properties":{"noteIndex":0},"schema":"https://github.com/citation-style-language/schema/raw/master/csl-citation.json"}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(L.Gupta, 2018)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This is no surprise with the ever-increasing global population. China and India lead the tables of tea consumption with China drinking twice as much as India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{"citationItems":[{"id":"ITEM-1","itemData":{"author":[{"dropping-particle":"","family":"Gibbs","given":"Ian","non-dropping-particle":"","parse-names":false,"suffix":""}],"id":"ITEM-1","issued":{"date-parts":[["2016"]]},"title":"WORLD TEA PRODUCTION &amp; CONSUMPTION Global Production Growth 1995-2015 ( In M . kgs .)","type":"article-journal"},"uris":["http://www.mendeley.com/documents/?uuid=c02266c6-3869-47a7-b154-dd71fc5962d8"]}],"mendeley":{"formattedCitation":"(Gibbs, 2016)","plainTextFormattedCitation":"(Gibbs, 2016)","previouslyFormattedCitation":"(Gibbs, 2016)"},"properties":{"noteIndex":0},"schema":"https://github.com/citation-style-language/schema/raw/master/csl-citation.json"}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(Gibbs, 2016)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both far outranking the UK, Russia and the USA.   In terms of exports across the globe, tea is significant to many countries (Fig. 64). Obvious leading exporters are China, India, Kenya and Sri Lanka with more surprising and lesser contributions made by Argentina and Tanzania and even the USA (others) contributing to 0.009% of global tea production via 900 acres of coastal land.</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noProof/>
          <w:lang w:eastAsia="en-GB"/>
        </w:rPr>
        <w:lastRenderedPageBreak/>
        <w:drawing>
          <wp:inline distT="0" distB="0" distL="0" distR="0" wp14:anchorId="2A59C77A" wp14:editId="5146509C">
            <wp:extent cx="5114925" cy="40576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14925" cy="4057650"/>
                    </a:xfrm>
                    <a:prstGeom prst="rect">
                      <a:avLst/>
                    </a:prstGeom>
                  </pic:spPr>
                </pic:pic>
              </a:graphicData>
            </a:graphic>
          </wp:inline>
        </w:drawing>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rPr>
          <w:rFonts w:ascii="Calibri" w:eastAsia="Times New Roman" w:hAnsi="Calibri" w:cs="Calibri"/>
          <w:color w:val="000000"/>
          <w:lang w:eastAsia="en-GB"/>
        </w:rPr>
      </w:pPr>
      <w:r w:rsidRPr="00CF1D1E">
        <w:rPr>
          <w:rFonts w:ascii="Calibri" w:eastAsia="Calibri" w:hAnsi="Calibri" w:cs="Times New Roman"/>
          <w:sz w:val="20"/>
          <w:szCs w:val="20"/>
        </w:rPr>
        <w:t xml:space="preserve">Fig.64   World tea exports in 2013 by percentage contribution (Data </w:t>
      </w:r>
      <w:r w:rsidRPr="00CF1D1E">
        <w:rPr>
          <w:rFonts w:ascii="Calibri" w:eastAsia="Times New Roman" w:hAnsi="Calibri" w:cs="Calibri"/>
          <w:color w:val="000000"/>
          <w:sz w:val="20"/>
          <w:szCs w:val="20"/>
          <w:lang w:eastAsia="en-GB"/>
        </w:rPr>
        <w:t>Source: UN FAO IGG Secretariat)</w:t>
      </w:r>
      <w:r w:rsidRPr="00CF1D1E">
        <w:rPr>
          <w:rFonts w:ascii="Calibri" w:eastAsia="Calibri" w:hAnsi="Calibri" w:cs="Times New Roman"/>
          <w:sz w:val="20"/>
          <w:szCs w:val="20"/>
        </w:rPr>
        <w:t xml:space="preserve">. </w:t>
      </w: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4"/>
          <w:szCs w:val="24"/>
        </w:rPr>
      </w:pPr>
      <w:r w:rsidRPr="00CF1D1E">
        <w:rPr>
          <w:rFonts w:ascii="Calibri" w:eastAsia="Calibri" w:hAnsi="Calibri" w:cs="Times New Roman"/>
          <w:color w:val="000000"/>
          <w:sz w:val="24"/>
          <w:szCs w:val="24"/>
        </w:rPr>
        <w:tab/>
        <w:t xml:space="preserve">All teas are produced from the </w:t>
      </w:r>
      <w:r w:rsidR="00F147CF">
        <w:rPr>
          <w:rFonts w:ascii="Calibri" w:eastAsia="Calibri" w:hAnsi="Calibri" w:cs="Times New Roman"/>
          <w:color w:val="000000"/>
          <w:sz w:val="24"/>
          <w:szCs w:val="24"/>
        </w:rPr>
        <w:t xml:space="preserve">same species: the </w:t>
      </w:r>
      <w:r w:rsidRPr="00CF1D1E">
        <w:rPr>
          <w:rFonts w:ascii="Calibri" w:eastAsia="Calibri" w:hAnsi="Calibri" w:cs="Times New Roman"/>
          <w:color w:val="000000"/>
          <w:sz w:val="24"/>
          <w:szCs w:val="24"/>
        </w:rPr>
        <w:t xml:space="preserve">evergreen plant </w:t>
      </w:r>
      <w:r w:rsidRPr="00CF1D1E">
        <w:rPr>
          <w:rFonts w:ascii="Calibri" w:eastAsia="Calibri" w:hAnsi="Calibri" w:cs="Times New Roman"/>
          <w:i/>
          <w:color w:val="000000"/>
          <w:sz w:val="24"/>
          <w:szCs w:val="24"/>
        </w:rPr>
        <w:t xml:space="preserve">Camellia </w:t>
      </w:r>
      <w:proofErr w:type="spellStart"/>
      <w:r w:rsidRPr="00CF1D1E">
        <w:rPr>
          <w:rFonts w:ascii="Calibri" w:eastAsia="Calibri" w:hAnsi="Calibri" w:cs="Times New Roman"/>
          <w:i/>
          <w:color w:val="000000"/>
          <w:sz w:val="24"/>
          <w:szCs w:val="24"/>
        </w:rPr>
        <w:t>sinensis</w:t>
      </w:r>
      <w:proofErr w:type="spellEnd"/>
      <w:r w:rsidRPr="00CF1D1E">
        <w:rPr>
          <w:rFonts w:ascii="Calibri" w:eastAsia="Calibri" w:hAnsi="Calibri" w:cs="Times New Roman"/>
          <w:color w:val="000000"/>
          <w:sz w:val="24"/>
          <w:szCs w:val="24"/>
        </w:rPr>
        <w:t xml:space="preserve">. Two varieties of this species exist, </w:t>
      </w:r>
      <w:r w:rsidRPr="00CF1D1E">
        <w:rPr>
          <w:rFonts w:ascii="Calibri" w:eastAsia="Calibri" w:hAnsi="Calibri" w:cs="Times New Roman"/>
          <w:i/>
          <w:color w:val="000000"/>
          <w:sz w:val="24"/>
          <w:szCs w:val="24"/>
        </w:rPr>
        <w:t xml:space="preserve">Camellia </w:t>
      </w:r>
      <w:proofErr w:type="spellStart"/>
      <w:r w:rsidRPr="00CF1D1E">
        <w:rPr>
          <w:rFonts w:ascii="Calibri" w:eastAsia="Calibri" w:hAnsi="Calibri" w:cs="Times New Roman"/>
          <w:i/>
          <w:color w:val="000000"/>
          <w:sz w:val="24"/>
          <w:szCs w:val="24"/>
        </w:rPr>
        <w:t>sinensis</w:t>
      </w:r>
      <w:proofErr w:type="spellEnd"/>
      <w:r w:rsidRPr="00CF1D1E">
        <w:rPr>
          <w:rFonts w:ascii="Calibri" w:eastAsia="Calibri" w:hAnsi="Calibri" w:cs="Times New Roman"/>
          <w:color w:val="000000"/>
          <w:sz w:val="24"/>
          <w:szCs w:val="24"/>
        </w:rPr>
        <w:t xml:space="preserve"> </w:t>
      </w:r>
      <w:proofErr w:type="spellStart"/>
      <w:r w:rsidRPr="00CF1D1E">
        <w:rPr>
          <w:rFonts w:ascii="Calibri" w:eastAsia="Calibri" w:hAnsi="Calibri" w:cs="Times New Roman"/>
          <w:color w:val="000000"/>
          <w:sz w:val="24"/>
          <w:szCs w:val="24"/>
        </w:rPr>
        <w:t>var.</w:t>
      </w:r>
      <w:r w:rsidRPr="00CF1D1E">
        <w:rPr>
          <w:rFonts w:ascii="Calibri" w:eastAsia="Calibri" w:hAnsi="Calibri" w:cs="Times New Roman"/>
          <w:i/>
          <w:color w:val="000000"/>
          <w:sz w:val="24"/>
          <w:szCs w:val="24"/>
        </w:rPr>
        <w:t>sinensis</w:t>
      </w:r>
      <w:proofErr w:type="spellEnd"/>
      <w:r w:rsidRPr="00CF1D1E">
        <w:rPr>
          <w:rFonts w:ascii="Calibri" w:eastAsia="Calibri" w:hAnsi="Calibri" w:cs="Times New Roman"/>
          <w:color w:val="000000"/>
          <w:sz w:val="24"/>
          <w:szCs w:val="24"/>
        </w:rPr>
        <w:t xml:space="preserve"> and </w:t>
      </w:r>
      <w:r w:rsidRPr="00CF1D1E">
        <w:rPr>
          <w:rFonts w:ascii="Calibri" w:eastAsia="Calibri" w:hAnsi="Calibri" w:cs="Times New Roman"/>
          <w:i/>
          <w:color w:val="000000"/>
          <w:sz w:val="24"/>
          <w:szCs w:val="24"/>
        </w:rPr>
        <w:t xml:space="preserve">Camellia </w:t>
      </w:r>
      <w:proofErr w:type="spellStart"/>
      <w:r w:rsidRPr="00CF1D1E">
        <w:rPr>
          <w:rFonts w:ascii="Calibri" w:eastAsia="Calibri" w:hAnsi="Calibri" w:cs="Times New Roman"/>
          <w:i/>
          <w:color w:val="000000"/>
          <w:sz w:val="24"/>
          <w:szCs w:val="24"/>
        </w:rPr>
        <w:t>sinensis</w:t>
      </w:r>
      <w:proofErr w:type="spellEnd"/>
      <w:r w:rsidRPr="00CF1D1E">
        <w:rPr>
          <w:rFonts w:ascii="Calibri" w:eastAsia="Calibri" w:hAnsi="Calibri" w:cs="Times New Roman"/>
          <w:color w:val="000000"/>
          <w:sz w:val="24"/>
          <w:szCs w:val="24"/>
        </w:rPr>
        <w:t xml:space="preserve"> </w:t>
      </w:r>
      <w:proofErr w:type="spellStart"/>
      <w:r w:rsidRPr="00CF1D1E">
        <w:rPr>
          <w:rFonts w:ascii="Calibri" w:eastAsia="Calibri" w:hAnsi="Calibri" w:cs="Times New Roman"/>
          <w:color w:val="000000"/>
          <w:sz w:val="24"/>
          <w:szCs w:val="24"/>
        </w:rPr>
        <w:t>var.</w:t>
      </w:r>
      <w:r w:rsidRPr="00CF1D1E">
        <w:rPr>
          <w:rFonts w:ascii="Calibri" w:eastAsia="Calibri" w:hAnsi="Calibri" w:cs="Times New Roman"/>
          <w:i/>
          <w:color w:val="000000"/>
          <w:sz w:val="24"/>
          <w:szCs w:val="24"/>
        </w:rPr>
        <w:t>assamica</w:t>
      </w:r>
      <w:proofErr w:type="spellEnd"/>
      <w:r w:rsidRPr="00CF1D1E">
        <w:rPr>
          <w:rFonts w:ascii="Calibri" w:eastAsia="Calibri" w:hAnsi="Calibri" w:cs="Times New Roman"/>
          <w:color w:val="000000"/>
          <w:sz w:val="24"/>
          <w:szCs w:val="24"/>
        </w:rPr>
        <w:t xml:space="preserve"> </w:t>
      </w:r>
      <w:r w:rsidRPr="00CF1D1E">
        <w:rPr>
          <w:rFonts w:ascii="Calibri" w:eastAsia="Calibri" w:hAnsi="Calibri" w:cs="Times New Roman"/>
          <w:color w:val="000000"/>
          <w:sz w:val="24"/>
          <w:szCs w:val="24"/>
        </w:rPr>
        <w:fldChar w:fldCharType="begin" w:fldLock="1"/>
      </w:r>
      <w:r w:rsidR="00595237">
        <w:rPr>
          <w:rFonts w:ascii="Calibri" w:eastAsia="Calibri" w:hAnsi="Calibri" w:cs="Times New Roman"/>
          <w:color w:val="000000"/>
          <w:sz w:val="24"/>
          <w:szCs w:val="24"/>
        </w:rPr>
        <w:instrText>ADDIN CSL_CITATION {"citationItems":[{"id":"ITEM-1","itemData":{"ISBN":"9781465436061","author":[{"dropping-particle":"","family":"L.Gaylard","given":"","non-dropping-particle":"","parse-names":false,"suffix":""}],"id":"ITEM-1","issued":{"date-parts":[["2015"]]},"title":"The Tea Book","type":"book"},"uris":["http://www.mendeley.com/documents/?uuid=a02c7812-4281-4c36-b6e0-5bd62498e844"]},{"id":"ITEM-2","itemData":{"DOI":"10.1039/b912523j","ISSN":"02650568","abstract":"This review summarises the chemistry of low molecular weight polyphenols isolated and characterised from black tea, discussing both structures identified and mechanisms of their likely formation.","author":[{"dropping-particle":"","family":"Drynan","given":"James Warren","non-dropping-particle":"","parse-names":false,"suffix":""},{"dropping-particle":"","family":"Clifford","given":"Michael N.","non-dropping-particle":"","parse-names":false,"suffix":""},{"dropping-particle":"","family":"Obuchowicz","given":"Jacek","non-dropping-particle":"","parse-names":false,"suffix":""},{"dropping-particle":"","family":"Kuhnert","given":"Nikolai","non-dropping-particle":"","parse-names":false,"suffix":""}],"container-title":"Natural Product Reports","id":"ITEM-2","issue":"3","issued":{"date-parts":[["2010"]]},"page":"417-462","title":"The chemistry of low molecular weight black tea polyphenols","type":"article-journal","volume":"27"},"uris":["http://www.mendeley.com/documents/?uuid=615f3d4e-2e67-4641-9f6c-cdd98adf4906"]}],"mendeley":{"formattedCitation":"(Drynan, Clifford, Obuchowicz, &amp; Kuhnert, 2010; L.Gaylard, 2015)","plainTextFormattedCitation":"(Drynan, Clifford, Obuchowicz, &amp; Kuhnert, 2010; L.Gaylard, 2015)","previouslyFormattedCitation":"(Drynan, Clifford, Obuchowicz, &amp; Kuhnert, 2010; L.Gaylard, 2015)"},"properties":{"noteIndex":0},"schema":"https://github.com/citation-style-language/schema/raw/master/csl-citation.json"}</w:instrText>
      </w:r>
      <w:r w:rsidRPr="00CF1D1E">
        <w:rPr>
          <w:rFonts w:ascii="Calibri" w:eastAsia="Calibri" w:hAnsi="Calibri" w:cs="Times New Roman"/>
          <w:color w:val="000000"/>
          <w:sz w:val="24"/>
          <w:szCs w:val="24"/>
        </w:rPr>
        <w:fldChar w:fldCharType="separate"/>
      </w:r>
      <w:r w:rsidR="00941740" w:rsidRPr="00941740">
        <w:rPr>
          <w:rFonts w:ascii="Calibri" w:eastAsia="Calibri" w:hAnsi="Calibri" w:cs="Times New Roman"/>
          <w:noProof/>
          <w:color w:val="000000"/>
          <w:sz w:val="24"/>
          <w:szCs w:val="24"/>
        </w:rPr>
        <w:t>(Drynan, Clifford, Obuchowicz, &amp; Kuhnert, 2010; L.Gaylard, 2015)</w:t>
      </w:r>
      <w:r w:rsidRPr="00CF1D1E">
        <w:rPr>
          <w:rFonts w:ascii="Calibri" w:eastAsia="Calibri" w:hAnsi="Calibri" w:cs="Times New Roman"/>
          <w:color w:val="000000"/>
          <w:sz w:val="24"/>
          <w:szCs w:val="24"/>
        </w:rPr>
        <w:fldChar w:fldCharType="end"/>
      </w:r>
      <w:r w:rsidRPr="00CF1D1E">
        <w:rPr>
          <w:rFonts w:ascii="Calibri" w:eastAsia="Calibri" w:hAnsi="Calibri" w:cs="Times New Roman"/>
          <w:color w:val="000000"/>
          <w:sz w:val="24"/>
          <w:szCs w:val="24"/>
        </w:rPr>
        <w:t xml:space="preserve">. Even plants of the same variety will develop different characteristics depending on the environment of its cultivation. Latitude, altitude and climate are the main factors that influence the flavour and character of the harvested leaves. Many plantations are situated in the cooler mountainous regions. Mist, rain and a breeze being </w:t>
      </w:r>
      <w:r w:rsidR="00F147CF">
        <w:rPr>
          <w:rFonts w:ascii="Calibri" w:eastAsia="Calibri" w:hAnsi="Calibri" w:cs="Times New Roman"/>
          <w:color w:val="000000"/>
          <w:sz w:val="24"/>
          <w:szCs w:val="24"/>
        </w:rPr>
        <w:t xml:space="preserve">of </w:t>
      </w:r>
      <w:r w:rsidRPr="00CF1D1E">
        <w:rPr>
          <w:rFonts w:ascii="Calibri" w:eastAsia="Calibri" w:hAnsi="Calibri" w:cs="Times New Roman"/>
          <w:color w:val="000000"/>
          <w:sz w:val="24"/>
          <w:szCs w:val="24"/>
        </w:rPr>
        <w:t xml:space="preserve">additional benefits. A detailed account of the world’s tea plantations would be beyond the scope of this thesis as these exist in many areas of China, India, Sri Lanka, Kenya, South Korea, Japan, Taiwan, Turkey, Vietnam, Indonesia, Thailand and others. All create their own particular nuances in flavour and </w:t>
      </w:r>
      <w:r w:rsidR="00F147CF">
        <w:rPr>
          <w:rFonts w:ascii="Calibri" w:eastAsia="Calibri" w:hAnsi="Calibri" w:cs="Times New Roman"/>
          <w:color w:val="000000"/>
          <w:sz w:val="24"/>
          <w:szCs w:val="24"/>
        </w:rPr>
        <w:t xml:space="preserve">their own regional tea </w:t>
      </w:r>
      <w:r w:rsidRPr="00CF1D1E">
        <w:rPr>
          <w:rFonts w:ascii="Calibri" w:eastAsia="Calibri" w:hAnsi="Calibri" w:cs="Times New Roman"/>
          <w:color w:val="000000"/>
          <w:sz w:val="24"/>
          <w:szCs w:val="24"/>
        </w:rPr>
        <w:t xml:space="preserve">culture. Surprisingly,  tea has recently been successfully produced in small amounts in Scotland </w:t>
      </w:r>
      <w:r w:rsidRPr="00CF1D1E">
        <w:rPr>
          <w:rFonts w:ascii="Calibri" w:eastAsia="Calibri" w:hAnsi="Calibri" w:cs="Times New Roman"/>
          <w:color w:val="000000"/>
          <w:sz w:val="24"/>
          <w:szCs w:val="24"/>
        </w:rPr>
        <w:fldChar w:fldCharType="begin" w:fldLock="1"/>
      </w:r>
      <w:r w:rsidR="00595237">
        <w:rPr>
          <w:rFonts w:ascii="Calibri" w:eastAsia="Calibri" w:hAnsi="Calibri" w:cs="Times New Roman"/>
          <w:color w:val="000000"/>
          <w:sz w:val="24"/>
          <w:szCs w:val="24"/>
        </w:rPr>
        <w:instrText>ADDIN CSL_CITATION {"citationItems":[{"id":"ITEM-1","itemData":{"URL":"https://www.bbc.com/news/av/uk-scotland-27026514/the-first-scottish-tea-plantation-opens-in-perthshire","accessed":{"date-parts":[["2019","6","23"]]},"author":[{"dropping-particle":"","family":"BBC","given":"","non-dropping-particle":"","parse-names":false,"suffix":""}],"container-title":"www","id":"ITEM-1","issued":{"date-parts":[["2014"]]},"title":"Scottish tea plantation opens in Perthshire","type":"webpage"},"uris":["http://www.mendeley.com/documents/?uuid=8f8a7876-93b4-3364-a29e-757a4e5440a1"]},{"id":"ITEM-2","itemData":{"URL":"https://www.ft.com/content/c1806f2c-b071-11e5-b46e-3ef837cafba3","accessed":{"date-parts":[["2019","6","23"]]},"author":[{"dropping-particle":"","family":"Financial Times","given":"","non-dropping-particle":"","parse-names":false,"suffix":""}],"container-title":"www","id":"ITEM-2","issued":{"date-parts":[["2016"]]},"title":"Financial Times - A Tales of tea grown in the Scottish Highlands","type":"webpage"},"uris":["http://www.mendeley.com/documents/?uuid=7e50cecf-5691-3bad-99b2-023f57ea8b02"]}],"mendeley":{"formattedCitation":"(BBC, 2014; Financial Times, 2016)","plainTextFormattedCitation":"(BBC, 2014; Financial Times, 2016)","previouslyFormattedCitation":"(BBC, 2014; Financial Times, 2016)"},"properties":{"noteIndex":0},"schema":"https://github.com/citation-style-language/schema/raw/master/csl-citation.json"}</w:instrText>
      </w:r>
      <w:r w:rsidRPr="00CF1D1E">
        <w:rPr>
          <w:rFonts w:ascii="Calibri" w:eastAsia="Calibri" w:hAnsi="Calibri" w:cs="Times New Roman"/>
          <w:color w:val="000000"/>
          <w:sz w:val="24"/>
          <w:szCs w:val="24"/>
        </w:rPr>
        <w:fldChar w:fldCharType="separate"/>
      </w:r>
      <w:r w:rsidR="00941740" w:rsidRPr="00941740">
        <w:rPr>
          <w:rFonts w:ascii="Calibri" w:eastAsia="Calibri" w:hAnsi="Calibri" w:cs="Times New Roman"/>
          <w:noProof/>
          <w:color w:val="000000"/>
          <w:sz w:val="24"/>
          <w:szCs w:val="24"/>
        </w:rPr>
        <w:t>(BBC, 2014; Financial Times, 2016)</w:t>
      </w:r>
      <w:r w:rsidRPr="00CF1D1E">
        <w:rPr>
          <w:rFonts w:ascii="Calibri" w:eastAsia="Calibri" w:hAnsi="Calibri" w:cs="Times New Roman"/>
          <w:color w:val="000000"/>
          <w:sz w:val="24"/>
          <w:szCs w:val="24"/>
        </w:rPr>
        <w:fldChar w:fldCharType="end"/>
      </w:r>
      <w:r w:rsidRPr="00CF1D1E">
        <w:rPr>
          <w:rFonts w:ascii="Calibri" w:eastAsia="Calibri" w:hAnsi="Calibri" w:cs="Times New Roman"/>
          <w:color w:val="000000"/>
          <w:sz w:val="24"/>
          <w:szCs w:val="24"/>
        </w:rPr>
        <w:t xml:space="preserve">. This </w:t>
      </w:r>
      <w:r w:rsidR="00F147CF">
        <w:rPr>
          <w:rFonts w:ascii="Calibri" w:eastAsia="Calibri" w:hAnsi="Calibri" w:cs="Times New Roman"/>
          <w:color w:val="000000"/>
          <w:sz w:val="24"/>
          <w:szCs w:val="24"/>
        </w:rPr>
        <w:t xml:space="preserve">product </w:t>
      </w:r>
      <w:r w:rsidRPr="00CF1D1E">
        <w:rPr>
          <w:rFonts w:ascii="Calibri" w:eastAsia="Calibri" w:hAnsi="Calibri" w:cs="Times New Roman"/>
          <w:color w:val="000000"/>
          <w:sz w:val="24"/>
          <w:szCs w:val="24"/>
        </w:rPr>
        <w:t xml:space="preserve">is sold at £40 for 20g. Nuances, which are specific </w:t>
      </w:r>
      <w:r w:rsidRPr="00CF1D1E">
        <w:rPr>
          <w:rFonts w:ascii="Calibri" w:eastAsia="Calibri" w:hAnsi="Calibri" w:cs="Times New Roman"/>
          <w:color w:val="000000"/>
          <w:sz w:val="24"/>
          <w:szCs w:val="24"/>
        </w:rPr>
        <w:lastRenderedPageBreak/>
        <w:t>to regional climate and production methods, as with all teas, show the need to establish provenance with a high degree of certainty for the benefit of marketing and consumer confidence.</w:t>
      </w:r>
      <w:r w:rsidR="00F147CF">
        <w:rPr>
          <w:rFonts w:ascii="Calibri" w:eastAsia="Calibri" w:hAnsi="Calibri" w:cs="Times New Roman"/>
          <w:color w:val="000000"/>
          <w:sz w:val="24"/>
          <w:szCs w:val="24"/>
        </w:rPr>
        <w:t xml:space="preserve"> Lack of confidenc</w:t>
      </w:r>
      <w:r w:rsidR="00B8220F">
        <w:rPr>
          <w:rFonts w:ascii="Calibri" w:eastAsia="Calibri" w:hAnsi="Calibri" w:cs="Times New Roman"/>
          <w:color w:val="000000"/>
          <w:sz w:val="24"/>
          <w:szCs w:val="24"/>
        </w:rPr>
        <w:t>e with respect to provenance will adversely affect the tea’s market value.</w:t>
      </w: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4"/>
          <w:szCs w:val="24"/>
        </w:rPr>
      </w:pPr>
      <w:r w:rsidRPr="00CF1D1E">
        <w:rPr>
          <w:rFonts w:ascii="Calibri" w:eastAsia="Calibri" w:hAnsi="Calibri" w:cs="Times New Roman"/>
          <w:color w:val="000000"/>
          <w:sz w:val="24"/>
          <w:szCs w:val="24"/>
        </w:rPr>
        <w:tab/>
        <w:t xml:space="preserve">The teas, which are the focus of this study, are produced in Kenya </w:t>
      </w:r>
      <w:r w:rsidR="00B8220F">
        <w:rPr>
          <w:rFonts w:ascii="Calibri" w:eastAsia="Calibri" w:hAnsi="Calibri" w:cs="Times New Roman"/>
          <w:color w:val="000000"/>
          <w:sz w:val="24"/>
          <w:szCs w:val="24"/>
        </w:rPr>
        <w:t>and Sri Lanka.</w:t>
      </w:r>
      <w:r w:rsidR="00B8220F" w:rsidRPr="00B8220F">
        <w:t xml:space="preserve"> </w:t>
      </w:r>
      <w:r w:rsidR="00B8220F" w:rsidRPr="00B8220F">
        <w:rPr>
          <w:rFonts w:ascii="Calibri" w:eastAsia="Calibri" w:hAnsi="Calibri" w:cs="Times New Roman"/>
          <w:color w:val="000000"/>
          <w:sz w:val="24"/>
          <w:szCs w:val="24"/>
        </w:rPr>
        <w:t>The following paragraphs will take</w:t>
      </w:r>
      <w:r w:rsidRPr="00CF1D1E">
        <w:rPr>
          <w:rFonts w:ascii="Calibri" w:eastAsia="Calibri" w:hAnsi="Calibri" w:cs="Times New Roman"/>
          <w:color w:val="000000"/>
          <w:sz w:val="24"/>
          <w:szCs w:val="24"/>
        </w:rPr>
        <w:t xml:space="preserve"> a more detailed look at these regions </w:t>
      </w:r>
      <w:r w:rsidR="00B8220F">
        <w:rPr>
          <w:rFonts w:ascii="Calibri" w:eastAsia="Calibri" w:hAnsi="Calibri" w:cs="Times New Roman"/>
          <w:color w:val="000000"/>
          <w:sz w:val="24"/>
          <w:szCs w:val="24"/>
        </w:rPr>
        <w:t>and give</w:t>
      </w:r>
      <w:r w:rsidRPr="00CF1D1E">
        <w:rPr>
          <w:rFonts w:ascii="Calibri" w:eastAsia="Calibri" w:hAnsi="Calibri" w:cs="Times New Roman"/>
          <w:color w:val="000000"/>
          <w:sz w:val="24"/>
          <w:szCs w:val="24"/>
        </w:rPr>
        <w:t xml:space="preserve"> an overview of tea varieties.</w:t>
      </w: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4"/>
          <w:szCs w:val="24"/>
        </w:rPr>
      </w:pPr>
    </w:p>
    <w:p w:rsidR="00CF1D1E" w:rsidRDefault="00CF1D1E" w:rsidP="00CF1D1E">
      <w:pPr>
        <w:autoSpaceDE w:val="0"/>
        <w:autoSpaceDN w:val="0"/>
        <w:adjustRightInd w:val="0"/>
        <w:spacing w:after="0" w:line="360" w:lineRule="auto"/>
        <w:jc w:val="both"/>
        <w:rPr>
          <w:rFonts w:ascii="Calibri" w:eastAsia="Calibri" w:hAnsi="Calibri" w:cs="Times New Roman"/>
          <w:color w:val="000000"/>
          <w:sz w:val="24"/>
          <w:szCs w:val="24"/>
        </w:rPr>
      </w:pPr>
    </w:p>
    <w:p w:rsidR="0097367B" w:rsidRPr="00CF1D1E" w:rsidRDefault="0097367B" w:rsidP="00CF1D1E">
      <w:pPr>
        <w:autoSpaceDE w:val="0"/>
        <w:autoSpaceDN w:val="0"/>
        <w:adjustRightInd w:val="0"/>
        <w:spacing w:after="0" w:line="360" w:lineRule="auto"/>
        <w:jc w:val="both"/>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4"/>
          <w:szCs w:val="24"/>
        </w:rPr>
      </w:pPr>
      <w:r w:rsidRPr="00CF1D1E">
        <w:rPr>
          <w:rFonts w:ascii="Calibri" w:eastAsia="Calibri" w:hAnsi="Calibri" w:cs="Times New Roman"/>
          <w:color w:val="000000"/>
          <w:sz w:val="24"/>
          <w:szCs w:val="24"/>
        </w:rPr>
        <w:t xml:space="preserve">KENYA – There are four main tea plantations, which are either side of the Great Rift Valley. They are Muranga (small holders), Nandi Hills, Nyeri County and Kericho </w:t>
      </w:r>
      <w:r w:rsidRPr="00CF1D1E">
        <w:rPr>
          <w:rFonts w:ascii="Calibri" w:eastAsia="Calibri" w:hAnsi="Calibri" w:cs="Times New Roman"/>
          <w:color w:val="000000"/>
          <w:sz w:val="24"/>
          <w:szCs w:val="24"/>
        </w:rPr>
        <w:fldChar w:fldCharType="begin" w:fldLock="1"/>
      </w:r>
      <w:r w:rsidR="00595237">
        <w:rPr>
          <w:rFonts w:ascii="Calibri" w:eastAsia="Calibri" w:hAnsi="Calibri" w:cs="Times New Roman"/>
          <w:color w:val="000000"/>
          <w:sz w:val="24"/>
          <w:szCs w:val="24"/>
        </w:rPr>
        <w:instrText>ADDIN CSL_CITATION {"citationItems":[{"id":"ITEM-1","itemData":{"ISBN":"9781465436061","author":[{"dropping-particle":"","family":"L.Gaylard","given":"","non-dropping-particle":"","parse-names":false,"suffix":""}],"id":"ITEM-1","issued":{"date-parts":[["2015"]]},"title":"The Tea Book","type":"book"},"uris":["http://www.mendeley.com/documents/?uuid=a02c7812-4281-4c36-b6e0-5bd62498e844"]}],"mendeley":{"formattedCitation":"(L.Gaylard, 2015)","plainTextFormattedCitation":"(L.Gaylard, 2015)","previouslyFormattedCitation":"(L.Gaylard, 2015)"},"properties":{"noteIndex":0},"schema":"https://github.com/citation-style-language/schema/raw/master/csl-citation.json"}</w:instrText>
      </w:r>
      <w:r w:rsidRPr="00CF1D1E">
        <w:rPr>
          <w:rFonts w:ascii="Calibri" w:eastAsia="Calibri" w:hAnsi="Calibri" w:cs="Times New Roman"/>
          <w:color w:val="000000"/>
          <w:sz w:val="24"/>
          <w:szCs w:val="24"/>
        </w:rPr>
        <w:fldChar w:fldCharType="separate"/>
      </w:r>
      <w:r w:rsidR="00941740" w:rsidRPr="00941740">
        <w:rPr>
          <w:rFonts w:ascii="Calibri" w:eastAsia="Calibri" w:hAnsi="Calibri" w:cs="Times New Roman"/>
          <w:noProof/>
          <w:color w:val="000000"/>
          <w:sz w:val="24"/>
          <w:szCs w:val="24"/>
        </w:rPr>
        <w:t>(L.Gaylard, 2015)</w:t>
      </w:r>
      <w:r w:rsidRPr="00CF1D1E">
        <w:rPr>
          <w:rFonts w:ascii="Calibri" w:eastAsia="Calibri" w:hAnsi="Calibri" w:cs="Times New Roman"/>
          <w:color w:val="000000"/>
          <w:sz w:val="24"/>
          <w:szCs w:val="24"/>
        </w:rPr>
        <w:fldChar w:fldCharType="end"/>
      </w:r>
      <w:r w:rsidRPr="00CF1D1E">
        <w:rPr>
          <w:rFonts w:ascii="Calibri" w:eastAsia="Calibri" w:hAnsi="Calibri" w:cs="Times New Roman"/>
          <w:color w:val="000000"/>
          <w:sz w:val="24"/>
          <w:szCs w:val="24"/>
        </w:rPr>
        <w:t>. Kericho, which is 2,000m above sea level, is the location of four factories owned by James Finlay Ltd.; the tea industry collaborator in this study (a non-disclosure agreement exists). Th</w:t>
      </w:r>
      <w:r w:rsidR="00D46E0F">
        <w:rPr>
          <w:rFonts w:ascii="Calibri" w:eastAsia="Calibri" w:hAnsi="Calibri" w:cs="Times New Roman"/>
          <w:color w:val="000000"/>
          <w:sz w:val="24"/>
          <w:szCs w:val="24"/>
        </w:rPr>
        <w:t>is British company</w:t>
      </w:r>
      <w:r w:rsidRPr="00CF1D1E">
        <w:rPr>
          <w:rFonts w:ascii="Calibri" w:eastAsia="Calibri" w:hAnsi="Calibri" w:cs="Times New Roman"/>
          <w:color w:val="000000"/>
          <w:sz w:val="24"/>
          <w:szCs w:val="24"/>
        </w:rPr>
        <w:t xml:space="preserve"> produce</w:t>
      </w:r>
      <w:r w:rsidR="0078769F">
        <w:rPr>
          <w:rFonts w:ascii="Calibri" w:eastAsia="Calibri" w:hAnsi="Calibri" w:cs="Times New Roman"/>
          <w:color w:val="000000"/>
          <w:sz w:val="24"/>
          <w:szCs w:val="24"/>
        </w:rPr>
        <w:t>s</w:t>
      </w:r>
      <w:r w:rsidRPr="00CF1D1E">
        <w:rPr>
          <w:rFonts w:ascii="Calibri" w:eastAsia="Calibri" w:hAnsi="Calibri" w:cs="Times New Roman"/>
          <w:color w:val="000000"/>
          <w:sz w:val="24"/>
          <w:szCs w:val="24"/>
        </w:rPr>
        <w:t xml:space="preserve"> 23 million kg of tea per annum.</w:t>
      </w:r>
      <w:r w:rsidR="00D46E0F">
        <w:rPr>
          <w:rFonts w:ascii="Calibri" w:eastAsia="Calibri" w:hAnsi="Calibri" w:cs="Times New Roman"/>
          <w:color w:val="000000"/>
          <w:sz w:val="24"/>
          <w:szCs w:val="24"/>
        </w:rPr>
        <w:t xml:space="preserve"> They are the largest importer of black tea in the UK.</w:t>
      </w:r>
      <w:r w:rsidRPr="00CF1D1E">
        <w:rPr>
          <w:rFonts w:ascii="Calibri" w:eastAsia="Calibri" w:hAnsi="Calibri" w:cs="Times New Roman"/>
          <w:color w:val="000000"/>
          <w:sz w:val="24"/>
          <w:szCs w:val="24"/>
        </w:rPr>
        <w:t xml:space="preserve"> The </w:t>
      </w:r>
      <w:r w:rsidR="00D46E0F">
        <w:rPr>
          <w:rFonts w:ascii="Calibri" w:eastAsia="Calibri" w:hAnsi="Calibri" w:cs="Times New Roman"/>
          <w:color w:val="000000"/>
          <w:sz w:val="24"/>
          <w:szCs w:val="24"/>
        </w:rPr>
        <w:t xml:space="preserve">Kericho </w:t>
      </w:r>
      <w:r w:rsidRPr="00CF1D1E">
        <w:rPr>
          <w:rFonts w:ascii="Calibri" w:eastAsia="Calibri" w:hAnsi="Calibri" w:cs="Times New Roman"/>
          <w:color w:val="000000"/>
          <w:sz w:val="24"/>
          <w:szCs w:val="24"/>
        </w:rPr>
        <w:t>soil has a deep, rich, loam which is high in organic content</w:t>
      </w:r>
      <w:r w:rsidR="00D46E0F">
        <w:rPr>
          <w:rFonts w:ascii="Calibri" w:eastAsia="Calibri" w:hAnsi="Calibri" w:cs="Times New Roman"/>
          <w:color w:val="000000"/>
          <w:sz w:val="24"/>
          <w:szCs w:val="24"/>
        </w:rPr>
        <w:t xml:space="preserve"> and a </w:t>
      </w:r>
      <w:r w:rsidRPr="00CF1D1E">
        <w:rPr>
          <w:rFonts w:ascii="Calibri" w:eastAsia="Calibri" w:hAnsi="Calibri" w:cs="Times New Roman"/>
          <w:color w:val="000000"/>
          <w:sz w:val="24"/>
          <w:szCs w:val="24"/>
        </w:rPr>
        <w:t>climate</w:t>
      </w:r>
      <w:r w:rsidR="00D46E0F">
        <w:rPr>
          <w:rFonts w:ascii="Calibri" w:eastAsia="Calibri" w:hAnsi="Calibri" w:cs="Times New Roman"/>
          <w:color w:val="000000"/>
          <w:sz w:val="24"/>
          <w:szCs w:val="24"/>
        </w:rPr>
        <w:t xml:space="preserve"> that</w:t>
      </w:r>
      <w:r w:rsidRPr="00CF1D1E">
        <w:rPr>
          <w:rFonts w:ascii="Calibri" w:eastAsia="Calibri" w:hAnsi="Calibri" w:cs="Times New Roman"/>
          <w:color w:val="000000"/>
          <w:sz w:val="24"/>
          <w:szCs w:val="24"/>
        </w:rPr>
        <w:t xml:space="preserve"> is ideal for high quality tea production with good yields. Sitting at the edge of the Mau Forest there is the availability of rivers for tea irrigation. The character of tea is influenced by the elevation, the soil, wind conditions and temperature and the quality of the plucking </w:t>
      </w:r>
      <w:r w:rsidRPr="00CF1D1E">
        <w:rPr>
          <w:rFonts w:ascii="Calibri" w:eastAsia="Calibri" w:hAnsi="Calibri" w:cs="Times New Roman"/>
          <w:color w:val="000000"/>
          <w:sz w:val="24"/>
          <w:szCs w:val="24"/>
        </w:rPr>
        <w:fldChar w:fldCharType="begin" w:fldLock="1"/>
      </w:r>
      <w:r w:rsidR="00595237">
        <w:rPr>
          <w:rFonts w:ascii="Calibri" w:eastAsia="Calibri" w:hAnsi="Calibri" w:cs="Times New Roman"/>
          <w:color w:val="000000"/>
          <w:sz w:val="24"/>
          <w:szCs w:val="24"/>
        </w:rPr>
        <w:instrText>ADDIN CSL_CITATION {"citationItems":[{"id":"ITEM-1","itemData":{"URL":"https://www.finlays.net/our-products/tea/estates/kenya/","accessed":{"date-parts":[["2019","6","23"]]},"author":[{"dropping-particle":"","family":"J.Finlay","given":"","non-dropping-particle":"","parse-names":false,"suffix":""}],"container-title":"www","id":"ITEM-1","issued":{"date-parts":[["2019"]]},"title":"Kenya | Finlays","type":"webpage"},"uris":["http://www.mendeley.com/documents/?uuid=6937b08e-f5f6-3b34-8439-955964028625"]}],"mendeley":{"formattedCitation":"(J.Finlay, 2019a)","manualFormatting":"(J.Finlay, 2019)","plainTextFormattedCitation":"(J.Finlay, 2019a)","previouslyFormattedCitation":"(J.Finlay, 2019a)"},"properties":{"noteIndex":0},"schema":"https://github.com/citation-style-language/schema/raw/master/csl-citation.json"}</w:instrText>
      </w:r>
      <w:r w:rsidRPr="00CF1D1E">
        <w:rPr>
          <w:rFonts w:ascii="Calibri" w:eastAsia="Calibri" w:hAnsi="Calibri" w:cs="Times New Roman"/>
          <w:color w:val="000000"/>
          <w:sz w:val="24"/>
          <w:szCs w:val="24"/>
        </w:rPr>
        <w:fldChar w:fldCharType="separate"/>
      </w:r>
      <w:r w:rsidRPr="00CF1D1E">
        <w:rPr>
          <w:rFonts w:ascii="Calibri" w:eastAsia="Calibri" w:hAnsi="Calibri" w:cs="Times New Roman"/>
          <w:noProof/>
          <w:color w:val="000000"/>
          <w:sz w:val="24"/>
          <w:szCs w:val="24"/>
        </w:rPr>
        <w:t>(J.Finlay, 2019)</w:t>
      </w:r>
      <w:r w:rsidRPr="00CF1D1E">
        <w:rPr>
          <w:rFonts w:ascii="Calibri" w:eastAsia="Calibri" w:hAnsi="Calibri" w:cs="Times New Roman"/>
          <w:color w:val="000000"/>
          <w:sz w:val="24"/>
          <w:szCs w:val="24"/>
        </w:rPr>
        <w:fldChar w:fldCharType="end"/>
      </w:r>
      <w:r w:rsidRPr="00CF1D1E">
        <w:rPr>
          <w:rFonts w:ascii="Calibri" w:eastAsia="Calibri" w:hAnsi="Calibri" w:cs="Times New Roman"/>
          <w:color w:val="000000"/>
          <w:sz w:val="24"/>
          <w:szCs w:val="24"/>
        </w:rPr>
        <w:t>. Kericho</w:t>
      </w:r>
      <w:r w:rsidR="00080656">
        <w:rPr>
          <w:rFonts w:ascii="Calibri" w:eastAsia="Calibri" w:hAnsi="Calibri" w:cs="Times New Roman"/>
          <w:color w:val="000000"/>
          <w:sz w:val="24"/>
          <w:szCs w:val="24"/>
        </w:rPr>
        <w:t xml:space="preserve"> (</w:t>
      </w:r>
      <w:r w:rsidR="00080656" w:rsidRPr="00080656">
        <w:rPr>
          <w:rFonts w:ascii="Calibri" w:eastAsia="Calibri" w:hAnsi="Calibri" w:cs="Times New Roman"/>
          <w:color w:val="000000"/>
          <w:sz w:val="24"/>
          <w:szCs w:val="24"/>
        </w:rPr>
        <w:t>Fig.65</w:t>
      </w:r>
      <w:r w:rsidR="00080656">
        <w:rPr>
          <w:rFonts w:ascii="Calibri" w:eastAsia="Calibri" w:hAnsi="Calibri" w:cs="Times New Roman"/>
          <w:color w:val="000000"/>
          <w:sz w:val="24"/>
          <w:szCs w:val="24"/>
        </w:rPr>
        <w:t>)</w:t>
      </w:r>
      <w:r w:rsidRPr="00CF1D1E">
        <w:rPr>
          <w:rFonts w:ascii="Calibri" w:eastAsia="Calibri" w:hAnsi="Calibri" w:cs="Times New Roman"/>
          <w:color w:val="000000"/>
          <w:sz w:val="24"/>
          <w:szCs w:val="24"/>
        </w:rPr>
        <w:t xml:space="preserve"> is the largest Kenyan tea-growing region and supplies most of their black tea for export. </w:t>
      </w:r>
    </w:p>
    <w:p w:rsidR="00CF1D1E" w:rsidRPr="00CF1D1E" w:rsidRDefault="00CF1D1E" w:rsidP="00CF1D1E">
      <w:pPr>
        <w:rPr>
          <w:rFonts w:ascii="Calibri" w:eastAsia="Calibri" w:hAnsi="Calibri" w:cs="Times New Roman"/>
          <w:color w:val="000000"/>
          <w:sz w:val="24"/>
          <w:szCs w:val="24"/>
        </w:rPr>
      </w:pPr>
      <w:r w:rsidRPr="00CF1D1E">
        <w:rPr>
          <w:rFonts w:ascii="Calibri" w:eastAsia="Calibri" w:hAnsi="Calibri" w:cs="Times New Roman"/>
        </w:rPr>
        <w:br w:type="page"/>
      </w: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Times New Roman" w:eastAsia="Calibri" w:hAnsi="Times New Roman" w:cs="Times New Roman"/>
          <w:noProof/>
          <w:color w:val="000000"/>
          <w:sz w:val="24"/>
          <w:szCs w:val="24"/>
          <w:lang w:eastAsia="en-GB"/>
        </w:rPr>
        <w:lastRenderedPageBreak/>
        <w:drawing>
          <wp:inline distT="0" distB="0" distL="0" distR="0" wp14:anchorId="118F60D8" wp14:editId="4482EEB9">
            <wp:extent cx="5731510" cy="3475355"/>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Kenya-Tealand-Near-Kericho-201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510" cy="3475355"/>
                    </a:xfrm>
                    <a:prstGeom prst="rect">
                      <a:avLst/>
                    </a:prstGeom>
                  </pic:spPr>
                </pic:pic>
              </a:graphicData>
            </a:graphic>
          </wp:inline>
        </w:drawing>
      </w:r>
      <w:r w:rsidRPr="00CF1D1E">
        <w:rPr>
          <w:rFonts w:ascii="Times New Roman" w:eastAsia="Calibri" w:hAnsi="Times New Roman" w:cs="Times New Roman"/>
          <w:color w:val="000000"/>
          <w:sz w:val="24"/>
          <w:szCs w:val="24"/>
        </w:rPr>
        <w:t xml:space="preserve">   </w:t>
      </w:r>
      <w:r w:rsidR="00080656">
        <w:rPr>
          <w:rFonts w:ascii="Calibri" w:eastAsia="Calibri" w:hAnsi="Calibri" w:cs="Times New Roman"/>
          <w:color w:val="000000"/>
          <w:sz w:val="20"/>
          <w:szCs w:val="20"/>
        </w:rPr>
        <w:t xml:space="preserve">Fig.65 </w:t>
      </w:r>
      <w:proofErr w:type="gramStart"/>
      <w:r w:rsidRPr="00CF1D1E">
        <w:rPr>
          <w:rFonts w:ascii="Calibri" w:eastAsia="Calibri" w:hAnsi="Calibri" w:cs="Times New Roman"/>
          <w:color w:val="000000"/>
          <w:sz w:val="20"/>
          <w:szCs w:val="20"/>
        </w:rPr>
        <w:t>A</w:t>
      </w:r>
      <w:proofErr w:type="gramEnd"/>
      <w:r w:rsidRPr="00CF1D1E">
        <w:rPr>
          <w:rFonts w:ascii="Calibri" w:eastAsia="Calibri" w:hAnsi="Calibri" w:cs="Times New Roman"/>
          <w:color w:val="000000"/>
          <w:sz w:val="20"/>
          <w:szCs w:val="20"/>
        </w:rPr>
        <w:t xml:space="preserve"> Kericho tea plantation, Kenya.</w:t>
      </w: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roofErr w:type="spellStart"/>
      <w:r w:rsidRPr="00CF1D1E">
        <w:rPr>
          <w:rFonts w:ascii="Calibri" w:eastAsia="Calibri" w:hAnsi="Calibri" w:cs="Times New Roman"/>
          <w:color w:val="000000"/>
          <w:sz w:val="20"/>
          <w:szCs w:val="20"/>
        </w:rPr>
        <w:t>Bjørn</w:t>
      </w:r>
      <w:proofErr w:type="spellEnd"/>
      <w:r w:rsidRPr="00CF1D1E">
        <w:rPr>
          <w:rFonts w:ascii="Calibri" w:eastAsia="Calibri" w:hAnsi="Calibri" w:cs="Times New Roman"/>
          <w:color w:val="000000"/>
          <w:sz w:val="20"/>
          <w:szCs w:val="20"/>
        </w:rPr>
        <w:t xml:space="preserve"> Christian </w:t>
      </w:r>
      <w:proofErr w:type="spellStart"/>
      <w:r w:rsidRPr="00CF1D1E">
        <w:rPr>
          <w:rFonts w:ascii="Calibri" w:eastAsia="Calibri" w:hAnsi="Calibri" w:cs="Times New Roman"/>
          <w:color w:val="000000"/>
          <w:sz w:val="20"/>
          <w:szCs w:val="20"/>
        </w:rPr>
        <w:t>Tørrissen</w:t>
      </w:r>
      <w:proofErr w:type="spellEnd"/>
      <w:r w:rsidRPr="00CF1D1E">
        <w:rPr>
          <w:rFonts w:ascii="Calibri" w:eastAsia="Calibri" w:hAnsi="Calibri" w:cs="Times New Roman"/>
          <w:color w:val="000000"/>
          <w:sz w:val="20"/>
          <w:szCs w:val="20"/>
        </w:rPr>
        <w:t xml:space="preserve"> [CC BY-SA 3.0 (https://creativecommons.org/licenses/by-sa/3.0)]</w:t>
      </w: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4"/>
          <w:szCs w:val="24"/>
        </w:rPr>
      </w:pPr>
    </w:p>
    <w:p w:rsidR="00CF1D1E" w:rsidRDefault="00CF1D1E" w:rsidP="00CF1D1E">
      <w:pPr>
        <w:autoSpaceDE w:val="0"/>
        <w:autoSpaceDN w:val="0"/>
        <w:adjustRightInd w:val="0"/>
        <w:spacing w:after="0" w:line="360" w:lineRule="auto"/>
        <w:rPr>
          <w:rFonts w:ascii="Calibri" w:eastAsia="Calibri" w:hAnsi="Calibri" w:cs="Times New Roman"/>
          <w:color w:val="000000"/>
          <w:sz w:val="24"/>
          <w:szCs w:val="24"/>
        </w:rPr>
      </w:pPr>
    </w:p>
    <w:p w:rsidR="0097367B" w:rsidRPr="00CF1D1E" w:rsidRDefault="0097367B" w:rsidP="00CF1D1E">
      <w:pPr>
        <w:autoSpaceDE w:val="0"/>
        <w:autoSpaceDN w:val="0"/>
        <w:adjustRightInd w:val="0"/>
        <w:spacing w:after="0" w:line="360" w:lineRule="auto"/>
        <w:rPr>
          <w:rFonts w:ascii="Calibri" w:eastAsia="Calibri" w:hAnsi="Calibri" w:cs="Times New Roman"/>
          <w:color w:val="000000"/>
          <w:sz w:val="24"/>
          <w:szCs w:val="24"/>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4"/>
          <w:szCs w:val="24"/>
        </w:rPr>
      </w:pPr>
      <w:r w:rsidRPr="00CF1D1E">
        <w:rPr>
          <w:rFonts w:ascii="Calibri" w:eastAsia="Calibri" w:hAnsi="Calibri" w:cs="Times New Roman"/>
          <w:color w:val="000000"/>
          <w:sz w:val="24"/>
          <w:szCs w:val="24"/>
        </w:rPr>
        <w:t>SRI LANKA – A British colony formerly known as Ceylon. The main tea-growing regions are Kandy, Nuwara Eliya</w:t>
      </w:r>
      <w:r w:rsidR="00080656">
        <w:rPr>
          <w:rFonts w:ascii="Calibri" w:eastAsia="Calibri" w:hAnsi="Calibri" w:cs="Times New Roman"/>
          <w:color w:val="000000"/>
          <w:sz w:val="24"/>
          <w:szCs w:val="24"/>
        </w:rPr>
        <w:t xml:space="preserve"> (</w:t>
      </w:r>
      <w:r w:rsidR="00080656" w:rsidRPr="00080656">
        <w:rPr>
          <w:rFonts w:ascii="Calibri" w:eastAsia="Calibri" w:hAnsi="Calibri" w:cs="Times New Roman"/>
          <w:color w:val="000000"/>
          <w:sz w:val="24"/>
          <w:szCs w:val="24"/>
        </w:rPr>
        <w:t>Fig.66</w:t>
      </w:r>
      <w:r w:rsidR="00080656">
        <w:rPr>
          <w:rFonts w:ascii="Calibri" w:eastAsia="Calibri" w:hAnsi="Calibri" w:cs="Times New Roman"/>
          <w:color w:val="000000"/>
          <w:sz w:val="24"/>
          <w:szCs w:val="24"/>
        </w:rPr>
        <w:t>)</w:t>
      </w:r>
      <w:r w:rsidRPr="00CF1D1E">
        <w:rPr>
          <w:rFonts w:ascii="Calibri" w:eastAsia="Calibri" w:hAnsi="Calibri" w:cs="Times New Roman"/>
          <w:color w:val="000000"/>
          <w:sz w:val="24"/>
          <w:szCs w:val="24"/>
        </w:rPr>
        <w:t xml:space="preserve">, Dimbula and UVA. James Finlay Ltd. </w:t>
      </w:r>
      <w:r w:rsidR="00D46E0F">
        <w:rPr>
          <w:rFonts w:ascii="Calibri" w:eastAsia="Calibri" w:hAnsi="Calibri" w:cs="Times New Roman"/>
          <w:color w:val="000000"/>
          <w:sz w:val="24"/>
          <w:szCs w:val="24"/>
        </w:rPr>
        <w:t>operate</w:t>
      </w:r>
      <w:r w:rsidRPr="00CF1D1E">
        <w:rPr>
          <w:rFonts w:ascii="Calibri" w:eastAsia="Calibri" w:hAnsi="Calibri" w:cs="Times New Roman"/>
          <w:color w:val="000000"/>
          <w:sz w:val="24"/>
          <w:szCs w:val="24"/>
        </w:rPr>
        <w:t xml:space="preserve"> in four main regions in Sri Lanka; Courtlodge (Nuwara Eliya region), Matale, just north east of the hill capital of Kandy, Uva-Udapussellawa (close to Nuwara Eliya region) and Sabaragamuwa (Ratnapura / Rakwana) in the south west of the country. The estates lie at various altitudes from 500m to 2,200m above sea level and, as a result, enable the production of a range of teas with distinctive character and flavour. Whilst the majority of their factories manufacture orthodox teas by the orthodox tea-making process, factories also produce CTC teas through the cutting, tearing and curling process. T</w:t>
      </w:r>
      <w:r w:rsidR="00D46E0F">
        <w:rPr>
          <w:rFonts w:ascii="Calibri" w:eastAsia="Calibri" w:hAnsi="Calibri" w:cs="Times New Roman"/>
          <w:color w:val="000000"/>
          <w:sz w:val="24"/>
          <w:szCs w:val="24"/>
        </w:rPr>
        <w:t xml:space="preserve">he significance of the processing methods in </w:t>
      </w:r>
      <w:r w:rsidRPr="00CF1D1E">
        <w:rPr>
          <w:rFonts w:ascii="Calibri" w:eastAsia="Calibri" w:hAnsi="Calibri" w:cs="Times New Roman"/>
          <w:color w:val="000000"/>
          <w:sz w:val="24"/>
          <w:szCs w:val="24"/>
        </w:rPr>
        <w:t>tea production will be discussed later in detail.</w:t>
      </w:r>
    </w:p>
    <w:p w:rsidR="00CF1D1E" w:rsidRPr="00CF1D1E" w:rsidRDefault="00CF1D1E" w:rsidP="00CF1D1E">
      <w:pPr>
        <w:rPr>
          <w:rFonts w:ascii="Calibri" w:eastAsia="Calibri" w:hAnsi="Calibri" w:cs="Times New Roman"/>
          <w:color w:val="000000"/>
          <w:sz w:val="24"/>
          <w:szCs w:val="24"/>
        </w:rPr>
      </w:pPr>
      <w:r w:rsidRPr="00CF1D1E">
        <w:rPr>
          <w:rFonts w:ascii="Calibri" w:eastAsia="Calibri" w:hAnsi="Calibri" w:cs="Times New Roman"/>
        </w:rPr>
        <w:br w:type="page"/>
      </w: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4"/>
          <w:szCs w:val="24"/>
        </w:rPr>
      </w:pPr>
    </w:p>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noProof/>
          <w:lang w:eastAsia="en-GB"/>
        </w:rPr>
        <w:drawing>
          <wp:inline distT="0" distB="0" distL="0" distR="0" wp14:anchorId="6E0D0825" wp14:editId="04FE6496">
            <wp:extent cx="5731510" cy="3940175"/>
            <wp:effectExtent l="0" t="0" r="254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1510" cy="3940175"/>
                    </a:xfrm>
                    <a:prstGeom prst="rect">
                      <a:avLst/>
                    </a:prstGeom>
                  </pic:spPr>
                </pic:pic>
              </a:graphicData>
            </a:graphic>
          </wp:inline>
        </w:drawing>
      </w:r>
    </w:p>
    <w:p w:rsidR="00CF1D1E" w:rsidRPr="00CF1D1E" w:rsidRDefault="00080656" w:rsidP="00CF1D1E">
      <w:pPr>
        <w:spacing w:line="360" w:lineRule="auto"/>
        <w:rPr>
          <w:rFonts w:ascii="Calibri" w:eastAsia="Calibri" w:hAnsi="Calibri" w:cs="Times New Roman"/>
          <w:sz w:val="20"/>
          <w:szCs w:val="20"/>
        </w:rPr>
      </w:pPr>
      <w:r>
        <w:rPr>
          <w:rFonts w:ascii="Calibri" w:eastAsia="Calibri" w:hAnsi="Calibri" w:cs="Times New Roman"/>
          <w:sz w:val="20"/>
          <w:szCs w:val="20"/>
          <w:lang w:val="en"/>
        </w:rPr>
        <w:t xml:space="preserve">Fig.66 </w:t>
      </w:r>
      <w:proofErr w:type="gramStart"/>
      <w:r w:rsidR="00CF1D1E" w:rsidRPr="00CF1D1E">
        <w:rPr>
          <w:rFonts w:ascii="Calibri" w:eastAsia="Calibri" w:hAnsi="Calibri" w:cs="Times New Roman"/>
          <w:sz w:val="20"/>
          <w:szCs w:val="20"/>
          <w:lang w:val="en"/>
        </w:rPr>
        <w:t>A</w:t>
      </w:r>
      <w:proofErr w:type="gramEnd"/>
      <w:r w:rsidR="00CF1D1E" w:rsidRPr="00CF1D1E">
        <w:rPr>
          <w:rFonts w:ascii="Calibri" w:eastAsia="Calibri" w:hAnsi="Calibri" w:cs="Times New Roman"/>
          <w:sz w:val="20"/>
          <w:szCs w:val="20"/>
          <w:lang w:val="en"/>
        </w:rPr>
        <w:t xml:space="preserve"> </w:t>
      </w:r>
      <w:r w:rsidR="00CF1D1E" w:rsidRPr="00CF1D1E">
        <w:rPr>
          <w:rFonts w:ascii="Calibri" w:eastAsia="Calibri" w:hAnsi="Calibri" w:cs="Times New Roman"/>
          <w:sz w:val="20"/>
          <w:szCs w:val="20"/>
        </w:rPr>
        <w:t>Nuwara Eliya medium altitude tea plantation, Sri Lanka.</w:t>
      </w:r>
    </w:p>
    <w:p w:rsidR="00CF1D1E" w:rsidRPr="00CF1D1E" w:rsidRDefault="00CF1D1E" w:rsidP="00CF1D1E">
      <w:pPr>
        <w:spacing w:line="360" w:lineRule="auto"/>
        <w:rPr>
          <w:rFonts w:ascii="Calibri" w:eastAsia="Calibri" w:hAnsi="Calibri" w:cs="Times New Roman"/>
          <w:sz w:val="20"/>
          <w:szCs w:val="20"/>
        </w:rPr>
      </w:pPr>
      <w:proofErr w:type="spellStart"/>
      <w:r w:rsidRPr="00CF1D1E">
        <w:rPr>
          <w:rFonts w:ascii="Calibri" w:eastAsia="Calibri" w:hAnsi="Calibri" w:cs="Times New Roman"/>
          <w:sz w:val="20"/>
          <w:szCs w:val="20"/>
        </w:rPr>
        <w:t>Wolfgangbeyer</w:t>
      </w:r>
      <w:proofErr w:type="spellEnd"/>
      <w:r w:rsidRPr="00CF1D1E">
        <w:rPr>
          <w:rFonts w:ascii="Calibri" w:eastAsia="Calibri" w:hAnsi="Calibri" w:cs="Times New Roman"/>
          <w:sz w:val="20"/>
          <w:szCs w:val="20"/>
        </w:rPr>
        <w:t xml:space="preserve"> [CC BY-SA 3.0 (https://creativecommons.org/licenses/by-sa/3.0)]</w:t>
      </w:r>
    </w:p>
    <w:p w:rsidR="00CF1D1E" w:rsidRPr="00CF1D1E" w:rsidRDefault="00CF1D1E" w:rsidP="00CF1D1E">
      <w:pPr>
        <w:spacing w:line="360" w:lineRule="auto"/>
        <w:rPr>
          <w:rFonts w:ascii="Calibri" w:eastAsia="Calibri" w:hAnsi="Calibri" w:cs="Times New Roman"/>
          <w:sz w:val="20"/>
          <w:szCs w:val="20"/>
        </w:rPr>
      </w:pP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Tea from Sri Lanka falls into three categories: low grown (on estates up to 600m high); medium grown (between 600m and 1</w:t>
      </w:r>
      <w:r w:rsidR="00BA1EB7">
        <w:rPr>
          <w:rFonts w:ascii="Calibri" w:eastAsia="Calibri" w:hAnsi="Calibri" w:cs="Times New Roman"/>
          <w:sz w:val="24"/>
          <w:szCs w:val="24"/>
          <w:lang w:val="en"/>
        </w:rPr>
        <w:t>,</w:t>
      </w:r>
      <w:r w:rsidRPr="00CF1D1E">
        <w:rPr>
          <w:rFonts w:ascii="Calibri" w:eastAsia="Calibri" w:hAnsi="Calibri" w:cs="Times New Roman"/>
          <w:sz w:val="24"/>
          <w:szCs w:val="24"/>
          <w:lang w:val="en"/>
        </w:rPr>
        <w:t>200m); and high grown (over 1</w:t>
      </w:r>
      <w:r w:rsidR="00BA1EB7">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200m). Each level produces teas of a particular unique character. All Ceylon blends have brisk, full flavours and bright, golden colour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URL":"https://www.finlays.net/our-products/tea/estates/sri-lanka/","accessed":{"date-parts":[["2019","6","23"]]},"author":[{"dropping-particle":"","family":"J.Finlay","given":"","non-dropping-particle":"","parse-names":false,"suffix":""}],"container-title":"www","id":"ITEM-1","issued":{"date-parts":[["2019"]]},"title":"Sri Lanka | Finlays","type":"webpage"},"uris":["http://www.mendeley.com/documents/?uuid=5d35ebb6-61b1-36bd-bf6b-17f94a8672e6"]}],"mendeley":{"formattedCitation":"(J.Finlay, 2019b)","manualFormatting":"(J.Finlay, 2019)","plainTextFormattedCitation":"(J.Finlay, 2019b)","previouslyFormattedCitation":"(J.Finlay, 2019b)"},"properties":{"noteIndex":0},"schema":"https://github.com/citation-style-language/schema/raw/master/csl-citation.json"}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Pr="00CF1D1E">
        <w:rPr>
          <w:rFonts w:ascii="Calibri" w:eastAsia="Calibri" w:hAnsi="Calibri" w:cs="Times New Roman"/>
          <w:noProof/>
          <w:sz w:val="24"/>
          <w:szCs w:val="24"/>
          <w:lang w:val="en"/>
        </w:rPr>
        <w:t>(J.Finlay, 2019)</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ab/>
        <w:t xml:space="preserve">The sheer number of tea varieties and uses within different cultural contexts is immense and lies firmly in the realm of the </w:t>
      </w:r>
      <w:r w:rsidR="00BA1EB7">
        <w:rPr>
          <w:rFonts w:ascii="Calibri" w:eastAsia="Calibri" w:hAnsi="Calibri" w:cs="Times New Roman"/>
          <w:sz w:val="24"/>
          <w:szCs w:val="24"/>
          <w:lang w:val="en"/>
        </w:rPr>
        <w:t xml:space="preserve">tea </w:t>
      </w:r>
      <w:r w:rsidRPr="00CF1D1E">
        <w:rPr>
          <w:rFonts w:ascii="Calibri" w:eastAsia="Calibri" w:hAnsi="Calibri" w:cs="Times New Roman"/>
          <w:sz w:val="24"/>
          <w:szCs w:val="24"/>
          <w:lang w:val="en"/>
        </w:rPr>
        <w:t>Sommelier.  It is sufficient for</w:t>
      </w:r>
      <w:r w:rsidR="00BA1EB7">
        <w:rPr>
          <w:rFonts w:ascii="Calibri" w:eastAsia="Calibri" w:hAnsi="Calibri" w:cs="Times New Roman"/>
          <w:sz w:val="24"/>
          <w:szCs w:val="24"/>
          <w:lang w:val="en"/>
        </w:rPr>
        <w:t xml:space="preserve"> the scope of</w:t>
      </w:r>
      <w:r w:rsidRPr="00CF1D1E">
        <w:rPr>
          <w:rFonts w:ascii="Calibri" w:eastAsia="Calibri" w:hAnsi="Calibri" w:cs="Times New Roman"/>
          <w:sz w:val="24"/>
          <w:szCs w:val="24"/>
          <w:lang w:val="en"/>
        </w:rPr>
        <w:t xml:space="preserve"> this thesis to describe the</w:t>
      </w:r>
      <w:r w:rsidR="00BA1EB7">
        <w:rPr>
          <w:rFonts w:ascii="Calibri" w:eastAsia="Calibri" w:hAnsi="Calibri" w:cs="Times New Roman"/>
          <w:sz w:val="24"/>
          <w:szCs w:val="24"/>
          <w:lang w:val="en"/>
        </w:rPr>
        <w:t xml:space="preserve"> main categories, which will </w:t>
      </w:r>
      <w:r w:rsidRPr="00CF1D1E">
        <w:rPr>
          <w:rFonts w:ascii="Calibri" w:eastAsia="Calibri" w:hAnsi="Calibri" w:cs="Times New Roman"/>
          <w:sz w:val="24"/>
          <w:szCs w:val="24"/>
          <w:lang w:val="en"/>
        </w:rPr>
        <w:t>ultimately</w:t>
      </w:r>
      <w:r w:rsidR="00BA1EB7">
        <w:rPr>
          <w:rFonts w:ascii="Calibri" w:eastAsia="Calibri" w:hAnsi="Calibri" w:cs="Times New Roman"/>
          <w:sz w:val="24"/>
          <w:szCs w:val="24"/>
          <w:lang w:val="en"/>
        </w:rPr>
        <w:t xml:space="preserve"> aid</w:t>
      </w:r>
      <w:r w:rsidRPr="00CF1D1E">
        <w:rPr>
          <w:rFonts w:ascii="Calibri" w:eastAsia="Calibri" w:hAnsi="Calibri" w:cs="Times New Roman"/>
          <w:sz w:val="24"/>
          <w:szCs w:val="24"/>
          <w:lang w:val="en"/>
        </w:rPr>
        <w:t xml:space="preserve"> in </w:t>
      </w:r>
      <w:r w:rsidR="00BA1EB7">
        <w:rPr>
          <w:rFonts w:ascii="Calibri" w:eastAsia="Calibri" w:hAnsi="Calibri" w:cs="Times New Roman"/>
          <w:sz w:val="24"/>
          <w:szCs w:val="24"/>
          <w:lang w:val="en"/>
        </w:rPr>
        <w:t>conveying</w:t>
      </w:r>
      <w:r w:rsidRPr="00CF1D1E">
        <w:rPr>
          <w:rFonts w:ascii="Calibri" w:eastAsia="Calibri" w:hAnsi="Calibri" w:cs="Times New Roman"/>
          <w:sz w:val="24"/>
          <w:szCs w:val="24"/>
          <w:lang w:val="en"/>
        </w:rPr>
        <w:t xml:space="preserve"> the intended scientific point. </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b/>
          <w:sz w:val="24"/>
          <w:szCs w:val="24"/>
          <w:lang w:val="en"/>
        </w:rPr>
        <w:t>Green Tea</w:t>
      </w:r>
      <w:r w:rsidRPr="00CF1D1E">
        <w:rPr>
          <w:rFonts w:ascii="Calibri" w:eastAsia="Calibri" w:hAnsi="Calibri" w:cs="Times New Roman"/>
          <w:sz w:val="24"/>
          <w:szCs w:val="24"/>
          <w:lang w:val="en"/>
        </w:rPr>
        <w:t xml:space="preserve"> – This is an unoxidised tea very similar to the plucked leaf itself. A springtime leaf bud is used, which is full of nutrients, after dormancy over the </w:t>
      </w:r>
      <w:r w:rsidR="00080656" w:rsidRPr="00CF1D1E">
        <w:rPr>
          <w:rFonts w:ascii="Calibri" w:eastAsia="Calibri" w:hAnsi="Calibri" w:cs="Times New Roman"/>
          <w:sz w:val="24"/>
          <w:szCs w:val="24"/>
          <w:lang w:val="en"/>
        </w:rPr>
        <w:t>winter</w:t>
      </w:r>
      <w:r w:rsidRPr="00CF1D1E">
        <w:rPr>
          <w:rFonts w:ascii="Calibri" w:eastAsia="Calibri" w:hAnsi="Calibri" w:cs="Times New Roman"/>
          <w:sz w:val="24"/>
          <w:szCs w:val="24"/>
          <w:lang w:val="en"/>
        </w:rPr>
        <w:t>. Green tea has a short shelf life of 6 to 8 months.</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b/>
          <w:sz w:val="24"/>
          <w:szCs w:val="24"/>
          <w:lang w:val="en"/>
        </w:rPr>
        <w:lastRenderedPageBreak/>
        <w:t>White Tea</w:t>
      </w:r>
      <w:r w:rsidRPr="00CF1D1E">
        <w:rPr>
          <w:rFonts w:ascii="Calibri" w:eastAsia="Calibri" w:hAnsi="Calibri" w:cs="Times New Roman"/>
          <w:sz w:val="24"/>
          <w:szCs w:val="24"/>
          <w:lang w:val="en"/>
        </w:rPr>
        <w:t xml:space="preserve"> – Made from tender young buds which still have pekoe (fine white fuzz) on them. This is the least processed of all teas and is considered to be the healthiest due to its high polyphenolic content. </w:t>
      </w:r>
      <w:r w:rsidR="00BA1EB7">
        <w:rPr>
          <w:rFonts w:ascii="Calibri" w:eastAsia="Calibri" w:hAnsi="Calibri" w:cs="Times New Roman"/>
          <w:sz w:val="24"/>
          <w:szCs w:val="24"/>
          <w:lang w:val="en"/>
        </w:rPr>
        <w:t xml:space="preserve">Minimal </w:t>
      </w:r>
      <w:r w:rsidRPr="00CF1D1E">
        <w:rPr>
          <w:rFonts w:ascii="Calibri" w:eastAsia="Calibri" w:hAnsi="Calibri" w:cs="Times New Roman"/>
          <w:sz w:val="24"/>
          <w:szCs w:val="24"/>
          <w:lang w:val="en"/>
        </w:rPr>
        <w:t>natural oxidation occurs.</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b/>
          <w:sz w:val="24"/>
          <w:szCs w:val="24"/>
          <w:lang w:val="en"/>
        </w:rPr>
        <w:t>Oolong Tea</w:t>
      </w:r>
      <w:r w:rsidRPr="00CF1D1E">
        <w:rPr>
          <w:rFonts w:ascii="Calibri" w:eastAsia="Calibri" w:hAnsi="Calibri" w:cs="Times New Roman"/>
          <w:sz w:val="24"/>
          <w:szCs w:val="24"/>
          <w:lang w:val="en"/>
        </w:rPr>
        <w:t xml:space="preserve"> - Made from mature leaves</w:t>
      </w:r>
      <w:r w:rsidR="00B01E9C">
        <w:rPr>
          <w:rFonts w:ascii="Calibri" w:eastAsia="Calibri" w:hAnsi="Calibri" w:cs="Times New Roman"/>
          <w:sz w:val="24"/>
          <w:szCs w:val="24"/>
          <w:lang w:val="en"/>
        </w:rPr>
        <w:t xml:space="preserve"> </w:t>
      </w:r>
      <w:r w:rsidRPr="00CF1D1E">
        <w:rPr>
          <w:rFonts w:ascii="Calibri" w:eastAsia="Calibri" w:hAnsi="Calibri" w:cs="Times New Roman"/>
          <w:sz w:val="24"/>
          <w:szCs w:val="24"/>
          <w:lang w:val="en"/>
        </w:rPr>
        <w:t>harvested from further down the plant. This is semi-oxidised under strict control during its meticulous production process.</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b/>
          <w:sz w:val="24"/>
          <w:szCs w:val="24"/>
          <w:lang w:val="en"/>
        </w:rPr>
        <w:t>Black Tea</w:t>
      </w:r>
      <w:r w:rsidRPr="00CF1D1E">
        <w:rPr>
          <w:rFonts w:ascii="Calibri" w:eastAsia="Calibri" w:hAnsi="Calibri" w:cs="Times New Roman"/>
          <w:sz w:val="24"/>
          <w:szCs w:val="24"/>
          <w:lang w:val="en"/>
        </w:rPr>
        <w:t xml:space="preserve"> – Fully oxidised tea which is the main tea produced in Kenya and Sri Lanka. Made primarily for the tea bag industry. This is the mainstay of the British ‘cuppa’ or the Welsh </w:t>
      </w:r>
      <w:r w:rsidR="00B01E9C">
        <w:rPr>
          <w:rFonts w:ascii="Calibri" w:eastAsia="Calibri" w:hAnsi="Calibri" w:cs="Times New Roman"/>
          <w:sz w:val="24"/>
          <w:szCs w:val="24"/>
          <w:lang w:val="en"/>
        </w:rPr>
        <w:t>‘</w:t>
      </w:r>
      <w:r w:rsidRPr="00CF1D1E">
        <w:rPr>
          <w:rFonts w:ascii="Calibri" w:eastAsia="Calibri" w:hAnsi="Calibri" w:cs="Times New Roman"/>
          <w:sz w:val="24"/>
          <w:szCs w:val="24"/>
          <w:lang w:val="en"/>
        </w:rPr>
        <w:t>panad</w:t>
      </w:r>
      <w:r w:rsidR="00B01E9C">
        <w:rPr>
          <w:rFonts w:ascii="Calibri" w:eastAsia="Calibri" w:hAnsi="Calibri" w:cs="Times New Roman"/>
          <w:sz w:val="24"/>
          <w:szCs w:val="24"/>
          <w:lang w:val="en"/>
        </w:rPr>
        <w:t>’</w:t>
      </w:r>
      <w:r w:rsidRPr="00CF1D1E">
        <w:rPr>
          <w:rFonts w:ascii="Calibri" w:eastAsia="Calibri" w:hAnsi="Calibri" w:cs="Times New Roman"/>
          <w:sz w:val="24"/>
          <w:szCs w:val="24"/>
          <w:lang w:val="en"/>
        </w:rPr>
        <w:t>. Referred to as ‘red tea’ in China.</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b/>
          <w:sz w:val="24"/>
          <w:szCs w:val="24"/>
          <w:lang w:val="en"/>
        </w:rPr>
        <w:t>Pu’er Tea</w:t>
      </w:r>
      <w:r w:rsidRPr="00CF1D1E">
        <w:rPr>
          <w:rFonts w:ascii="Calibri" w:eastAsia="Calibri" w:hAnsi="Calibri" w:cs="Times New Roman"/>
          <w:sz w:val="24"/>
          <w:szCs w:val="24"/>
          <w:lang w:val="en"/>
        </w:rPr>
        <w:t xml:space="preserve"> – Named after a town in China’s </w:t>
      </w:r>
      <w:proofErr w:type="spellStart"/>
      <w:r w:rsidRPr="00CF1D1E">
        <w:rPr>
          <w:rFonts w:ascii="Calibri" w:eastAsia="Calibri" w:hAnsi="Calibri" w:cs="Times New Roman"/>
          <w:sz w:val="24"/>
          <w:szCs w:val="24"/>
          <w:lang w:val="en"/>
        </w:rPr>
        <w:t>Yunan</w:t>
      </w:r>
      <w:proofErr w:type="spellEnd"/>
      <w:r w:rsidRPr="00CF1D1E">
        <w:rPr>
          <w:rFonts w:ascii="Calibri" w:eastAsia="Calibri" w:hAnsi="Calibri" w:cs="Times New Roman"/>
          <w:sz w:val="24"/>
          <w:szCs w:val="24"/>
          <w:lang w:val="en"/>
        </w:rPr>
        <w:t xml:space="preserve"> province. This is a post-fermented tea in which processed leaves are </w:t>
      </w:r>
      <w:r w:rsidR="00B01E9C">
        <w:rPr>
          <w:rFonts w:ascii="Calibri" w:eastAsia="Calibri" w:hAnsi="Calibri" w:cs="Times New Roman"/>
          <w:sz w:val="24"/>
          <w:szCs w:val="24"/>
          <w:lang w:val="en"/>
        </w:rPr>
        <w:t>com</w:t>
      </w:r>
      <w:r w:rsidRPr="00CF1D1E">
        <w:rPr>
          <w:rFonts w:ascii="Calibri" w:eastAsia="Calibri" w:hAnsi="Calibri" w:cs="Times New Roman"/>
          <w:sz w:val="24"/>
          <w:szCs w:val="24"/>
          <w:lang w:val="en"/>
        </w:rPr>
        <w:t xml:space="preserve">pressed into a cake and sold after several years of ageing to produce the Sheng variety. The </w:t>
      </w:r>
      <w:proofErr w:type="spellStart"/>
      <w:r w:rsidRPr="00CF1D1E">
        <w:rPr>
          <w:rFonts w:ascii="Calibri" w:eastAsia="Calibri" w:hAnsi="Calibri" w:cs="Times New Roman"/>
          <w:sz w:val="24"/>
          <w:szCs w:val="24"/>
          <w:lang w:val="en"/>
        </w:rPr>
        <w:t>Shou</w:t>
      </w:r>
      <w:proofErr w:type="spellEnd"/>
      <w:r w:rsidRPr="00CF1D1E">
        <w:rPr>
          <w:rFonts w:ascii="Calibri" w:eastAsia="Calibri" w:hAnsi="Calibri" w:cs="Times New Roman"/>
          <w:sz w:val="24"/>
          <w:szCs w:val="24"/>
          <w:lang w:val="en"/>
        </w:rPr>
        <w:t xml:space="preserve"> variety also exists which </w:t>
      </w:r>
      <w:r w:rsidR="00B01E9C">
        <w:rPr>
          <w:rFonts w:ascii="Calibri" w:eastAsia="Calibri" w:hAnsi="Calibri" w:cs="Times New Roman"/>
          <w:sz w:val="24"/>
          <w:szCs w:val="24"/>
          <w:lang w:val="en"/>
        </w:rPr>
        <w:t>undergoes</w:t>
      </w:r>
      <w:r w:rsidRPr="00CF1D1E">
        <w:rPr>
          <w:rFonts w:ascii="Calibri" w:eastAsia="Calibri" w:hAnsi="Calibri" w:cs="Times New Roman"/>
          <w:sz w:val="24"/>
          <w:szCs w:val="24"/>
          <w:lang w:val="en"/>
        </w:rPr>
        <w:t xml:space="preserve"> an accelerated fermentation process. Connoisseurs believe that the flavours become more complex over time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{"citationItems":[{"id":"ITEM-1","itemData":{"DOI":"10.1016/j.jep.2010.08.016","ISSN":"03788741","abstract":"Aim of the study: Pu-erh (or pu'er) tea tasting is a social practice that emphasizes shared sensory experience, wellbeing, and alertness. The present study examines how variable production and preparation practices of pu-erh tea affect drinkers' perceptions, phytochemical profiles, and anti-oxidant activity. Materials and methods: One hundred semi-structured interviews were conducted in Yunnan Province to understand the cultural and environmental context of pu-erh tea tasting. The gong fu cha dao ('way of tea' with 'effort,' 'work,' or 'skill') method of brewing tea through multiple infusions was employed to evaluate green and black pu-erh samples from smallholder agro-forests and terrace plantations. Ranking interviews, High Performance Liquid Chromatography (HPLC), and the 1-1-diphenyl-2-picrylhydrazyl (DPPH) assay were conducted to characterize color and taste profiles, Total Catechin Content (TCC), Total Methylxanthine Content (TMC), and free radical scavenging capacity (IC50). Results: Significant variation was found among pu-erh samples based on: (1) agro-ecosystem mode of production by TCC (P&lt;0.0001) and TMC (P&lt;0.0265), (2) processing method for TCC (P&lt;0.0001), TMC (P&lt;0.0027), and free radical scavenging capacity (P&lt;0.0001), (3) infusion sequence for TMC (P&lt;0.0013), (4) taste rankings for TCC (P&lt;0.0001), TMC (P&lt;0.0001), and IC50 (P&lt;0.0059) and, (5) color rankings for TMC (P&lt;0.0009) and IC50 (P&lt;0.0001). Samples rated as bitter and bitter-sweet contained the greatest TCC and free radical scavenging capacity. Conclusions: This research demonstrated that production environment, processing methods, and infusion sequence in preparing tea are related to the phytochemical profile, free radical scavenging activity, and flavor of tea. Findings contribute to the ethnomedical literature by supporting previous studies that have hypothesized that the taste of plants, particularly bitterness, may guide societies in the search for medicinal plants and beneficial phytochemicals. © 2010 Elsevier Ireland Ltd.","author":[{"dropping-particle":"","family":"Ahmed","given":"Selena","non-dropping-particle":"","parse-names":false,"suffix":""},{"dropping-particle":"","family":"Unachukwu","given":"Uchenna","non-dropping-particle":"","parse-names":false,"suffix":""},{"dropping-particle":"","family":"Stepp","given":"John Richard","non-dropping-particle":"","parse-names":false,"suffix":""},{"dropping-particle":"","family":"Peters","given":"Charles M.","non-dropping-particle":"","parse-names":false,"suffix":""},{"dropping-particle":"","family":"Long","given":"Chunlin","non-dropping-particle":"","parse-names":false,"suffix":""},{"dropping-particle":"","family":"Kennelly","given":"Edward","non-dropping-particle":"","parse-names":false,"suffix":""}],"container-title":"Journal of Ethnopharmacology","id":"ITEM-1","issue":"1","issued":{"date-parts":[["2010"]]},"page":"176-185","publisher":"Elsevier Ireland Ltd","title":"Pu-erh tea tasting in Yunnan, China: Correlation of drinkers' perceptions to phytochemistry","type":"article-journal","volume":"132"},"uris":["http://www.mendeley.com/documents/?uuid=d6bfe9db-3d52-4297-ad55-4a0af393366f"]}],"mendeley":{"formattedCitation":"(Ahmed et al., 2010)","plainTextFormattedCitation":"(Ahmed et al., 2010)","previouslyFormattedCitation":"(Ahmed et al., 2010)"},"properties":{"noteIndex":0},"schema":"https://github.com/citation-style-language/schema/raw/master/csl-citation.json"}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 xml:space="preserve">(Ahmed </w:t>
      </w:r>
      <w:r w:rsidR="00941740" w:rsidRPr="00080656">
        <w:rPr>
          <w:rFonts w:ascii="Calibri" w:eastAsia="Calibri" w:hAnsi="Calibri" w:cs="Times New Roman"/>
          <w:i/>
          <w:noProof/>
          <w:sz w:val="24"/>
          <w:szCs w:val="24"/>
          <w:lang w:val="en"/>
        </w:rPr>
        <w:t>et al</w:t>
      </w:r>
      <w:r w:rsidR="00941740" w:rsidRPr="00941740">
        <w:rPr>
          <w:rFonts w:ascii="Calibri" w:eastAsia="Calibri" w:hAnsi="Calibri" w:cs="Times New Roman"/>
          <w:noProof/>
          <w:sz w:val="24"/>
          <w:szCs w:val="24"/>
          <w:lang w:val="en"/>
        </w:rPr>
        <w:t>., 2010)</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b/>
          <w:sz w:val="24"/>
          <w:szCs w:val="24"/>
          <w:lang w:val="en"/>
        </w:rPr>
        <w:t>Yellow Tea</w:t>
      </w:r>
      <w:r w:rsidRPr="00CF1D1E">
        <w:rPr>
          <w:rFonts w:ascii="Calibri" w:eastAsia="Calibri" w:hAnsi="Calibri" w:cs="Times New Roman"/>
          <w:sz w:val="24"/>
          <w:szCs w:val="24"/>
          <w:lang w:val="en"/>
        </w:rPr>
        <w:t xml:space="preserve"> – This is produced in only a few places, such as Sichuan and Hunan in China, and as a result is fairly rare. The </w:t>
      </w:r>
      <w:r w:rsidR="00342C46">
        <w:rPr>
          <w:rFonts w:ascii="Calibri" w:eastAsia="Calibri" w:hAnsi="Calibri" w:cs="Times New Roman"/>
          <w:sz w:val="24"/>
          <w:szCs w:val="24"/>
          <w:lang w:val="en"/>
        </w:rPr>
        <w:t>highest quality</w:t>
      </w:r>
      <w:r w:rsidRPr="00CF1D1E">
        <w:rPr>
          <w:rFonts w:ascii="Calibri" w:eastAsia="Calibri" w:hAnsi="Calibri" w:cs="Times New Roman"/>
          <w:sz w:val="24"/>
          <w:szCs w:val="24"/>
          <w:lang w:val="en"/>
        </w:rPr>
        <w:t xml:space="preserve"> grades are produced from green leaves harvested during the early spring. The yellow caste is a result of the production process</w:t>
      </w:r>
      <w:r w:rsidR="00342C46">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which </w:t>
      </w:r>
      <w:r w:rsidR="00342C46">
        <w:rPr>
          <w:rFonts w:ascii="Calibri" w:eastAsia="Calibri" w:hAnsi="Calibri" w:cs="Times New Roman"/>
          <w:sz w:val="24"/>
          <w:szCs w:val="24"/>
          <w:lang w:val="en"/>
        </w:rPr>
        <w:t>results in</w:t>
      </w:r>
      <w:r w:rsidRPr="00CF1D1E">
        <w:rPr>
          <w:rFonts w:ascii="Calibri" w:eastAsia="Calibri" w:hAnsi="Calibri" w:cs="Times New Roman"/>
          <w:sz w:val="24"/>
          <w:szCs w:val="24"/>
          <w:lang w:val="en"/>
        </w:rPr>
        <w:t xml:space="preserve"> a delicate fresh flavour. Yellow tea has a catechin content higher than green tea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{"citationItems":[{"id":"ITEM-1","itemData":{"DOI":"10.1016/j.foodchem.2016.05.048","ISSN":"18737072","abstract":"This paper presents a study on development of functional food products containing green and yellow tea leaves. The results indicated that green and yellow tea are significant tools in the creation of the nutritional value, antioxidative potential and stability of the lipid fraction of cookies. Tea-fortified cookies showed considerably higher contents of dietary fiber, especially hemicellulose and insoluble fractions, and were characterized by significantly higher antioxidant potential associated with their phenolics content. Results of ABTS, DPPH, ORAC FL and PCL assay showed significantly higher antioxidant potential of tea cookies, highest for yellow tea. The antioxidative potential of applied teas was significant in terms of the inhibition of hydroperoxide content, while formation of secondary lipid oxidation products was less spectacular. It is concluded that tea leaves could be widely used as a source of polyphenols with high antioxidative potential, as well as fiber; thus introducing numerous health benefits for the consumer.","author":[{"dropping-particle":"","family":"Gramza-Michałowska","given":"Anna","non-dropping-particle":"","parse-names":false,"suffix":""},{"dropping-particle":"","family":"Kobus-Cisowska","given":"Joanna","non-dropping-particle":"","parse-names":false,"suffix":""},{"dropping-particle":"","family":"Kmiecik","given":"Dominik","non-dropping-particle":"","parse-names":false,"suffix":""},{"dropping-particle":"","family":"Korczak","given":"Józef","non-dropping-particle":"","parse-names":false,"suffix":""},{"dropping-particle":"","family":"Helak","given":"Barbara","non-dropping-particle":"","parse-names":false,"suffix":""},{"dropping-particle":"","family":"Dziedzic","given":"Krzysztof","non-dropping-particle":"","parse-names":false,"suffix":""},{"dropping-particle":"","family":"Górecka","given":"Danuta","non-dropping-particle":"","parse-names":false,"suffix":""}],"container-title":"Food Chemistry","id":"ITEM-1","issued":{"date-parts":[["2016"]]},"page":"448-454","title":"Antioxidative potential, nutritional value and sensory profiles of confectionery fortified with green and yellow tea leaves (Camellia sinensis)","type":"article-journal","volume":"211"},"uris":["http://www.mendeley.com/documents/?uuid=435795d4-7b9d-4b8c-9e6c-b244857a7b5a"]}],"mendeley":{"formattedCitation":"(Gramza-Michałowska et al., 2016)","plainTextFormattedCitation":"(Gramza-Michałowska et al., 2016)","previouslyFormattedCitation":"(Gramza-Michałowska et al., 2016)"},"properties":{"noteIndex":0},"schema":"https://github.com/citation-style-language/schema/raw/master/csl-citation.json"}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 xml:space="preserve">(Gramza-Michałowska </w:t>
      </w:r>
      <w:r w:rsidR="00941740" w:rsidRPr="00080656">
        <w:rPr>
          <w:rFonts w:ascii="Calibri" w:eastAsia="Calibri" w:hAnsi="Calibri" w:cs="Times New Roman"/>
          <w:i/>
          <w:noProof/>
          <w:sz w:val="24"/>
          <w:szCs w:val="24"/>
          <w:lang w:val="en"/>
        </w:rPr>
        <w:t>et al</w:t>
      </w:r>
      <w:r w:rsidR="00941740" w:rsidRPr="00941740">
        <w:rPr>
          <w:rFonts w:ascii="Calibri" w:eastAsia="Calibri" w:hAnsi="Calibri" w:cs="Times New Roman"/>
          <w:noProof/>
          <w:sz w:val="24"/>
          <w:szCs w:val="24"/>
          <w:lang w:val="en"/>
        </w:rPr>
        <w:t>., 2016)</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b/>
          <w:sz w:val="24"/>
          <w:szCs w:val="24"/>
          <w:lang w:val="en"/>
        </w:rPr>
        <w:t>Purple Tea</w:t>
      </w:r>
      <w:r w:rsidRPr="00CF1D1E">
        <w:rPr>
          <w:rFonts w:ascii="Calibri" w:eastAsia="Calibri" w:hAnsi="Calibri" w:cs="Times New Roman"/>
          <w:sz w:val="24"/>
          <w:szCs w:val="24"/>
          <w:lang w:val="en"/>
        </w:rPr>
        <w:t xml:space="preserve"> - Purple tea</w:t>
      </w:r>
      <w:r w:rsidR="00BA63EF">
        <w:rPr>
          <w:rFonts w:ascii="Calibri" w:eastAsia="Calibri" w:hAnsi="Calibri" w:cs="Times New Roman"/>
          <w:sz w:val="24"/>
          <w:szCs w:val="24"/>
          <w:lang w:val="en"/>
        </w:rPr>
        <w:t xml:space="preserve"> (</w:t>
      </w:r>
      <w:r w:rsidR="00BA63EF" w:rsidRPr="00BA63EF">
        <w:rPr>
          <w:rFonts w:ascii="Calibri" w:eastAsia="Calibri" w:hAnsi="Calibri" w:cs="Times New Roman"/>
          <w:sz w:val="24"/>
          <w:szCs w:val="24"/>
          <w:lang w:val="en"/>
        </w:rPr>
        <w:t>Fig.67</w:t>
      </w:r>
      <w:r w:rsidR="00BA63EF">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is a relatively new variety of green tea developed in Kenya as a healthier addition to the world of tea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{"citationItems":[{"id":"ITEM-1","itemData":{"DOI":"10.1016/j.foodchem.2013.03.051","ISSN":"18737072","abstract":"The Kenyan tea industry wishes to diversify its tea products, and in line with this, anthocyanin - rich teas were developed at the Tea Research Foundation of Kenya. These teas have purple-coloured leaves and the green colour is masked. In total, 12 accessions of the purple leaf coloured teas and 2 standard tea varieties were studied. Clones Hanlu and Yabukita are Chinese and Japanese tea varieties, respectively, known for good green tea, and they were used as reference standards. Little if any research had been done to characterize the quality of these purple leaf coloured teas and this study investigated their total polyphenols (TPP), catechins, caffeine, gallic acid and theanine. These are the major green tea quality parameters. Results showed that the new Kenyan tea clones had higher total polyphenols than had the reference standard tea varieties, which had 17.2% and 19.7% while the lowest among the Kenyan clones was 20.8%. On catechin quality index, K-purple and TRFK 91/1 showed high index values of 15.9 and 13.3, respectively, while clones TRFK 83/1 and 73/5 showed low index values of 0.74 and 1.0, respectively. Hanlu had the highest caffeine level with 2.42% while clones TRFK KS 3, TRFK KS 2 and TRFK 83/1 had relatively high caffeine levels among the purple leaf coloured teas, with 2.33%, 2.22% and 2.21%, respectively. Clone TRFK 73/5 had the lowest caffeine content, with 1.16%. Theanine analysis showed that most purple leaf coloured teas had more theanine than had the reference standard clones, except TRFK 83/1 and K-purple, which were lower than the reference standard clones. The implication of the green tea chemical quality parameters is also discussed. It is concluded that all the studied clones/varieties have above the minimum 14% of total polyphenols. Clones K-purple and TRFK 91/1 showed high green tea quality indices with the latter doubling with high levels of theanine; hence its highly recommended for green tea manufacture. © 2013 Elsevier Ltd. All rights reserved.","author":[{"dropping-particle":"","family":"Kilel","given":"E. C.","non-dropping-particle":"","parse-names":false,"suffix":""},{"dropping-particle":"","family":"Faraj","given":"A. K.","non-dropping-particle":"","parse-names":false,"suffix":""},{"dropping-particle":"","family":"Wanyoko","given":"J. K.","non-dropping-particle":"","parse-names":false,"suffix":""},{"dropping-particle":"","family":"Wachira","given":"F. N.","non-dropping-particle":"","parse-names":false,"suffix":""},{"dropping-particle":"","family":"Mwingirwa","given":"V.","non-dropping-particle":"","parse-names":false,"suffix":""}],"container-title":"Food Chemistry","id":"ITEM-1","issue":"2","issued":{"date-parts":[["2013"]]},"page":"769-775","publisher":"Elsevier Ltd","title":"Green tea from purple leaf coloured tea clones in Kenya-their quality characteristics","type":"article-journal","volume":"141"},"uris":["http://www.mendeley.com/documents/?uuid=ef05d920-5141-4c64-80ed-83c70f9ef56d"]}],"mendeley":{"formattedCitation":"(Kilel, Faraj, Wanyoko, Wachira, &amp; Mwingirwa, 2013)","plainTextFormattedCitation":"(Kilel, Faraj, Wanyoko, Wachira, &amp; Mwingirwa, 2013)","previouslyFormattedCitation":"(Kilel, Faraj, Wanyoko, Wachira, &amp; Mwingirwa, 2013)"},"properties":{"noteIndex":0},"schema":"https://github.com/citation-style-language/schema/raw/master/csl-citation.json"}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(Kilel, Faraj, Wanyoko, Wachira, &amp; Mwingirwa, 2013)</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xml:space="preserve">. </w:t>
      </w:r>
      <w:r w:rsidR="00342C46">
        <w:rPr>
          <w:rFonts w:ascii="Calibri" w:eastAsia="Calibri" w:hAnsi="Calibri" w:cs="Times New Roman"/>
          <w:sz w:val="24"/>
          <w:szCs w:val="24"/>
          <w:lang w:val="en"/>
        </w:rPr>
        <w:t>It is l</w:t>
      </w:r>
      <w:r w:rsidRPr="00CF1D1E">
        <w:rPr>
          <w:rFonts w:ascii="Calibri" w:eastAsia="Calibri" w:hAnsi="Calibri" w:cs="Times New Roman"/>
          <w:sz w:val="24"/>
          <w:szCs w:val="24"/>
          <w:lang w:val="en"/>
        </w:rPr>
        <w:t>ower in caffeine and high in anthocyanins</w:t>
      </w:r>
      <w:r w:rsidR="00342C46">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which give it its purple colour. Many claims are made about its health benefits including suppression of diet-induced fat accumulation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{"citationItems":[{"id":"ITEM-1","itemData":{"ISSN":"15552810","abstract":"A number of clinical trials have been completed using green tea and black tea to investigate their effect in controlling weight in overweight adults. The results of these investigations, however, have often been contradictory, with some trials reporting positive effects of tea supplementation and some trials reporting no effect. As a result, the use of these teas for weight loss is controversial. Purple tea is a variety of green tea developed in Kenya (called TRFK306), which in addition to certain tea constituents found in green tea, also contains anthocyanins. The major constituents in the leaves of purple tea are caffeine, theobromine, epigallocatechin (ECG), epigallocatechin gallate (EGCG) and 1,2-di-O-galloyl-4,6-O-(S)-hexahydroxydiphenoyl-β-D-glucose (GHG). We investigated the efficacy of purple tea extract (PTE) on diet-induced fat accumulation in mice. PTE administration (200 mg/kg) significantly suppressed body weight gain, liver weight, abdominal fat and triglycerides in serum and liver. Protein expression of carnitine palmitoyltransferase (CPT) 1A was also enhanced. In olive oil loaded mice, PTE (100 mg/kg) and caffeine (25 mg/kg) suppressed fat absorption. PTE (10 μg/mL) and GHG (10 μg/mL) also enhanced protein expression of CPT1A in HepG2 hepatoma. Moreover, 4-week daily consumption of purple tea drink in humans improved obesity parameters compared to baseline, including body weight (79.9 ± 3.1 kg vs 80.8 ± 3.2, p&lt;0.05), body mass index (BMI) (26.8 ± 0.6 vs 27.0 ± 0.6, p&lt;0.05) and body fat mass (21.0 ± 1.4 kg vs 21.8 ± 1.5, p&lt;0.01). In conclusion, PTE could control diet-induced weight gain by suppression of fat absorption and enhancement of hepatic fat metabolism.","author":[{"dropping-particle":"","family":"Shimoda","given":"Hiroshi","non-dropping-particle":"","parse-names":false,"suffix":""},{"dropping-particle":"","family":"Hitoe","given":"Shoketsu","non-dropping-particle":"","parse-names":false,"suffix":""},{"dropping-particle":"","family":"Nakamura","given":"Seikou","non-dropping-particle":"","parse-names":false,"suffix":""},{"dropping-particle":"","family":"Matsuda","given":"Hisashi","non-dropping-particle":"","parse-names":false,"suffix":""}],"container-title":"International Journal of Biomedical Science","id":"ITEM-1","issue":"2","issued":{"date-parts":[["2015"]]},"page":"67-75","title":"Purple tea and its extract suppress diet-induced fat accumulation in mice and human subjects by inhibiting fat absorption and enhancing hepatic carnitine palmitoyltransferase expression","type":"article-journal","volume":"11"},"uris":["http://www.mendeley.com/documents/?uuid=92ed2486-0bdf-4639-bed9-61bca5a2ae06"]}],"mendeley":{"formattedCitation":"(Shimoda, Hitoe, Nakamura, &amp; Matsuda, 2015)","plainTextFormattedCitation":"(Shimoda, Hitoe, Nakamura, &amp; Matsuda, 2015)","previouslyFormattedCitation":"(Shimoda, Hitoe, Nakamura, &amp; Matsuda, 2015)"},"properties":{"noteIndex":0},"schema":"https://github.com/citation-style-language/schema/raw/master/csl-citation.json"}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(Shimoda, Hitoe, Nakamura, &amp; Matsuda, 2015)</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xml:space="preserve"> and its significantly higher anti-oxidant potential when compared to other teas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{"citationItems":[{"id":"ITEM-1","itemData":{"DOI":"10.1016/j.foodchem.2012.09.066","ISSN":"03088146","abstract":"Black (aerated) and green (unaerated) tea products, processed from 10 green and 18 purple leaf coloured cultivars of Kenyan origin, and two tea products, from the Japanese cultivars, Yabukita and Yutakamidori, were assayed for total polyphenols (TP) content, individual catechin profiles and in vitro antioxidant capacity (AA). In addition, the phenolic content of the tea products was determined using the Folin-Ciocalteu phenol reagent. Catechin fractions were identified using reverse phase high performance liquid chromatography (HPLC) with a binary gradient elution system. The AA% of the tea products was determined using a 2,2′-diphenyl picrylhydrazyl (DPPH) radical assay method. The results showed that TPs, catechin profiles and antioxidant activities were significantly (p ≤ 0.05) higher in unaerated than in aerated teas. Tea products from the purple leaf coloured tea cultivars had levels of TPs, total catechin (TC) and antioxidant activities similar to those from the green leaf coloured cultivars, except for teas from the Japanese cultivars that were very low in the assayed parameters. Caffeine content was significantly (p ≤ 0.05) lower in products from the purple leaf coloured cultivars than in those from the green leaf coloured tea cultivars. Antioxidant activity (%) was higher in tea products from the Kenyan germplasm than in those from the Japanese cultivars. Antioxidant potency of tea products was significantly (r = 0.789, p ≤ 0.01) influenced by the total anthocyanin content of the purple leaf coloured cultivars. Cyanidin-3-O-glucoside was the anthocyanin most highly correlated with AA% (r = 0.843, p ≤ 0.01 in unaerated tea). Total catechins in the unaerated products from the green leaf coloured tea cultivars were also significantly correlated with antioxidant capacity (r = 0.818 p ≤ 0.01). Results from this study suggest that the antioxidant potency of teas is dependent on the predominant flavonoid compound, the type of tea cultivar and the processing method. © 2012 Elsevier Ltd. All rights reserved.","author":[{"dropping-particle":"","family":"Kerio","given":"L. C.","non-dropping-particle":"","parse-names":false,"suffix":""},{"dropping-particle":"","family":"Wachira","given":"F. N.","non-dropping-particle":"","parse-names":false,"suffix":""},{"dropping-particle":"","family":"Wanyoko","given":"J. K.","non-dropping-particle":"","parse-names":false,"suffix":""},{"dropping-particle":"","family":"Rotich","given":"M. K.","non-dropping-particle":"","parse-names":false,"suffix":""}],"container-title":"Food Chemistry","id":"ITEM-1","issue":"3-4","issued":{"date-parts":[["2013"]]},"page":"1405-1413","publisher":"Elsevier Ltd","title":"Total polyphenols, catechin profiles and antioxidant activity of tea products from purple leaf coloured tea cultivars","type":"article-journal","volume":"136"},"uris":["http://www.mendeley.com/documents/?uuid=fe09ee4b-9d9d-46a1-a926-c0aa12d3d371"]}],"mendeley":{"formattedCitation":"(Kerio, Wachira, Wanyoko, &amp; Rotich, 2013)","plainTextFormattedCitation":"(Kerio, Wachira, Wanyoko, &amp; Rotich, 2013)","previouslyFormattedCitation":"(Kerio, Wachira, Wanyoko, &amp; Rotich, 2013)"},"properties":{"noteIndex":0},"schema":"https://github.com/citation-style-language/schema/raw/master/csl-citation.json"}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(Kerio, Wachira, Wanyoko, &amp; Rotich, 2013)</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Grown at 2</w:t>
      </w:r>
      <w:r w:rsidR="00342C46">
        <w:rPr>
          <w:rFonts w:ascii="Calibri" w:eastAsia="Calibri" w:hAnsi="Calibri" w:cs="Times New Roman"/>
          <w:sz w:val="24"/>
          <w:szCs w:val="24"/>
          <w:lang w:val="en"/>
        </w:rPr>
        <w:t>,</w:t>
      </w:r>
      <w:r w:rsidRPr="00CF1D1E">
        <w:rPr>
          <w:rFonts w:ascii="Calibri" w:eastAsia="Calibri" w:hAnsi="Calibri" w:cs="Times New Roman"/>
          <w:sz w:val="24"/>
          <w:szCs w:val="24"/>
          <w:lang w:val="en"/>
        </w:rPr>
        <w:t>000m or above. Leaves initially emerge as green and take on a purple hue with maturity.</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noProof/>
          <w:lang w:eastAsia="en-GB"/>
        </w:rPr>
        <w:lastRenderedPageBreak/>
        <w:drawing>
          <wp:inline distT="0" distB="0" distL="0" distR="0" wp14:anchorId="2E658CC2" wp14:editId="08D5C625">
            <wp:extent cx="5731510" cy="2309512"/>
            <wp:effectExtent l="0" t="0" r="2540" b="0"/>
            <wp:docPr id="95" name="Picture 95" descr="Image result for purple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 result for purple tea"/>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1510" cy="2309512"/>
                    </a:xfrm>
                    <a:prstGeom prst="rect">
                      <a:avLst/>
                    </a:prstGeom>
                    <a:noFill/>
                    <a:ln>
                      <a:noFill/>
                    </a:ln>
                  </pic:spPr>
                </pic:pic>
              </a:graphicData>
            </a:graphic>
          </wp:inline>
        </w:drawing>
      </w:r>
    </w:p>
    <w:p w:rsidR="00CF1D1E" w:rsidRPr="00CF1D1E" w:rsidRDefault="00BA63EF" w:rsidP="00CF1D1E">
      <w:pPr>
        <w:spacing w:line="360" w:lineRule="auto"/>
        <w:jc w:val="both"/>
        <w:rPr>
          <w:rFonts w:ascii="Calibri" w:eastAsia="Calibri" w:hAnsi="Calibri" w:cs="Times New Roman"/>
          <w:sz w:val="20"/>
          <w:szCs w:val="20"/>
          <w:lang w:val="en"/>
        </w:rPr>
      </w:pPr>
      <w:r>
        <w:rPr>
          <w:rFonts w:ascii="Calibri" w:eastAsia="Calibri" w:hAnsi="Calibri" w:cs="Times New Roman"/>
          <w:sz w:val="20"/>
          <w:szCs w:val="20"/>
          <w:lang w:val="en"/>
        </w:rPr>
        <w:t>Fig.67</w:t>
      </w:r>
      <w:r w:rsidR="00CF1D1E" w:rsidRPr="00CF1D1E">
        <w:rPr>
          <w:rFonts w:ascii="Calibri" w:eastAsia="Calibri" w:hAnsi="Calibri" w:cs="Times New Roman"/>
          <w:sz w:val="20"/>
          <w:szCs w:val="20"/>
          <w:lang w:val="en"/>
        </w:rPr>
        <w:t xml:space="preserve"> Purple tea grown next to green tea in Kenya.</w:t>
      </w:r>
    </w:p>
    <w:p w:rsidR="00CF1D1E" w:rsidRPr="00CF1D1E" w:rsidRDefault="00CF1D1E" w:rsidP="00CF1D1E">
      <w:pPr>
        <w:spacing w:line="360" w:lineRule="auto"/>
        <w:jc w:val="both"/>
        <w:rPr>
          <w:rFonts w:ascii="Calibri" w:eastAsia="Calibri" w:hAnsi="Calibri" w:cs="Times New Roman"/>
          <w:sz w:val="20"/>
          <w:szCs w:val="20"/>
          <w:lang w:val="en"/>
        </w:rPr>
      </w:pPr>
      <w:r w:rsidRPr="00CF1D1E">
        <w:rPr>
          <w:rFonts w:ascii="Calibri" w:eastAsia="Calibri" w:hAnsi="Calibri" w:cs="Times New Roman"/>
          <w:sz w:val="20"/>
          <w:szCs w:val="20"/>
        </w:rPr>
        <w:t>[CC BY-SA 3.0 (https://creativecommons.org/licenses/by-sa/3.0)]</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ab/>
        <w:t>Beyond these categories there are many blends and methods of tea preparation. Generally, black tea is drunk with</w:t>
      </w:r>
      <w:r w:rsidR="00342C46">
        <w:rPr>
          <w:rFonts w:ascii="Calibri" w:eastAsia="Calibri" w:hAnsi="Calibri" w:cs="Times New Roman"/>
          <w:sz w:val="24"/>
          <w:szCs w:val="24"/>
          <w:lang w:val="en"/>
        </w:rPr>
        <w:t xml:space="preserve"> the addition of</w:t>
      </w:r>
      <w:r w:rsidRPr="00CF1D1E">
        <w:rPr>
          <w:rFonts w:ascii="Calibri" w:eastAsia="Calibri" w:hAnsi="Calibri" w:cs="Times New Roman"/>
          <w:sz w:val="24"/>
          <w:szCs w:val="24"/>
          <w:lang w:val="en"/>
        </w:rPr>
        <w:t xml:space="preserve"> milk in the Western world. It seems to be a point of perpetual debate that milk decreases the associated health benefits of tea. This has been </w:t>
      </w:r>
      <w:r w:rsidR="00A676BF">
        <w:rPr>
          <w:rFonts w:ascii="Calibri" w:eastAsia="Calibri" w:hAnsi="Calibri" w:cs="Times New Roman"/>
          <w:sz w:val="24"/>
          <w:szCs w:val="24"/>
          <w:lang w:val="en"/>
        </w:rPr>
        <w:t>questioned</w:t>
      </w:r>
      <w:r w:rsidRPr="00CF1D1E">
        <w:rPr>
          <w:rFonts w:ascii="Calibri" w:eastAsia="Calibri" w:hAnsi="Calibri" w:cs="Times New Roman"/>
          <w:sz w:val="24"/>
          <w:szCs w:val="24"/>
          <w:lang w:val="en"/>
        </w:rPr>
        <w:t xml:space="preserve"> by scientific research although debate continues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{"citationItems":[{"id":"ITEM-1","itemData":{"DOI":"10.1080/10715760100300261","ISSN":"10715762","abstract":"Tea is a major source of flavonols, a subclass of antioxidant flavonoids present in plant foods which potentially are beneficial to human health. Milk added to tea, a frequent habit in the United Kingdom, could inhibit absorption of tea flavonoids, because proteins can bind flavonoids effectively. Eighteen healthy volunteers each consumed two out of four supplements during three days: black tea, black tea with milk, green tea and water. A cup of the supplement was consumed every 2 hours each day for a total of 8 cups a day. The supplements provided about 100 micromol quercetin glycosides and about 60 - 70 micromol kaempferol glycosides. Addition of milk to black tea (15 ml milk to 135 ml tea) did not change the area under the curve of the plasma concentration-time curve of quercetin or kaempferol. Plasma concentrations reached were about 50 nM quercetin and 30 - 45 nM kaempferol. We conclude that flavonols are absorbed from tea and that their bioavailability is not affected by addition of milk.","author":[{"dropping-particle":"","family":"Hollman","given":"Peter C.H.","non-dropping-particle":"","parse-names":false,"suffix":""},{"dropping-particle":"","family":"Hof","given":"Karin H.Van Het","non-dropping-particle":"","parse-names":false,"suffix":""},{"dropping-particle":"","family":"Tijburg","given":"Lilian B.M.","non-dropping-particle":"","parse-names":false,"suffix":""},{"dropping-particle":"","family":"Katan","given":"Martijn B.","non-dropping-particle":"","parse-names":false,"suffix":""}],"container-title":"Free Radical Research","id":"ITEM-1","issue":"3","issued":{"date-parts":[["2001"]]},"page":"297-300","title":"Addition of milk does not affect the absorption of flavonols from tea in man","type":"article-journal","volume":"34"},"uris":["http://www.mendeley.com/documents/?uuid=d3bd30de-0dd6-4c03-a0c9-eb80844efc2e"]},{"id":"ITEM-2","itemData":{"DOI":"10.1038/sj.ejcn.1600568","ISSN":"09543007","abstract":"OBJECTIVES: To assess the blood concentration of catechins following green or black tea ingestion and the effect of addition of milk to black tea. DESIGN: Twelve volunteers received a single dose of green tea, black tea and black tea with milk in a randomized cross-over design with one-week intervals. Blood samples were drawn before and up to eight hours after tea consumption. SETTING: The study was performed at the Unilever Research Vlaardingen in The Netherlands. SUBJECTS: Twelve healthy adult volunteers (7 females, 5 males) participated in the study. They were recruited among employees of Unilever Research Vlaardingen. INTERVENTIONS: Green tea, black tea and black tea with semi-skimmed milk (3 g tea solids each). RESULTS: Consumption of green tea (0.9 g total catechins) or black tea (0.3 g total catechins) resulted in a rapid increase of catechin levels in blood with an average maximum change from baseline (CVM) of 0.46 micromol/l (13%) after ingestion of green tea and 0.10 micromol/l (13%) in case of black tea. These maximum changes were reached after (mean (s.e.m.)) t=2.3 h (0.2) and t=2.2 h (0.2) for green and black tea respectively. Blood levels rapidly declined with an elimination rate (mean (CVM)) of t1/2=4.8 h (5%) for green tea and t1/2=6.9 h (8%) for black tea. Addition of milk to black tea (100 ml in 600 ml) did not significantly affect the blood catechin levels (areas under the curves (mean (CVM) of 0.53 h. micromol/l (11%) vs 0.60 h. micromol/l (9%) for black tea and black tea with milk respectively. CONCLUSION: Catechins from green tea and black tea are rapidly absorbed and milk does not impair the bioavailability of tea catechins.","author":[{"dropping-particle":"","family":"Hof","given":"K. H.","non-dropping-particle":"Van Het","parse-names":false,"suffix":""},{"dropping-particle":"","family":"Kivits","given":"G. A.A.","non-dropping-particle":"","parse-names":false,"suffix":""},{"dropping-particle":"","family":"Weststrate","given":"J. A.","non-dropping-particle":"","parse-names":false,"suffix":""},{"dropping-particle":"","family":"Tijburg","given":"L. B.M.","non-dropping-particle":"","parse-names":false,"suffix":""}],"container-title":"European Journal of Clinical Nutrition","id":"ITEM-2","issue":"5","issued":{"date-parts":[["1998"]]},"page":"356-359","title":"Bioavailability of catechins from tea: The effect of milk","type":"article-journal","volume":"52"},"uris":["http://www.mendeley.com/documents/?uuid=51c76507-0dd0-42b2-ae07-05982f68d99a"]}],"mendeley":{"formattedCitation":"(Hollman, Hof, Tijburg, &amp; Katan, 2001; Van Het Hof, Kivits, Weststrate, &amp; Tijburg, 1998)","plainTextFormattedCitation":"(Hollman, Hof, Tijburg, &amp; Katan, 2001; Van Het Hof, Kivits, Weststrate, &amp; Tijburg, 1998)","previouslyFormattedCitation":"(Hollman, Hof, Tijburg, &amp; Katan, 2001; Van Het Hof, Kivits, Weststrate, &amp; Tijburg, 1998)"},"properties":{"noteIndex":0},"schema":"https://github.com/citation-style-language/schema/raw/master/csl-citation.json"}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(Hollman, Hof, Tijburg, &amp; Katan, 2001; Van Het Hof, Kivits, Weststrate, &amp; Tijburg, 1998)</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w:t>
      </w:r>
    </w:p>
    <w:p w:rsidR="00CF1D1E" w:rsidRPr="00CF1D1E" w:rsidRDefault="00342C46" w:rsidP="00CF1D1E">
      <w:pPr>
        <w:spacing w:line="360" w:lineRule="auto"/>
        <w:ind w:firstLine="720"/>
        <w:jc w:val="both"/>
        <w:rPr>
          <w:rFonts w:ascii="Calibri" w:eastAsia="Calibri" w:hAnsi="Calibri" w:cs="Times New Roman"/>
          <w:sz w:val="24"/>
          <w:szCs w:val="24"/>
          <w:lang w:val="en"/>
        </w:rPr>
      </w:pPr>
      <w:r>
        <w:rPr>
          <w:rFonts w:ascii="Calibri" w:eastAsia="Calibri" w:hAnsi="Calibri" w:cs="Times New Roman"/>
          <w:sz w:val="24"/>
          <w:szCs w:val="24"/>
          <w:lang w:val="en"/>
        </w:rPr>
        <w:t>The term p</w:t>
      </w:r>
      <w:r w:rsidR="00CF1D1E" w:rsidRPr="00CF1D1E">
        <w:rPr>
          <w:rFonts w:ascii="Calibri" w:eastAsia="Calibri" w:hAnsi="Calibri" w:cs="Times New Roman"/>
          <w:sz w:val="24"/>
          <w:szCs w:val="24"/>
          <w:lang w:val="en"/>
        </w:rPr>
        <w:t>ost-fermentation refer</w:t>
      </w:r>
      <w:r>
        <w:rPr>
          <w:rFonts w:ascii="Calibri" w:eastAsia="Calibri" w:hAnsi="Calibri" w:cs="Times New Roman"/>
          <w:sz w:val="24"/>
          <w:szCs w:val="24"/>
          <w:lang w:val="en"/>
        </w:rPr>
        <w:t>s</w:t>
      </w:r>
      <w:r w:rsidR="00CF1D1E" w:rsidRPr="00CF1D1E">
        <w:rPr>
          <w:rFonts w:ascii="Calibri" w:eastAsia="Calibri" w:hAnsi="Calibri" w:cs="Times New Roman"/>
          <w:sz w:val="24"/>
          <w:szCs w:val="24"/>
          <w:lang w:val="en"/>
        </w:rPr>
        <w:t xml:space="preserve"> to teas that have been inoculated with microbes after the leaves have been processed and fermented in a traditional way. This is use in the preparation of Kombucha tea and is lauded for its probiotic benefits. Kombucha tea can be a fermentation of black or green tea. It is felt that this could provide an appealing future study of the chemistry involved.</w:t>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Tea processing is where much of the interesting biochemical transformations take place, post harvesting. The method used has a profound impact on the tea produced affecting flavour, </w:t>
      </w:r>
      <w:r w:rsidR="00EC508E">
        <w:rPr>
          <w:rFonts w:ascii="Calibri" w:eastAsia="Calibri" w:hAnsi="Calibri" w:cs="Times New Roman"/>
          <w:sz w:val="24"/>
          <w:szCs w:val="24"/>
          <w:lang w:val="en"/>
        </w:rPr>
        <w:t>odour</w:t>
      </w:r>
      <w:r w:rsidRPr="00CF1D1E">
        <w:rPr>
          <w:rFonts w:ascii="Calibri" w:eastAsia="Calibri" w:hAnsi="Calibri" w:cs="Times New Roman"/>
          <w:sz w:val="24"/>
          <w:szCs w:val="24"/>
          <w:lang w:val="en"/>
        </w:rPr>
        <w:t xml:space="preserve">, colour and the array of health giving components present including the </w:t>
      </w:r>
      <w:r w:rsidR="00BC20F7" w:rsidRPr="00CF1D1E">
        <w:rPr>
          <w:rFonts w:ascii="Calibri" w:eastAsia="Calibri" w:hAnsi="Calibri" w:cs="Times New Roman"/>
          <w:sz w:val="24"/>
          <w:szCs w:val="24"/>
          <w:lang w:val="en"/>
        </w:rPr>
        <w:t>all-important</w:t>
      </w:r>
      <w:r w:rsidRPr="00CF1D1E">
        <w:rPr>
          <w:rFonts w:ascii="Calibri" w:eastAsia="Calibri" w:hAnsi="Calibri" w:cs="Times New Roman"/>
          <w:sz w:val="24"/>
          <w:szCs w:val="24"/>
          <w:lang w:val="en"/>
        </w:rPr>
        <w:t xml:space="preserve"> polyphenolics. Processing techniques vary regionally and can involve hand only processing or </w:t>
      </w:r>
      <w:r w:rsidR="00342C46">
        <w:rPr>
          <w:rFonts w:ascii="Calibri" w:eastAsia="Calibri" w:hAnsi="Calibri" w:cs="Times New Roman"/>
          <w:sz w:val="24"/>
          <w:szCs w:val="24"/>
          <w:lang w:val="en"/>
        </w:rPr>
        <w:t>may</w:t>
      </w:r>
      <w:r w:rsidRPr="00CF1D1E">
        <w:rPr>
          <w:rFonts w:ascii="Calibri" w:eastAsia="Calibri" w:hAnsi="Calibri" w:cs="Times New Roman"/>
          <w:sz w:val="24"/>
          <w:szCs w:val="24"/>
          <w:lang w:val="en"/>
        </w:rPr>
        <w:t xml:space="preserve"> include the use of machines.</w:t>
      </w:r>
    </w:p>
    <w:p w:rsidR="00CF1D1E" w:rsidRPr="00CF1D1E" w:rsidRDefault="00CF1D1E" w:rsidP="00CF1D1E">
      <w:pPr>
        <w:spacing w:line="360" w:lineRule="auto"/>
        <w:ind w:firstLine="720"/>
        <w:jc w:val="both"/>
        <w:rPr>
          <w:rFonts w:ascii="Calibri" w:eastAsia="Calibri" w:hAnsi="Calibri" w:cs="Times New Roman"/>
        </w:rPr>
      </w:pPr>
      <w:r w:rsidRPr="00CF1D1E">
        <w:rPr>
          <w:rFonts w:ascii="Calibri" w:eastAsia="Calibri" w:hAnsi="Calibri" w:cs="Times New Roman"/>
          <w:sz w:val="24"/>
          <w:szCs w:val="24"/>
          <w:lang w:val="en"/>
        </w:rPr>
        <w:t xml:space="preserve">One of the most important factors in tea processing is the degree of oxidation (sometimes loosely referred to as fermentation) which is allowed to occur or is even promoted. Leaves may be ‘fixed’ in order to stop natural oxidation or </w:t>
      </w:r>
      <w:r w:rsidR="00342C46" w:rsidRPr="00342C46">
        <w:rPr>
          <w:rFonts w:ascii="Calibri" w:eastAsia="Calibri" w:hAnsi="Calibri" w:cs="Times New Roman"/>
          <w:sz w:val="24"/>
          <w:szCs w:val="24"/>
          <w:lang w:val="en"/>
        </w:rPr>
        <w:t>oxidation might be promoted by bringing polyphenolics in contact with the</w:t>
      </w:r>
      <w:r w:rsidR="00BC20F7">
        <w:rPr>
          <w:rFonts w:ascii="Calibri" w:eastAsia="Calibri" w:hAnsi="Calibri" w:cs="Times New Roman"/>
          <w:sz w:val="24"/>
          <w:szCs w:val="24"/>
          <w:lang w:val="en"/>
        </w:rPr>
        <w:t xml:space="preserve"> enzyme polyphenol oxidase (PPO</w:t>
      </w:r>
      <w:r w:rsidR="00342C46" w:rsidRPr="00342C46">
        <w:rPr>
          <w:rFonts w:ascii="Calibri" w:eastAsia="Calibri" w:hAnsi="Calibri" w:cs="Times New Roman"/>
          <w:sz w:val="24"/>
          <w:szCs w:val="24"/>
          <w:lang w:val="en"/>
        </w:rPr>
        <w:t xml:space="preserve">; EC </w:t>
      </w:r>
      <w:r w:rsidR="00342C46" w:rsidRPr="00342C46">
        <w:rPr>
          <w:rFonts w:ascii="Calibri" w:eastAsia="Calibri" w:hAnsi="Calibri" w:cs="Times New Roman"/>
          <w:sz w:val="24"/>
          <w:szCs w:val="24"/>
          <w:lang w:val="en"/>
        </w:rPr>
        <w:lastRenderedPageBreak/>
        <w:t>number 1.14.18.1). This is achieved by applying either the crush, tear, curl (CTC) method or orthodox methods</w:t>
      </w:r>
      <w:r w:rsidR="00604BEF">
        <w:rPr>
          <w:rFonts w:ascii="Calibri" w:eastAsia="Calibri" w:hAnsi="Calibri" w:cs="Times New Roman"/>
          <w:sz w:val="24"/>
          <w:szCs w:val="24"/>
          <w:lang w:val="en"/>
        </w:rPr>
        <w:t xml:space="preserve">. </w:t>
      </w:r>
      <w:r w:rsidRPr="00CF1D1E">
        <w:rPr>
          <w:rFonts w:ascii="Calibri" w:eastAsia="Calibri" w:hAnsi="Calibri" w:cs="Times New Roman"/>
          <w:sz w:val="24"/>
          <w:szCs w:val="24"/>
          <w:lang w:val="en"/>
        </w:rPr>
        <w:t xml:space="preserve">Generally, there are two classes of polyphenols present in tea leaves; flavanols and flavonols. In freshly harvested leaves the main polyphenolic component is flavan-3-ol (catechin). In the fresh, intact green leaves, the polyphenols and PPO are spatially separated. Polyphenols are located in the mesophyll cells in close proximity to the epidermis </w:t>
      </w:r>
      <w:r w:rsidR="00604BEF">
        <w:rPr>
          <w:rFonts w:ascii="Calibri" w:eastAsia="Calibri" w:hAnsi="Calibri" w:cs="Times New Roman"/>
          <w:sz w:val="24"/>
          <w:szCs w:val="24"/>
          <w:lang w:val="en"/>
        </w:rPr>
        <w:t>whereas</w:t>
      </w:r>
      <w:r w:rsidRPr="00CF1D1E">
        <w:rPr>
          <w:rFonts w:ascii="Calibri" w:eastAsia="Calibri" w:hAnsi="Calibri" w:cs="Times New Roman"/>
          <w:sz w:val="24"/>
          <w:szCs w:val="24"/>
          <w:lang w:val="en"/>
        </w:rPr>
        <w:t xml:space="preserve"> the enzymes of interest to tea processing are located in the epidermis and around the vascular bundles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{"citationItems":[{"id":"ITEM-1","itemData":{"DOI":"10.1039/b912523j","ISSN":"02650568","abstract":"This review summarises the chemistry of low molecular weight polyphenols isolated and characterised from black tea, discussing both structures identified and mechanisms of their likely formation.","author":[{"dropping-particle":"","family":"Drynan","given":"James Warren","non-dropping-particle":"","parse-names":false,"suffix":""},{"dropping-particle":"","family":"Clifford","given":"Michael N.","non-dropping-particle":"","parse-names":false,"suffix":""},{"dropping-particle":"","family":"Obuchowicz","given":"Jacek","non-dropping-particle":"","parse-names":false,"suffix":""},{"dropping-particle":"","family":"Kuhnert","given":"Nikolai","non-dropping-particle":"","parse-names":false,"suffix":""}],"container-title":"Natural Product Reports","id":"ITEM-1","issue":"3","issued":{"date-parts":[["2010"]]},"page":"417-462","title":"The chemistry of low molecular weight black tea polyphenols","type":"article-journal","volume":"27"},"uris":["http://www.mendeley.com/documents/?uuid=615f3d4e-2e67-4641-9f6c-cdd98adf4906"]}],"mendeley":{"formattedCitation":"(Drynan et al., 2010)","plainTextFormattedCitation":"(Drynan et al., 2010)","previouslyFormattedCitation":"(Drynan et al., 2010)"},"properties":{"noteIndex":0},"schema":"https://github.com/citation-style-language/schema/raw/master/csl-citation.json"}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 xml:space="preserve">(Drynan </w:t>
      </w:r>
      <w:r w:rsidR="00941740" w:rsidRPr="007B580F">
        <w:rPr>
          <w:rFonts w:ascii="Calibri" w:eastAsia="Calibri" w:hAnsi="Calibri" w:cs="Times New Roman"/>
          <w:i/>
          <w:noProof/>
          <w:sz w:val="24"/>
          <w:szCs w:val="24"/>
          <w:lang w:val="en"/>
        </w:rPr>
        <w:t>et al</w:t>
      </w:r>
      <w:r w:rsidR="00941740" w:rsidRPr="00941740">
        <w:rPr>
          <w:rFonts w:ascii="Calibri" w:eastAsia="Calibri" w:hAnsi="Calibri" w:cs="Times New Roman"/>
          <w:noProof/>
          <w:sz w:val="24"/>
          <w:szCs w:val="24"/>
          <w:lang w:val="en"/>
        </w:rPr>
        <w:t>., 2010)</w:t>
      </w:r>
      <w:r w:rsidRPr="00CF1D1E">
        <w:rPr>
          <w:rFonts w:ascii="Calibri" w:eastAsia="Calibri" w:hAnsi="Calibri" w:cs="Times New Roman"/>
          <w:sz w:val="24"/>
          <w:szCs w:val="24"/>
          <w:lang w:val="en"/>
        </w:rPr>
        <w:fldChar w:fldCharType="end"/>
      </w:r>
      <w:r w:rsidR="00BA63EF">
        <w:rPr>
          <w:rFonts w:ascii="Calibri" w:eastAsia="Calibri" w:hAnsi="Calibri" w:cs="Times New Roman"/>
          <w:sz w:val="24"/>
          <w:szCs w:val="24"/>
          <w:lang w:val="en"/>
        </w:rPr>
        <w:t xml:space="preserve"> (see Fig.68</w:t>
      </w:r>
      <w:r w:rsidRPr="00CF1D1E">
        <w:rPr>
          <w:rFonts w:ascii="Calibri" w:eastAsia="Calibri" w:hAnsi="Calibri" w:cs="Times New Roman"/>
          <w:sz w:val="24"/>
          <w:szCs w:val="24"/>
          <w:lang w:val="en"/>
        </w:rPr>
        <w:t>). Distribution even within the mesophyll tissue has been shown to be inhomogeneous and their concentration is highest next to the epidermis or inside the larger vacuoles within the mesophyllic cells. To start the oxidation process, which is required for the production of teas like oolong and bla</w:t>
      </w:r>
      <w:r w:rsidR="00604BEF">
        <w:rPr>
          <w:rFonts w:ascii="Calibri" w:eastAsia="Calibri" w:hAnsi="Calibri" w:cs="Times New Roman"/>
          <w:sz w:val="24"/>
          <w:szCs w:val="24"/>
          <w:lang w:val="en"/>
        </w:rPr>
        <w:t>ck teas, the tea polyphenols need to be</w:t>
      </w:r>
      <w:r w:rsidRPr="00CF1D1E">
        <w:rPr>
          <w:rFonts w:ascii="Calibri" w:eastAsia="Calibri" w:hAnsi="Calibri" w:cs="Times New Roman"/>
          <w:sz w:val="24"/>
          <w:szCs w:val="24"/>
          <w:lang w:val="en"/>
        </w:rPr>
        <w:t xml:space="preserve"> brought in contact with the copper containing PPO enzyme.</w:t>
      </w:r>
      <w:r w:rsidRPr="00CF1D1E">
        <w:rPr>
          <w:rFonts w:ascii="Calibri" w:eastAsia="Calibri" w:hAnsi="Calibri" w:cs="Times New Roman"/>
        </w:rPr>
        <w:t xml:space="preserve"> </w:t>
      </w:r>
    </w:p>
    <w:p w:rsidR="00CF1D1E" w:rsidRPr="00604BEF"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Polyphenol oxidases (tyrosinases) are enzymes with a dinuclear copper centre. They are able to insert oxygen in a position </w:t>
      </w:r>
      <w:proofErr w:type="spellStart"/>
      <w:r w:rsidRPr="00CF1D1E">
        <w:rPr>
          <w:rFonts w:ascii="Calibri" w:eastAsia="Calibri" w:hAnsi="Calibri" w:cs="Times New Roman"/>
          <w:i/>
          <w:sz w:val="24"/>
          <w:szCs w:val="24"/>
          <w:lang w:val="en"/>
        </w:rPr>
        <w:t>ortho</w:t>
      </w:r>
      <w:proofErr w:type="spellEnd"/>
      <w:r w:rsidRPr="00CF1D1E">
        <w:rPr>
          <w:rFonts w:ascii="Calibri" w:eastAsia="Calibri" w:hAnsi="Calibri" w:cs="Times New Roman"/>
          <w:sz w:val="24"/>
          <w:szCs w:val="24"/>
          <w:lang w:val="en"/>
        </w:rPr>
        <w:t xml:space="preserve">- to an existing hydroxyl group in an aromatic ring, followed by the oxidation of the diphenol to the corresponding quinone. Molecular oxygen is used in the reaction. The structure of the active site of the enzyme, in which copper is bound by 6 or 7 </w:t>
      </w:r>
      <w:r w:rsidRPr="00604BEF">
        <w:rPr>
          <w:rFonts w:ascii="Calibri" w:eastAsia="Calibri" w:hAnsi="Calibri" w:cs="Times New Roman"/>
          <w:sz w:val="24"/>
          <w:szCs w:val="24"/>
          <w:lang w:val="en"/>
        </w:rPr>
        <w:t xml:space="preserve">histidine residues and a single cysteine residue has remained relatively </w:t>
      </w:r>
      <w:r w:rsidR="00604BEF" w:rsidRPr="00604BEF">
        <w:rPr>
          <w:rFonts w:ascii="Calibri" w:eastAsia="Calibri" w:hAnsi="Calibri" w:cs="Times New Roman"/>
          <w:sz w:val="24"/>
          <w:szCs w:val="24"/>
          <w:lang w:val="en"/>
        </w:rPr>
        <w:t>conserved</w:t>
      </w:r>
      <w:r w:rsidR="00604BEF">
        <w:rPr>
          <w:rFonts w:ascii="Calibri" w:eastAsia="Calibri" w:hAnsi="Calibri" w:cs="Times New Roman"/>
          <w:sz w:val="24"/>
          <w:szCs w:val="24"/>
          <w:lang w:val="en"/>
        </w:rPr>
        <w:t xml:space="preserve"> </w:t>
      </w:r>
      <w:r w:rsidRPr="00604BEF">
        <w:rPr>
          <w:rFonts w:ascii="Calibri" w:eastAsia="Calibri" w:hAnsi="Calibri" w:cs="Times New Roman"/>
          <w:sz w:val="24"/>
          <w:szCs w:val="24"/>
        </w:rPr>
        <w:t xml:space="preserve">although </w:t>
      </w:r>
      <w:r w:rsidRPr="00604BEF">
        <w:rPr>
          <w:rFonts w:ascii="Calibri" w:eastAsia="Calibri" w:hAnsi="Calibri" w:cs="Times New Roman"/>
          <w:sz w:val="24"/>
          <w:szCs w:val="24"/>
          <w:lang w:val="en"/>
        </w:rPr>
        <w:t xml:space="preserve">the amino acid sequence shows very considerable variability amongst species. The enzyme is found to be almost universally </w:t>
      </w:r>
      <w:r w:rsidR="00604BEF">
        <w:rPr>
          <w:rFonts w:ascii="Calibri" w:eastAsia="Calibri" w:hAnsi="Calibri" w:cs="Times New Roman"/>
          <w:sz w:val="24"/>
          <w:szCs w:val="24"/>
          <w:lang w:val="en"/>
        </w:rPr>
        <w:t>present</w:t>
      </w:r>
      <w:r w:rsidRPr="00604BEF">
        <w:rPr>
          <w:rFonts w:ascii="Calibri" w:eastAsia="Calibri" w:hAnsi="Calibri" w:cs="Times New Roman"/>
          <w:sz w:val="24"/>
          <w:szCs w:val="24"/>
          <w:lang w:val="en"/>
        </w:rPr>
        <w:t xml:space="preserve"> in animals, plants, fungi and bacteria </w:t>
      </w:r>
      <w:r w:rsidRPr="00604BEF">
        <w:rPr>
          <w:rFonts w:ascii="Calibri" w:eastAsia="Calibri" w:hAnsi="Calibri" w:cs="Times New Roman"/>
          <w:sz w:val="24"/>
          <w:szCs w:val="24"/>
          <w:lang w:val="en"/>
        </w:rPr>
        <w:fldChar w:fldCharType="begin" w:fldLock="1"/>
      </w:r>
      <w:r w:rsidR="00595237" w:rsidRPr="00604BEF">
        <w:rPr>
          <w:rFonts w:ascii="Calibri" w:eastAsia="Calibri" w:hAnsi="Calibri" w:cs="Times New Roman"/>
          <w:sz w:val="24"/>
          <w:szCs w:val="24"/>
          <w:lang w:val="en"/>
        </w:rPr>
        <w:instrText>ADDIN CSL_CITATION {"citationItems":[{"id":"ITEM-1","itemData":{"DOI":"10.1016/j.phytochem.2006.08.006","ISSN":"00319422","abstract":"The more recent reports on polyphenol oxidase in plants and fungi are reviewed. The main aspects considered are the structure, distribution, location and properties of polyphenol oxidase (PPO) as well as newly discovered inhibitors of the enzyme. Particular stress is given to the possible function of the enzyme. The cloning and characterization of a large number of PPOs is surveyed. Although the active site of the enzyme is conserved, the amino acid sequence shows very considerable variability among species. Most plants and fungi PPO have multiple forms of PPO. Expression of the genes coding for the enzyme is tissue specific and also developmentally controlled. Many inhibitors of PPO have been described, which belong to very diverse chemical structures; however, their usefulness for controlling PPO activity remains in doubt. The function of PPO still remains enigmatic. In plants the positive correlation between levels of PPO and the resistance to pathogens and herbivores is frequently observed, but convincing proof of a causal relationship, in most cases, still has not been published. Evidence for the induction of PPO in plants, particularly under conditions of stress and pathogen attack is considered, including the role of jasmonate in the induction process. A clear role of PPO in a least two biosynthetic processes has been clearly demonstrated. In both cases a very high degree of substrate specificity has been found. In fungi, the function of PPO is probably different from that in plants, but there is some evidence indicating that here too PPO has a role in defense against pathogens. PPO also may be a pathogenic factor during the attack of fungi on other organisms. Although many details about structure and probably function of PPO have been revealed in the period reviewed, some of the basic questions raised over the years remain to be answered. © 2006 Elsevier Ltd. All rights reserved.","author":[{"dropping-particle":"","family":"Mayer","given":"Alfred M.","non-dropping-particle":"","parse-names":false,"suffix":""}],"container-title":"Phytochemistry","id":"ITEM-1","issue":"21","issued":{"date-parts":[["2006"]]},"page":"2318-2331","title":"Polyphenol oxidases in plants and fungi: Going places? A review","type":"article-journal","volume":"67"},"uris":["http://www.mendeley.com/documents/?uuid=5fd997f9-ff57-4c5a-9ffa-c15fad1e941c"]}],"mendeley":{"formattedCitation":"(Mayer, 2006)","plainTextFormattedCitation":"(Mayer, 2006)","previouslyFormattedCitation":"(Mayer, 2006)"},"properties":{"noteIndex":0},"schema":"https://github.com/citation-style-language/schema/raw/master/csl-citation.json"}</w:instrText>
      </w:r>
      <w:r w:rsidRPr="00604BEF">
        <w:rPr>
          <w:rFonts w:ascii="Calibri" w:eastAsia="Calibri" w:hAnsi="Calibri" w:cs="Times New Roman"/>
          <w:sz w:val="24"/>
          <w:szCs w:val="24"/>
          <w:lang w:val="en"/>
        </w:rPr>
        <w:fldChar w:fldCharType="separate"/>
      </w:r>
      <w:r w:rsidR="00941740" w:rsidRPr="00604BEF">
        <w:rPr>
          <w:rFonts w:ascii="Calibri" w:eastAsia="Calibri" w:hAnsi="Calibri" w:cs="Times New Roman"/>
          <w:noProof/>
          <w:sz w:val="24"/>
          <w:szCs w:val="24"/>
          <w:lang w:val="en"/>
        </w:rPr>
        <w:t>(Mayer, 2006)</w:t>
      </w:r>
      <w:r w:rsidRPr="00604BEF">
        <w:rPr>
          <w:rFonts w:ascii="Calibri" w:eastAsia="Calibri" w:hAnsi="Calibri" w:cs="Times New Roman"/>
          <w:sz w:val="24"/>
          <w:szCs w:val="24"/>
          <w:lang w:val="en"/>
        </w:rPr>
        <w:fldChar w:fldCharType="end"/>
      </w:r>
      <w:r w:rsidRPr="00604BEF">
        <w:rPr>
          <w:rFonts w:ascii="Calibri" w:eastAsia="Calibri" w:hAnsi="Calibri" w:cs="Times New Roman"/>
          <w:sz w:val="24"/>
          <w:szCs w:val="24"/>
          <w:lang w:val="en"/>
        </w:rPr>
        <w:t xml:space="preserve">. </w:t>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ab/>
        <w:t>The CTC method involves the use of machinery to slice, crush and bruise the tea leaves using rotor vanes and rollers. This method is widely used in Kenya and Sri Lanka for the processing of black tea.</w:t>
      </w:r>
    </w:p>
    <w:p w:rsidR="00CF1D1E" w:rsidRPr="00CF1D1E" w:rsidRDefault="00CF1D1E" w:rsidP="00CF1D1E">
      <w:pPr>
        <w:spacing w:line="360" w:lineRule="auto"/>
        <w:jc w:val="both"/>
        <w:rPr>
          <w:rFonts w:ascii="Calibri" w:eastAsia="Calibri" w:hAnsi="Calibri" w:cs="Times New Roman"/>
          <w:sz w:val="24"/>
          <w:szCs w:val="24"/>
          <w:lang w:val="en"/>
        </w:rPr>
      </w:pPr>
    </w:p>
    <w:p w:rsidR="00CF1D1E" w:rsidRPr="00CF1D1E" w:rsidRDefault="00CF1D1E" w:rsidP="00CF1D1E">
      <w:pPr>
        <w:spacing w:line="360" w:lineRule="auto"/>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w:drawing>
          <wp:inline distT="0" distB="0" distL="0" distR="0" wp14:anchorId="0C1F40DA" wp14:editId="2607A2A5">
            <wp:extent cx="5750552" cy="3835400"/>
            <wp:effectExtent l="0" t="0" r="317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Leaf_Tissue_Structure Wikipeadia.png"/>
                    <pic:cNvPicPr/>
                  </pic:nvPicPr>
                  <pic:blipFill>
                    <a:blip r:embed="rId105">
                      <a:extLst>
                        <a:ext uri="{28A0092B-C50C-407E-A947-70E740481C1C}">
                          <a14:useLocalDpi xmlns:a14="http://schemas.microsoft.com/office/drawing/2010/main" val="0"/>
                        </a:ext>
                      </a:extLst>
                    </a:blip>
                    <a:stretch>
                      <a:fillRect/>
                    </a:stretch>
                  </pic:blipFill>
                  <pic:spPr>
                    <a:xfrm>
                      <a:off x="0" y="0"/>
                      <a:ext cx="5750552" cy="3835400"/>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sz w:val="20"/>
          <w:szCs w:val="20"/>
          <w:lang w:val="en"/>
        </w:rPr>
      </w:pPr>
      <w:r w:rsidRPr="00CF1D1E">
        <w:rPr>
          <w:rFonts w:ascii="Calibri" w:eastAsia="Calibri" w:hAnsi="Calibri" w:cs="Times New Roman"/>
          <w:sz w:val="20"/>
          <w:szCs w:val="20"/>
          <w:lang w:val="en"/>
        </w:rPr>
        <w:t>Fig.6</w:t>
      </w:r>
      <w:r w:rsidR="00601064">
        <w:rPr>
          <w:rFonts w:ascii="Calibri" w:eastAsia="Calibri" w:hAnsi="Calibri" w:cs="Times New Roman"/>
          <w:sz w:val="20"/>
          <w:szCs w:val="20"/>
          <w:lang w:val="en"/>
        </w:rPr>
        <w:t xml:space="preserve">8 </w:t>
      </w:r>
      <w:r w:rsidRPr="00CF1D1E">
        <w:rPr>
          <w:rFonts w:ascii="Calibri" w:eastAsia="Calibri" w:hAnsi="Calibri" w:cs="Times New Roman"/>
          <w:sz w:val="20"/>
          <w:szCs w:val="20"/>
          <w:lang w:val="en"/>
        </w:rPr>
        <w:t>Leaf tissue structure.</w:t>
      </w:r>
    </w:p>
    <w:p w:rsidR="00CF1D1E" w:rsidRPr="00CF1D1E" w:rsidRDefault="00CF1D1E" w:rsidP="00CF1D1E">
      <w:pPr>
        <w:spacing w:line="360" w:lineRule="auto"/>
        <w:rPr>
          <w:rFonts w:ascii="Calibri" w:eastAsia="Calibri" w:hAnsi="Calibri" w:cs="Times New Roman"/>
          <w:color w:val="000000"/>
          <w:sz w:val="20"/>
          <w:szCs w:val="20"/>
          <w:lang w:val="en"/>
        </w:rPr>
      </w:pPr>
      <w:r w:rsidRPr="00CF1D1E">
        <w:rPr>
          <w:rFonts w:ascii="Calibri" w:eastAsia="Calibri" w:hAnsi="Calibri" w:cs="Times New Roman"/>
          <w:sz w:val="20"/>
          <w:szCs w:val="20"/>
          <w:lang w:val="en"/>
        </w:rPr>
        <w:t xml:space="preserve">(By </w:t>
      </w:r>
      <w:proofErr w:type="spellStart"/>
      <w:r w:rsidRPr="00CF1D1E">
        <w:rPr>
          <w:rFonts w:ascii="Calibri" w:eastAsia="Calibri" w:hAnsi="Calibri" w:cs="Times New Roman"/>
          <w:sz w:val="20"/>
          <w:szCs w:val="20"/>
          <w:lang w:val="en"/>
        </w:rPr>
        <w:t>Zephyris</w:t>
      </w:r>
      <w:proofErr w:type="spellEnd"/>
      <w:r w:rsidRPr="00CF1D1E">
        <w:rPr>
          <w:rFonts w:ascii="Calibri" w:eastAsia="Calibri" w:hAnsi="Calibri" w:cs="Times New Roman"/>
          <w:sz w:val="20"/>
          <w:szCs w:val="20"/>
          <w:lang w:val="en"/>
        </w:rPr>
        <w:t xml:space="preserve"> [CC BY-SA 3.0 (</w:t>
      </w:r>
      <w:hyperlink r:id="rId106" w:history="1">
        <w:r w:rsidRPr="00CF1D1E">
          <w:rPr>
            <w:rFonts w:ascii="Calibri" w:eastAsia="Calibri" w:hAnsi="Calibri" w:cs="Times New Roman"/>
            <w:color w:val="000000"/>
            <w:sz w:val="20"/>
            <w:szCs w:val="20"/>
            <w:u w:val="single"/>
            <w:lang w:val="en"/>
          </w:rPr>
          <w:t>https://creativecommons.org/licenses/by-sa/3.0</w:t>
        </w:r>
      </w:hyperlink>
      <w:r w:rsidRPr="00CF1D1E">
        <w:rPr>
          <w:rFonts w:ascii="Calibri" w:eastAsia="Calibri" w:hAnsi="Calibri" w:cs="Times New Roman"/>
          <w:color w:val="000000"/>
          <w:sz w:val="20"/>
          <w:szCs w:val="20"/>
          <w:lang w:val="en"/>
        </w:rPr>
        <w:t xml:space="preserve">)] </w:t>
      </w:r>
    </w:p>
    <w:p w:rsidR="00CF1D1E" w:rsidRPr="00CF1D1E" w:rsidRDefault="00CF1D1E" w:rsidP="00CF1D1E">
      <w:pPr>
        <w:spacing w:line="360" w:lineRule="auto"/>
        <w:rPr>
          <w:rFonts w:ascii="Calibri" w:eastAsia="Calibri" w:hAnsi="Calibri" w:cs="Times New Roman"/>
          <w:sz w:val="20"/>
          <w:szCs w:val="20"/>
          <w:lang w:val="en"/>
        </w:rPr>
      </w:pPr>
    </w:p>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ab/>
        <w:t xml:space="preserve">The orthodox method employs a more hands-on approach to preserve as much of the whole leaf as possible. This method leads to what is believed to be a higher quality tea, which in turn is sold for a higher price. </w:t>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ab/>
        <w:t xml:space="preserve">The processing of white tea is the simplest: it is plucked, withered and sorted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{"citationItems":[{"id":"ITEM-1","itemData":{"DOI":"10.1007/s00003-007-0250-3","ISSN":"16615751","abstract":"An overview is given on the manufacture of the different types of tea along with the most important phenolics present in tea and methods of analysis. Compositional data are presented for green, white and black teas. A differentiation of green and black tea by using the ratio between total phenolics and sum of the major catechins seems to be feasible. For white tea there is no general accepted definition. Possible approaches are geographic origin, the botanical variety and the manufacture or the appearance. The differentiation between green and white teas by the ratio mentioned above is not possible.","author":[{"dropping-particle":"","family":"Hilal","given":"Y.","non-dropping-particle":"","parse-names":false,"suffix":""},{"dropping-particle":"","family":"Engelhardt","given":"U.","non-dropping-particle":"","parse-names":false,"suffix":""}],"container-title":"Journal fur Verbraucherschutz und Lebensmittelsicherheit","id":"ITEM-1","issue":"4","issued":{"date-parts":[["2007"]]},"page":"414-421","title":"Characterisation of white tea - Comparison to green and black tea","type":"article-journal","volume":"2"},"uris":["http://www.mendeley.com/documents/?uuid=2957bb75-648e-4078-a551-50e4d8afb9c5"]}],"mendeley":{"formattedCitation":"(Hilal &amp; Engelhardt, 2007)","plainTextFormattedCitation":"(Hilal &amp; Engelhardt, 2007)","previouslyFormattedCitation":"(Hilal &amp; Engelhardt, 2007)"},"properties":{"noteIndex":0},"schema":"https://github.com/citation-style-language/schema/raw/master/csl-citation.json"}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(Hilal &amp; Engelhardt, 2007)</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xml:space="preserve">. The function of withering is to remove much of the moisture from the leaves to make them pliable. This is either done </w:t>
      </w:r>
      <w:r w:rsidR="00684180">
        <w:rPr>
          <w:rFonts w:ascii="Calibri" w:eastAsia="Calibri" w:hAnsi="Calibri" w:cs="Times New Roman"/>
          <w:sz w:val="24"/>
          <w:szCs w:val="24"/>
          <w:lang w:val="en"/>
        </w:rPr>
        <w:t>by air drying in the sun</w:t>
      </w:r>
      <w:r w:rsidRPr="00CF1D1E">
        <w:rPr>
          <w:rFonts w:ascii="Calibri" w:eastAsia="Calibri" w:hAnsi="Calibri" w:cs="Times New Roman"/>
          <w:sz w:val="24"/>
          <w:szCs w:val="24"/>
          <w:lang w:val="en"/>
        </w:rPr>
        <w:t xml:space="preserve"> or in a controlled </w:t>
      </w:r>
      <w:r w:rsidRPr="00CF1D1E">
        <w:rPr>
          <w:rFonts w:ascii="Calibri" w:eastAsia="Calibri" w:hAnsi="Calibri" w:cs="Times New Roman"/>
          <w:sz w:val="24"/>
          <w:szCs w:val="24"/>
          <w:lang w:val="en"/>
        </w:rPr>
        <w:lastRenderedPageBreak/>
        <w:t>factory environment.</w:t>
      </w:r>
      <w:r w:rsidR="00684180">
        <w:rPr>
          <w:rFonts w:ascii="Calibri" w:eastAsia="Calibri" w:hAnsi="Calibri" w:cs="Times New Roman"/>
          <w:sz w:val="24"/>
          <w:szCs w:val="24"/>
          <w:lang w:val="en"/>
        </w:rPr>
        <w:t xml:space="preserve"> Other e</w:t>
      </w:r>
      <w:r w:rsidRPr="00CF1D1E">
        <w:rPr>
          <w:rFonts w:ascii="Calibri" w:eastAsia="Calibri" w:hAnsi="Calibri" w:cs="Times New Roman"/>
          <w:sz w:val="24"/>
          <w:szCs w:val="24"/>
          <w:lang w:val="en"/>
        </w:rPr>
        <w:t xml:space="preserve">lements, such as stems, are removed by sorting, which is also part of the tea grading process. </w:t>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Green tea, yellow tea and purple tea undergo the necessary step of ‘fixing’ before sorting but do not undergo the withering step. Purple tea does undergo </w:t>
      </w:r>
      <w:r w:rsidRPr="00CF1D1E">
        <w:rPr>
          <w:rFonts w:ascii="Calibri" w:eastAsia="Calibri" w:hAnsi="Calibri" w:cs="Times New Roman"/>
          <w:i/>
          <w:sz w:val="24"/>
          <w:szCs w:val="24"/>
          <w:lang w:val="en"/>
        </w:rPr>
        <w:t>slight</w:t>
      </w:r>
      <w:r w:rsidRPr="00CF1D1E">
        <w:rPr>
          <w:rFonts w:ascii="Calibri" w:eastAsia="Calibri" w:hAnsi="Calibri" w:cs="Times New Roman"/>
          <w:sz w:val="24"/>
          <w:szCs w:val="24"/>
          <w:lang w:val="en"/>
        </w:rPr>
        <w:t xml:space="preserve"> withering though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{"citationItems":[{"id":"ITEM-1","itemData":{"URL":"http://purpleteaexperience.com/process-purpletea/","accessed":{"date-parts":[["2019","6","23"]]},"author":[{"dropping-particle":"","family":"Experience","given":"Purple Tea","non-dropping-particle":"","parse-names":false,"suffix":""}],"container-title":"www","id":"ITEM-1","issued":{"date-parts":[["2019"]]},"title":"The Process of Purple Tea - Purple Tea Experience","type":"webpage"},"uris":["http://www.mendeley.com/documents/?uuid=b3ccafe8-19cd-31c5-9da7-14f9ed0bf10d"]}],"mendeley":{"formattedCitation":"(Experience, 2019)","manualFormatting":"(Experience, 2019.)","plainTextFormattedCitation":"(Experience, 2019)","previouslyFormattedCitation":"(Experience, 2019)"},"properties":{"noteIndex":0},"schema":"https://github.com/citation-style-language/schema/raw/master/csl-citation.json"}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Pr="00CF1D1E">
        <w:rPr>
          <w:rFonts w:ascii="Calibri" w:eastAsia="Calibri" w:hAnsi="Calibri" w:cs="Times New Roman"/>
          <w:noProof/>
          <w:sz w:val="24"/>
          <w:szCs w:val="24"/>
          <w:lang w:val="en"/>
        </w:rPr>
        <w:t>(Experience, 2019.)</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xml:space="preserve">. The fixing step involves pan firing the leaves (the use of direct heat by ‘frying’ leaves in a pan) in order to denature the enzymes and prevent oxidation. In Japan, steaming is used to perform the fixing step which adds another difference to processing and therefore flavour and smell. After fixing, yellow tea is wrapped in damp cloths for prolonged periods or an enclosed humid container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{"citationItems":[{"id":"ITEM-1","itemData":{"DOI":"10.1016/j.lwt.2015.01.003","ISSN":"00236438","abstract":"A new HPLC-DAD-MS method was developed to compare the major constituents in 7 types of processed tea, namely green tea, yellow tea, white tea, oolong tea, black tea, aged pu-erh tea and ripened pu-erh tea. MS was used for identification in positive ion mode, and DAD was used for quantification at wavelength of 210nm. Ten components were simultaneously determined in 74 tea samples representing 7 processing types, and then principal component analysis (PCA) and hierarchical cluster analysis (HCA) were used to distinguish and classify between the samples. The results demonstrate that the contents of the major constituents significantly varied among the 7 types of tea. Unique aspects of each type of processing were correlated with unique aspects of the chemistry of the tea. The 7 types of processed tea were successfully divided into four categories based on our determination and chemometrics analysis. Our present method was adaptable for the comparative study of processed tea, which significantly contributes to discrimination and quality evaluation of teas.","author":[{"dropping-particle":"","family":"Yi","given":"Tao","non-dropping-particle":"","parse-names":false,"suffix":""},{"dropping-particle":"","family":"Zhu","given":"Lin","non-dropping-particle":"","parse-names":false,"suffix":""},{"dropping-particle":"","family":"Peng","given":"Wan Ling","non-dropping-particle":"","parse-names":false,"suffix":""},{"dropping-particle":"","family":"He","given":"Xi Cheng","non-dropping-particle":"","parse-names":false,"suffix":""},{"dropping-particle":"","family":"Chen","given":"Hong Li","non-dropping-particle":"","parse-names":false,"suffix":""},{"dropping-particle":"","family":"Li","given":"Jie","non-dropping-particle":"","parse-names":false,"suffix":""},{"dropping-particle":"","family":"Yu","given":"Tao","non-dropping-particle":"","parse-names":false,"suffix":""},{"dropping-particle":"","family":"Liang","given":"Zhi Tao","non-dropping-particle":"","parse-names":false,"suffix":""},{"dropping-particle":"","family":"Zhao","given":"Zhong Zhen","non-dropping-particle":"","parse-names":false,"suffix":""},{"dropping-particle":"","family":"Chen","given":"Hu Biao","non-dropping-particle":"","parse-names":false,"suffix":""}],"container-title":"LWT - Food Science and Technology","id":"ITEM-1","issue":"1","issued":{"date-parts":[["2015"]]},"page":"194-201","publisher":"Elsevier Ltd","title":"Comparison of ten major constituents in seven types of processed tea using HPLC-DAD-MS followed by principal component and hierarchical cluster analysis","type":"article-journal","volume":"62"},"uris":["http://www.mendeley.com/documents/?uuid=9086ff89-423d-421d-972d-85ebeebd49ca"]}],"mendeley":{"formattedCitation":"(Yi et al., 2015)","plainTextFormattedCitation":"(Yi et al., 2015)","previouslyFormattedCitation":"(Yi et al., 2015)"},"properties":{"noteIndex":0},"schema":"https://github.com/citation-style-language/schema/raw/master/csl-citation.json"}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 xml:space="preserve">(Yi </w:t>
      </w:r>
      <w:r w:rsidR="00941740" w:rsidRPr="007B580F">
        <w:rPr>
          <w:rFonts w:ascii="Calibri" w:eastAsia="Calibri" w:hAnsi="Calibri" w:cs="Times New Roman"/>
          <w:i/>
          <w:noProof/>
          <w:sz w:val="24"/>
          <w:szCs w:val="24"/>
          <w:lang w:val="en"/>
        </w:rPr>
        <w:t>et al</w:t>
      </w:r>
      <w:r w:rsidR="00941740" w:rsidRPr="00941740">
        <w:rPr>
          <w:rFonts w:ascii="Calibri" w:eastAsia="Calibri" w:hAnsi="Calibri" w:cs="Times New Roman"/>
          <w:noProof/>
          <w:sz w:val="24"/>
          <w:szCs w:val="24"/>
          <w:lang w:val="en"/>
        </w:rPr>
        <w:t>., 2015)</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xml:space="preserve"> in a process referred to as ‘heaping’ or ‘men huang’. This leads to the yellow cast, which is a feature of this type of tea.</w:t>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Black, Oolong and Pu’er tea go through the rolling process in order break down the cell walls which optimizes oxidation for black and oolong teas. </w:t>
      </w:r>
      <w:r w:rsidR="00684180" w:rsidRPr="00CF1D1E">
        <w:rPr>
          <w:rFonts w:ascii="Calibri" w:eastAsia="Calibri" w:hAnsi="Calibri" w:cs="Times New Roman"/>
          <w:sz w:val="24"/>
          <w:szCs w:val="24"/>
          <w:lang w:val="en"/>
        </w:rPr>
        <w:t xml:space="preserve">Pu’er </w:t>
      </w:r>
      <w:r w:rsidRPr="00CF1D1E">
        <w:rPr>
          <w:rFonts w:ascii="Calibri" w:eastAsia="Calibri" w:hAnsi="Calibri" w:cs="Times New Roman"/>
          <w:sz w:val="24"/>
          <w:szCs w:val="24"/>
          <w:lang w:val="en"/>
        </w:rPr>
        <w:t xml:space="preserve">tea goes on to be steamed and formed into cakes, ready for fermentation. Black and oolong proceed to the oxidation step where black tea is taken to complete oxidation and oolong tea is allowed to go to a desired level of oxidation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{"citationItems":[{"id":"ITEM-1","itemData":{"DOI":"10.1111/j.1365-2621.2010.02224.x","ISSN":"09505423","abstract":"Properties of leaf and infusion colours, chemical components and volatile flavour compounds of oolong teas and their correlation with perceived quality score given by tea-tasting panel were analysed. The scores for appearance and infused leaf correlate strongly with concentrations of chlorophyll a (chl a), chlorophyll (chl b) and chlorophyll (chl) (r = 0.355-0.433, P &lt; 0.05) and the total quality score (TQS) positively correlated with concentrations of chl a, chl b and chl (r = 0.517-0.533, P &lt; 0.01). The perceived taste score and TQS positively correlated with the concentration of total free amino acid (r = 0.514, 0/694, P &lt; 0.01) and theanine (r = 0.500, 0.684, P &lt; 0.01). The volatile composition and their quantities varied videly among oolong tea samples. Nerolidol, indol, benzeneacetaldehyde, linalool, linalool oxide I, hexanal, benzyl nitrile, geraniol and 1-penten-3-ol were prevailing volatile compounds detected in most of oolong tea samples. Principal component analysis screened ten principal components with the firts three (glutamic acid, total catechins and benzeneacetaldehyde) explaining 27.86%, 20.00% and 14.46% of the total variance. respectively. Regression analysis upon the ten principal components formulated a prediction model on the total quality score with 78.5% probability. The result showed that oolong teas couble be partially classified by cluster analysis based on principal components.","author":[{"dropping-particle":"","family":"Wang","given":"Kunbo","non-dropping-particle":"","parse-names":false,"suffix":""},{"dropping-particle":"","family":"Liu","given":"Fang","non-dropping-particle":"","parse-names":false,"suffix":""},{"dropping-particle":"","family":"Liu","given":"Zhonghua","non-dropping-particle":"","parse-names":false,"suffix":""},{"dropping-particle":"","family":"Huang","given":"Jianan","non-dropping-particle":"","parse-names":false,"suffix":""},{"dropping-particle":"","family":"Xu","given":"Zhongxi","non-dropping-particle":"","parse-names":false,"suffix":""},{"dropping-particle":"","family":"Li","given":"Yinhua","non-dropping-particle":"","parse-names":false,"suffix":""},{"dropping-particle":"","family":"Chen","given":"Jinhua","non-dropping-particle":"","parse-names":false,"suffix":""},{"dropping-particle":"","family":"Gong","given":"Yushun","non-dropping-particle":"","parse-names":false,"suffix":""},{"dropping-particle":"","family":"Yang","given":"Xinghe","non-dropping-particle":"","parse-names":false,"suffix":""}],"container-title":"International Journal of Food Science and Technology","id":"ITEM-1","issue":"5","issued":{"date-parts":[["2010"]]},"page":"913-920","title":"Analysis of chemical components in oolong tea in relation to perceived quality","type":"article-journal","volume":"45"},"uris":["http://www.mendeley.com/documents/?uuid=693ab43e-aba8-4413-8e30-51232de7fc0d"]}],"mendeley":{"formattedCitation":"(K. Wang et al., 2010)","plainTextFormattedCitation":"(K. Wang et al., 2010)","previouslyFormattedCitation":"(K. Wang et al., 2010)"},"properties":{"noteIndex":0},"schema":"https://github.com/citation-style-language/schema/raw/master/csl-citation.json"}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 xml:space="preserve">(K. Wang </w:t>
      </w:r>
      <w:r w:rsidR="00941740" w:rsidRPr="0077771D">
        <w:rPr>
          <w:rFonts w:ascii="Calibri" w:eastAsia="Calibri" w:hAnsi="Calibri" w:cs="Times New Roman"/>
          <w:i/>
          <w:noProof/>
          <w:sz w:val="24"/>
          <w:szCs w:val="24"/>
          <w:lang w:val="en"/>
        </w:rPr>
        <w:t>et al</w:t>
      </w:r>
      <w:r w:rsidR="00941740" w:rsidRPr="00941740">
        <w:rPr>
          <w:rFonts w:ascii="Calibri" w:eastAsia="Calibri" w:hAnsi="Calibri" w:cs="Times New Roman"/>
          <w:noProof/>
          <w:sz w:val="24"/>
          <w:szCs w:val="24"/>
          <w:lang w:val="en"/>
        </w:rPr>
        <w:t>., 2010)</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xml:space="preserve">, they are then fired and sorted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{"citationItems":[{"id":"ITEM-1","itemData":{"ISBN":"9781465436061","author":[{"dropping-particle":"","family":"L.Gaylard","given":"","non-dropping-particle":"","parse-names":false,"suffix":""}],"id":"ITEM-1","issued":{"date-parts":[["2015"]]},"title":"The Tea Book","type":"book"},"uris":["http://www.mendeley.com/documents/?uuid=a02c7812-4281-4c36-b6e0-5bd62498e844"]},{"id":"ITEM-2","itemData":{"URL":"https://redblossomtea.com/blogs/red-blossom-blog/the-6-steps-of-tea-processing","accessed":{"date-parts":[["2019","6","23"]]},"author":[{"dropping-particle":"","family":"Company","given":"Red Blossom Tea","non-dropping-particle":"","parse-names":false,"suffix":""}],"container-title":"www","id":"ITEM-2","issued":{"date-parts":[["2019"]]},"title":"The 6 Steps of Tea Processing – Red Blossom Tea Company","type":"webpage"},"uris":["http://www.mendeley.com/documents/?uuid=5f5ba764-37a3-39a5-ba61-8d7a209d44b3"]}],"mendeley":{"formattedCitation":"(Company, 2019; L.Gaylard, 2015)","manualFormatting":"(Company, 2019.; L.Gaylard, 2015)","plainTextFormattedCitation":"(Company, 2019; L.Gaylard, 2015)","previouslyFormattedCitation":"(Company, 2019; L.Gaylard, 2015)"},"properties":{"noteIndex":0},"schema":"https://github.com/citation-style-language/schema/raw/master/csl-citation.json"}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Pr="00CF1D1E">
        <w:rPr>
          <w:rFonts w:ascii="Calibri" w:eastAsia="Calibri" w:hAnsi="Calibri" w:cs="Times New Roman"/>
          <w:noProof/>
          <w:sz w:val="24"/>
          <w:szCs w:val="24"/>
          <w:lang w:val="en"/>
        </w:rPr>
        <w:t>(Company, 2019.; L.Gaylard, 2015)</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w:t>
      </w:r>
    </w:p>
    <w:p w:rsidR="00CF1D1E" w:rsidRPr="00CF1D1E" w:rsidRDefault="00CF1D1E" w:rsidP="00CF1D1E">
      <w:pPr>
        <w:spacing w:line="360" w:lineRule="auto"/>
        <w:jc w:val="both"/>
        <w:rPr>
          <w:rFonts w:ascii="Calibri" w:eastAsia="Calibri" w:hAnsi="Calibri" w:cs="Times New Roman"/>
          <w:sz w:val="24"/>
          <w:szCs w:val="24"/>
          <w:lang w:val="en"/>
        </w:rPr>
      </w:pP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The infographic on the following page</w:t>
      </w:r>
      <w:r w:rsidR="00BA63EF">
        <w:rPr>
          <w:rFonts w:ascii="Calibri" w:eastAsia="Calibri" w:hAnsi="Calibri" w:cs="Times New Roman"/>
          <w:sz w:val="24"/>
          <w:szCs w:val="24"/>
          <w:lang w:val="en"/>
        </w:rPr>
        <w:t xml:space="preserve"> (</w:t>
      </w:r>
      <w:r w:rsidR="00BA63EF" w:rsidRPr="00BA63EF">
        <w:rPr>
          <w:rFonts w:ascii="Calibri" w:eastAsia="Calibri" w:hAnsi="Calibri" w:cs="Times New Roman"/>
          <w:sz w:val="24"/>
          <w:szCs w:val="24"/>
          <w:lang w:val="en"/>
        </w:rPr>
        <w:t>Fig.69</w:t>
      </w:r>
      <w:r w:rsidR="00BA63EF">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explains tea processing</w:t>
      </w:r>
      <w:r w:rsidR="00601064">
        <w:rPr>
          <w:rFonts w:ascii="Calibri" w:eastAsia="Calibri" w:hAnsi="Calibri" w:cs="Times New Roman"/>
          <w:sz w:val="24"/>
          <w:szCs w:val="24"/>
          <w:lang w:val="en"/>
        </w:rPr>
        <w:t xml:space="preserve"> as described in the previous paragraphs</w:t>
      </w:r>
      <w:r w:rsidRPr="00CF1D1E">
        <w:rPr>
          <w:rFonts w:ascii="Calibri" w:eastAsia="Calibri" w:hAnsi="Calibri" w:cs="Times New Roman"/>
          <w:sz w:val="24"/>
          <w:szCs w:val="24"/>
          <w:lang w:val="en"/>
        </w:rPr>
        <w:t>.</w:t>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669504" behindDoc="0" locked="0" layoutInCell="1" allowOverlap="1" wp14:anchorId="0DF7574E" wp14:editId="64DD0A20">
                <wp:simplePos x="0" y="0"/>
                <wp:positionH relativeFrom="margin">
                  <wp:posOffset>5522595</wp:posOffset>
                </wp:positionH>
                <wp:positionV relativeFrom="paragraph">
                  <wp:posOffset>170180</wp:posOffset>
                </wp:positionV>
                <wp:extent cx="344805" cy="758317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7583170"/>
                        </a:xfrm>
                        <a:prstGeom prst="rect">
                          <a:avLst/>
                        </a:prstGeom>
                        <a:solidFill>
                          <a:srgbClr val="FFFFFF"/>
                        </a:solidFill>
                        <a:ln w="9525">
                          <a:noFill/>
                          <a:miter lim="800000"/>
                          <a:headEnd/>
                          <a:tailEnd/>
                        </a:ln>
                      </wps:spPr>
                      <wps:txbx>
                        <w:txbxContent>
                          <w:p w:rsidR="00D842A6" w:rsidRPr="00D837BD" w:rsidRDefault="00D842A6" w:rsidP="00CF1D1E">
                            <w:pPr>
                              <w:rPr>
                                <w:sz w:val="20"/>
                                <w:szCs w:val="20"/>
                              </w:rPr>
                            </w:pPr>
                            <w:r>
                              <w:rPr>
                                <w:sz w:val="20"/>
                                <w:szCs w:val="20"/>
                              </w:rPr>
                              <w:t xml:space="preserve">Fig.69 Tea processing Infographic. </w:t>
                            </w:r>
                            <w:r w:rsidRPr="00D837BD">
                              <w:rPr>
                                <w:sz w:val="20"/>
                                <w:szCs w:val="20"/>
                              </w:rPr>
                              <w:t>[CC BY-SA 3.0 (http://creativecommons.org/licenses/by-sa/3.0/)]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7574E" id="_x0000_s1035" type="#_x0000_t202" style="position:absolute;left:0;text-align:left;margin-left:434.85pt;margin-top:13.4pt;width:27.15pt;height:597.1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" stroked="f">
                <v:textbox style="layout-flow:vertical;mso-layout-flow-alt:bottom-to-top">
                  <w:txbxContent>
                    <w:p w:rsidR="00D842A6" w:rsidRPr="00D837BD" w:rsidRDefault="00D842A6" w:rsidP="00CF1D1E">
                      <w:pPr>
                        <w:rPr>
                          <w:sz w:val="20"/>
                          <w:szCs w:val="20"/>
                        </w:rPr>
                      </w:pPr>
                      <w:r>
                        <w:rPr>
                          <w:sz w:val="20"/>
                          <w:szCs w:val="20"/>
                        </w:rPr>
                        <w:t xml:space="preserve">Fig.69 Tea processing Infographic. </w:t>
                      </w:r>
                      <w:r w:rsidRPr="00D837BD">
                        <w:rPr>
                          <w:sz w:val="20"/>
                          <w:szCs w:val="20"/>
                        </w:rPr>
                        <w:t>[CC BY-SA 3.0 (http://creativecommons.org/licenses/by-sa/3.0/)]</w:t>
                      </w:r>
                    </w:p>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0EDA4FB6" wp14:editId="6830A3AD">
            <wp:extent cx="7586646" cy="5365118"/>
            <wp:effectExtent l="5715" t="0" r="1270" b="12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Teaprocessing NEW.png"/>
                    <pic:cNvPicPr/>
                  </pic:nvPicPr>
                  <pic:blipFill>
                    <a:blip r:embed="rId107">
                      <a:extLst>
                        <a:ext uri="{28A0092B-C50C-407E-A947-70E740481C1C}">
                          <a14:useLocalDpi xmlns:a14="http://schemas.microsoft.com/office/drawing/2010/main" val="0"/>
                        </a:ext>
                      </a:extLst>
                    </a:blip>
                    <a:stretch>
                      <a:fillRect/>
                    </a:stretch>
                  </pic:blipFill>
                  <pic:spPr>
                    <a:xfrm rot="16200000">
                      <a:off x="0" y="0"/>
                      <a:ext cx="7628970" cy="5395048"/>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 xml:space="preserve">The specific processing of each type of tea is reflected in its phytochemical profile. An assessment of the </w:t>
      </w:r>
      <w:r w:rsidR="00601064">
        <w:rPr>
          <w:rFonts w:ascii="Calibri" w:eastAsia="Calibri" w:hAnsi="Calibri" w:cs="Times New Roman"/>
          <w:sz w:val="24"/>
          <w:szCs w:val="24"/>
          <w:lang w:val="en"/>
        </w:rPr>
        <w:t xml:space="preserve">published </w:t>
      </w:r>
      <w:r w:rsidRPr="00CF1D1E">
        <w:rPr>
          <w:rFonts w:ascii="Calibri" w:eastAsia="Calibri" w:hAnsi="Calibri" w:cs="Times New Roman"/>
          <w:sz w:val="24"/>
          <w:szCs w:val="24"/>
          <w:lang w:val="en"/>
        </w:rPr>
        <w:t>metabolic profile of each tea will follow, concentrating mainly on polyphenolics but also discussing other features such as associated health benefits. As fresh tea leaves are the raw material for all teas, the description will begin with green tea’s phytochemistry.</w:t>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As mentioned previously, the major group of polyphenolic compounds in fresh leaf and green tea are the flavanols</w:t>
      </w:r>
      <w:r w:rsidR="00656491">
        <w:rPr>
          <w:rFonts w:ascii="Calibri" w:eastAsia="Calibri" w:hAnsi="Calibri" w:cs="Times New Roman"/>
          <w:sz w:val="24"/>
          <w:szCs w:val="24"/>
          <w:lang w:val="en"/>
        </w:rPr>
        <w:t>,</w:t>
      </w:r>
      <w:r w:rsidRPr="00CF1D1E">
        <w:rPr>
          <w:rFonts w:ascii="Calibri" w:eastAsia="Calibri" w:hAnsi="Calibri" w:cs="Times New Roman"/>
          <w:sz w:val="24"/>
          <w:szCs w:val="24"/>
          <w:lang w:val="en"/>
        </w:rPr>
        <w:t xml:space="preserve"> which are also referred to as catechins. The main flavanols in green tea are (-)-epigallocatechin 3-gallate (EGCG)</w:t>
      </w:r>
      <w:r w:rsidRPr="00CF1D1E">
        <w:rPr>
          <w:rFonts w:ascii="Calibri" w:eastAsia="Calibri" w:hAnsi="Calibri" w:cs="Times New Roman"/>
        </w:rPr>
        <w:t xml:space="preserve"> (</w:t>
      </w:r>
      <w:r w:rsidRPr="00CF1D1E">
        <w:rPr>
          <w:rFonts w:ascii="Calibri" w:eastAsia="Calibri" w:hAnsi="Calibri" w:cs="Times New Roman"/>
          <w:sz w:val="24"/>
          <w:szCs w:val="24"/>
          <w:lang w:val="en"/>
        </w:rPr>
        <w:t xml:space="preserve">Fig.15), (-)-epigallocatechin (EGC), (-)-epicatechin (EC), (-)-epicatechin-3-gallate (ECG), and (+)-catechin (C) (Fig.1). Epiafzelechin and epiafzelechin gallate as well as methylated flavanols have also been identified.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{"citationItems":[{"id":"ITEM-1","itemData":{"DOI":"10.1007/s00003-007-0250-3","ISSN":"16615751","abstract":"An overview is given on the manufacture of the different types of tea along with the most important phenolics present in tea and methods of analysis. Compositional data are presented for green, white and black teas. A differentiation of green and black tea by using the ratio between total phenolics and sum of the major catechins seems to be feasible. For white tea there is no general accepted definition. Possible approaches are geographic origin, the botanical variety and the manufacture or the appearance. The differentiation between green and white teas by the ratio mentioned above is not possible.","author":[{"dropping-particle":"","family":"Hilal","given":"Y.","non-dropping-particle":"","parse-names":false,"suffix":""},{"dropping-particle":"","family":"Engelhardt","given":"U.","non-dropping-particle":"","parse-names":false,"suffix":""}],"container-title":"Journal fur Verbraucherschutz und Lebensmittelsicherheit","id":"ITEM-1","issue":"4","issued":{"date-parts":[["2007"]]},"page":"414-421","title":"Characterisation of white tea - Comparison to green and black tea","type":"article-journal","volume":"2"},"uris":["http://www.mendeley.com/documents/?uuid=2957bb75-648e-4078-a551-50e4d8afb9c5"]}],"mendeley":{"formattedCitation":"(Hilal &amp; Engelhardt, 2007)","plainTextFormattedCitation":"(Hilal &amp; Engelhardt, 2007)","previouslyFormattedCitation":"(Hilal &amp; Engelhardt, 2007)"},"properties":{"noteIndex":0},"schema":"https://github.com/citation-style-language/schema/raw/master/csl-citation.json"}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(Hilal &amp; Engelhardt, 2007)</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This is illustrated in Tab. A2-008, from the analysis of chapter 2, in which packaged green tea was used as a benchmark in HDMS</w:t>
      </w:r>
      <w:r w:rsidRPr="00CF1D1E">
        <w:rPr>
          <w:rFonts w:ascii="Calibri" w:eastAsia="Calibri" w:hAnsi="Calibri" w:cs="Times New Roman"/>
          <w:sz w:val="24"/>
          <w:szCs w:val="24"/>
          <w:vertAlign w:val="superscript"/>
          <w:lang w:val="en"/>
        </w:rPr>
        <w:t>e</w:t>
      </w:r>
      <w:r w:rsidRPr="00CF1D1E">
        <w:rPr>
          <w:rFonts w:ascii="Calibri" w:eastAsia="Calibri" w:hAnsi="Calibri" w:cs="Times New Roman"/>
          <w:sz w:val="24"/>
          <w:szCs w:val="24"/>
          <w:lang w:val="en"/>
        </w:rPr>
        <w:t xml:space="preserve"> discovery work. These are considered to be the most prominent components. Green tea is a rich source of proanthocyanidins (dimers linked by positions 4 and 8,</w:t>
      </w:r>
      <w:r w:rsidRPr="00CF1D1E">
        <w:rPr>
          <w:rFonts w:ascii="Calibri" w:eastAsia="Calibri" w:hAnsi="Calibri" w:cs="Times New Roman"/>
        </w:rPr>
        <w:t xml:space="preserve"> </w:t>
      </w:r>
      <w:r w:rsidRPr="00CF1D1E">
        <w:rPr>
          <w:rFonts w:ascii="Calibri" w:eastAsia="Calibri" w:hAnsi="Calibri" w:cs="Times New Roman"/>
          <w:sz w:val="24"/>
          <w:szCs w:val="24"/>
          <w:lang w:val="en"/>
        </w:rPr>
        <w:t xml:space="preserve">Fig.83) </w:t>
      </w:r>
      <w:r w:rsidR="00A83CE8">
        <w:rPr>
          <w:rFonts w:ascii="Calibri" w:eastAsia="Calibri" w:hAnsi="Calibri" w:cs="Times New Roman"/>
          <w:sz w:val="24"/>
          <w:szCs w:val="24"/>
          <w:lang w:val="en"/>
        </w:rPr>
        <w:t>but</w:t>
      </w:r>
      <w:r w:rsidRPr="00CF1D1E">
        <w:rPr>
          <w:rFonts w:ascii="Calibri" w:eastAsia="Calibri" w:hAnsi="Calibri" w:cs="Times New Roman"/>
          <w:sz w:val="24"/>
          <w:szCs w:val="24"/>
          <w:lang w:val="en"/>
        </w:rPr>
        <w:t xml:space="preserve"> lower in </w:t>
      </w:r>
      <w:r w:rsidRPr="00CF1D1E">
        <w:rPr>
          <w:rFonts w:ascii="Calibri" w:eastAsia="Calibri" w:hAnsi="Calibri" w:cs="Times New Roman"/>
          <w:i/>
          <w:sz w:val="24"/>
          <w:szCs w:val="24"/>
          <w:lang w:val="en"/>
        </w:rPr>
        <w:t>bis</w:t>
      </w:r>
      <w:r w:rsidRPr="00CF1D1E">
        <w:rPr>
          <w:rFonts w:ascii="Calibri" w:eastAsia="Calibri" w:hAnsi="Calibri" w:cs="Times New Roman"/>
          <w:sz w:val="24"/>
          <w:szCs w:val="24"/>
          <w:lang w:val="en"/>
        </w:rPr>
        <w:t>-flavanols (dimers linked by positions 2’ and 2’, Fig. 70)</w:t>
      </w:r>
      <w:r w:rsidR="00A83CE8">
        <w:rPr>
          <w:rFonts w:ascii="Calibri" w:eastAsia="Calibri" w:hAnsi="Calibri" w:cs="Times New Roman"/>
          <w:sz w:val="24"/>
          <w:szCs w:val="24"/>
          <w:lang w:val="en"/>
        </w:rPr>
        <w:t xml:space="preserve"> in comparison to black tea.</w:t>
      </w:r>
    </w:p>
    <w:p w:rsidR="00CF1D1E" w:rsidRPr="00CF1D1E" w:rsidRDefault="00CF1D1E" w:rsidP="00CF1D1E">
      <w:pPr>
        <w:spacing w:line="360" w:lineRule="auto"/>
        <w:ind w:left="2160" w:firstLine="720"/>
        <w:jc w:val="both"/>
        <w:rPr>
          <w:rFonts w:ascii="Calibri" w:eastAsia="Calibri" w:hAnsi="Calibri" w:cs="Times New Roman"/>
        </w:rPr>
      </w:pPr>
      <w:r w:rsidRPr="00CF1D1E">
        <w:rPr>
          <w:rFonts w:ascii="Calibri" w:eastAsia="Calibri" w:hAnsi="Calibri" w:cs="Times New Roman"/>
        </w:rPr>
        <w:object w:dxaOrig="2576" w:dyaOrig="23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6pt;height:118.3pt" o:ole="">
            <v:imagedata r:id="rId108" o:title=""/>
          </v:shape>
          <o:OLEObject Type="Embed" ProgID="ChemDraw.Document.6.0" ShapeID="_x0000_i1025" DrawAspect="Content" ObjectID="_1658825291" r:id="rId109"/>
        </w:object>
      </w:r>
    </w:p>
    <w:p w:rsidR="00CF1D1E" w:rsidRPr="00CF1D1E" w:rsidRDefault="00CF1D1E" w:rsidP="00CF1D1E">
      <w:pPr>
        <w:spacing w:line="360" w:lineRule="auto"/>
        <w:ind w:left="1440"/>
        <w:jc w:val="both"/>
        <w:rPr>
          <w:rFonts w:ascii="Calibri" w:eastAsia="Calibri" w:hAnsi="Calibri" w:cs="Times New Roman"/>
        </w:rPr>
      </w:pPr>
      <w:r w:rsidRPr="00CF1D1E">
        <w:rPr>
          <w:rFonts w:ascii="Calibri" w:eastAsia="Calibri" w:hAnsi="Calibri" w:cs="Times New Roman"/>
          <w:sz w:val="20"/>
          <w:szCs w:val="20"/>
        </w:rPr>
        <w:t xml:space="preserve">Fig.70. Theasinensin C, an example of a </w:t>
      </w:r>
      <w:r w:rsidRPr="00CF1D1E">
        <w:rPr>
          <w:rFonts w:ascii="Calibri" w:eastAsia="Calibri" w:hAnsi="Calibri" w:cs="Times New Roman"/>
          <w:i/>
          <w:sz w:val="20"/>
          <w:szCs w:val="20"/>
        </w:rPr>
        <w:t>bis</w:t>
      </w:r>
      <w:r w:rsidRPr="00CF1D1E">
        <w:rPr>
          <w:rFonts w:ascii="Calibri" w:eastAsia="Calibri" w:hAnsi="Calibri" w:cs="Times New Roman"/>
          <w:sz w:val="20"/>
          <w:szCs w:val="20"/>
        </w:rPr>
        <w:t>-flavanol.</w:t>
      </w:r>
    </w:p>
    <w:p w:rsidR="00CF1D1E" w:rsidRPr="00CF1D1E" w:rsidRDefault="00CF1D1E" w:rsidP="00CF1D1E">
      <w:pPr>
        <w:spacing w:line="360" w:lineRule="auto"/>
        <w:ind w:firstLine="720"/>
        <w:jc w:val="both"/>
        <w:rPr>
          <w:rFonts w:ascii="Calibri" w:eastAsia="Calibri" w:hAnsi="Calibri" w:cs="Times New Roman"/>
        </w:rPr>
      </w:pPr>
      <w:r w:rsidRPr="00CF1D1E">
        <w:rPr>
          <w:rFonts w:ascii="Calibri" w:eastAsia="Calibri" w:hAnsi="Calibri" w:cs="Times New Roman"/>
          <w:sz w:val="24"/>
          <w:szCs w:val="24"/>
          <w:lang w:val="en"/>
        </w:rPr>
        <w:t xml:space="preserve">This </w:t>
      </w:r>
      <w:r w:rsidR="00A83CE8">
        <w:rPr>
          <w:rFonts w:ascii="Calibri" w:eastAsia="Calibri" w:hAnsi="Calibri" w:cs="Times New Roman"/>
          <w:sz w:val="24"/>
          <w:szCs w:val="24"/>
          <w:lang w:val="en"/>
        </w:rPr>
        <w:t>is in agreement</w:t>
      </w:r>
      <w:r w:rsidRPr="00CF1D1E">
        <w:rPr>
          <w:rFonts w:ascii="Calibri" w:eastAsia="Calibri" w:hAnsi="Calibri" w:cs="Times New Roman"/>
          <w:sz w:val="24"/>
          <w:szCs w:val="24"/>
          <w:lang w:val="en"/>
        </w:rPr>
        <w:t xml:space="preserve"> with the observations that galloylated proanthocyanidins are found to be particularly degraded during the oxidation process used in black tea processing but not during green tea manufacturing </w:t>
      </w:r>
      <w:r w:rsidRPr="00CF1D1E">
        <w:rPr>
          <w:rFonts w:ascii="Calibri" w:eastAsia="Calibri" w:hAnsi="Calibri" w:cs="Times New Roman"/>
          <w:sz w:val="24"/>
          <w:szCs w:val="24"/>
          <w:lang w:val="en"/>
        </w:rPr>
        <w:fldChar w:fldCharType="begin" w:fldLock="1"/>
      </w:r>
      <w:r w:rsidR="00E23D46">
        <w:rPr>
          <w:rFonts w:ascii="Calibri" w:eastAsia="Calibri" w:hAnsi="Calibri" w:cs="Times New Roman"/>
          <w:sz w:val="24"/>
          <w:szCs w:val="24"/>
          <w:lang w:val="en"/>
        </w:rPr>
        <w:instrText>ADDIN CSL_CITATION {"citationItems":[{"id":"ITEM-1","itemData":{"author":[{"dropping-particle":"","family":"Hashimoto, Kazushige Sogawa","given":"and M.D. Pathak","non-dropping-particle":"","parse-names":false,"suffix":""}],"container-title":"Chemical Pharmaceutical Bulletin","id":"ITEM-1","issue":"43","issued":{"date-parts":[["1992"]]},"page":"2091","title":"Tannins and related compounds","type":"article-journal"},"uris":["http://www.mendeley.com/documents/?uuid=50a9c00e-ce98-4194-a1b1-db1db87a16fb"]}],"mendeley":{"formattedCitation":"(Hashimoto, Kazushige Sogawa, 1992)","plainTextFormattedCitation":"(Hashimoto, Kazushige Sogawa, 1992)","previouslyFormattedCitation":"(Hashimoto, Kazushige Sogawa, 1992)"},"properties":{"noteIndex":0},"schema":"https://github.com/citation-style-language/schema/raw/master/csl-citation.json"}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601064" w:rsidRPr="00601064">
        <w:rPr>
          <w:rFonts w:ascii="Calibri" w:eastAsia="Calibri" w:hAnsi="Calibri" w:cs="Times New Roman"/>
          <w:noProof/>
          <w:sz w:val="24"/>
          <w:szCs w:val="24"/>
          <w:lang w:val="en"/>
        </w:rPr>
        <w:t>(Hashimoto, Kazushige Sogawa, 1992)</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xml:space="preserve">. This observation is consistent with varying amounts depending on the degree of oxidation. </w:t>
      </w:r>
      <w:r w:rsidR="00A83CE8">
        <w:rPr>
          <w:rFonts w:ascii="Calibri" w:eastAsia="Calibri" w:hAnsi="Calibri" w:cs="Times New Roman"/>
          <w:sz w:val="24"/>
          <w:szCs w:val="24"/>
          <w:lang w:val="en"/>
        </w:rPr>
        <w:t>A</w:t>
      </w:r>
      <w:r w:rsidRPr="00CF1D1E">
        <w:rPr>
          <w:rFonts w:ascii="Calibri" w:eastAsia="Calibri" w:hAnsi="Calibri" w:cs="Times New Roman"/>
          <w:sz w:val="24"/>
          <w:szCs w:val="24"/>
          <w:lang w:val="en"/>
        </w:rPr>
        <w:t xml:space="preserve">t least, 16 proanthocyanidins </w:t>
      </w:r>
      <w:r w:rsidR="00A83CE8">
        <w:rPr>
          <w:rFonts w:ascii="Calibri" w:eastAsia="Calibri" w:hAnsi="Calibri" w:cs="Times New Roman"/>
          <w:sz w:val="24"/>
          <w:szCs w:val="24"/>
          <w:lang w:val="en"/>
        </w:rPr>
        <w:t xml:space="preserve">have been found </w:t>
      </w:r>
      <w:r w:rsidRPr="00CF1D1E">
        <w:rPr>
          <w:rFonts w:ascii="Calibri" w:eastAsia="Calibri" w:hAnsi="Calibri" w:cs="Times New Roman"/>
          <w:sz w:val="24"/>
          <w:szCs w:val="24"/>
          <w:lang w:val="en"/>
        </w:rPr>
        <w:t xml:space="preserve">in tea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{"citationItems":[{"id":"ITEM-1","itemData":{"author":[{"dropping-particle":"","family":"Engelhardt","given":"U H","non-dropping-particle":"","parse-names":false,"suffix":""},{"dropping-particle":"","family":"Lakenbrink","given":"C","non-dropping-particle":"","parse-names":false,"suffix":""},{"dropping-particle":"","family":"Pokorny","given":"O","non-dropping-particle":"","parse-names":false,"suffix":""}],"container-title":"NUTRACEUTICAL BEVERAGES: CHEMISTRY, NUTRITION, AND HEALTH EFFECTS","id":"ITEM-1","issued":{"date-parts":[["2004"]]},"page":"254-264","publisher":"AMER CHEMICAL SOC 1155 SIXTEENTH ST NW, WASHINGTON, DC 20036 USA","title":"Proanthocyanidins, bisflavanols, and hydrolyzable tannins in green and black teas","type":"article-journal","volume":"871"},"uris":["http://www.mendeley.com/documents/?uuid=21730826-c3a7-4f79-8d40-a2254bfcf9c3"]}],"mendeley":{"formattedCitation":"(U H Engelhardt, Lakenbrink, &amp; Pokorny, 2004)","plainTextFormattedCitation":"(U H Engelhardt, Lakenbrink, &amp; Pokorny, 2004)","previouslyFormattedCitation":"(U H Engelhardt, Lakenbrink, &amp; Pokorny, 2004)"},"properties":{"noteIndex":0},"schema":"https://github.com/citation-style-language/schema/raw/master/csl-citation.json"}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(U H Engelhardt, Lakenbrink, &amp; Pokorny, 2004)</w:t>
      </w:r>
      <w:r w:rsidRPr="00CF1D1E">
        <w:rPr>
          <w:rFonts w:ascii="Calibri" w:eastAsia="Calibri" w:hAnsi="Calibri" w:cs="Times New Roman"/>
          <w:sz w:val="24"/>
          <w:szCs w:val="24"/>
          <w:lang w:val="en"/>
        </w:rPr>
        <w:fldChar w:fldCharType="end"/>
      </w:r>
      <w:r w:rsidR="00A83CE8">
        <w:rPr>
          <w:rFonts w:ascii="Calibri" w:eastAsia="Calibri" w:hAnsi="Calibri" w:cs="Times New Roman"/>
          <w:sz w:val="24"/>
          <w:szCs w:val="24"/>
          <w:lang w:val="en"/>
        </w:rPr>
        <w:t xml:space="preserve"> as well as polyphenols. F</w:t>
      </w:r>
      <w:r w:rsidRPr="00CF1D1E">
        <w:rPr>
          <w:rFonts w:ascii="Calibri" w:eastAsia="Calibri" w:hAnsi="Calibri" w:cs="Times New Roman"/>
          <w:sz w:val="24"/>
          <w:szCs w:val="24"/>
          <w:lang w:val="en"/>
        </w:rPr>
        <w:t>resh green tea leaf analytes incl</w:t>
      </w:r>
      <w:r w:rsidR="00464A70">
        <w:rPr>
          <w:rFonts w:ascii="Calibri" w:eastAsia="Calibri" w:hAnsi="Calibri" w:cs="Times New Roman"/>
          <w:sz w:val="24"/>
          <w:szCs w:val="24"/>
          <w:lang w:val="en"/>
        </w:rPr>
        <w:t xml:space="preserve">ude </w:t>
      </w:r>
      <w:r w:rsidR="00A83CE8">
        <w:rPr>
          <w:rFonts w:ascii="Calibri" w:eastAsia="Calibri" w:hAnsi="Calibri" w:cs="Times New Roman"/>
          <w:sz w:val="24"/>
          <w:szCs w:val="24"/>
          <w:lang w:val="en"/>
        </w:rPr>
        <w:t xml:space="preserve">methyl xanthines (Fig.71), </w:t>
      </w:r>
      <w:r w:rsidRPr="00CF1D1E">
        <w:rPr>
          <w:rFonts w:ascii="Calibri" w:eastAsia="Calibri" w:hAnsi="Calibri" w:cs="Times New Roman"/>
          <w:sz w:val="24"/>
          <w:szCs w:val="24"/>
          <w:lang w:val="en"/>
        </w:rPr>
        <w:t xml:space="preserve">such as caffeine (approximately 3.5% of the total dry weight) and the less potent theobromine (0.15–0.2%), theanine (4%) and other free amino acids (1–5.5%), lignin (6.5%), organic acids (1.5%), chlorophyll (0.5%) and other pigments carotenoids, volatiles (low molecular mass </w:t>
      </w:r>
      <w:r w:rsidRPr="00CF1D1E">
        <w:rPr>
          <w:rFonts w:ascii="Calibri" w:eastAsia="Calibri" w:hAnsi="Calibri" w:cs="Times New Roman"/>
          <w:sz w:val="24"/>
          <w:szCs w:val="24"/>
          <w:lang w:val="en"/>
        </w:rPr>
        <w:lastRenderedPageBreak/>
        <w:t xml:space="preserve">aldehydes and alcohols), carbohydrates, proteins, lipids and inorganic material commonly referred to as ash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{"citationItems":[{"id":"ITEM-1","itemData":{"DOI":"10.1016/0091-7435(92)90041-F","ISSN":"00917435","abstract":"Tea is grown in about 30 countries but is consumed worldwide, although at greatly varying levels. It is the most widely consumed beverage aside from water with a per capita worldwide consumption of approximately 0.12 liter per year. Tea is manufactured in three basic forms. Green tea is prepared in such a way as to preclude the oxidation of green leaf polyphenols. During black tea production oxidation is promoted so that most of these substances are oxidized. Oolong tea is a partially oxidized product. Of the approximately 2.5 million metric tons of dried tea manufactured, only 20% is green tea and less than 2% is oolong tea. Green tea is consumed primarily in China, Japan, and a few countries in North Africa and the Middle East. Fresh tea leaf is unusually rich in the flavanol group of polyphenols known as catechins which may constitute up to 30% of the dry leaf weight. Other polyphenols include flavonols and their glycosides, and depsides such as chlorogenic acid, coumarylquinic acid, and one unique to tea, theogallin (3-galloylquinic acid). Caffeine is present at an average level of 3% along with very small amounts of the other common methylxanthines, theobromine and theophylline. The amino acid theanine (5-Nethylglutamine) is also unique to tea. Tea accumulates aluminum and manganese. In addition to the normal complement of plant cell enzymes, tea leaf contains an active polyphenol oxidase which catalyzes the aerobic oxidation of the catechins when the leaf cell structure is disrupted during black tea manufacture. The various quinones produced by the enzymatic oxidations undergo condensation reactions which result in a series of compounds, including bisflavanols, theaflavins, epitheaflavic acids, and thearubigens, which impart the characteristic taste and color properties of black tea. Most of these compounds readily form complexes with caffeine. There is no tannic acid in tea. Thearubigens constitute the largest mass of the extractable matter in black tea but their composition is not well known. Proanthocyanidins make up part of the complex. Tea peroxidase may be involved in their generation. The catechin quinones also initiate the formation of many of the hundreds of volatile compounds found in the black tea aroma fraction. Green tea composition is very similar to that of the fresh leaf except for a few enzymatically catalyzed changes which occur extremely rapidly following plucking. New volatile substances are produced during the drying stage. Oo…","author":[{"dropping-particle":"","family":"Graham","given":"Harold N.","non-dropping-particle":"","parse-names":false,"suffix":""}],"container-title":"Preventive Medicine","id":"ITEM-1","issue":"3","issued":{"date-parts":[["1992"]]},"page":"334-350","title":"Green tea composition, consumption, and polyphenol chemistry","type":"article-journal","volume":"21"},"uris":["http://www.mendeley.com/documents/?uuid=3fa94ab3-40ba-4b9f-ab8c-424f0c27fed4"]}],"mendeley":{"formattedCitation":"(Graham, 1992)","plainTextFormattedCitation":"(Graham, 1992)","previouslyFormattedCitation":"(Graham, 1992)"},"properties":{"noteIndex":0},"schema":"https://github.com/citation-style-language/schema/raw/master/csl-citation.json"}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(Graham, 1992)</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w:t>
      </w:r>
      <w:r w:rsidRPr="00CF1D1E">
        <w:rPr>
          <w:rFonts w:ascii="Calibri" w:eastAsia="Calibri" w:hAnsi="Calibri" w:cs="Times New Roman"/>
        </w:rPr>
        <w:t xml:space="preserve"> </w:t>
      </w:r>
    </w:p>
    <w:p w:rsidR="00CF1D1E" w:rsidRPr="00CF1D1E" w:rsidRDefault="00CF1D1E" w:rsidP="00CF1D1E">
      <w:pPr>
        <w:spacing w:line="360" w:lineRule="auto"/>
        <w:jc w:val="both"/>
        <w:rPr>
          <w:rFonts w:ascii="Calibri" w:eastAsia="Calibri" w:hAnsi="Calibri" w:cs="Times New Roman"/>
        </w:rPr>
      </w:pPr>
    </w:p>
    <w:p w:rsidR="00CF1D1E" w:rsidRPr="00CF1D1E" w:rsidRDefault="00CF1D1E" w:rsidP="00CF1D1E">
      <w:pPr>
        <w:spacing w:line="360" w:lineRule="auto"/>
        <w:ind w:left="2160" w:firstLine="720"/>
        <w:jc w:val="both"/>
        <w:rPr>
          <w:rFonts w:ascii="Calibri" w:eastAsia="Calibri" w:hAnsi="Calibri" w:cs="Times New Roman"/>
        </w:rPr>
      </w:pPr>
      <w:r w:rsidRPr="00CF1D1E">
        <w:rPr>
          <w:rFonts w:ascii="Calibri" w:eastAsia="Calibri" w:hAnsi="Calibri" w:cs="Times New Roman"/>
          <w:noProof/>
          <w:lang w:eastAsia="en-GB"/>
        </w:rPr>
        <w:drawing>
          <wp:inline distT="0" distB="0" distL="0" distR="0" wp14:anchorId="2D040448" wp14:editId="0E250F3B">
            <wp:extent cx="1316736" cy="1257706"/>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30627" cy="1270974"/>
                    </a:xfrm>
                    <a:prstGeom prst="rect">
                      <a:avLst/>
                    </a:prstGeom>
                    <a:noFill/>
                    <a:ln>
                      <a:noFill/>
                    </a:ln>
                  </pic:spPr>
                </pic:pic>
              </a:graphicData>
            </a:graphic>
          </wp:inline>
        </w:drawing>
      </w:r>
    </w:p>
    <w:p w:rsidR="00CF1D1E" w:rsidRPr="00CF1D1E" w:rsidRDefault="00CF1D1E" w:rsidP="00CF1D1E">
      <w:pPr>
        <w:spacing w:line="360" w:lineRule="auto"/>
        <w:ind w:firstLine="720"/>
        <w:jc w:val="both"/>
        <w:rPr>
          <w:rFonts w:ascii="Calibri" w:eastAsia="Calibri" w:hAnsi="Calibri" w:cs="Times New Roman"/>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Fig.71. Xanthine: R</w:t>
      </w:r>
      <w:r w:rsidRPr="00CF1D1E">
        <w:rPr>
          <w:rFonts w:ascii="Calibri" w:eastAsia="Calibri" w:hAnsi="Calibri" w:cs="Times New Roman"/>
          <w:sz w:val="20"/>
          <w:szCs w:val="20"/>
          <w:vertAlign w:val="superscript"/>
        </w:rPr>
        <w:t>1</w:t>
      </w:r>
      <w:r w:rsidRPr="00CF1D1E">
        <w:rPr>
          <w:rFonts w:ascii="Calibri" w:eastAsia="Calibri" w:hAnsi="Calibri" w:cs="Times New Roman"/>
          <w:sz w:val="20"/>
          <w:szCs w:val="20"/>
        </w:rPr>
        <w:t xml:space="preserve"> = R</w:t>
      </w:r>
      <w:r w:rsidRPr="00CF1D1E">
        <w:rPr>
          <w:rFonts w:ascii="Calibri" w:eastAsia="Calibri" w:hAnsi="Calibri" w:cs="Times New Roman"/>
          <w:sz w:val="20"/>
          <w:szCs w:val="20"/>
          <w:vertAlign w:val="superscript"/>
        </w:rPr>
        <w:t>2</w:t>
      </w:r>
      <w:r w:rsidRPr="00CF1D1E">
        <w:rPr>
          <w:rFonts w:ascii="Calibri" w:eastAsia="Calibri" w:hAnsi="Calibri" w:cs="Times New Roman"/>
          <w:sz w:val="20"/>
          <w:szCs w:val="20"/>
        </w:rPr>
        <w:t xml:space="preserve"> = R</w:t>
      </w:r>
      <w:r w:rsidRPr="00CF1D1E">
        <w:rPr>
          <w:rFonts w:ascii="Calibri" w:eastAsia="Calibri" w:hAnsi="Calibri" w:cs="Times New Roman"/>
          <w:sz w:val="20"/>
          <w:szCs w:val="20"/>
          <w:vertAlign w:val="superscript"/>
        </w:rPr>
        <w:t>3</w:t>
      </w:r>
      <w:r w:rsidRPr="00CF1D1E">
        <w:rPr>
          <w:rFonts w:ascii="Calibri" w:eastAsia="Calibri" w:hAnsi="Calibri" w:cs="Times New Roman"/>
          <w:sz w:val="20"/>
          <w:szCs w:val="20"/>
        </w:rPr>
        <w:t xml:space="preserve"> = H, Caffeine: R</w:t>
      </w:r>
      <w:r w:rsidRPr="00CF1D1E">
        <w:rPr>
          <w:rFonts w:ascii="Calibri" w:eastAsia="Calibri" w:hAnsi="Calibri" w:cs="Times New Roman"/>
          <w:sz w:val="20"/>
          <w:szCs w:val="20"/>
          <w:vertAlign w:val="superscript"/>
        </w:rPr>
        <w:t>1</w:t>
      </w:r>
      <w:r w:rsidRPr="00CF1D1E">
        <w:rPr>
          <w:rFonts w:ascii="Calibri" w:eastAsia="Calibri" w:hAnsi="Calibri" w:cs="Times New Roman"/>
          <w:sz w:val="20"/>
          <w:szCs w:val="20"/>
        </w:rPr>
        <w:t xml:space="preserve"> = R</w:t>
      </w:r>
      <w:r w:rsidRPr="00CF1D1E">
        <w:rPr>
          <w:rFonts w:ascii="Calibri" w:eastAsia="Calibri" w:hAnsi="Calibri" w:cs="Times New Roman"/>
          <w:sz w:val="20"/>
          <w:szCs w:val="20"/>
          <w:vertAlign w:val="superscript"/>
        </w:rPr>
        <w:t>2</w:t>
      </w:r>
      <w:r w:rsidRPr="00CF1D1E">
        <w:rPr>
          <w:rFonts w:ascii="Calibri" w:eastAsia="Calibri" w:hAnsi="Calibri" w:cs="Times New Roman"/>
          <w:sz w:val="20"/>
          <w:szCs w:val="20"/>
        </w:rPr>
        <w:t xml:space="preserve"> = R</w:t>
      </w:r>
      <w:r w:rsidRPr="00CF1D1E">
        <w:rPr>
          <w:rFonts w:ascii="Calibri" w:eastAsia="Calibri" w:hAnsi="Calibri" w:cs="Times New Roman"/>
          <w:sz w:val="20"/>
          <w:szCs w:val="20"/>
          <w:vertAlign w:val="superscript"/>
        </w:rPr>
        <w:t>3</w:t>
      </w:r>
      <w:r w:rsidRPr="00CF1D1E">
        <w:rPr>
          <w:rFonts w:ascii="Calibri" w:eastAsia="Calibri" w:hAnsi="Calibri" w:cs="Times New Roman"/>
          <w:sz w:val="20"/>
          <w:szCs w:val="20"/>
        </w:rPr>
        <w:t xml:space="preserve"> = CH</w:t>
      </w:r>
      <w:r w:rsidRPr="00EB1EB2">
        <w:rPr>
          <w:rFonts w:ascii="Calibri" w:eastAsia="Calibri" w:hAnsi="Calibri" w:cs="Times New Roman"/>
          <w:sz w:val="20"/>
          <w:szCs w:val="20"/>
          <w:vertAlign w:val="subscript"/>
        </w:rPr>
        <w:t>3</w:t>
      </w:r>
      <w:r w:rsidRPr="00CF1D1E">
        <w:rPr>
          <w:rFonts w:ascii="Calibri" w:eastAsia="Calibri" w:hAnsi="Calibri" w:cs="Times New Roman"/>
          <w:sz w:val="20"/>
          <w:szCs w:val="20"/>
        </w:rPr>
        <w:t>, Theobromine: R</w:t>
      </w:r>
      <w:r w:rsidRPr="00CF1D1E">
        <w:rPr>
          <w:rFonts w:ascii="Calibri" w:eastAsia="Calibri" w:hAnsi="Calibri" w:cs="Times New Roman"/>
          <w:sz w:val="20"/>
          <w:szCs w:val="20"/>
          <w:vertAlign w:val="superscript"/>
        </w:rPr>
        <w:t>1</w:t>
      </w:r>
      <w:r w:rsidRPr="00CF1D1E">
        <w:rPr>
          <w:rFonts w:ascii="Calibri" w:eastAsia="Calibri" w:hAnsi="Calibri" w:cs="Times New Roman"/>
          <w:sz w:val="20"/>
          <w:szCs w:val="20"/>
        </w:rPr>
        <w:t xml:space="preserve"> = H, R</w:t>
      </w:r>
      <w:r w:rsidRPr="00CF1D1E">
        <w:rPr>
          <w:rFonts w:ascii="Calibri" w:eastAsia="Calibri" w:hAnsi="Calibri" w:cs="Times New Roman"/>
          <w:sz w:val="20"/>
          <w:szCs w:val="20"/>
          <w:vertAlign w:val="superscript"/>
        </w:rPr>
        <w:t>2</w:t>
      </w:r>
      <w:r w:rsidRPr="00CF1D1E">
        <w:rPr>
          <w:rFonts w:ascii="Calibri" w:eastAsia="Calibri" w:hAnsi="Calibri" w:cs="Times New Roman"/>
          <w:sz w:val="20"/>
          <w:szCs w:val="20"/>
        </w:rPr>
        <w:t xml:space="preserve"> = R</w:t>
      </w:r>
      <w:r w:rsidRPr="00CF1D1E">
        <w:rPr>
          <w:rFonts w:ascii="Calibri" w:eastAsia="Calibri" w:hAnsi="Calibri" w:cs="Times New Roman"/>
          <w:sz w:val="20"/>
          <w:szCs w:val="20"/>
          <w:vertAlign w:val="superscript"/>
        </w:rPr>
        <w:t>3</w:t>
      </w:r>
      <w:r w:rsidRPr="00CF1D1E">
        <w:rPr>
          <w:rFonts w:ascii="Calibri" w:eastAsia="Calibri" w:hAnsi="Calibri" w:cs="Times New Roman"/>
          <w:sz w:val="20"/>
          <w:szCs w:val="20"/>
        </w:rPr>
        <w:t xml:space="preserve"> = CH</w:t>
      </w:r>
      <w:r w:rsidRPr="00EB1EB2">
        <w:rPr>
          <w:rFonts w:ascii="Calibri" w:eastAsia="Calibri" w:hAnsi="Calibri" w:cs="Times New Roman"/>
          <w:sz w:val="20"/>
          <w:szCs w:val="20"/>
          <w:vertAlign w:val="subscript"/>
        </w:rPr>
        <w:t>3</w:t>
      </w:r>
      <w:r w:rsidRPr="00CF1D1E">
        <w:rPr>
          <w:rFonts w:ascii="Calibri" w:eastAsia="Calibri" w:hAnsi="Calibri" w:cs="Times New Roman"/>
          <w:sz w:val="20"/>
          <w:szCs w:val="20"/>
        </w:rPr>
        <w:t>, Theophylline: R</w:t>
      </w:r>
      <w:r w:rsidRPr="00CF1D1E">
        <w:rPr>
          <w:rFonts w:ascii="Calibri" w:eastAsia="Calibri" w:hAnsi="Calibri" w:cs="Times New Roman"/>
          <w:sz w:val="20"/>
          <w:szCs w:val="20"/>
          <w:vertAlign w:val="superscript"/>
        </w:rPr>
        <w:t xml:space="preserve">1 </w:t>
      </w:r>
      <w:r w:rsidRPr="00CF1D1E">
        <w:rPr>
          <w:rFonts w:ascii="Calibri" w:eastAsia="Calibri" w:hAnsi="Calibri" w:cs="Times New Roman"/>
          <w:sz w:val="20"/>
          <w:szCs w:val="20"/>
        </w:rPr>
        <w:t>= R</w:t>
      </w:r>
      <w:r w:rsidRPr="00CF1D1E">
        <w:rPr>
          <w:rFonts w:ascii="Calibri" w:eastAsia="Calibri" w:hAnsi="Calibri" w:cs="Times New Roman"/>
          <w:sz w:val="20"/>
          <w:szCs w:val="20"/>
          <w:vertAlign w:val="superscript"/>
        </w:rPr>
        <w:t xml:space="preserve">2 </w:t>
      </w:r>
      <w:r w:rsidRPr="00CF1D1E">
        <w:rPr>
          <w:rFonts w:ascii="Calibri" w:eastAsia="Calibri" w:hAnsi="Calibri" w:cs="Times New Roman"/>
          <w:sz w:val="20"/>
          <w:szCs w:val="20"/>
        </w:rPr>
        <w:t>= CH</w:t>
      </w:r>
      <w:r w:rsidRPr="00EB1EB2">
        <w:rPr>
          <w:rFonts w:ascii="Calibri" w:eastAsia="Calibri" w:hAnsi="Calibri" w:cs="Times New Roman"/>
          <w:sz w:val="20"/>
          <w:szCs w:val="20"/>
          <w:vertAlign w:val="subscript"/>
        </w:rPr>
        <w:t>3</w:t>
      </w:r>
      <w:r w:rsidRPr="00CF1D1E">
        <w:rPr>
          <w:rFonts w:ascii="Calibri" w:eastAsia="Calibri" w:hAnsi="Calibri" w:cs="Times New Roman"/>
          <w:sz w:val="20"/>
          <w:szCs w:val="20"/>
        </w:rPr>
        <w:t>, R</w:t>
      </w:r>
      <w:r w:rsidRPr="00CF1D1E">
        <w:rPr>
          <w:rFonts w:ascii="Calibri" w:eastAsia="Calibri" w:hAnsi="Calibri" w:cs="Times New Roman"/>
          <w:sz w:val="20"/>
          <w:szCs w:val="20"/>
          <w:vertAlign w:val="superscript"/>
        </w:rPr>
        <w:t>3</w:t>
      </w:r>
      <w:r w:rsidRPr="00CF1D1E">
        <w:rPr>
          <w:rFonts w:ascii="Calibri" w:eastAsia="Calibri" w:hAnsi="Calibri" w:cs="Times New Roman"/>
          <w:sz w:val="20"/>
          <w:szCs w:val="20"/>
        </w:rPr>
        <w:t xml:space="preserve">=H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Terpenes are another large class of secondary metabolites present, including oxygenated terpenes and sesquiterpenes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{"citationItems":[{"id":"ITEM-1","itemData":{"DOI":"10.1016/j.jff.2013.08.011","ISSN":"17564646","abstract":"Green tea is one of the most popular and extensively used dietary supplement in the United States. Diverse health claims have made for green tea as a trendy ingredient in the growing market for nutraceuticals and functional foods. Green tea extract contains several polyphenolic components with antioxidant properties, but the predominant active components are the flavanol monomers known as catechins, where epigallocatechin-3-gallate and epicatechin-3-gallate are the most effective antioxidant compounds. Additional active components of green tea extract include the other catechins such as epicatechin and epigallocatechin. Among these, epigallocatechin-3-gallate is the most bioactive and the most scrutinized one. Green tea polyphenols are also responsible for distinctive aroma, color and taste. Green tea extract can also be used in lipid-bearing foods to delay lipid oxidation and to enhance the shelf-life of various food products. This review outlines the chemistry, flavour components, antioxidant mechanism, regulatory status, food applications, and stability of green tea extract in food. © 2013 Elsevier Ltd.","author":[{"dropping-particle":"","family":"Namal Senanayake","given":"S. P.J.","non-dropping-particle":"","parse-names":false,"suffix":""}],"container-title":"Journal of Functional Foods","id":"ITEM-1","issue":"4","issued":{"date-parts":[["2013"]]},"page":"1529-1541","publisher":"Elsevier Ltd","title":"Green tea extract: Chemistry, antioxidant properties and food applications - A review","type":"article-journal","volume":"5"},"uris":["http://www.mendeley.com/documents/?uuid=20e807f0-495a-4d57-87c8-4281aba14107"]}],"mendeley":{"formattedCitation":"(Namal Senanayake, 2013)","plainTextFormattedCitation":"(Namal Senanayake, 2013)","previouslyFormattedCitation":"(Namal Senanayake,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(Namal Senanayake,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These are powerful olfactory and flavour components, whose importance is often overlooked in tea literature. The taste and flavour of tea is governed by key chemical combinations which are polyphenols, caffeine, organic acids and the volatile terpenes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{"citationItems":[{"id":"ITEM-1","itemData":{"DOI":"10.1016/S0308-8146(02)00191-7","ISSN":"03088146","abstract":"In order to assess the intrinsic characteristics of black teas from different regions of India, a chemical and biochemical fingerprint was generated. Relevant constituents of black teas were analysed, using standard physico-chemical, spectrophotometric, HPLC and GC-MS analytical methodologies, to carry out the fingerprinting. Palampur teas had the lowest theaflavins (TFs) and total colour (TC) and high caffeine, total soluble solids (TSS) and viscosity. Teas from Nilgiris, Rosekandy and Kurti had the highest TFs and TC. Assam teas had moderate TFs and TC. Nilgiris and Annamalai teas had low caffeine, TSS and viscosities. Assam, Rosekandy and Kurti teas had high caffeine, moderate TSS and viscosities. Twenty-five volatile flavour compounds (VFCs) were identified by GC-MS as fingerprint markers. Only Palampur teas had nonanal but no dihydroactinidiolide. Annamalai tea had the lowest n-hexanol and Nilgiri-Wynad tea had the lowest geranyl acetate. Only Kurti tea contained xylene. This fingerprint will help to trace the origin of teas. © 2002 Elsevier Science Ltd. All rights reserved.","author":[{"dropping-particle":"","family":"Borse","given":"B. B.","non-dropping-particle":"","parse-names":false,"suffix":""},{"dropping-particle":"","family":"Rao","given":"L. Jagan Mohan","non-dropping-particle":"","parse-names":false,"suffix":""},{"dropping-particle":"","family":"Nagalakshmi","given":"S.","non-dropping-particle":"","parse-names":false,"suffix":""},{"dropping-particle":"","family":"Krishnamurthy","given":"N.","non-dropping-particle":"","parse-names":false,"suffix":""}],"container-title":"Food Chemistry","id":"ITEM-1","issue":"4","issued":{"date-parts":[["2002"]]},"page":"419-424","title":"Fingerprint of black teas from India: Identification of the regio-specific characteristics","type":"article-journal","volume":"79"},"uris":["http://www.mendeley.com/documents/?uuid=ccc31f36-0532-47e9-bf1d-b8bd28bb464c"]}],"mendeley":{"formattedCitation":"(Borse, Rao, Nagalakshmi, &amp; Krishnamurthy, 2002)","plainTextFormattedCitation":"(Borse, Rao, Nagalakshmi, &amp; Krishnamurthy, 2002)","previouslyFormattedCitation":"(Borse, Rao, Nagalakshmi, &amp; Krishnamurthy, 2002)"},"properties":{"noteIndex":0},"schema":"https://github.com/citation-style-language/schema/raw/master/csl-citation.json"}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(Borse, Rao, Nagalakshmi, &amp; Krishnamurthy, 2002)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most important volatile flavour components in green tea were found to be hotrienol, geraniol, linalool and </w:t>
      </w:r>
      <w:r w:rsidRPr="00CF1D1E">
        <w:rPr>
          <w:rFonts w:ascii="Calibri" w:eastAsia="Calibri" w:hAnsi="Calibri" w:cs="Times New Roman"/>
          <w:i/>
          <w:sz w:val="24"/>
          <w:szCs w:val="24"/>
        </w:rPr>
        <w:t>alpha</w:t>
      </w:r>
      <w:r w:rsidRPr="00CF1D1E">
        <w:rPr>
          <w:rFonts w:ascii="Calibri" w:eastAsia="Calibri" w:hAnsi="Calibri" w:cs="Times New Roman"/>
          <w:sz w:val="24"/>
          <w:szCs w:val="24"/>
        </w:rPr>
        <w:t xml:space="preserve">-terpineol depending on the source and manufacturing process of the green tea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{"citationItems":[{"id":"ITEM-1","itemData":{"DOI":"10.1016/j.foodchem.2010.09.074","ISSN":"03088146","abstract":"The volatile flavour components of different teas growing in Thailand were extracted using the simultaneous distillation and extraction (SDE) technique. These volatiles were investigated by GC-MS. At least 54 components representing 76.51-83.32% of all samples were identified. Hotrienol, geraniol and linalool were found to be the major components in Green Oolong tea. Green Assam tea contained linalool, geraniol and α-terpineol as the key flavour constituents. Chin Shin Oolong tea was dominated by linalool, indole and cis-jasmone whilst the major flavour volatiles of Chin Hsuan Oolong tea were trans-nerolidol, cis-jasmone and geraniol. Indole, geraniol and cis-jasmone were detected as the main constituents in Four Season tea. Change of quality and quantity of volatile flavour components was related to fermentation methods that increased volatiles were illustrated by the semi-fermented tea processing method. Green Assam tea infusion extract was evaluated to have the strongest antioxidant activities with the highest amount of phenol content followed by Four Season tea, Chin Shin Oolong tea, Chin Hsuan Oolong tea and Green Oolong tea, respectively. © 2010 Elsevier Ltd.","author":[{"dropping-particle":"","family":"Pripdeevech","given":"Patcharee","non-dropping-particle":"","parse-names":false,"suffix":""},{"dropping-particle":"","family":"Machan","given":"Theeraphan","non-dropping-particle":"","parse-names":false,"suffix":""}],"container-title":"Food Chemistry","id":"ITEM-1","issue":"2","issued":{"date-parts":[["2011"]]},"page":"797-802","publisher":"Elsevier Ltd","title":"Fingerprint of volatile flavour constituents and antioxidant activities of teas from Thailand","type":"article-journal","volume":"125"},"uris":["http://www.mendeley.com/documents/?uuid=07547dd0-11bc-42c7-af57-d7916ab762dc"]}],"mendeley":{"formattedCitation":"(Pripdeevech &amp; Machan, 2011)","plainTextFormattedCitation":"(Pripdeevech &amp; Machan, 2011)","previouslyFormattedCitation":"(Pripdeevech &amp; Machan, 2011)"},"properties":{"noteIndex":0},"schema":"https://github.com/citation-style-language/schema/raw/master/csl-citation.json"}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(Pripdeevech &amp; Machan, 2011)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rPr>
      </w:pPr>
      <w:proofErr w:type="gramStart"/>
      <w:r w:rsidRPr="00CF1D1E">
        <w:rPr>
          <w:rFonts w:ascii="Calibri" w:eastAsia="Calibri" w:hAnsi="Calibri" w:cs="Times New Roman"/>
        </w:rPr>
        <w:t>a</w:t>
      </w:r>
      <w:proofErr w:type="gramEnd"/>
      <w:r w:rsidRPr="00CF1D1E">
        <w:rPr>
          <w:rFonts w:ascii="Calibri" w:eastAsia="Calibri" w:hAnsi="Calibri" w:cs="Times New Roman"/>
        </w:rPr>
        <w:t xml:space="preserve">,   </w:t>
      </w:r>
      <w:r w:rsidRPr="00CF1D1E">
        <w:rPr>
          <w:rFonts w:ascii="Calibri" w:eastAsia="Calibri" w:hAnsi="Calibri" w:cs="Times New Roman"/>
        </w:rPr>
        <w:object w:dxaOrig="3734" w:dyaOrig="1099">
          <v:shape id="_x0000_i1026" type="#_x0000_t75" style="width:142.95pt;height:40.1pt" o:ole="">
            <v:imagedata r:id="rId111" o:title=""/>
          </v:shape>
          <o:OLEObject Type="Embed" ProgID="ChemDraw.Document.6.0" ShapeID="_x0000_i1026" DrawAspect="Content" ObjectID="_1658825292" r:id="rId112"/>
        </w:object>
      </w:r>
      <w:r w:rsidRPr="00CF1D1E">
        <w:rPr>
          <w:rFonts w:ascii="Calibri" w:eastAsia="Calibri" w:hAnsi="Calibri" w:cs="Times New Roman"/>
        </w:rPr>
        <w:t xml:space="preserve"> </w:t>
      </w:r>
      <w:r w:rsidRPr="00CF1D1E">
        <w:rPr>
          <w:rFonts w:ascii="Calibri" w:eastAsia="Calibri" w:hAnsi="Calibri" w:cs="Times New Roman"/>
        </w:rPr>
        <w:tab/>
        <w:t xml:space="preserve">      b,   </w:t>
      </w:r>
      <w:r w:rsidRPr="00CF1D1E">
        <w:rPr>
          <w:rFonts w:ascii="Calibri" w:eastAsia="Calibri" w:hAnsi="Calibri" w:cs="Times New Roman"/>
        </w:rPr>
        <w:object w:dxaOrig="4449" w:dyaOrig="1049">
          <v:shape id="_x0000_i1027" type="#_x0000_t75" style="width:148.1pt;height:33.95pt" o:ole="">
            <v:imagedata r:id="rId113" o:title=""/>
          </v:shape>
          <o:OLEObject Type="Embed" ProgID="ChemDraw.Document.6.0" ShapeID="_x0000_i1027" DrawAspect="Content" ObjectID="_1658825293" r:id="rId114"/>
        </w:object>
      </w:r>
    </w:p>
    <w:p w:rsidR="00CF1D1E" w:rsidRPr="00CF1D1E" w:rsidRDefault="00CF1D1E" w:rsidP="00CF1D1E">
      <w:pPr>
        <w:spacing w:line="360" w:lineRule="auto"/>
        <w:ind w:firstLine="720"/>
        <w:jc w:val="both"/>
        <w:rPr>
          <w:rFonts w:ascii="Calibri" w:eastAsia="Calibri" w:hAnsi="Calibri" w:cs="Times New Roman"/>
          <w:sz w:val="24"/>
          <w:szCs w:val="24"/>
        </w:rPr>
      </w:pPr>
      <w:proofErr w:type="gramStart"/>
      <w:r w:rsidRPr="00CF1D1E">
        <w:rPr>
          <w:rFonts w:ascii="Calibri" w:eastAsia="Calibri" w:hAnsi="Calibri" w:cs="Times New Roman"/>
        </w:rPr>
        <w:t>c</w:t>
      </w:r>
      <w:proofErr w:type="gramEnd"/>
      <w:r w:rsidRPr="00CF1D1E">
        <w:rPr>
          <w:rFonts w:ascii="Calibri" w:eastAsia="Calibri" w:hAnsi="Calibri" w:cs="Times New Roman"/>
        </w:rPr>
        <w:t xml:space="preserve">,   </w:t>
      </w:r>
      <w:r w:rsidRPr="00CF1D1E">
        <w:rPr>
          <w:rFonts w:ascii="Calibri" w:eastAsia="Calibri" w:hAnsi="Calibri" w:cs="Times New Roman"/>
        </w:rPr>
        <w:object w:dxaOrig="3716" w:dyaOrig="991">
          <v:shape id="_x0000_i1028" type="#_x0000_t75" style="width:159.45pt;height:43.2pt" o:ole="">
            <v:imagedata r:id="rId115" o:title=""/>
          </v:shape>
          <o:OLEObject Type="Embed" ProgID="ChemDraw.Document.6.0" ShapeID="_x0000_i1028" DrawAspect="Content" ObjectID="_1658825294" r:id="rId116"/>
        </w:object>
      </w:r>
      <w:r w:rsidRPr="00CF1D1E">
        <w:rPr>
          <w:rFonts w:ascii="Calibri" w:eastAsia="Calibri" w:hAnsi="Calibri" w:cs="Times New Roman"/>
        </w:rPr>
        <w:t xml:space="preserve">          d,   </w:t>
      </w:r>
      <w:r w:rsidRPr="00CF1D1E">
        <w:rPr>
          <w:rFonts w:ascii="Calibri" w:eastAsia="Calibri" w:hAnsi="Calibri" w:cs="Times New Roman"/>
        </w:rPr>
        <w:object w:dxaOrig="2895" w:dyaOrig="1879">
          <v:shape id="_x0000_i1029" type="#_x0000_t75" style="width:111.1pt;height:1in" o:ole="">
            <v:imagedata r:id="rId117" o:title=""/>
          </v:shape>
          <o:OLEObject Type="Embed" ProgID="ChemDraw.Document.6.0" ShapeID="_x0000_i1029" DrawAspect="Content" ObjectID="_1658825295" r:id="rId118"/>
        </w:objec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Fig.72. Molecular structures of (</w:t>
      </w:r>
      <w:r w:rsidRPr="00CF1D1E">
        <w:rPr>
          <w:rFonts w:ascii="Calibri" w:eastAsia="Calibri" w:hAnsi="Calibri" w:cs="Times New Roman"/>
          <w:b/>
          <w:sz w:val="20"/>
          <w:szCs w:val="20"/>
        </w:rPr>
        <w:t>a</w:t>
      </w:r>
      <w:r w:rsidRPr="00CF1D1E">
        <w:rPr>
          <w:rFonts w:ascii="Calibri" w:eastAsia="Calibri" w:hAnsi="Calibri" w:cs="Times New Roman"/>
          <w:sz w:val="20"/>
          <w:szCs w:val="20"/>
        </w:rPr>
        <w:t>) hotrienol, (</w:t>
      </w:r>
      <w:r w:rsidRPr="00CF1D1E">
        <w:rPr>
          <w:rFonts w:ascii="Calibri" w:eastAsia="Calibri" w:hAnsi="Calibri" w:cs="Times New Roman"/>
          <w:b/>
          <w:sz w:val="20"/>
          <w:szCs w:val="20"/>
        </w:rPr>
        <w:t>b</w:t>
      </w:r>
      <w:r w:rsidRPr="00CF1D1E">
        <w:rPr>
          <w:rFonts w:ascii="Calibri" w:eastAsia="Calibri" w:hAnsi="Calibri" w:cs="Times New Roman"/>
          <w:sz w:val="20"/>
          <w:szCs w:val="20"/>
        </w:rPr>
        <w:t>) geraniol, (</w:t>
      </w:r>
      <w:r w:rsidRPr="00CF1D1E">
        <w:rPr>
          <w:rFonts w:ascii="Calibri" w:eastAsia="Calibri" w:hAnsi="Calibri" w:cs="Times New Roman"/>
          <w:b/>
          <w:sz w:val="20"/>
          <w:szCs w:val="20"/>
        </w:rPr>
        <w:t>c</w:t>
      </w:r>
      <w:r w:rsidRPr="00CF1D1E">
        <w:rPr>
          <w:rFonts w:ascii="Calibri" w:eastAsia="Calibri" w:hAnsi="Calibri" w:cs="Times New Roman"/>
          <w:sz w:val="20"/>
          <w:szCs w:val="20"/>
        </w:rPr>
        <w:t>) linalool and (</w:t>
      </w:r>
      <w:r w:rsidRPr="00CF1D1E">
        <w:rPr>
          <w:rFonts w:ascii="Calibri" w:eastAsia="Calibri" w:hAnsi="Calibri" w:cs="Times New Roman"/>
          <w:b/>
          <w:sz w:val="20"/>
          <w:szCs w:val="20"/>
        </w:rPr>
        <w:t>d</w:t>
      </w:r>
      <w:r w:rsidRPr="00CF1D1E">
        <w:rPr>
          <w:rFonts w:ascii="Calibri" w:eastAsia="Calibri" w:hAnsi="Calibri" w:cs="Times New Roman"/>
          <w:sz w:val="20"/>
          <w:szCs w:val="20"/>
        </w:rPr>
        <w:t xml:space="preserve">) </w:t>
      </w:r>
      <w:r w:rsidRPr="00CF1D1E">
        <w:rPr>
          <w:rFonts w:ascii="Calibri" w:eastAsia="Calibri" w:hAnsi="Calibri" w:cs="Times New Roman"/>
          <w:i/>
          <w:sz w:val="20"/>
          <w:szCs w:val="20"/>
        </w:rPr>
        <w:t>alpha</w:t>
      </w:r>
      <w:r w:rsidRPr="00CF1D1E">
        <w:rPr>
          <w:rFonts w:ascii="Calibri" w:eastAsia="Calibri" w:hAnsi="Calibri" w:cs="Times New Roman"/>
          <w:sz w:val="20"/>
          <w:szCs w:val="20"/>
        </w:rPr>
        <w:t>-terpineol.</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These are all members of the terpene family. The paper referenced</w:t>
      </w:r>
      <w:r w:rsidR="004B7DCB">
        <w:rPr>
          <w:rFonts w:ascii="Calibri" w:eastAsia="Calibri" w:hAnsi="Calibri" w:cs="Times New Roman"/>
          <w:sz w:val="24"/>
          <w:szCs w:val="24"/>
        </w:rPr>
        <w:t>,</w:t>
      </w:r>
      <w:r w:rsidRPr="00CF1D1E">
        <w:rPr>
          <w:rFonts w:ascii="Calibri" w:eastAsia="Calibri" w:hAnsi="Calibri" w:cs="Times New Roman"/>
          <w:sz w:val="24"/>
          <w:szCs w:val="24"/>
        </w:rPr>
        <w:t xml:space="preserve"> </w:t>
      </w:r>
      <w:r w:rsidR="004B7DCB">
        <w:rPr>
          <w:rFonts w:ascii="Calibri" w:eastAsia="Calibri" w:hAnsi="Calibri" w:cs="Times New Roman"/>
          <w:sz w:val="24"/>
          <w:szCs w:val="24"/>
        </w:rPr>
        <w:t xml:space="preserve">by </w:t>
      </w:r>
      <w:proofErr w:type="spellStart"/>
      <w:r w:rsidR="004B7DCB">
        <w:rPr>
          <w:rFonts w:ascii="Calibri" w:eastAsia="Calibri" w:hAnsi="Calibri" w:cs="Times New Roman"/>
          <w:sz w:val="24"/>
          <w:szCs w:val="24"/>
        </w:rPr>
        <w:t>Borse</w:t>
      </w:r>
      <w:proofErr w:type="spellEnd"/>
      <w:r w:rsidR="004B7DCB">
        <w:rPr>
          <w:rFonts w:ascii="Calibri" w:eastAsia="Calibri" w:hAnsi="Calibri" w:cs="Times New Roman"/>
          <w:sz w:val="24"/>
          <w:szCs w:val="24"/>
        </w:rPr>
        <w:t xml:space="preserve"> </w:t>
      </w:r>
      <w:r w:rsidR="004B7DCB" w:rsidRPr="004B7DCB">
        <w:rPr>
          <w:rFonts w:ascii="Calibri" w:eastAsia="Calibri" w:hAnsi="Calibri" w:cs="Times New Roman"/>
          <w:i/>
          <w:sz w:val="24"/>
          <w:szCs w:val="24"/>
        </w:rPr>
        <w:t>et al</w:t>
      </w:r>
      <w:r w:rsidR="00871F95">
        <w:rPr>
          <w:rFonts w:ascii="Calibri" w:eastAsia="Calibri" w:hAnsi="Calibri" w:cs="Times New Roman"/>
          <w:i/>
          <w:sz w:val="24"/>
          <w:szCs w:val="24"/>
        </w:rPr>
        <w:t>.</w:t>
      </w:r>
      <w:r w:rsidR="004B7DCB">
        <w:rPr>
          <w:rFonts w:ascii="Calibri" w:eastAsia="Calibri" w:hAnsi="Calibri" w:cs="Times New Roman"/>
          <w:i/>
          <w:sz w:val="24"/>
          <w:szCs w:val="24"/>
        </w:rPr>
        <w:t>,</w:t>
      </w:r>
      <w:r w:rsidR="004B7DCB">
        <w:rPr>
          <w:rFonts w:ascii="Calibri" w:eastAsia="Calibri" w:hAnsi="Calibri" w:cs="Times New Roman"/>
          <w:sz w:val="24"/>
          <w:szCs w:val="24"/>
        </w:rPr>
        <w:t xml:space="preserve"> </w:t>
      </w:r>
      <w:r w:rsidRPr="00CF1D1E">
        <w:rPr>
          <w:rFonts w:ascii="Calibri" w:eastAsia="Calibri" w:hAnsi="Calibri" w:cs="Times New Roman"/>
          <w:sz w:val="24"/>
          <w:szCs w:val="24"/>
        </w:rPr>
        <w:t>displays the large array of components that contribute to the taste and flavour experience of tea. Furthermore, it is stated that “Every tea has its own volatile flavour components characteristic according to the different origin and genotype breeding …… the fermentation tea processing leads to significant change of vola</w:t>
      </w:r>
      <w:r w:rsidR="00464A70">
        <w:rPr>
          <w:rFonts w:ascii="Calibri" w:eastAsia="Calibri" w:hAnsi="Calibri" w:cs="Times New Roman"/>
          <w:sz w:val="24"/>
          <w:szCs w:val="24"/>
        </w:rPr>
        <w:t>tile flavour components in tea”.</w:t>
      </w:r>
      <w:r w:rsidRPr="00CF1D1E">
        <w:rPr>
          <w:rFonts w:ascii="Calibri" w:eastAsia="Calibri" w:hAnsi="Calibri" w:cs="Times New Roman"/>
          <w:sz w:val="24"/>
          <w:szCs w:val="24"/>
        </w:rPr>
        <w:t xml:space="preserve"> Tea volatiles were shown to increase with oxidation when compared to green tea which has been processed in such a way to actively avoid the oxidation process. In the way that polyphenolics have been the theme of this thesis, a focus on terpenes could be of equal scientific importance and interest.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general health benefits of polyphenols have often been described in </w:t>
      </w:r>
      <w:r w:rsidR="00A83CE8">
        <w:rPr>
          <w:rFonts w:ascii="Calibri" w:eastAsia="Calibri" w:hAnsi="Calibri" w:cs="Times New Roman"/>
          <w:sz w:val="24"/>
          <w:szCs w:val="24"/>
        </w:rPr>
        <w:t>the context</w:t>
      </w:r>
      <w:r w:rsidRPr="00CF1D1E">
        <w:rPr>
          <w:rFonts w:ascii="Calibri" w:eastAsia="Calibri" w:hAnsi="Calibri" w:cs="Times New Roman"/>
          <w:sz w:val="24"/>
          <w:szCs w:val="24"/>
        </w:rPr>
        <w:t xml:space="preserve"> of green tea as a model for this class of compounds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{"citationItems":[{"id":"ITEM-1","itemData":{"DOI":"10.1111/j.1541-4337.2008.00043.x","ISBN":"1541-4337","ISSN":"15414337","abstract":"Tea (Camellia sinensis, family Theaceae) (Figure 1) is the most widely consumed plant-based beverage in the world (Zhu and others 2000). For many centuries, ancient Chinese medicine has been using tea infusions for their pharmacological properties (Sato and Miyata 2000). According to Chinese mythology, the Emperor Shen Nung discovered tea for the 1st time in 2737 B.C. (Harbowy and Balentine 1997). Since then the beverage has be- come popular, and currently the per capita worldwide consump- tion is approximately 120 mL brewed tea per day (Ahmad and others 1998). The composition of tea varies with the species, season, age of the leaves (plucking position), climate, and horti- cultural practices (Lin and others 1996, 1998). Black tea represents about 76% to 78% of the tea produced and consumed worldwide. Green tea represents about 20% to 22%, while oolong tea accounts for only about 2% of the world production of tea (McKay and Blumberg 2002). Green tea is pre- pared from fresh tea leaves that are pan-fried or steamed and dried to inactivate enzymes. Chemically, the beverage is charac- terized by the presence of polyphenolic catechins. Black tea is prepared by crushing withered tea leaves and allowing enzyme- mediated oxidation, commonly referred to as fermentation, to occur, leading to the formation of oligomers such as theaflavins and polymers known as thearubigins. Oolong tea is a partially fermented product that contains considerable amounts of cate- chins and oligomerized catechins (Balentine and others 1997). The catechin content of tea may depend on the geographical lo- cation, growing conditions, and the way the leaves are processed prior to drying. The potential health benefits associated with tea consumption have been attributed to the antioxidative properties of tea polyphenols. The Chinese belief that drinking tea promotes good health and longevity is gaining scientific merit (Yang and Landau 2000). MS","author":[{"dropping-particle":"","family":"Sajilata","given":"M. G.","non-dropping-particle":"","parse-names":false,"suffix":""},{"dropping-particle":"","family":"Bajaj","given":"Poonam R.","non-dropping-particle":"","parse-names":false,"suffix":""},{"dropping-particle":"","family":"Singhal","given":"R. S.","non-dropping-particle":"","parse-names":false,"suffix":""}],"container-title":"Comprehensive Reviews in Food Science and Food Safety","id":"ITEM-1","issue":"3","issued":{"date-parts":[["2008"]]},"page":"229-254","title":"Tea polyphenols as nutraceuticals","type":"article-journal","volume":"7"},"uris":["http://www.mendeley.com/documents/?uuid=5aa3255c-f8b3-4095-88e8-d111ee4ba258"]},{"id":"ITEM-2","itemData":{"DOI":"10.1098/rstb.2017.0359","ISBN":"0000000257923","ISSN":"0962-8436","PMID":"29685968","abstract":"Within the past decade, epigenetic mechanisms and their modulation by natural products have gained increasing interest. Dietary bioactive compounds from various sources, including green tea, soya, fruit and berries, cruciferous vegetables, whole grain foods, fish and others, have been shown to target enzymes involved in epigenetic gene regulation, including DNA methyltransferases, histone acetyltransferases, deacetylases and demethylases in vitro and in cell culture. Also, many dietary agents were shown to alter miRNA expression. In vivo studies in animal models and humans are still limited. Recent research has indicated that the gut microbiota and gut microbial metabolites might be important mediators of diet-epigenome interactions. Inter-individual differences in the gut microbiome might affect release, metabolism and bioavailability of dietary agents and explain variability in response to intervention in human studies. Only a few microbial metabolites, including folate, phenolic acids, S-(-)equol, urolithins, isothiocyanates, and short- and long-chain fatty acids have been tested with respect to their potential to influence epigenetic mechanisms. Considering that a complex mixture of intermediary and microbial metabolites is present in human circulation, a more systematic interdisciplinary investigation of nutri-epigenetic activities and their impact on human health is called for.This article is part of a discussion meeting issue 'Frontiers in epigenetic chemical biology'.","author":[{"dropping-particle":"","family":"Gerhauser","given":"Clarissa","non-dropping-particle":"","parse-names":false,"suffix":""}],"container-title":"Philosophical Transactions of the Royal Society B: Biological Sciences","id":"ITEM-2","issue":"1748","issued":{"date-parts":[["2018"]]},"page":"20170359","title":"Impact of dietary gut microbial metabolites on the epigenome","type":"article-journal","volume":"373"},"uris":["http://www.mendeley.com/documents/?uuid=d17f5570-1a95-4161-a7eb-5a38b17dfd05"]},{"id":"ITEM-3","itemData":{"DOI":"10.1016/0091-7435(92)90041-F","ISSN":"00917435","abstract":"Tea is grown in about 30 countries but is consumed worldwide, although at greatly varying levels. It is the most widely consumed beverage aside from water with a per capita worldwide consumption of approximately 0.12 liter per year. Tea is manufactured in three basic forms. Green tea is prepared in such a way as to preclude the oxidation of green leaf polyphenols. During black tea production oxidation is promoted so that most of these substances are oxidized. Oolong tea is a partially oxidized product. Of the approximately 2.5 million metric tons of dried tea manufactured, only 20% is green tea and less than 2% is oolong tea. Green tea is consumed primarily in China, Japan, and a few countries in North Africa and the Middle East. Fresh tea leaf is unusually rich in the flavanol group of polyphenols known as catechins which may constitute up to 30% of the dry leaf weight. Other polyphenols include flavonols and their glycosides, and depsides such as chlorogenic acid, coumarylquinic acid, and one unique to tea, theogallin (3-galloylquinic acid). Caffeine is present at an average level of 3% along with very small amounts of the other common methylxanthines, theobromine and theophylline. The amino acid theanine (5-Nethylglutamine) is also unique to tea. Tea accumulates aluminum and manganese. In addition to the normal complement of plant cell enzymes, tea leaf contains an active polyphenol oxidase which catalyzes the aerobic oxidation of the catechins when the leaf cell structure is disrupted during black tea manufacture. The various quinones produced by the enzymatic oxidations undergo condensation reactions which result in a series of compounds, including bisflavanols, theaflavins, epitheaflavic acids, and thearubigens, which impart the characteristic taste and color properties of black tea. Most of these compounds readily form complexes with caffeine. There is no tannic acid in tea. Thearubigens constitute the largest mass of the extractable matter in black tea but their composition is not well known. Proanthocyanidins make up part of the complex. Tea peroxidase may be involved in their generation. The catechin quinones also initiate the formation of many of the hundreds of volatile compounds found in the black tea aroma fraction. Green tea composition is very similar to that of the fresh leaf except for a few enzymatically catalyzed changes which occur extremely rapidly following plucking. New volatile substances are produced during the drying stage. Oo…","author":[{"dropping-particle":"","family":"Graham","given":"Harold N.","non-dropping-particle":"","parse-names":false,"suffix":""}],"container-title":"Preventive Medicine","id":"ITEM-3","issue":"3","issued":{"date-parts":[["1992"]]},"page":"334-350","title":"Green tea composition, consumption, and polyphenol chemistry","type":"article-journal","volume":"21"},"uris":["http://www.mendeley.com/documents/?uuid=3fa94ab3-40ba-4b9f-ab8c-424f0c27fed4"]},{"id":"ITEM-4","itemData":{"DOI":"10.2903/j.efsa.2018.5239","ISSN":"18314732","author":[{"dropping-particle":"","family":"Younes","given":"Maged","non-dropping-particle":"","parse-names":false,"suffix":""},{"dropping-particle":"","family":"Aggett","given":"Peter","non-dropping-particle":"","parse-names":false,"suffix":""},{"dropping-particle":"","family":"Aguilar","given":"Fernando","non-dropping-particle":"","parse-names":false,"suffix":""},{"dropping-particle":"","family":"Crebelli","given":"Riccardo","non-dropping-particle":"","parse-names":false,"suffix":""},{"dropping-particle":"","family":"Dusemund","given":"Birgit","non-dropping-particle":"","parse-names":false,"suffix":""},{"dropping-particle":"","family":"Filipič","given":"Metka","non-dropping-particle":"","parse-names":false,"suffix":""},{"dropping-particle":"","family":"Frutos","given":"Maria Jose","non-dropping-particle":"","parse-names":false,"suffix":""},{"dropping-particle":"","family":"Galtier","given":"Pierre","non-dropping-particle":"","parse-names":false,"suffix":""},{"dropping-particle":"","family":"Gott","given":"David","non-dropping-particle":"","parse-names":false,"suffix":""},{"dropping-particle":"","family":"Gundert‐Remy","given":"Ursula","non-dropping-particle":"","parse-names":false,"suffix":""},{"dropping-particle":"","family":"Lambré","given":"Claude","non-dropping-particle":"","parse-names":false,"suffix":""},{"dropping-particle":"","family":"Leblanc","given":"Jean‐Charles","non-dropping-particle":"","parse-names":false,"suffix":""},{"dropping-particle":"","family":"Lillegaard","given":"Inger Therese","non-dropping-particle":"","parse-names":false,"suffix":""},{"dropping-particle":"","family":"Moldeus","given":"Peter","non-dropping-particle":"","parse-names":false,"suffix":""},{"dropping-particle":"","family":"Mortensen","given":"Alicja","non-dropping-particle":"","parse-names":false,"suffix":""},{"dropping-particle":"","family":"Oskarsson","given":"Agneta","non-dropping-particle":"","parse-names":false,"suffix":""},{"dropping-particle":"","family":"Stankovic","given":"Ivan","non-dropping-particle":"","parse-names":false,"suffix":""},{"dropping-particle":"","family":"Waalkens‐Berendsen","given":"Ine","non-dropping-particle":"","parse-names":false,"suffix":""},{"dropping-particle":"","family":"Woutersen","given":"Rudolf Antonius","non-dropping-particle":"","parse-names":false,"suffix":""},{"dropping-particle":"","family":"Andrade","given":"Raul J","non-dropping-particle":"","parse-names":false,"suffix":""},{"dropping-particle":"","family":"Fortes","given":"Cristina","non-dropping-particle":"","parse-names":false,"suffix":""},{"dropping-particle":"","family":"Mosesso","given":"Pasquale","non-dropping-particle":"","parse-names":false,"suffix":""},{"dropping-particle":"","family":"Restani","given":"Patrizia","non-dropping-particle":"","parse-names":false,"suffix":""},{"dropping-particle":"","family":"Arcella","given":"Davide","non-dropping-particle":"","parse-names":false,"suffix":""},{"dropping-particle":"","family":"Pizzo","given":"Fabiola","non-dropping-particle":"","parse-names":false,"suffix":""},{"dropping-particle":"","family":"Smeraldi","given":"Camilla","non-dropping-particle":"","parse-names":false,"suffix":""},{"dropping-particle":"","family":"Wright","given":"Matthew","non-dropping-particle":"","parse-names":false,"suffix":""}],"container-title":"EFSA Journal","id":"ITEM-4","issue":"4","issued":{"date-parts":[["2018"]]},"title":"Scientific opinion on the safety of green tea catechins","type":"article-journal","volume":"16"},"uris":["http://www.mendeley.com/documents/?uuid=4e289e2e-166d-4202-8b9d-fe2907375d90"]},{"id":"ITEM-5","itemData":{"DOI":"10.3390/nu2080820","ISSN":"20726643","abstract":"This paper reviews recent human studies on the bioavailability of chlorogenic acids in coffee and green tea flavan-3-ols in which the identification of metabolites, catabolites and parent compounds in plasma, urine and ileal fluid was based on mass spectrometric methodology. Both the chlorogenic acids and the flavan-3-ols are absorbed in the small intestine and appear in the circulatory system predominantly as glucuronide, sulfate and methylated metabolites. Even when absorption occurs in the small intestine, feeding studies with ileostomists reveal that substantial amounts of the parent compounds and some of their metabolites appear in ileal fluid indicating that in volunteers with a functioning colon these compounds will pass to the large intestine where they are subjected to the action of the colonic microflora. A diversity of colonic-derived catabolites are absorbed into the bloodstream and pass through the body prior to excretion in urine. There is growing evidence that these compounds, which were little investigated until recently, are produced in quantity in the colon and form a key part of the bioavailability equation of flavonoids and related compounds that occur in fruits, vegetables and beverages. Recent evidence indicates that some colon-derived phenolic acids have in vitro anti-inflammatory activity.","author":[{"dropping-particle":"","family":"Rio","given":"Daniele","non-dropping-particle":"Del","parse-names":false,"suffix":""},{"dropping-particle":"","family":"Stalmach","given":"Angelique","non-dropping-particle":"","parse-names":false,"suffix":""},{"dropping-particle":"","family":"Calani","given":"Luca","non-dropping-particle":"","parse-names":false,"suffix":""},{"dropping-particle":"","family":"Crozier","given":"Alan","non-dropping-particle":"","parse-names":false,"suffix":""}],"container-title":"Nutrients","id":"ITEM-5","issue":"8","issued":{"date-parts":[["2010"]]},"page":"820-833","title":"Bioavailability of coffee chlorogenic acids and green tea flavan-3-ols","type":"article-journal","volume":"2"},"uris":["http://www.mendeley.com/documents/?uuid=c7bd5a44-25de-4d67-8302-baa48426a771"]},{"id":"ITEM-6","itemData":{"ISBN":"0-306-48207-X(H)","abstract":"This 118-page book focuses on the health effects of tea and its catechins. This book provides a comprehensive overview of the historical use of green tea and a description of its beneficial effects against certain diseases. The book is structured into 7 chapters, all of which are written in English. These chapters are divided into more specific sections on the chapter topic. The first chapter discusses the history of green tea and its use in Japan, including where green tea originated, Buddhism and green tea, green tea in feudal times, establishment of the tea ceremony and the present state of green tea in Japan. The preventive health effects of tea against human diseases are discussed in the second chapter, including the anticarcinogenic, antimutagenic, antiangiogenic effects of green tea, its inhibitory effects on Helicobactor pylori growth, the chemopreventive effects of tea catechins, and the effects of green tea against allergy. In chapter 3 the health effects of tea are discussed with respect to age-related diseases, including hypertension, diabetes, obesity, arteriosclerosis and senile dementia. The fourth chapter discusses the anti-infective effects of tea, and in particular the effects of tea in the prevention of influenza infection, dental caries and bad breath, and food poisoning, the effects of tea in improving intraintestinal bacteria and the prevention of odor, in the prevention of intra-hospital infections, HIV infection, warts and inflammation. Chapter 5 concentrates on the antibacterial and antioxidative activity of tea and specific sections within this chapter discuss the antioxidative action of tea, the prevention of oxidation in processed foods, the prevention of offensive odors by tea and the air-cleaning action of tea. How to make a good cup of green tea is described in chapter 6, including suitable water for green tea, choosing a green tea, how to pour a cup of green tea, and taboos in tea drinking. The seventh and final chapter discusses the food and industrial applications of tea catechins, including catechin capsules, catechin eggs, catechin candy, catechin tablets for bad breath, catechin drinks with radical scavenging power, catechin filter, catechin cosmetics, deodorant sprays for kitchens, catechin-containing zinc tablets, soft drinks containing catechins, catechin-containing instant green tea, slug repellant spray, clothes with antibacterial and antioxidant properties and formaldehyde absorption by catechins. This book is …","author":[{"dropping-particle":"","family":"Kuroda","given":"Y","non-dropping-particle":"","parse-names":false,"suffix":""},{"dropping-particle":"","family":"Hara","given":"Y","non-dropping-particle":"","parse-names":false,"suffix":""}],"container-title":"Health Effects of Tea and Its Catechins","id":"ITEM-6","issued":{"date-parts":[["2004"]]},"title":"Health Effects of Tea and Its Catechins","type":"book"},"uris":["http://www.mendeley.com/documents/?uuid=38c55264-d785-42b6-8688-52b19f7076e6"]}],"mendeley":{"formattedCitation":"(Del Rio et al., 2010; Gerhauser, 2018; Graham, 1992; Kuroda &amp; Hara, 2004; Sajilata, Bajaj, &amp; Singhal, 2008; Younes et al., 2018)","plainTextFormattedCitation":"(Del Rio et al., 2010; Gerhauser, 2018; Graham, 1992; Kuroda &amp; Hara, 2004; Sajilata, Bajaj, &amp; Singhal, 2008; Younes et al., 2018)","previouslyFormattedCitation":"(Del Rio et al., 2010; Gerhauser, 2018; Graham, 1992; Kuroda &amp; Hara, 2004; Sajilata, Bajaj, &amp; Singhal, 2008; Younes et al., 2018)"},"properties":{"noteIndex":0},"schema":"https://github.com/citation-style-language/schema/raw/master/csl-citation.json"}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(Del Rio </w:t>
      </w:r>
      <w:r w:rsidR="00941740" w:rsidRPr="007B580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xml:space="preserve">., 2010; Gerhauser, 2018; Graham, 1992; Kuroda &amp; Hara, 2004; Sajilata, Bajaj, &amp; Singhal, 2008; Younes </w:t>
      </w:r>
      <w:r w:rsidR="00941740" w:rsidRPr="007B580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These health benefits have been described earlier (chapter 1, introduction) so only additional information will be discussed here. As catechins are present in higher quantities in green tea than in black or oolong tea, they tend to be in the spotlight of green tea literature. Green tea catechins are best known for their antioxidant properties, which has led researchers to study their effects on diseases associated with reactive oxygen species (ROS), such as cancer, cardiovascular and neurodegenerative diseases. Several studies have shown that green tea can afford protection against various cancers such as those of the skin, breast, prostate and lung. The health claims continue stating that green tea has </w:t>
      </w:r>
      <w:r w:rsidR="00464A70">
        <w:rPr>
          <w:rFonts w:ascii="Calibri" w:eastAsia="Calibri" w:hAnsi="Calibri" w:cs="Times New Roman"/>
          <w:sz w:val="24"/>
          <w:szCs w:val="24"/>
        </w:rPr>
        <w:t>been</w:t>
      </w:r>
      <w:r w:rsidRPr="00CF1D1E">
        <w:rPr>
          <w:rFonts w:ascii="Calibri" w:eastAsia="Calibri" w:hAnsi="Calibri" w:cs="Times New Roman"/>
          <w:sz w:val="24"/>
          <w:szCs w:val="24"/>
        </w:rPr>
        <w:t xml:space="preserve"> shown to be hypocholesterolaemic and </w:t>
      </w:r>
      <w:r w:rsidR="00464A70">
        <w:rPr>
          <w:rFonts w:ascii="Calibri" w:eastAsia="Calibri" w:hAnsi="Calibri" w:cs="Times New Roman"/>
          <w:sz w:val="24"/>
          <w:szCs w:val="24"/>
        </w:rPr>
        <w:t xml:space="preserve">can also </w:t>
      </w:r>
      <w:r w:rsidRPr="00CF1D1E">
        <w:rPr>
          <w:rFonts w:ascii="Calibri" w:eastAsia="Calibri" w:hAnsi="Calibri" w:cs="Times New Roman"/>
          <w:sz w:val="24"/>
          <w:szCs w:val="24"/>
        </w:rPr>
        <w:t xml:space="preserve">prevent the development of atherosclerotic plaques. Green tea has been shown to afford significant protection against Parkinson's disease and Alzheimer's disease. </w:t>
      </w:r>
      <w:r w:rsidR="00464A70">
        <w:rPr>
          <w:rFonts w:ascii="Calibri" w:eastAsia="Calibri" w:hAnsi="Calibri" w:cs="Times New Roman"/>
          <w:sz w:val="24"/>
          <w:szCs w:val="24"/>
        </w:rPr>
        <w:t xml:space="preserve">On top of this, green tea has </w:t>
      </w:r>
      <w:r w:rsidRPr="00CF1D1E">
        <w:rPr>
          <w:rFonts w:ascii="Calibri" w:eastAsia="Calibri" w:hAnsi="Calibri" w:cs="Times New Roman"/>
          <w:sz w:val="24"/>
          <w:szCs w:val="24"/>
        </w:rPr>
        <w:t xml:space="preserve">shown anti-diabetic effects in animal models. Other health benefits attributed to green tea include anti- bacterial, anti-HIV, anti-aging  and anti-inflammatory activity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{"citationItems":[{"id":"ITEM-1","itemData":{"DOI":"10.1016/j.lfs.2005.12.006","ISSN":"00243205","abstract":"Can drinking several cups of green tea a day keep the doctor away? This certainly seems so, given the popularity of this practice in East Asian culture and the increased interest in green tea in the Western world. Several epidemiological studies have shown beneficial effects of green tea in cancer, cardiovascular, and neurological diseases. The health benefits associated with green tea consumption have also been corroborated in animal studies of cancer chemoprevention, hypercholesterolemia, artherosclerosis, Parkinson's disease, Alzheimer's disease, and other aging-related disorders. However, the use of green tea as a cancer chemopreventive or for other health benefits has been confounded by the low oral bioavailability of its active polyphenolic catechins, particularly epigallocatechin-3-gallate (EGCG), the most active catechin. This review summarizes the purported beneficial effects of green tea and EGCG in various animal models of human diseases. Dose-related differences in the effects of EGCG in cancer versus neurodegenerative and cardiovascular diseases, as well as discrepancies between doses used in in vitro studies and achievable plasma understanding of the in vivo effects of green tea catechins in humans, before the use of green tea is widely adopted as health-promoting measure. © 2005 Elsevier Inc. All rights reserved.","author":[{"dropping-particle":"","family":"Zaveri","given":"Nurulain T.","non-dropping-particle":"","parse-names":false,"suffix":""}],"container-title":"Life Sciences","id":"ITEM-1","issue":"18","issued":{"date-parts":[["2006"]]},"page":"2073-2080","publisher":"Elsevier Inc.","title":"Green tea and its polyphenolic catechins: Medicinal uses in cancer and noncancer applications","type":"article-journal","volume":"78"},"uris":["http://www.mendeley.com/documents/?uuid=b7539bc5-277b-4224-b671-cc2b43c8ddbe"]}],"mendeley":{"formattedCitation":"(Zaveri, 2006)","plainTextFormattedCitation":"(Zaveri, 2006)","previouslyFormattedCitation":"(Zaveri, 2006)"},"properties":{"noteIndex":0},"schema":"https://github.com/citation-style-language/schema/raw/master/csl-citation.json"}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(Zaveri, 2006)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Oxidation of polyphenols through enzymatic </w:t>
      </w:r>
      <w:r w:rsidR="00317297" w:rsidRPr="00CF1D1E">
        <w:rPr>
          <w:rFonts w:ascii="Calibri" w:eastAsia="Calibri" w:hAnsi="Calibri" w:cs="Times New Roman"/>
          <w:sz w:val="24"/>
          <w:szCs w:val="24"/>
        </w:rPr>
        <w:t>conversion</w:t>
      </w:r>
      <w:r w:rsidRPr="00CF1D1E">
        <w:rPr>
          <w:rFonts w:ascii="Calibri" w:eastAsia="Calibri" w:hAnsi="Calibri" w:cs="Times New Roman"/>
          <w:sz w:val="24"/>
          <w:szCs w:val="24"/>
        </w:rPr>
        <w:t xml:space="preserve">, mainly down to the action of polyphenol oxidase (PPO), leads to a whole host of different and complex </w:t>
      </w:r>
      <w:r w:rsidR="00317297">
        <w:rPr>
          <w:rFonts w:ascii="Calibri" w:eastAsia="Calibri" w:hAnsi="Calibri" w:cs="Times New Roman"/>
          <w:sz w:val="24"/>
          <w:szCs w:val="24"/>
        </w:rPr>
        <w:t xml:space="preserve">components, many of which have </w:t>
      </w:r>
      <w:r w:rsidRPr="00CF1D1E">
        <w:rPr>
          <w:rFonts w:ascii="Calibri" w:eastAsia="Calibri" w:hAnsi="Calibri" w:cs="Times New Roman"/>
          <w:sz w:val="24"/>
          <w:szCs w:val="24"/>
        </w:rPr>
        <w:t xml:space="preserve">yet </w:t>
      </w:r>
      <w:r w:rsidR="00317297">
        <w:rPr>
          <w:rFonts w:ascii="Calibri" w:eastAsia="Calibri" w:hAnsi="Calibri" w:cs="Times New Roman"/>
          <w:sz w:val="24"/>
          <w:szCs w:val="24"/>
        </w:rPr>
        <w:t xml:space="preserve">to be </w:t>
      </w:r>
      <w:r w:rsidRPr="00CF1D1E">
        <w:rPr>
          <w:rFonts w:ascii="Calibri" w:eastAsia="Calibri" w:hAnsi="Calibri" w:cs="Times New Roman"/>
          <w:sz w:val="24"/>
          <w:szCs w:val="24"/>
        </w:rPr>
        <w:t xml:space="preserve">been characterised. To a lesser extent, and under different conditions, a </w:t>
      </w:r>
      <w:r w:rsidRPr="00CF1D1E">
        <w:rPr>
          <w:rFonts w:ascii="Calibri" w:eastAsia="Calibri" w:hAnsi="Calibri" w:cs="Times New Roman"/>
          <w:i/>
          <w:sz w:val="24"/>
          <w:szCs w:val="24"/>
        </w:rPr>
        <w:t>peroxidase</w:t>
      </w:r>
      <w:r w:rsidRPr="00CF1D1E">
        <w:rPr>
          <w:rFonts w:ascii="Calibri" w:eastAsia="Calibri" w:hAnsi="Calibri" w:cs="Times New Roman"/>
          <w:sz w:val="24"/>
          <w:szCs w:val="24"/>
        </w:rPr>
        <w:t xml:space="preserve"> enzyme (EC number 1.11. 1. x) is also involved in this transformation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{"citationItems":[{"id":"ITEM-1","itemData":{"DOI":"10.1007/978-1-4615-4139-4_39","ISBN":"978-1-4615-4139-4","abstract":"Many of us consume tea daily, but it is surprizing how few know where it comes from or how it is made. Tea comes from the tea plant the botanical name for which is Camellia sinensis (L.) O. Kuntze.1 This is a white-flowered evergreen indigenous to the rainforests of Assam, Northwest Burma and South West China, but now cultivated in over 30 countries around the world in places as far apart as Argentina, China, Papua New Guinea, and Turkey. However, since most tea leaves are plucked by hand, the largest plantations are most often found in countries with low manual labor costs. Two main varieties of tea are cultivated; Camellia sinensis var sinensis and C. sinensis var assamica. There is some controversy as to whether these are varieties or two distinct species.1C. sinensis var. sinensis L, is grown mainly in China and Japan; it is a slow-growing bush, has small narrow leaves and is used for green tea manufacture. The second variety Camellia sinensis var. assamica is grown primarily in India and Africa, is fast growing, has a treelike habit, large broad leaves, and is the source material for black tea. In its cultivated state, it is pruned to approximately 3 feet for ease of harvesting the young shoots (flush), from which the tea is manufactured. This process (plucking) is carried out every 7–14 days during the growing season.","author":[{"dropping-particle":"","family":"Davies","given":"Alan P","non-dropping-particle":"","parse-names":false,"suffix":""},{"dropping-particle":"","family":"Goodsall","given":"Chris","non-dropping-particle":"","parse-names":false,"suffix":""},{"dropping-particle":"","family":"Cai","given":"Ya","non-dropping-particle":"","parse-names":false,"suffix":""},{"dropping-particle":"","family":"Davis","given":"Adrienne L","non-dropping-particle":"","parse-names":false,"suffix":""},{"dropping-particle":"","family":"Lewis","given":"John R","non-dropping-particle":"","parse-names":false,"suffix":""},{"dropping-particle":"","family":"Wilkins","given":"John","non-dropping-particle":"","parse-names":false,"suffix":""},{"dropping-particle":"","family":"Wan","given":"Xiaochun","non-dropping-particle":"","parse-names":false,"suffix":""},{"dropping-particle":"","family":"Clifford","given":"Mike N","non-dropping-particle":"","parse-names":false,"suffix":""},{"dropping-particle":"","family":"Powell","given":"Chris","non-dropping-particle":"","parse-names":false,"suffix":""},{"dropping-particle":"","family":"Parry","given":"Andrew","non-dropping-particle":"","parse-names":false,"suffix":""},{"dropping-particle":"","family":"Thiru","given":"Ambalavanar","non-dropping-particle":"","parse-names":false,"suffix":""},{"dropping-particle":"","family":"Safford","given":"Robert","non-dropping-particle":"","parse-names":false,"suffix":""},{"dropping-particle":"","family":"Nurstend","given":"Harry E","non-dropping-particle":"","parse-names":false,"suffix":""}],"editor":[{"dropping-particle":"","family":"Gross","given":"Georg G","non-dropping-particle":"","parse-names":false,"suffix":""},{"dropping-particle":"","family":"Hemingway","given":"Richard W","non-dropping-particle":"","parse-names":false,"suffix":""},{"dropping-particle":"","family":"Yoshida","given":"Takashi","non-dropping-particle":"","parse-names":false,"suffix":""},{"dropping-particle":"","family":"Branham","given":"Susan J","non-dropping-particle":"","parse-names":false,"suffix":""}],"id":"ITEM-1","issued":{"date-parts":[["1999"]]},"page":"697-724","publisher":"Springer US","publisher-place":"Boston, MA","title":"Black Tea Dimeric and Oligomeric Pigments—Structures and Formation BT  - Plant Polyphenols 2: Chemistry, Biology, Pharmacology, Ecology","type":"chapter"},"uris":["http://www.mendeley.com/documents/?uuid=db65ab1d-471b-42ac-8169-4333d2f58684"]}],"mendeley":{"formattedCitation":"(Davies et al., 1999)","plainTextFormattedCitation":"(Davies et al., 1999)","previouslyFormattedCitation":"(Davies et al., 1999)"},"properties":{"noteIndex":0},"schema":"https://github.com/citation-style-language/schema/raw/master/csl-citation.json"}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871F95">
        <w:rPr>
          <w:rFonts w:ascii="Calibri" w:eastAsia="Calibri" w:hAnsi="Calibri" w:cs="Times New Roman"/>
          <w:noProof/>
          <w:sz w:val="24"/>
          <w:szCs w:val="24"/>
        </w:rPr>
        <w:t>(</w:t>
      </w:r>
      <w:r w:rsidR="00941740" w:rsidRPr="00464A70">
        <w:rPr>
          <w:rFonts w:ascii="Calibri" w:eastAsia="Calibri" w:hAnsi="Calibri" w:cs="Times New Roman"/>
          <w:noProof/>
          <w:sz w:val="24"/>
          <w:szCs w:val="24"/>
        </w:rPr>
        <w:t>Davies</w:t>
      </w:r>
      <w:r w:rsidR="00941740" w:rsidRPr="00464A70">
        <w:rPr>
          <w:rFonts w:ascii="Calibri" w:eastAsia="Calibri" w:hAnsi="Calibri" w:cs="Times New Roman"/>
          <w:i/>
          <w:noProof/>
          <w:sz w:val="24"/>
          <w:szCs w:val="24"/>
        </w:rPr>
        <w:t xml:space="preserve"> et al</w:t>
      </w:r>
      <w:r w:rsidR="00941740" w:rsidRPr="00941740">
        <w:rPr>
          <w:rFonts w:ascii="Calibri" w:eastAsia="Calibri" w:hAnsi="Calibri" w:cs="Times New Roman"/>
          <w:noProof/>
          <w:sz w:val="24"/>
          <w:szCs w:val="24"/>
        </w:rPr>
        <w:t>., 1999)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These compounds, created by the oxidation of fresh green tea leaves, are not present in healthy</w:t>
      </w:r>
      <w:r w:rsidR="00317297">
        <w:rPr>
          <w:rFonts w:ascii="Calibri" w:eastAsia="Calibri" w:hAnsi="Calibri" w:cs="Times New Roman"/>
          <w:sz w:val="24"/>
          <w:szCs w:val="24"/>
        </w:rPr>
        <w:t xml:space="preserve"> plant</w:t>
      </w:r>
      <w:r w:rsidRPr="00CF1D1E">
        <w:rPr>
          <w:rFonts w:ascii="Calibri" w:eastAsia="Calibri" w:hAnsi="Calibri" w:cs="Times New Roman"/>
          <w:sz w:val="24"/>
          <w:szCs w:val="24"/>
        </w:rPr>
        <w:t xml:space="preserve"> tissue and are thought to </w:t>
      </w:r>
      <w:r w:rsidR="00317297">
        <w:rPr>
          <w:rFonts w:ascii="Calibri" w:eastAsia="Calibri" w:hAnsi="Calibri" w:cs="Times New Roman"/>
          <w:sz w:val="24"/>
          <w:szCs w:val="24"/>
        </w:rPr>
        <w:t>provid</w:t>
      </w:r>
      <w:r w:rsidRPr="00CF1D1E">
        <w:rPr>
          <w:rFonts w:ascii="Calibri" w:eastAsia="Calibri" w:hAnsi="Calibri" w:cs="Times New Roman"/>
          <w:sz w:val="24"/>
          <w:szCs w:val="24"/>
        </w:rPr>
        <w:t xml:space="preserve">e a mechanism against insect attack. </w:t>
      </w:r>
      <w:r w:rsidRPr="00CF1D1E">
        <w:rPr>
          <w:rFonts w:ascii="Calibri" w:eastAsia="Calibri" w:hAnsi="Calibri" w:cs="Times New Roman"/>
          <w:sz w:val="24"/>
          <w:szCs w:val="24"/>
        </w:rPr>
        <w:lastRenderedPageBreak/>
        <w:t xml:space="preserve">After the oxidation process, the majority of flavonoids remain unchanged. It is the flavan-3-ols that are altered and are therefore not present in black tea. The theory is that flavan-3-ols are chemically converted into more complex polyphenols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{"citationItems":[{"id":"ITEM-1","itemData":{"DOI":"10.1039/b912523j","ISSN":"02650568","abstract":"This review summarises the chemistry of low molecular weight polyphenols isolated and characterised from black tea, discussing both structures identified and mechanisms of their likely formation.","author":[{"dropping-particle":"","family":"Drynan","given":"James Warren","non-dropping-particle":"","parse-names":false,"suffix":""},{"dropping-particle":"","family":"Clifford","given":"Michael N.","non-dropping-particle":"","parse-names":false,"suffix":""},{"dropping-particle":"","family":"Obuchowicz","given":"Jacek","non-dropping-particle":"","parse-names":false,"suffix":""},{"dropping-particle":"","family":"Kuhnert","given":"Nikolai","non-dropping-particle":"","parse-names":false,"suffix":""}],"container-title":"Natural Product Reports","id":"ITEM-1","issue":"3","issued":{"date-parts":[["2010"]]},"page":"417-462","title":"The chemistry of low molecular weight black tea polyphenols","type":"article-journal","volume":"27"},"uris":["http://www.mendeley.com/documents/?uuid=615f3d4e-2e67-4641-9f6c-cdd98adf4906"]}],"mendeley":{"formattedCitation":"(Drynan et al., 2010)","plainTextFormattedCitation":"(Drynan et al., 2010)","previouslyFormattedCitation":"(Drynan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(Drynan </w:t>
      </w:r>
      <w:r w:rsidR="00941740" w:rsidRPr="007B580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These oxidation products will be discussed in detail over the coming pages.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As black tea is fully oxidised, this is the tea</w:t>
      </w:r>
      <w:r w:rsidR="00317297">
        <w:rPr>
          <w:rFonts w:ascii="Calibri" w:eastAsia="Calibri" w:hAnsi="Calibri" w:cs="Times New Roman"/>
          <w:sz w:val="24"/>
          <w:szCs w:val="24"/>
        </w:rPr>
        <w:t xml:space="preserve"> variety</w:t>
      </w:r>
      <w:r w:rsidRPr="00CF1D1E">
        <w:rPr>
          <w:rFonts w:ascii="Calibri" w:eastAsia="Calibri" w:hAnsi="Calibri" w:cs="Times New Roman"/>
          <w:sz w:val="24"/>
          <w:szCs w:val="24"/>
        </w:rPr>
        <w:t xml:space="preserve"> t</w:t>
      </w:r>
      <w:r w:rsidR="00464A70">
        <w:rPr>
          <w:rFonts w:ascii="Calibri" w:eastAsia="Calibri" w:hAnsi="Calibri" w:cs="Times New Roman"/>
          <w:sz w:val="24"/>
          <w:szCs w:val="24"/>
        </w:rPr>
        <w:t>hat contains the largest amount</w:t>
      </w:r>
      <w:r w:rsidRPr="00CF1D1E">
        <w:rPr>
          <w:rFonts w:ascii="Calibri" w:eastAsia="Calibri" w:hAnsi="Calibri" w:cs="Times New Roman"/>
          <w:sz w:val="24"/>
          <w:szCs w:val="24"/>
        </w:rPr>
        <w:t xml:space="preserve"> of oxidation products.</w:t>
      </w:r>
      <w:r w:rsidRPr="00CF1D1E">
        <w:rPr>
          <w:rFonts w:ascii="Calibri" w:eastAsia="Calibri" w:hAnsi="Calibri" w:cs="Times New Roman"/>
        </w:rPr>
        <w:t xml:space="preserve"> </w:t>
      </w:r>
      <w:r w:rsidRPr="00CF1D1E">
        <w:rPr>
          <w:rFonts w:ascii="Calibri" w:eastAsia="Calibri" w:hAnsi="Calibri" w:cs="Times New Roman"/>
          <w:sz w:val="24"/>
          <w:szCs w:val="24"/>
        </w:rPr>
        <w:t xml:space="preserve">Broadly speaking the components of black tea can be split into two categories. </w:t>
      </w:r>
      <w:r w:rsidRPr="00CF1D1E">
        <w:rPr>
          <w:rFonts w:ascii="Calibri" w:eastAsia="Calibri" w:hAnsi="Calibri" w:cs="Times New Roman"/>
          <w:i/>
          <w:sz w:val="24"/>
          <w:szCs w:val="24"/>
        </w:rPr>
        <w:t>Firstly</w:t>
      </w:r>
      <w:r w:rsidRPr="00CF1D1E">
        <w:rPr>
          <w:rFonts w:ascii="Calibri" w:eastAsia="Calibri" w:hAnsi="Calibri" w:cs="Times New Roman"/>
          <w:sz w:val="24"/>
          <w:szCs w:val="24"/>
        </w:rPr>
        <w:t xml:space="preserve"> there are the low molecular weight compounds of less than 1</w:t>
      </w:r>
      <w:r w:rsidR="00317297">
        <w:rPr>
          <w:rFonts w:ascii="Calibri" w:eastAsia="Calibri" w:hAnsi="Calibri" w:cs="Times New Roman"/>
          <w:sz w:val="24"/>
          <w:szCs w:val="24"/>
        </w:rPr>
        <w:t>,</w:t>
      </w:r>
      <w:r w:rsidRPr="00CF1D1E">
        <w:rPr>
          <w:rFonts w:ascii="Calibri" w:eastAsia="Calibri" w:hAnsi="Calibri" w:cs="Times New Roman"/>
          <w:sz w:val="24"/>
          <w:szCs w:val="24"/>
        </w:rPr>
        <w:t xml:space="preserve">000Da which consists of monomer to trimers of polyphenols whose structures are known. The </w:t>
      </w:r>
      <w:r w:rsidRPr="00CF1D1E">
        <w:rPr>
          <w:rFonts w:ascii="Calibri" w:eastAsia="Calibri" w:hAnsi="Calibri" w:cs="Times New Roman"/>
          <w:i/>
          <w:sz w:val="24"/>
          <w:szCs w:val="24"/>
        </w:rPr>
        <w:t>second</w:t>
      </w:r>
      <w:r w:rsidRPr="00CF1D1E">
        <w:rPr>
          <w:rFonts w:ascii="Calibri" w:eastAsia="Calibri" w:hAnsi="Calibri" w:cs="Times New Roman"/>
          <w:sz w:val="24"/>
          <w:szCs w:val="24"/>
        </w:rPr>
        <w:t xml:space="preserve"> category contains the polymeric polyphenol components called the Thearubigins (TR) with masses over 1</w:t>
      </w:r>
      <w:r w:rsidR="007B580F">
        <w:rPr>
          <w:rFonts w:ascii="Calibri" w:eastAsia="Calibri" w:hAnsi="Calibri" w:cs="Times New Roman"/>
          <w:sz w:val="24"/>
          <w:szCs w:val="24"/>
        </w:rPr>
        <w:t>,</w:t>
      </w:r>
      <w:r w:rsidRPr="00CF1D1E">
        <w:rPr>
          <w:rFonts w:ascii="Calibri" w:eastAsia="Calibri" w:hAnsi="Calibri" w:cs="Times New Roman"/>
          <w:sz w:val="24"/>
          <w:szCs w:val="24"/>
        </w:rPr>
        <w:t>000Da. T</w:t>
      </w:r>
      <w:r w:rsidR="00464A70">
        <w:rPr>
          <w:rFonts w:ascii="Calibri" w:eastAsia="Calibri" w:hAnsi="Calibri" w:cs="Times New Roman"/>
          <w:sz w:val="24"/>
          <w:szCs w:val="24"/>
        </w:rPr>
        <w:t>Rs are</w:t>
      </w:r>
      <w:r w:rsidRPr="00CF1D1E">
        <w:rPr>
          <w:rFonts w:ascii="Calibri" w:eastAsia="Calibri" w:hAnsi="Calibri" w:cs="Times New Roman"/>
          <w:sz w:val="24"/>
          <w:szCs w:val="24"/>
        </w:rPr>
        <w:t xml:space="preserve"> heterogeneous molecules, which create the characteristic reddish-brown colour of black tea, </w:t>
      </w:r>
      <w:r w:rsidR="00464A70">
        <w:rPr>
          <w:rFonts w:ascii="Calibri" w:eastAsia="Calibri" w:hAnsi="Calibri" w:cs="Times New Roman"/>
          <w:sz w:val="24"/>
          <w:szCs w:val="24"/>
        </w:rPr>
        <w:t xml:space="preserve">and </w:t>
      </w:r>
      <w:r w:rsidRPr="00CF1D1E">
        <w:rPr>
          <w:rFonts w:ascii="Calibri" w:eastAsia="Calibri" w:hAnsi="Calibri" w:cs="Times New Roman"/>
          <w:sz w:val="24"/>
          <w:szCs w:val="24"/>
        </w:rPr>
        <w:t xml:space="preserve">contribute to more than 70% of the dry mass of a black tea infusion. The structure of these polymers are yet to be elucidated although some progress has recently been made by Wang et al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{"citationItems":[{"id":"ITEM-1","itemData":{"DOI":"10.1016/j.chroma.2018.05.060","abstract":"Thearubigins (TRs) are the major components of black tea, which are formed during the fermentation reactions. Although anti-inflammatory and anti-cancer activities of TRs have been reported, the prepared TRs according to the literature methods still contain many floating peaks. It is puzzling whether the observed activities are from TRs or these floating peaks. Thus, it is urgent to develop a method to prepare pure TRs and redefine them. In the present study, we developed a new method, the combination of caffeine precipitation and Sephadex LH-20 column chromatography, to prepare pure TRs. The floating peaks on the hump of the crude TRs were removed, and pure TRs were prepared. The chemical profile of the floating peaks was established using LC/MS, and the major compounds in this fraction were identified as apigenin glycosides, quercetin glycosides, kaempferol glycosides, theaflavins, theasinensin, and galloylglucoses based on the analysis of their tandem mass spectra and in comparison with literature data. This study will pave the way to further study the chemistry and biological activities of TRs and the health effects of black tea consumption.","author":[{"dropping-particle":"","family":"Wang","given":"Weixin","non-dropping-particle":"","parse-names":false,"suffix":""},{"dropping-particle":"","family":"Zhang","given":"Shuwei","non-dropping-particle":"","parse-names":false,"suffix":""},{"dropping-particle":"","family":"Lv","given":"Lishuang","non-dropping-particle":"","parse-names":false,"suffix":""},{"dropping-particle":"","family":"Sang","given":"Shengmin","non-dropping-particle":"","parse-names":false,"suffix":""}],"container-title":"Journal of Chromatography A","id":"ITEM-1","issued":{"date-parts":[["2018"]]},"page":"82-88","title":"A new method to prepare and redefine black tea thearubigins","type":"article-journal","volume":"1563"},"uris":["http://www.mendeley.com/documents/?uuid=74b1db04-bee0-36ab-b126-ec3b9e6ddf12"]}],"mendeley":{"formattedCitation":"(W. Wang, Zhang, Lv, &amp; Sang, 2018)","plainTextFormattedCitation":"(W. Wang, Zhang, Lv, &amp; Sang, 2018)","previouslyFormattedCitation":"(W. Wang, Zhang, Lv, &amp; Sang, 2018)"},"properties":{"noteIndex":0},"schema":"https://github.com/citation-style-language/schema/raw/master/csl-citation.json"}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 Wang, Zhang, Lv, &amp; Sang, 2018)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In some studies, this TR fraction is further sub-divided into a butanol soluble and a butanol insoluble fraction. The butanol insoluble fraction is referred to as the Theabrownins (TB)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{"citationItems":[{"id":"ITEM-1","itemData":{"author":[{"dropping-particle":"","family":"Arcy","given":"Bruce D","non-dropping-particle":"","parse-names":false,"suffix":""},{"dropping-particle":"","family":"Rintoul","given":"Gavin","non-dropping-particle":"","parse-names":false,"suffix":""}],"container-title":"Australian Government","id":"ITEM-1","issue":"04","issued":{"date-parts":[["2004"]]},"page":"200","title":"Developing an index of quality for Australian tea","type":"article-journal"},"uris":["http://www.mendeley.com/documents/?uuid=4ba703e7-f091-46f3-9de8-cd7baa9d85d9"]}],"mendeley":{"formattedCitation":"(Arcy &amp; Rintoul, 2004)","plainTextFormattedCitation":"(Arcy &amp; Rintoul, 2004)","previouslyFormattedCitation":"(Arcy &amp; Rintoul, 2004)"},"properties":{"noteIndex":0},"schema":"https://github.com/citation-style-language/schema/raw/master/csl-citation.json"}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(Arcy &amp; Rintoul, 2004)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TB fraction is thought to be a protein-TR complex and has a negative effect on tea quality. Peng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also suggest that TBs are water soluble polymeric phenolic compounds derived from polyphenols, polysaccharides, proteins, lipids and caffeine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{"citationItems":[{"id":"ITEM-1","itemData":{"DOI":"10.1016/j.ijbiomac.2012.12.021","ISSN":"01418130","abstract":"Scope: In this study, Pu-erh tea was prepared by solid-state fermentation of the sun-dried green tea, short-fermentation black tea, and black tea. Ultraviolet-visible spectroscopy, infrared spectroscopy and Curie-point pyrolysis-gas chromatography-mass spectroscopy (CP-Py-GC/MS) were used to study the characteristics and chemical compositions of the TB formed in these Pu-erh teas. Methods and results: The pyrolysates of the Pu-erh teas' theabrownin (TB1, TB2, TB3) were analyzed at 386. °C using a Curie point pyrolysis instrument. TB1, TB2, and TB3 produced 158, 135 and 148 pyrolysis products, respectively. These compounds could be grouped as follows: alkaloids, 25.23% (TB1), 25.67% (TB2), and 21.91% (TB3); phenols, 24.19% (TB1), 23.08% (TB2), and 29.91% (TB3); nitrogen-compounds, 11.79% (TB1), 11.25% (TB2), and 13.39% (TB3); hydrocarbons, 10.96% (TB1), 10.37% (TB2), and 11.37% (TB3); ketones, 10.34% (TB1), 6.58% (TB2), and 8.22% (TB3); furan, 5.40% (TB1), 4.06% (TB2), and 2.33% (TB3); alcohol, 3.30% (TB1), 4.16% (TB2), and 3.34% (TB3); fatty acids, 2.80% (TB1), 4.03% (TB2), and 1.42% (TB3); esters 2.17% (TB1), 0.99% (TB2) and 2.35% (TB3); and amines 1.61% (TB1), 2.81% (TB2), and 0.86% (TB3). Conclusion: Theabrownin mainly contains alkaloids (caffeine), tea pigments, polysaccharides, proteins and lipids. Its precursors include various polyphenols, tea pigments, alkaloids, polysaccharides, proteins and lipids. These compounds in the raw materials impact the chemical composition of theabrownin, and black tea is not a suitable raw fermentation material for Pu-erh tea. © 2012 Elsevier B.V.","author":[{"dropping-particle":"","family":"Peng","given":"Chun Xiu","non-dropping-particle":"","parse-names":false,"suffix":""},{"dropping-particle":"","family":"Liu","given":"Jian","non-dropping-particle":"","parse-names":false,"suffix":""},{"dropping-particle":"","family":"Liu","given":"Hua Rong","non-dropping-particle":"","parse-names":false,"suffix":""},{"dropping-particle":"","family":"Zhou","given":"Hong Jie","non-dropping-particle":"","parse-names":false,"suffix":""},{"dropping-particle":"","family":"Gong","given":"Jia Shun","non-dropping-particle":"","parse-names":false,"suffix":""}],"container-title":"International Journal of Biological Macromolecules","id":"ITEM-1","issue":"1","issued":{"date-parts":[["2013"]]},"page":"197-203","publisher":"Elsevier B.V.","title":"Influence of different fermentation raw materials on pyrolyzates of Pu-erh tea theabrownin by Curie-point pyrolysis-gas chromatography-mass spectroscopy","type":"article-journal","volume":"54"},"uris":["http://www.mendeley.com/documents/?uuid=6e80cb2b-0493-4cd0-a0a4-00b9fa27d1cb"]}],"mendeley":{"formattedCitation":"(Peng, Liu, Liu, Zhou, &amp; Gong, 2013)","plainTextFormattedCitation":"(Peng, Liu, Liu, Zhou, &amp; Gong, 2013)","previouslyFormattedCitation":"(Peng, Liu, Liu, Zhou, &amp; Gong,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(Peng, Liu, Liu, Zhou, &amp; Gong,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The chemistry of black tea is characterised by oxidation in aqueous media, catalysed by PPO, which uses the following flavanol polyphenols as substrates - EGCG, ECG, EGC and epicatechin. Oxidation of the catechol moiety on the B-ring produces highly electrophilic o-quinones, which subsequently react with the nucleophilic flavanols initially forming a C–C bond, followed by variety of cascade reactions that yield dimeric species such as theaflavins, theanaphthoquinones, theasinensins and theacitrins. These dimeric species </w:t>
      </w:r>
      <w:r w:rsidR="00317297">
        <w:rPr>
          <w:rFonts w:ascii="Calibri" w:eastAsia="Calibri" w:hAnsi="Calibri" w:cs="Times New Roman"/>
          <w:sz w:val="24"/>
          <w:szCs w:val="24"/>
        </w:rPr>
        <w:t xml:space="preserve">can </w:t>
      </w:r>
      <w:r w:rsidRPr="00CF1D1E">
        <w:rPr>
          <w:rFonts w:ascii="Calibri" w:eastAsia="Calibri" w:hAnsi="Calibri" w:cs="Times New Roman"/>
          <w:sz w:val="24"/>
          <w:szCs w:val="24"/>
        </w:rPr>
        <w:t>be subjected to further oxidation or act as nucleophiles in reactions wi</w:t>
      </w:r>
      <w:r w:rsidR="001612F0">
        <w:rPr>
          <w:rFonts w:ascii="Calibri" w:eastAsia="Calibri" w:hAnsi="Calibri" w:cs="Times New Roman"/>
          <w:sz w:val="24"/>
          <w:szCs w:val="24"/>
        </w:rPr>
        <w:t>th o-quinones derived from EGCG</w:t>
      </w:r>
      <w:r w:rsidRPr="00CF1D1E">
        <w:rPr>
          <w:rFonts w:ascii="Calibri" w:eastAsia="Calibri" w:hAnsi="Calibri" w:cs="Times New Roman"/>
          <w:sz w:val="24"/>
          <w:szCs w:val="24"/>
        </w:rPr>
        <w:t>,</w:t>
      </w:r>
      <w:r w:rsidR="001612F0">
        <w:rPr>
          <w:rFonts w:ascii="Calibri" w:eastAsia="Calibri" w:hAnsi="Calibri" w:cs="Times New Roman"/>
          <w:sz w:val="24"/>
          <w:szCs w:val="24"/>
        </w:rPr>
        <w:t xml:space="preserve"> </w:t>
      </w:r>
      <w:r w:rsidRPr="00CF1D1E">
        <w:rPr>
          <w:rFonts w:ascii="Calibri" w:eastAsia="Calibri" w:hAnsi="Calibri" w:cs="Times New Roman"/>
          <w:sz w:val="24"/>
          <w:szCs w:val="24"/>
        </w:rPr>
        <w:t xml:space="preserve">ECG, EGC and epicatechin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{"citationItems":[{"id":"ITEM-1","itemData":{"DOI":"10.1007/978-1-4615-4139-4_39","ISBN":"978-1-4615-4139-4","abstract":"Many of us consume tea daily, but it is surprizing how few know where it comes from or how it is made. Tea comes from the tea plant the botanical name for which is Camellia sinensis (L.) O. Kuntze.1 This is a white-flowered evergreen indigenous to the rainforests of Assam, Northwest Burma and South West China, but now cultivated in over 30 countries around the world in places as far apart as Argentina, China, Papua New Guinea, and Turkey. However, since most tea leaves are plucked by hand, the largest plantations are most often found in countries with low manual labor costs. Two main varieties of tea are cultivated; Camellia sinensis var sinensis and C. sinensis var assamica. There is some controversy as to whether these are varieties or two distinct species.1C. sinensis var. sinensis L, is grown mainly in China and Japan; it is a slow-growing bush, has small narrow leaves and is used for green tea manufacture. The second variety Camellia sinensis var. assamica is grown primarily in India and Africa, is fast growing, has a treelike habit, large broad leaves, and is the source material for black tea. In its cultivated state, it is pruned to approximately 3 feet for ease of harvesting the young shoots (flush), from which the tea is manufactured. This process (plucking) is carried out every 7–14 days during the growing season.","author":[{"dropping-particle":"","family":"Davies","given":"Alan P","non-dropping-particle":"","parse-names":false,"suffix":""},{"dropping-particle":"","family":"Goodsall","given":"Chris","non-dropping-particle":"","parse-names":false,"suffix":""},{"dropping-particle":"","family":"Cai","given":"Ya","non-dropping-particle":"","parse-names":false,"suffix":""},{"dropping-particle":"","family":"Davis","given":"Adrienne L","non-dropping-particle":"","parse-names":false,"suffix":""},{"dropping-particle":"","family":"Lewis","given":"John R","non-dropping-particle":"","parse-names":false,"suffix":""},{"dropping-particle":"","family":"Wilkins","given":"John","non-dropping-particle":"","parse-names":false,"suffix":""},{"dropping-particle":"","family":"Wan","given":"Xiaochun","non-dropping-particle":"","parse-names":false,"suffix":""},{"dropping-particle":"","family":"Clifford","given":"Mike N","non-dropping-particle":"","parse-names":false,"suffix":""},{"dropping-particle":"","family":"Powell","given":"Chris","non-dropping-particle":"","parse-names":false,"suffix":""},{"dropping-particle":"","family":"Parry","given":"Andrew","non-dropping-particle":"","parse-names":false,"suffix":""},{"dropping-particle":"","family":"Thiru","given":"Ambalavanar","non-dropping-particle":"","parse-names":false,"suffix":""},{"dropping-particle":"","family":"Safford","given":"Robert","non-dropping-particle":"","parse-names":false,"suffix":""},{"dropping-particle":"","family":"Nurstend","given":"Harry E","non-dropping-particle":"","parse-names":false,"suffix":""}],"editor":[{"dropping-particle":"","family":"Gross","given":"Georg G","non-dropping-particle":"","parse-names":false,"suffix":""},{"dropping-particle":"","family":"Hemingway","given":"Richard W","non-dropping-particle":"","parse-names":false,"suffix":""},{"dropping-particle":"","family":"Yoshida","given":"Takashi","non-dropping-particle":"","parse-names":false,"suffix":""},{"dropping-particle":"","family":"Branham","given":"Susan J","non-dropping-particle":"","parse-names":false,"suffix":""}],"id":"ITEM-1","issued":{"date-parts":[["1999"]]},"page":"697-724","publisher":"Springer US","publisher-place":"Boston, MA","title":"Black Tea Dimeric and Oligomeric Pigments—Structures and Formation BT  - Plant Polyphenols 2: Chemistry, Biology, Pharmacology, Ecology","type":"chapter"},"uris":["http://www.mendeley.com/documents/?uuid=db65ab1d-471b-42ac-8169-4333d2f58684"]},{"id":"ITEM-2","itemData":{"DOI":"10.1039/b912523j","ISSN":"02650568","abstract":"This review summarises the chemistry of low molecular weight polyphenols isolated and characterised from black tea, discussing both structures identified and mechanisms of their likely formation.","author":[{"dropping-particle":"","family":"Drynan","given":"James Warren","non-dropping-particle":"","parse-names":false,"suffix":""},{"dropping-particle":"","family":"Clifford","given":"Michael N.","non-dropping-particle":"","parse-names":false,"suffix":""},{"dropping-particle":"","family":"Obuchowicz","given":"Jacek","non-dropping-particle":"","parse-names":false,"suffix":""},{"dropping-particle":"","family":"Kuhnert","given":"Nikolai","non-dropping-particle":"","parse-names":false,"suffix":""}],"container-title":"Natural Product Reports","id":"ITEM-2","issue":"3","issued":{"date-parts":[["2010"]]},"page":"417-462","title":"The chemistry of low molecular weight black tea polyphenols","type":"article-journal","volume":"27"},"uris":["http://www.mendeley.com/documents/?uuid=615f3d4e-2e67-4641-9f6c-cdd98adf4906"]}],"mendeley":{"formattedCitation":"(Davies et al., 1999; Drynan et al., 2010)","plainTextFormattedCitation":"(Davies et al., 1999; Drynan et al., 2010)","previouslyFormattedCitation":"(Davies et al., 1999; Drynan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(Davies </w:t>
      </w:r>
      <w:r w:rsidR="00941740" w:rsidRPr="007B580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1999; Drynan</w:t>
      </w:r>
      <w:r w:rsidR="00941740" w:rsidRPr="007B580F">
        <w:rPr>
          <w:rFonts w:ascii="Calibri" w:eastAsia="Calibri" w:hAnsi="Calibri" w:cs="Times New Roman"/>
          <w:i/>
          <w:noProof/>
          <w:sz w:val="24"/>
          <w:szCs w:val="24"/>
        </w:rPr>
        <w:t xml:space="preserve"> 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Theaflavins (TF) contain the benzotropolone moiety which gives them their distinctive yellow-orange colour. See Fig.73 below,</w:t>
      </w:r>
    </w:p>
    <w:p w:rsidR="00CF1D1E" w:rsidRPr="00CF1D1E" w:rsidRDefault="00CF1D1E" w:rsidP="00CF1D1E">
      <w:pPr>
        <w:spacing w:line="360" w:lineRule="auto"/>
        <w:ind w:left="2160" w:firstLine="720"/>
        <w:jc w:val="both"/>
        <w:rPr>
          <w:rFonts w:ascii="Calibri" w:eastAsia="Calibri" w:hAnsi="Calibri" w:cs="Times New Roman"/>
        </w:rPr>
      </w:pPr>
      <w:r w:rsidRPr="00CF1D1E">
        <w:rPr>
          <w:rFonts w:ascii="Calibri" w:eastAsia="Calibri" w:hAnsi="Calibri" w:cs="Times New Roman"/>
          <w:noProof/>
          <w:lang w:eastAsia="en-GB"/>
        </w:rPr>
        <w:lastRenderedPageBreak/>
        <w:drawing>
          <wp:inline distT="0" distB="0" distL="0" distR="0" wp14:anchorId="3EC61271" wp14:editId="4FBE41E1">
            <wp:extent cx="1280160" cy="945059"/>
            <wp:effectExtent l="0" t="0" r="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benzotropolone.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294512" cy="955654"/>
                    </a:xfrm>
                    <a:prstGeom prst="rect">
                      <a:avLst/>
                    </a:prstGeom>
                  </pic:spPr>
                </pic:pic>
              </a:graphicData>
            </a:graphic>
          </wp:inline>
        </w:drawing>
      </w:r>
    </w:p>
    <w:p w:rsidR="00CF1D1E" w:rsidRPr="00CF1D1E" w:rsidRDefault="00317297" w:rsidP="00CF1D1E">
      <w:pPr>
        <w:spacing w:line="360" w:lineRule="auto"/>
        <w:jc w:val="both"/>
        <w:rPr>
          <w:rFonts w:ascii="Calibri" w:eastAsia="Calibri" w:hAnsi="Calibri" w:cs="Times New Roman"/>
          <w:sz w:val="20"/>
          <w:szCs w:val="20"/>
        </w:rPr>
      </w:pPr>
      <w:r>
        <w:rPr>
          <w:rFonts w:ascii="Calibri" w:eastAsia="Calibri" w:hAnsi="Calibri" w:cs="Times New Roman"/>
          <w:sz w:val="20"/>
          <w:szCs w:val="20"/>
        </w:rPr>
        <w:t xml:space="preserve">Fig.73. Benzotropolone moiety. R = </w:t>
      </w:r>
      <w:proofErr w:type="gramStart"/>
      <w:r>
        <w:rPr>
          <w:rFonts w:ascii="Calibri" w:eastAsia="Calibri" w:hAnsi="Calibri" w:cs="Times New Roman"/>
          <w:sz w:val="20"/>
          <w:szCs w:val="20"/>
        </w:rPr>
        <w:t xml:space="preserve">A </w:t>
      </w:r>
      <w:r w:rsidR="00CF1D1E" w:rsidRPr="00CF1D1E">
        <w:rPr>
          <w:rFonts w:ascii="Calibri" w:eastAsia="Calibri" w:hAnsi="Calibri" w:cs="Times New Roman"/>
          <w:sz w:val="20"/>
          <w:szCs w:val="20"/>
        </w:rPr>
        <w:t>and</w:t>
      </w:r>
      <w:proofErr w:type="gramEnd"/>
      <w:r w:rsidR="00CF1D1E" w:rsidRPr="00CF1D1E">
        <w:rPr>
          <w:rFonts w:ascii="Calibri" w:eastAsia="Calibri" w:hAnsi="Calibri" w:cs="Times New Roman"/>
          <w:sz w:val="20"/>
          <w:szCs w:val="20"/>
        </w:rPr>
        <w:t xml:space="preserve"> C rings of flavanols polyphenols, R’ = -H or –OH.</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Theaflavin, theaflavin-3-monogallate, theaflavin-3’-monogallate and theaflavin-3</w:t>
      </w:r>
      <w:proofErr w:type="gramStart"/>
      <w:r w:rsidRPr="00CF1D1E">
        <w:rPr>
          <w:rFonts w:ascii="Calibri" w:eastAsia="Calibri" w:hAnsi="Calibri" w:cs="Times New Roman"/>
          <w:sz w:val="24"/>
          <w:szCs w:val="24"/>
        </w:rPr>
        <w:t>,3’</w:t>
      </w:r>
      <w:proofErr w:type="gramEnd"/>
      <w:r w:rsidRPr="00CF1D1E">
        <w:rPr>
          <w:rFonts w:ascii="Calibri" w:eastAsia="Calibri" w:hAnsi="Calibri" w:cs="Times New Roman"/>
          <w:sz w:val="24"/>
          <w:szCs w:val="24"/>
        </w:rPr>
        <w:t xml:space="preserve">-digallate are the four main TFs </w:t>
      </w:r>
      <w:r w:rsidR="001612F0">
        <w:rPr>
          <w:rFonts w:ascii="Calibri" w:eastAsia="Calibri" w:hAnsi="Calibri" w:cs="Times New Roman"/>
          <w:sz w:val="24"/>
          <w:szCs w:val="24"/>
        </w:rPr>
        <w:t>in black tea totalling up to 2%</w:t>
      </w:r>
      <w:r w:rsidRPr="00CF1D1E">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50F243DB" wp14:editId="792210B5">
            <wp:extent cx="5727700" cy="2209800"/>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27700" cy="2209800"/>
                    </a:xfrm>
                    <a:prstGeom prst="rect">
                      <a:avLst/>
                    </a:prstGeom>
                    <a:noFill/>
                    <a:ln>
                      <a:noFill/>
                    </a:ln>
                  </pic:spPr>
                </pic:pic>
              </a:graphicData>
            </a:graphic>
          </wp:inline>
        </w:drawing>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r>
      <w:proofErr w:type="gramStart"/>
      <w:r w:rsidRPr="00CF1D1E">
        <w:rPr>
          <w:rFonts w:ascii="Calibri" w:eastAsia="Calibri" w:hAnsi="Calibri" w:cs="Times New Roman"/>
          <w:sz w:val="24"/>
          <w:szCs w:val="24"/>
        </w:rPr>
        <w:t>a</w:t>
      </w:r>
      <w:proofErr w:type="gramEnd"/>
      <w:r w:rsidRPr="00CF1D1E">
        <w:rPr>
          <w:rFonts w:ascii="Calibri" w:eastAsia="Calibri" w:hAnsi="Calibri" w:cs="Times New Roman"/>
          <w:sz w:val="24"/>
          <w:szCs w:val="24"/>
        </w:rPr>
        <w:t>,</w:t>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t>b,</w:t>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t>c,</w:t>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sz w:val="24"/>
          <w:szCs w:val="24"/>
        </w:rPr>
        <w:tab/>
        <w:t>d,</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 74. The theaflavins; (</w:t>
      </w:r>
      <w:r w:rsidRPr="00CF1D1E">
        <w:rPr>
          <w:rFonts w:ascii="Calibri" w:eastAsia="Calibri" w:hAnsi="Calibri" w:cs="Times New Roman"/>
          <w:b/>
          <w:sz w:val="20"/>
          <w:szCs w:val="20"/>
        </w:rPr>
        <w:t>a</w:t>
      </w:r>
      <w:r w:rsidRPr="00CF1D1E">
        <w:rPr>
          <w:rFonts w:ascii="Calibri" w:eastAsia="Calibri" w:hAnsi="Calibri" w:cs="Times New Roman"/>
          <w:sz w:val="20"/>
          <w:szCs w:val="20"/>
        </w:rPr>
        <w:t>) theaflavin, (</w:t>
      </w:r>
      <w:r w:rsidRPr="00CF1D1E">
        <w:rPr>
          <w:rFonts w:ascii="Calibri" w:eastAsia="Calibri" w:hAnsi="Calibri" w:cs="Times New Roman"/>
          <w:b/>
          <w:sz w:val="20"/>
          <w:szCs w:val="20"/>
        </w:rPr>
        <w:t>b</w:t>
      </w:r>
      <w:r w:rsidRPr="00CF1D1E">
        <w:rPr>
          <w:rFonts w:ascii="Calibri" w:eastAsia="Calibri" w:hAnsi="Calibri" w:cs="Times New Roman"/>
          <w:sz w:val="20"/>
          <w:szCs w:val="20"/>
        </w:rPr>
        <w:t>) theaflavin-3-monogallate, (</w:t>
      </w:r>
      <w:r w:rsidRPr="00CF1D1E">
        <w:rPr>
          <w:rFonts w:ascii="Calibri" w:eastAsia="Calibri" w:hAnsi="Calibri" w:cs="Times New Roman"/>
          <w:b/>
          <w:sz w:val="20"/>
          <w:szCs w:val="20"/>
        </w:rPr>
        <w:t>c</w:t>
      </w:r>
      <w:r w:rsidRPr="00CF1D1E">
        <w:rPr>
          <w:rFonts w:ascii="Calibri" w:eastAsia="Calibri" w:hAnsi="Calibri" w:cs="Times New Roman"/>
          <w:sz w:val="20"/>
          <w:szCs w:val="20"/>
        </w:rPr>
        <w:t>) theaflavin-3’-monogallate and (</w:t>
      </w:r>
      <w:r w:rsidRPr="00CF1D1E">
        <w:rPr>
          <w:rFonts w:ascii="Calibri" w:eastAsia="Calibri" w:hAnsi="Calibri" w:cs="Times New Roman"/>
          <w:b/>
          <w:sz w:val="20"/>
          <w:szCs w:val="20"/>
        </w:rPr>
        <w:t>d</w:t>
      </w:r>
      <w:r w:rsidRPr="00CF1D1E">
        <w:rPr>
          <w:rFonts w:ascii="Calibri" w:eastAsia="Calibri" w:hAnsi="Calibri" w:cs="Times New Roman"/>
          <w:sz w:val="20"/>
          <w:szCs w:val="20"/>
        </w:rPr>
        <w:t>) theaflavin-3</w:t>
      </w:r>
      <w:proofErr w:type="gramStart"/>
      <w:r w:rsidRPr="00CF1D1E">
        <w:rPr>
          <w:rFonts w:ascii="Calibri" w:eastAsia="Calibri" w:hAnsi="Calibri" w:cs="Times New Roman"/>
          <w:sz w:val="20"/>
          <w:szCs w:val="20"/>
        </w:rPr>
        <w:t>,3’</w:t>
      </w:r>
      <w:proofErr w:type="gramEnd"/>
      <w:r w:rsidRPr="00CF1D1E">
        <w:rPr>
          <w:rFonts w:ascii="Calibri" w:eastAsia="Calibri" w:hAnsi="Calibri" w:cs="Times New Roman"/>
          <w:sz w:val="20"/>
          <w:szCs w:val="20"/>
        </w:rPr>
        <w:t>-digallate.</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4"/>
          <w:szCs w:val="24"/>
        </w:rPr>
        <w:tab/>
      </w:r>
    </w:p>
    <w:tbl>
      <w:tblPr>
        <w:tblStyle w:val="TableGrid"/>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3003"/>
        <w:gridCol w:w="3003"/>
        <w:gridCol w:w="3004"/>
      </w:tblGrid>
      <w:tr w:rsidR="00CF1D1E" w:rsidRPr="00CF1D1E" w:rsidTr="00CF1D1E">
        <w:tc>
          <w:tcPr>
            <w:tcW w:w="3005" w:type="dxa"/>
            <w:tcBorders>
              <w:top w:val="single" w:sz="6" w:space="0" w:color="9CC2E5"/>
              <w:left w:val="single" w:sz="6" w:space="0" w:color="9CC2E5"/>
              <w:bottom w:val="single" w:sz="6" w:space="0" w:color="9CC2E5"/>
              <w:right w:val="single" w:sz="6" w:space="0" w:color="9CC2E5"/>
            </w:tcBorders>
            <w:shd w:val="pct20" w:color="auto" w:fill="auto"/>
          </w:tcPr>
          <w:p w:rsidR="00CF1D1E" w:rsidRPr="00CF1D1E" w:rsidRDefault="00CF1D1E" w:rsidP="00CF1D1E">
            <w:pPr>
              <w:spacing w:line="360" w:lineRule="auto"/>
              <w:jc w:val="both"/>
              <w:rPr>
                <w:rFonts w:ascii="Calibri" w:eastAsia="Calibri" w:hAnsi="Calibri" w:cs="Times New Roman"/>
                <w:b/>
                <w:sz w:val="24"/>
                <w:szCs w:val="24"/>
              </w:rPr>
            </w:pPr>
            <w:r w:rsidRPr="00CF1D1E">
              <w:rPr>
                <w:rFonts w:ascii="Calibri" w:eastAsia="Calibri" w:hAnsi="Calibri" w:cs="Times New Roman"/>
                <w:b/>
                <w:sz w:val="24"/>
                <w:szCs w:val="24"/>
              </w:rPr>
              <w:t>Precursor A</w:t>
            </w:r>
          </w:p>
        </w:tc>
        <w:tc>
          <w:tcPr>
            <w:tcW w:w="3005" w:type="dxa"/>
            <w:tcBorders>
              <w:top w:val="single" w:sz="6" w:space="0" w:color="9CC2E5"/>
              <w:left w:val="single" w:sz="6" w:space="0" w:color="9CC2E5"/>
              <w:bottom w:val="single" w:sz="6" w:space="0" w:color="9CC2E5"/>
              <w:right w:val="single" w:sz="6" w:space="0" w:color="9CC2E5"/>
            </w:tcBorders>
            <w:shd w:val="pct20" w:color="auto" w:fill="auto"/>
          </w:tcPr>
          <w:p w:rsidR="00CF1D1E" w:rsidRPr="00CF1D1E" w:rsidRDefault="00CF1D1E" w:rsidP="00CF1D1E">
            <w:pPr>
              <w:spacing w:line="360" w:lineRule="auto"/>
              <w:jc w:val="both"/>
              <w:rPr>
                <w:rFonts w:ascii="Calibri" w:eastAsia="Calibri" w:hAnsi="Calibri" w:cs="Times New Roman"/>
                <w:b/>
                <w:sz w:val="24"/>
                <w:szCs w:val="24"/>
              </w:rPr>
            </w:pPr>
            <w:r w:rsidRPr="00CF1D1E">
              <w:rPr>
                <w:rFonts w:ascii="Calibri" w:eastAsia="Calibri" w:hAnsi="Calibri" w:cs="Times New Roman"/>
                <w:b/>
                <w:sz w:val="24"/>
                <w:szCs w:val="24"/>
              </w:rPr>
              <w:t>Precursor B</w:t>
            </w:r>
          </w:p>
        </w:tc>
        <w:tc>
          <w:tcPr>
            <w:tcW w:w="3006" w:type="dxa"/>
            <w:tcBorders>
              <w:top w:val="single" w:sz="6" w:space="0" w:color="9CC2E5"/>
              <w:left w:val="single" w:sz="6" w:space="0" w:color="9CC2E5"/>
              <w:bottom w:val="single" w:sz="6" w:space="0" w:color="9CC2E5"/>
              <w:right w:val="single" w:sz="6" w:space="0" w:color="9CC2E5"/>
            </w:tcBorders>
            <w:shd w:val="pct20" w:color="auto" w:fill="auto"/>
          </w:tcPr>
          <w:p w:rsidR="00CF1D1E" w:rsidRPr="00CF1D1E" w:rsidRDefault="00CF1D1E" w:rsidP="00CF1D1E">
            <w:pPr>
              <w:spacing w:line="360" w:lineRule="auto"/>
              <w:jc w:val="both"/>
              <w:rPr>
                <w:rFonts w:ascii="Calibri" w:eastAsia="Calibri" w:hAnsi="Calibri" w:cs="Times New Roman"/>
                <w:b/>
                <w:sz w:val="24"/>
                <w:szCs w:val="24"/>
              </w:rPr>
            </w:pPr>
            <w:r w:rsidRPr="00CF1D1E">
              <w:rPr>
                <w:rFonts w:ascii="Calibri" w:eastAsia="Calibri" w:hAnsi="Calibri" w:cs="Times New Roman"/>
                <w:b/>
                <w:sz w:val="24"/>
                <w:szCs w:val="24"/>
              </w:rPr>
              <w:t>Product</w:t>
            </w:r>
          </w:p>
        </w:tc>
      </w:tr>
      <w:tr w:rsidR="00CF1D1E" w:rsidRPr="00CF1D1E" w:rsidTr="00CF1D1E">
        <w:tc>
          <w:tcPr>
            <w:tcW w:w="3005" w:type="dxa"/>
            <w:tcBorders>
              <w:top w:val="single" w:sz="6" w:space="0" w:color="9CC2E5"/>
            </w:tcBorders>
            <w:shd w:val="pct5"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epicatechin</w:t>
            </w:r>
          </w:p>
        </w:tc>
        <w:tc>
          <w:tcPr>
            <w:tcW w:w="3005" w:type="dxa"/>
            <w:tcBorders>
              <w:top w:val="single" w:sz="6" w:space="0" w:color="9CC2E5"/>
            </w:tcBorders>
            <w:shd w:val="pct5"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epigallocatechin</w:t>
            </w:r>
          </w:p>
        </w:tc>
        <w:tc>
          <w:tcPr>
            <w:tcW w:w="3006" w:type="dxa"/>
            <w:tcBorders>
              <w:top w:val="single" w:sz="6" w:space="0" w:color="9CC2E5"/>
            </w:tcBorders>
            <w:shd w:val="pct10"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theaflavin</w:t>
            </w:r>
          </w:p>
        </w:tc>
      </w:tr>
      <w:tr w:rsidR="00CF1D1E" w:rsidRPr="00CF1D1E" w:rsidTr="00CF1D1E">
        <w:tc>
          <w:tcPr>
            <w:tcW w:w="3005" w:type="dxa"/>
            <w:shd w:val="pct5"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epicatechin</w:t>
            </w:r>
          </w:p>
        </w:tc>
        <w:tc>
          <w:tcPr>
            <w:tcW w:w="3005" w:type="dxa"/>
            <w:shd w:val="pct5"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epigallocatechin gallate</w:t>
            </w:r>
          </w:p>
        </w:tc>
        <w:tc>
          <w:tcPr>
            <w:tcW w:w="3006" w:type="dxa"/>
            <w:shd w:val="pct10"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theaflavin-3-monogallate</w:t>
            </w:r>
          </w:p>
        </w:tc>
      </w:tr>
      <w:tr w:rsidR="00CF1D1E" w:rsidRPr="00CF1D1E" w:rsidTr="00CF1D1E">
        <w:tc>
          <w:tcPr>
            <w:tcW w:w="3005" w:type="dxa"/>
            <w:shd w:val="pct5"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epigallocatechin</w:t>
            </w:r>
          </w:p>
        </w:tc>
        <w:tc>
          <w:tcPr>
            <w:tcW w:w="3005" w:type="dxa"/>
            <w:shd w:val="pct5"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epigallocatechin</w:t>
            </w:r>
          </w:p>
        </w:tc>
        <w:tc>
          <w:tcPr>
            <w:tcW w:w="3006" w:type="dxa"/>
            <w:shd w:val="pct10"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theaflavin-3’-monogallate</w:t>
            </w:r>
          </w:p>
        </w:tc>
      </w:tr>
      <w:tr w:rsidR="00CF1D1E" w:rsidRPr="00CF1D1E" w:rsidTr="00CF1D1E">
        <w:tc>
          <w:tcPr>
            <w:tcW w:w="3005" w:type="dxa"/>
            <w:shd w:val="pct5"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epigallocatechin</w:t>
            </w:r>
          </w:p>
        </w:tc>
        <w:tc>
          <w:tcPr>
            <w:tcW w:w="3005" w:type="dxa"/>
            <w:shd w:val="pct5"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epigallocatechin gallate</w:t>
            </w:r>
          </w:p>
        </w:tc>
        <w:tc>
          <w:tcPr>
            <w:tcW w:w="3006" w:type="dxa"/>
            <w:shd w:val="pct10" w:color="auto" w:fill="auto"/>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theaflavin-3,3’-digallate</w:t>
            </w:r>
          </w:p>
        </w:tc>
      </w:tr>
    </w:tbl>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Tab.32 Major theaflavins precursors.</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1612F0" w:rsidP="001612F0">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lastRenderedPageBreak/>
        <w:t>This table (</w:t>
      </w:r>
      <w:r w:rsidR="00CF1D1E" w:rsidRPr="00CF1D1E">
        <w:rPr>
          <w:rFonts w:ascii="Calibri" w:eastAsia="Calibri" w:hAnsi="Calibri" w:cs="Times New Roman"/>
          <w:sz w:val="24"/>
          <w:szCs w:val="24"/>
        </w:rPr>
        <w:t>Tab.32</w:t>
      </w:r>
      <w:r>
        <w:rPr>
          <w:rFonts w:ascii="Calibri" w:eastAsia="Calibri" w:hAnsi="Calibri" w:cs="Times New Roman"/>
          <w:sz w:val="24"/>
          <w:szCs w:val="24"/>
        </w:rPr>
        <w:t>)</w:t>
      </w:r>
      <w:r w:rsidR="00CF1D1E" w:rsidRPr="00CF1D1E">
        <w:rPr>
          <w:rFonts w:ascii="Calibri" w:eastAsia="Calibri" w:hAnsi="Calibri" w:cs="Times New Roman"/>
          <w:sz w:val="24"/>
          <w:szCs w:val="24"/>
        </w:rPr>
        <w:t xml:space="preserve"> indicates the flavanol backbones of the four major theaflavins. There are two mechanisms proposed in literature as to how this transformation may occur to pro</w:t>
      </w:r>
      <w:r>
        <w:rPr>
          <w:rFonts w:ascii="Calibri" w:eastAsia="Calibri" w:hAnsi="Calibri" w:cs="Times New Roman"/>
          <w:sz w:val="24"/>
          <w:szCs w:val="24"/>
        </w:rPr>
        <w:t>duce TRs. See Fig.75 and Fig.76.</w:t>
      </w:r>
    </w:p>
    <w:p w:rsidR="00CF1D1E" w:rsidRPr="00CF1D1E" w:rsidRDefault="00CF1D1E" w:rsidP="00CF1D1E">
      <w:pPr>
        <w:spacing w:line="360" w:lineRule="auto"/>
        <w:ind w:left="720" w:firstLine="720"/>
        <w:jc w:val="both"/>
        <w:rPr>
          <w:rFonts w:ascii="Calibri" w:eastAsia="Calibri" w:hAnsi="Calibri" w:cs="Times New Roman"/>
          <w:sz w:val="24"/>
          <w:szCs w:val="24"/>
        </w:rPr>
      </w:pPr>
      <w:r w:rsidRPr="00CF1D1E">
        <w:rPr>
          <w:rFonts w:ascii="Calibri" w:eastAsia="Calibri" w:hAnsi="Calibri" w:cs="Times New Roman"/>
        </w:rPr>
        <w:object w:dxaOrig="6053" w:dyaOrig="4264">
          <v:shape id="_x0000_i1030" type="#_x0000_t75" style="width:303.45pt;height:213.95pt" o:ole="">
            <v:imagedata r:id="rId121" o:title=""/>
          </v:shape>
          <o:OLEObject Type="Embed" ProgID="ChemDraw.Document.6.0" ShapeID="_x0000_i1030" DrawAspect="Content" ObjectID="_1658825296" r:id="rId122"/>
        </w:objec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 xml:space="preserve">Fig.75. Reaction mechanism 1. </w:t>
      </w:r>
      <w:r w:rsidRPr="00CF1D1E">
        <w:rPr>
          <w:rFonts w:ascii="Calibri" w:eastAsia="Calibri" w:hAnsi="Calibri" w:cs="Times New Roman"/>
          <w:sz w:val="20"/>
          <w:szCs w:val="20"/>
        </w:rPr>
        <w:fldChar w:fldCharType="begin" w:fldLock="1"/>
      </w:r>
      <w:r w:rsidR="00595237">
        <w:rPr>
          <w:rFonts w:ascii="Calibri" w:eastAsia="Calibri" w:hAnsi="Calibri" w:cs="Times New Roman"/>
          <w:sz w:val="20"/>
          <w:szCs w:val="20"/>
        </w:rPr>
        <w:instrText>ADDIN CSL_CITATION {"citationItems":[{"id":"ITEM-1","itemData":{"DOI":"10.1080/00021369.1964.10858200","ISSN":"00021369","author":[{"dropping-particle":"","family":"Takino","given":"Yoshinori","non-dropping-particle":"","parse-names":false,"suffix":""},{"dropping-particle":"","family":"Imagawa","given":"Hiroshi","non-dropping-particle":"","parse-names":false,"suffix":""},{"dropping-particle":"","family":"Horikawa","given":"Hiroaki","non-dropping-particle":"","parse-names":false,"suffix":""},{"dropping-particle":"","family":"Tanaka","given":"Akira","non-dropping-particle":"","parse-names":false,"suffix":""}],"container-title":"Agricultural and Biological Chemistry","id":"ITEM-1","issue":"1","issued":{"date-parts":[["1964"]]},"page":"64-71","title":"Studies on the mechanism of the oxidation of tea leaf catechins","type":"article-journal","volume":"28"},"uris":["http://www.mendeley.com/documents/?uuid=6ad13494-2b0d-4222-bc77-125d08cac684"]}],"mendeley":{"formattedCitation":"(Takino, Imagawa, Horikawa, &amp; Tanaka, 1964)","plainTextFormattedCitation":"(Takino, Imagawa, Horikawa, &amp; Tanaka, 1964)","previouslyFormattedCitation":"(Takino, Imagawa, Horikawa, &amp; Tanaka, 1964)"},"properties":{"noteIndex":0},"schema":"https://github.com/citation-style-language/schema/raw/master/csl-citation.json"}</w:instrText>
      </w:r>
      <w:r w:rsidRPr="00CF1D1E">
        <w:rPr>
          <w:rFonts w:ascii="Calibri" w:eastAsia="Calibri" w:hAnsi="Calibri" w:cs="Times New Roman"/>
          <w:sz w:val="20"/>
          <w:szCs w:val="20"/>
        </w:rPr>
        <w:fldChar w:fldCharType="separate"/>
      </w:r>
      <w:r w:rsidR="00941740" w:rsidRPr="00941740">
        <w:rPr>
          <w:rFonts w:ascii="Calibri" w:eastAsia="Calibri" w:hAnsi="Calibri" w:cs="Times New Roman"/>
          <w:noProof/>
          <w:sz w:val="20"/>
          <w:szCs w:val="20"/>
        </w:rPr>
        <w:t>(Takino, Imagawa, Horikawa, &amp; Tanaka, 1964)</w:t>
      </w:r>
      <w:r w:rsidRPr="00CF1D1E">
        <w:rPr>
          <w:rFonts w:ascii="Calibri" w:eastAsia="Calibri" w:hAnsi="Calibri" w:cs="Times New Roman"/>
          <w:sz w:val="20"/>
          <w:szCs w:val="20"/>
        </w:rPr>
        <w:fldChar w:fldCharType="end"/>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rPr>
        <w:object w:dxaOrig="9240" w:dyaOrig="4754">
          <v:shape id="_x0000_i1031" type="#_x0000_t75" style="width:449.5pt;height:230.4pt" o:ole="">
            <v:imagedata r:id="rId123" o:title=""/>
          </v:shape>
          <o:OLEObject Type="Embed" ProgID="ChemDraw.Document.6.0" ShapeID="_x0000_i1031" DrawAspect="Content" ObjectID="_1658825297" r:id="rId124"/>
        </w:object>
      </w:r>
    </w:p>
    <w:p w:rsidR="00CF1D1E" w:rsidRPr="00CF1D1E" w:rsidRDefault="00CF1D1E" w:rsidP="00CF1D1E">
      <w:pPr>
        <w:spacing w:line="360" w:lineRule="auto"/>
        <w:jc w:val="both"/>
        <w:rPr>
          <w:rFonts w:ascii="Calibri" w:eastAsia="Calibri" w:hAnsi="Calibri" w:cs="Times New Roman"/>
          <w:sz w:val="24"/>
          <w:szCs w:val="24"/>
        </w:rPr>
      </w:pPr>
    </w:p>
    <w:p w:rsidR="001612F0"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 xml:space="preserve">Fig.76. Reaction mechanism 2. </w:t>
      </w:r>
      <w:r w:rsidRPr="00CF1D1E">
        <w:rPr>
          <w:rFonts w:ascii="Calibri" w:eastAsia="Calibri" w:hAnsi="Calibri" w:cs="Times New Roman"/>
          <w:sz w:val="20"/>
          <w:szCs w:val="20"/>
        </w:rPr>
        <w:fldChar w:fldCharType="begin" w:fldLock="1"/>
      </w:r>
      <w:r w:rsidR="00595237">
        <w:rPr>
          <w:rFonts w:ascii="Calibri" w:eastAsia="Calibri" w:hAnsi="Calibri" w:cs="Times New Roman"/>
          <w:sz w:val="20"/>
          <w:szCs w:val="20"/>
        </w:rPr>
        <w:instrText>ADDIN CSL_CITATION {"citationItems":[{"id":"ITEM-1","itemData":{"author":[{"dropping-particle":"","family":"Bajaj","given":"Lai","non-dropping-particle":"","parse-names":false,"suffix":""},{"dropping-particle":"","family":"Anan","given":"Toyomasa","non-dropping-particle":"","parse-names":false,"suffix":""}],"container-title":"Control","id":"ITEM-1","issue":"7","issued":{"date-parts":[["1987"]]},"page":"1767-1772","title":"on Oxidation of Theaflavins by Polyphenol Oxidase from Tea Leaves","type":"article-journal","volume":"51"},"uris":["http://www.mendeley.com/documents/?uuid=b641e6d1-83d0-4f5a-b3c6-c418e656fc4e"]}],"mendeley":{"formattedCitation":"(Bajaj &amp; Anan, 1987)","plainTextFormattedCitation":"(Bajaj &amp; Anan, 1987)","previouslyFormattedCitation":"(Bajaj &amp; Anan, 1987)"},"properties":{"noteIndex":0},"schema":"https://github.com/citation-style-language/schema/raw/master/csl-citation.json"}</w:instrText>
      </w:r>
      <w:r w:rsidRPr="00CF1D1E">
        <w:rPr>
          <w:rFonts w:ascii="Calibri" w:eastAsia="Calibri" w:hAnsi="Calibri" w:cs="Times New Roman"/>
          <w:sz w:val="20"/>
          <w:szCs w:val="20"/>
        </w:rPr>
        <w:fldChar w:fldCharType="separate"/>
      </w:r>
      <w:r w:rsidR="00941740" w:rsidRPr="00941740">
        <w:rPr>
          <w:rFonts w:ascii="Calibri" w:eastAsia="Calibri" w:hAnsi="Calibri" w:cs="Times New Roman"/>
          <w:noProof/>
          <w:sz w:val="20"/>
          <w:szCs w:val="20"/>
        </w:rPr>
        <w:t>(Bajaj &amp; Anan, 1987)</w:t>
      </w:r>
      <w:r w:rsidRPr="00CF1D1E">
        <w:rPr>
          <w:rFonts w:ascii="Calibri" w:eastAsia="Calibri" w:hAnsi="Calibri" w:cs="Times New Roman"/>
          <w:sz w:val="20"/>
          <w:szCs w:val="20"/>
        </w:rPr>
        <w:fldChar w:fldCharType="end"/>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As these structures </w:t>
      </w:r>
      <w:r w:rsidR="00317297">
        <w:rPr>
          <w:rFonts w:ascii="Calibri" w:eastAsia="Calibri" w:hAnsi="Calibri" w:cs="Times New Roman"/>
          <w:sz w:val="24"/>
          <w:szCs w:val="24"/>
        </w:rPr>
        <w:t>can be</w:t>
      </w:r>
      <w:r w:rsidRPr="00CF1D1E">
        <w:rPr>
          <w:rFonts w:ascii="Calibri" w:eastAsia="Calibri" w:hAnsi="Calibri" w:cs="Times New Roman"/>
          <w:sz w:val="24"/>
          <w:szCs w:val="24"/>
        </w:rPr>
        <w:t xml:space="preserve"> viewed from different perspectives, it is prudent to confirm that the products from mechanisms 1</w:t>
      </w:r>
      <w:r w:rsidR="001612F0">
        <w:rPr>
          <w:rFonts w:ascii="Calibri" w:eastAsia="Calibri" w:hAnsi="Calibri" w:cs="Times New Roman"/>
          <w:sz w:val="24"/>
          <w:szCs w:val="24"/>
        </w:rPr>
        <w:t xml:space="preserve"> and 2 are equivalent (Fig.77).</w:t>
      </w:r>
    </w:p>
    <w:p w:rsidR="00CF1D1E" w:rsidRPr="00CF1D1E" w:rsidRDefault="00CF1D1E" w:rsidP="00CF1D1E">
      <w:pPr>
        <w:spacing w:line="360" w:lineRule="auto"/>
        <w:ind w:left="1440" w:firstLine="720"/>
        <w:jc w:val="both"/>
        <w:rPr>
          <w:rFonts w:ascii="Calibri" w:eastAsia="Calibri" w:hAnsi="Calibri" w:cs="Times New Roman"/>
        </w:rPr>
      </w:pPr>
      <w:r w:rsidRPr="00CF1D1E">
        <w:rPr>
          <w:rFonts w:ascii="Calibri" w:eastAsia="Calibri" w:hAnsi="Calibri" w:cs="Times New Roman"/>
        </w:rPr>
        <w:object w:dxaOrig="3652" w:dyaOrig="1582">
          <v:shape id="_x0000_i1032" type="#_x0000_t75" style="width:184.1pt;height:79.2pt" o:ole="">
            <v:imagedata r:id="rId125" o:title=""/>
          </v:shape>
          <o:OLEObject Type="Embed" ProgID="ChemDraw.Document.6.0" ShapeID="_x0000_i1032" DrawAspect="Content" ObjectID="_1658825298" r:id="rId126"/>
        </w:object>
      </w:r>
    </w:p>
    <w:p w:rsid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Fig.77 Illustration of</w:t>
      </w:r>
      <w:r w:rsidR="00317297">
        <w:rPr>
          <w:rFonts w:ascii="Calibri" w:eastAsia="Calibri" w:hAnsi="Calibri" w:cs="Times New Roman"/>
          <w:sz w:val="20"/>
          <w:szCs w:val="20"/>
        </w:rPr>
        <w:t xml:space="preserve"> the</w:t>
      </w:r>
      <w:r w:rsidRPr="00CF1D1E">
        <w:rPr>
          <w:rFonts w:ascii="Calibri" w:eastAsia="Calibri" w:hAnsi="Calibri" w:cs="Times New Roman"/>
          <w:sz w:val="20"/>
          <w:szCs w:val="20"/>
        </w:rPr>
        <w:t xml:space="preserve"> equivalence </w:t>
      </w:r>
      <w:r w:rsidR="00317297">
        <w:rPr>
          <w:rFonts w:ascii="Calibri" w:eastAsia="Calibri" w:hAnsi="Calibri" w:cs="Times New Roman"/>
          <w:sz w:val="20"/>
          <w:szCs w:val="20"/>
        </w:rPr>
        <w:t xml:space="preserve">of the </w:t>
      </w:r>
      <w:r w:rsidR="009845F1">
        <w:rPr>
          <w:rFonts w:ascii="Calibri" w:eastAsia="Calibri" w:hAnsi="Calibri" w:cs="Times New Roman"/>
          <w:sz w:val="20"/>
          <w:szCs w:val="20"/>
        </w:rPr>
        <w:t>theaflavin precursors</w:t>
      </w:r>
      <w:r w:rsidR="00317297">
        <w:rPr>
          <w:rFonts w:ascii="Calibri" w:eastAsia="Calibri" w:hAnsi="Calibri" w:cs="Times New Roman"/>
          <w:sz w:val="20"/>
          <w:szCs w:val="20"/>
        </w:rPr>
        <w:t xml:space="preserve"> </w:t>
      </w:r>
      <w:r w:rsidR="009845F1">
        <w:rPr>
          <w:rFonts w:ascii="Calibri" w:eastAsia="Calibri" w:hAnsi="Calibri" w:cs="Times New Roman"/>
          <w:sz w:val="20"/>
          <w:szCs w:val="20"/>
        </w:rPr>
        <w:t>illustrated in the two</w:t>
      </w:r>
      <w:r w:rsidR="00317297">
        <w:rPr>
          <w:rFonts w:ascii="Calibri" w:eastAsia="Calibri" w:hAnsi="Calibri" w:cs="Times New Roman"/>
          <w:sz w:val="20"/>
          <w:szCs w:val="20"/>
        </w:rPr>
        <w:t xml:space="preserve"> reaction mechanisms (Fig.75 and Fig.76) </w:t>
      </w:r>
      <w:r w:rsidRPr="00CF1D1E">
        <w:rPr>
          <w:rFonts w:ascii="Calibri" w:eastAsia="Calibri" w:hAnsi="Calibri" w:cs="Times New Roman"/>
          <w:sz w:val="20"/>
          <w:szCs w:val="20"/>
        </w:rPr>
        <w:t>with colour coded structural features.</w:t>
      </w:r>
    </w:p>
    <w:p w:rsidR="001612F0" w:rsidRPr="00CF1D1E" w:rsidRDefault="001612F0"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TFs degrade </w:t>
      </w:r>
      <w:r w:rsidR="00E4646C">
        <w:rPr>
          <w:rFonts w:ascii="Calibri" w:eastAsia="Calibri" w:hAnsi="Calibri" w:cs="Times New Roman"/>
          <w:sz w:val="24"/>
          <w:szCs w:val="24"/>
        </w:rPr>
        <w:t>via</w:t>
      </w:r>
      <w:r w:rsidRPr="00CF1D1E">
        <w:rPr>
          <w:rFonts w:ascii="Calibri" w:eastAsia="Calibri" w:hAnsi="Calibri" w:cs="Times New Roman"/>
          <w:sz w:val="24"/>
          <w:szCs w:val="24"/>
        </w:rPr>
        <w:t xml:space="preserve"> destructive oxidation of phloroglucinol rings by a peroxidase enzyme and, at some stage in the production process, the rate of TF degradation exceeds their creation.  The degraded products may be involved in TR formation as an increase in TR formation is seen at this stage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{"citationItems":[{"id":"ITEM-1","itemData":{"DOI":"10.1039/b912523j","ISSN":"02650568","abstract":"This review summarises the chemistry of low molecular weight polyphenols isolated and characterised from black tea, discussing both structures identified and mechanisms of their likely formation.","author":[{"dropping-particle":"","family":"Drynan","given":"James Warren","non-dropping-particle":"","parse-names":false,"suffix":""},{"dropping-particle":"","family":"Clifford","given":"Michael N.","non-dropping-particle":"","parse-names":false,"suffix":""},{"dropping-particle":"","family":"Obuchowicz","given":"Jacek","non-dropping-particle":"","parse-names":false,"suffix":""},{"dropping-particle":"","family":"Kuhnert","given":"Nikolai","non-dropping-particle":"","parse-names":false,"suffix":""}],"container-title":"Natural Product Reports","id":"ITEM-1","issue":"3","issued":{"date-parts":[["2010"]]},"page":"417-462","title":"The chemistry of low molecular weight black tea polyphenols","type":"article-journal","volume":"27"},"uris":["http://www.mendeley.com/documents/?uuid=615f3d4e-2e67-4641-9f6c-cdd98adf4906"]}],"mendeley":{"formattedCitation":"(Drynan et al., 2010)","plainTextFormattedCitation":"(Drynan et al., 2010)","previouslyFormattedCitation":"(Drynan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(Drynan </w:t>
      </w:r>
      <w:r w:rsidR="00941740" w:rsidRPr="007B580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Many analogues based on this central theme have been characterised by a combination of IR, UV-Vis, MS and </w:t>
      </w:r>
      <w:r w:rsidRPr="00CF1D1E">
        <w:rPr>
          <w:rFonts w:ascii="Calibri" w:eastAsia="Calibri" w:hAnsi="Calibri" w:cs="Times New Roman"/>
          <w:sz w:val="24"/>
          <w:szCs w:val="24"/>
          <w:vertAlign w:val="superscript"/>
        </w:rPr>
        <w:t>1</w:t>
      </w:r>
      <w:r w:rsidRPr="00CF1D1E">
        <w:rPr>
          <w:rFonts w:ascii="Calibri" w:eastAsia="Calibri" w:hAnsi="Calibri" w:cs="Times New Roman"/>
          <w:sz w:val="24"/>
          <w:szCs w:val="24"/>
        </w:rPr>
        <w:t xml:space="preserve">H-NMR analysis. They are methylated theaflavins, </w:t>
      </w:r>
      <w:proofErr w:type="spellStart"/>
      <w:r w:rsidRPr="00CF1D1E">
        <w:rPr>
          <w:rFonts w:ascii="Calibri" w:eastAsia="Calibri" w:hAnsi="Calibri" w:cs="Times New Roman"/>
          <w:sz w:val="24"/>
          <w:szCs w:val="24"/>
        </w:rPr>
        <w:t>Isotheaflavins</w:t>
      </w:r>
      <w:proofErr w:type="spellEnd"/>
      <w:r w:rsidRPr="00CF1D1E">
        <w:rPr>
          <w:rFonts w:ascii="Calibri" w:eastAsia="Calibri" w:hAnsi="Calibri" w:cs="Times New Roman"/>
          <w:sz w:val="24"/>
          <w:szCs w:val="24"/>
        </w:rPr>
        <w:t xml:space="preserve">, </w:t>
      </w:r>
      <w:proofErr w:type="spellStart"/>
      <w:r w:rsidRPr="00CF1D1E">
        <w:rPr>
          <w:rFonts w:ascii="Calibri" w:eastAsia="Calibri" w:hAnsi="Calibri" w:cs="Times New Roman"/>
          <w:sz w:val="24"/>
          <w:szCs w:val="24"/>
        </w:rPr>
        <w:t>theaflagallins</w:t>
      </w:r>
      <w:proofErr w:type="spellEnd"/>
      <w:r w:rsidRPr="00CF1D1E">
        <w:rPr>
          <w:rFonts w:ascii="Calibri" w:eastAsia="Calibri" w:hAnsi="Calibri" w:cs="Times New Roman"/>
          <w:sz w:val="24"/>
          <w:szCs w:val="24"/>
        </w:rPr>
        <w:t xml:space="preserve">, </w:t>
      </w:r>
      <w:proofErr w:type="spellStart"/>
      <w:r w:rsidRPr="00CF1D1E">
        <w:rPr>
          <w:rFonts w:ascii="Calibri" w:eastAsia="Calibri" w:hAnsi="Calibri" w:cs="Times New Roman"/>
          <w:sz w:val="24"/>
          <w:szCs w:val="24"/>
        </w:rPr>
        <w:t>theaflavates</w:t>
      </w:r>
      <w:proofErr w:type="spellEnd"/>
      <w:r w:rsidRPr="00CF1D1E">
        <w:rPr>
          <w:rFonts w:ascii="Calibri" w:eastAsia="Calibri" w:hAnsi="Calibri" w:cs="Times New Roman"/>
          <w:sz w:val="24"/>
          <w:szCs w:val="24"/>
        </w:rPr>
        <w:t xml:space="preserve">, </w:t>
      </w:r>
      <w:proofErr w:type="spellStart"/>
      <w:r w:rsidRPr="00CF1D1E">
        <w:rPr>
          <w:rFonts w:ascii="Calibri" w:eastAsia="Calibri" w:hAnsi="Calibri" w:cs="Times New Roman"/>
          <w:sz w:val="24"/>
          <w:szCs w:val="24"/>
        </w:rPr>
        <w:t>theaflavic</w:t>
      </w:r>
      <w:proofErr w:type="spellEnd"/>
      <w:r w:rsidRPr="00CF1D1E">
        <w:rPr>
          <w:rFonts w:ascii="Calibri" w:eastAsia="Calibri" w:hAnsi="Calibri" w:cs="Times New Roman"/>
          <w:sz w:val="24"/>
          <w:szCs w:val="24"/>
        </w:rPr>
        <w:t xml:space="preserve"> acids (Fig.78), </w:t>
      </w:r>
      <w:proofErr w:type="spellStart"/>
      <w:r w:rsidRPr="00CF1D1E">
        <w:rPr>
          <w:rFonts w:ascii="Calibri" w:eastAsia="Calibri" w:hAnsi="Calibri" w:cs="Times New Roman"/>
          <w:sz w:val="24"/>
          <w:szCs w:val="24"/>
        </w:rPr>
        <w:t>theadi</w:t>
      </w:r>
      <w:proofErr w:type="spellEnd"/>
      <w:r w:rsidRPr="00CF1D1E">
        <w:rPr>
          <w:rFonts w:ascii="Calibri" w:eastAsia="Calibri" w:hAnsi="Calibri" w:cs="Times New Roman"/>
          <w:sz w:val="24"/>
          <w:szCs w:val="24"/>
        </w:rPr>
        <w:t>/</w:t>
      </w:r>
      <w:proofErr w:type="spellStart"/>
      <w:r w:rsidRPr="00CF1D1E">
        <w:rPr>
          <w:rFonts w:ascii="Calibri" w:eastAsia="Calibri" w:hAnsi="Calibri" w:cs="Times New Roman"/>
          <w:sz w:val="24"/>
          <w:szCs w:val="24"/>
        </w:rPr>
        <w:t>tribenzotropolones</w:t>
      </w:r>
      <w:proofErr w:type="spellEnd"/>
      <w:r w:rsidRPr="00CF1D1E">
        <w:rPr>
          <w:rFonts w:ascii="Calibri" w:eastAsia="Calibri" w:hAnsi="Calibri" w:cs="Times New Roman"/>
          <w:sz w:val="24"/>
          <w:szCs w:val="24"/>
        </w:rPr>
        <w:t xml:space="preserve">, </w:t>
      </w:r>
      <w:proofErr w:type="spellStart"/>
      <w:r w:rsidRPr="00CF1D1E">
        <w:rPr>
          <w:rFonts w:ascii="Calibri" w:eastAsia="Calibri" w:hAnsi="Calibri" w:cs="Times New Roman"/>
          <w:sz w:val="24"/>
          <w:szCs w:val="24"/>
        </w:rPr>
        <w:t>theanaphthoquinone</w:t>
      </w:r>
      <w:proofErr w:type="spellEnd"/>
      <w:r w:rsidRPr="00CF1D1E">
        <w:rPr>
          <w:rFonts w:ascii="Calibri" w:eastAsia="Calibri" w:hAnsi="Calibri" w:cs="Times New Roman"/>
          <w:sz w:val="24"/>
          <w:szCs w:val="24"/>
        </w:rPr>
        <w:t xml:space="preserve">, </w:t>
      </w:r>
      <w:proofErr w:type="spellStart"/>
      <w:r w:rsidRPr="00CF1D1E">
        <w:rPr>
          <w:rFonts w:ascii="Calibri" w:eastAsia="Calibri" w:hAnsi="Calibri" w:cs="Times New Roman"/>
          <w:sz w:val="24"/>
          <w:szCs w:val="24"/>
        </w:rPr>
        <w:t>bistheaflavins</w:t>
      </w:r>
      <w:proofErr w:type="spellEnd"/>
      <w:r w:rsidRPr="00CF1D1E">
        <w:rPr>
          <w:rFonts w:ascii="Calibri" w:eastAsia="Calibri" w:hAnsi="Calibri" w:cs="Times New Roman"/>
          <w:sz w:val="24"/>
          <w:szCs w:val="24"/>
        </w:rPr>
        <w:t xml:space="preserve">, and </w:t>
      </w:r>
      <w:proofErr w:type="spellStart"/>
      <w:r w:rsidRPr="00CF1D1E">
        <w:rPr>
          <w:rFonts w:ascii="Calibri" w:eastAsia="Calibri" w:hAnsi="Calibri" w:cs="Times New Roman"/>
          <w:sz w:val="24"/>
          <w:szCs w:val="24"/>
        </w:rPr>
        <w:t>dehydrotheaflavins</w:t>
      </w:r>
      <w:proofErr w:type="spellEnd"/>
      <w:r w:rsidRPr="00CF1D1E">
        <w:rPr>
          <w:rFonts w:ascii="Calibri" w:eastAsia="Calibri" w:hAnsi="Calibri" w:cs="Times New Roman"/>
          <w:sz w:val="24"/>
          <w:szCs w:val="24"/>
        </w:rPr>
        <w:t xml:space="preserve"> (Fig.79) some of which are thought to be produced via the action of other enzymes. Furthermore many other derivatives of theaflavin exist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{"citationItems":[{"id":"ITEM-1","itemData":{"DOI":"10.1039/b912523j","ISSN":"02650568","abstract":"This review summarises the chemistry of low molecular weight polyphenols isolated and characterised from black tea, discussing both structures identified and mechanisms of their likely formation.","author":[{"dropping-particle":"","family":"Drynan","given":"James Warren","non-dropping-particle":"","parse-names":false,"suffix":""},{"dropping-particle":"","family":"Clifford","given":"Michael N.","non-dropping-particle":"","parse-names":false,"suffix":""},{"dropping-particle":"","family":"Obuchowicz","given":"Jacek","non-dropping-particle":"","parse-names":false,"suffix":""},{"dropping-particle":"","family":"Kuhnert","given":"Nikolai","non-dropping-particle":"","parse-names":false,"suffix":""}],"container-title":"Natural Product Reports","id":"ITEM-1","issue":"3","issued":{"date-parts":[["2010"]]},"page":"417-462","title":"The chemistry of low molecular weight black tea polyphenols","type":"article-journal","volume":"27"},"uris":["http://www.mendeley.com/documents/?uuid=615f3d4e-2e67-4641-9f6c-cdd98adf4906"]}],"mendeley":{"formattedCitation":"(Drynan et al., 2010)","plainTextFormattedCitation":"(Drynan et al., 2010)","previouslyFormattedCitation":"(Drynan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(Drynan </w:t>
      </w:r>
      <w:r w:rsidR="00941740" w:rsidRPr="007B580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001612F0">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2AE7DC07" wp14:editId="1BF0BE27">
            <wp:extent cx="1315955" cy="1058614"/>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sotheaflavin 2.PNG"/>
                    <pic:cNvPicPr/>
                  </pic:nvPicPr>
                  <pic:blipFill>
                    <a:blip r:embed="rId127">
                      <a:extLst>
                        <a:ext uri="{28A0092B-C50C-407E-A947-70E740481C1C}">
                          <a14:useLocalDpi xmlns:a14="http://schemas.microsoft.com/office/drawing/2010/main" val="0"/>
                        </a:ext>
                      </a:extLst>
                    </a:blip>
                    <a:stretch>
                      <a:fillRect/>
                    </a:stretch>
                  </pic:blipFill>
                  <pic:spPr>
                    <a:xfrm>
                      <a:off x="0" y="0"/>
                      <a:ext cx="1329488" cy="1069501"/>
                    </a:xfrm>
                    <a:prstGeom prst="rect">
                      <a:avLst/>
                    </a:prstGeom>
                  </pic:spPr>
                </pic:pic>
              </a:graphicData>
            </a:graphic>
          </wp:inline>
        </w:drawing>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7DBBAE30" wp14:editId="24166758">
            <wp:extent cx="902043" cy="1118533"/>
            <wp:effectExtent l="0" t="0" r="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epitheaflagallin.PNG"/>
                    <pic:cNvPicPr/>
                  </pic:nvPicPr>
                  <pic:blipFill>
                    <a:blip r:embed="rId128">
                      <a:extLst>
                        <a:ext uri="{28A0092B-C50C-407E-A947-70E740481C1C}">
                          <a14:useLocalDpi xmlns:a14="http://schemas.microsoft.com/office/drawing/2010/main" val="0"/>
                        </a:ext>
                      </a:extLst>
                    </a:blip>
                    <a:stretch>
                      <a:fillRect/>
                    </a:stretch>
                  </pic:blipFill>
                  <pic:spPr>
                    <a:xfrm>
                      <a:off x="0" y="0"/>
                      <a:ext cx="910111" cy="1128537"/>
                    </a:xfrm>
                    <a:prstGeom prst="rect">
                      <a:avLst/>
                    </a:prstGeom>
                  </pic:spPr>
                </pic:pic>
              </a:graphicData>
            </a:graphic>
          </wp:inline>
        </w:drawing>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0A8750D9" wp14:editId="043538F4">
            <wp:extent cx="1415282" cy="1630014"/>
            <wp:effectExtent l="0" t="0" r="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Theaflavate A.PNG"/>
                    <pic:cNvPicPr/>
                  </pic:nvPicPr>
                  <pic:blipFill>
                    <a:blip r:embed="rId129">
                      <a:extLst>
                        <a:ext uri="{28A0092B-C50C-407E-A947-70E740481C1C}">
                          <a14:useLocalDpi xmlns:a14="http://schemas.microsoft.com/office/drawing/2010/main" val="0"/>
                        </a:ext>
                      </a:extLst>
                    </a:blip>
                    <a:stretch>
                      <a:fillRect/>
                    </a:stretch>
                  </pic:blipFill>
                  <pic:spPr>
                    <a:xfrm>
                      <a:off x="0" y="0"/>
                      <a:ext cx="1471901" cy="1695223"/>
                    </a:xfrm>
                    <a:prstGeom prst="rect">
                      <a:avLst/>
                    </a:prstGeom>
                  </pic:spPr>
                </pic:pic>
              </a:graphicData>
            </a:graphic>
          </wp:inline>
        </w:drawing>
      </w:r>
      <w:r w:rsidRPr="00CF1D1E">
        <w:rPr>
          <w:rFonts w:ascii="Calibri" w:eastAsia="Calibri" w:hAnsi="Calibri" w:cs="Times New Roman"/>
          <w:noProof/>
          <w:sz w:val="24"/>
          <w:szCs w:val="24"/>
          <w:lang w:eastAsia="en-GB"/>
        </w:rPr>
        <w:drawing>
          <wp:inline distT="0" distB="0" distL="0" distR="0" wp14:anchorId="08D68AE3" wp14:editId="299ADA51">
            <wp:extent cx="1268627" cy="1031240"/>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Theaflavic acid.PNG"/>
                    <pic:cNvPicPr/>
                  </pic:nvPicPr>
                  <pic:blipFill>
                    <a:blip r:embed="rId130">
                      <a:extLst>
                        <a:ext uri="{28A0092B-C50C-407E-A947-70E740481C1C}">
                          <a14:useLocalDpi xmlns:a14="http://schemas.microsoft.com/office/drawing/2010/main" val="0"/>
                        </a:ext>
                      </a:extLst>
                    </a:blip>
                    <a:stretch>
                      <a:fillRect/>
                    </a:stretch>
                  </pic:blipFill>
                  <pic:spPr>
                    <a:xfrm>
                      <a:off x="0" y="0"/>
                      <a:ext cx="1268627" cy="1031240"/>
                    </a:xfrm>
                    <a:prstGeom prst="rect">
                      <a:avLst/>
                    </a:prstGeom>
                  </pic:spPr>
                </pic:pic>
              </a:graphicData>
            </a:graphic>
          </wp:inline>
        </w:drawing>
      </w:r>
    </w:p>
    <w:p w:rsidR="00CF1D1E" w:rsidRPr="00CF1D1E" w:rsidRDefault="00CF1D1E" w:rsidP="00CF1D1E">
      <w:pPr>
        <w:spacing w:line="360" w:lineRule="auto"/>
        <w:ind w:firstLine="720"/>
        <w:jc w:val="both"/>
        <w:rPr>
          <w:rFonts w:ascii="Calibri" w:eastAsia="Calibri" w:hAnsi="Calibri" w:cs="Times New Roman"/>
          <w:sz w:val="20"/>
          <w:szCs w:val="20"/>
        </w:rPr>
      </w:pPr>
      <w:proofErr w:type="gramStart"/>
      <w:r w:rsidRPr="00CF1D1E">
        <w:rPr>
          <w:rFonts w:ascii="Calibri" w:eastAsia="Calibri" w:hAnsi="Calibri" w:cs="Times New Roman"/>
          <w:sz w:val="20"/>
          <w:szCs w:val="20"/>
        </w:rPr>
        <w:t>a</w:t>
      </w:r>
      <w:proofErr w:type="gramEnd"/>
      <w:r w:rsidRPr="00CF1D1E">
        <w:rPr>
          <w:rFonts w:ascii="Calibri" w:eastAsia="Calibri" w:hAnsi="Calibri" w:cs="Times New Roman"/>
          <w:sz w:val="20"/>
          <w:szCs w:val="20"/>
        </w:rPr>
        <w:t>,</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b,</w:t>
      </w:r>
      <w:r w:rsidRPr="00CF1D1E">
        <w:rPr>
          <w:rFonts w:ascii="Calibri" w:eastAsia="Calibri" w:hAnsi="Calibri" w:cs="Times New Roman"/>
          <w:sz w:val="20"/>
          <w:szCs w:val="20"/>
        </w:rPr>
        <w:tab/>
      </w:r>
      <w:r w:rsidRPr="00CF1D1E">
        <w:rPr>
          <w:rFonts w:ascii="Calibri" w:eastAsia="Calibri" w:hAnsi="Calibri" w:cs="Times New Roman"/>
          <w:sz w:val="20"/>
          <w:szCs w:val="20"/>
        </w:rPr>
        <w:tab/>
        <w:t>c,</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d,</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Fig.78. Molecular structures of (</w:t>
      </w:r>
      <w:r w:rsidRPr="00CF1D1E">
        <w:rPr>
          <w:rFonts w:ascii="Calibri" w:eastAsia="Calibri" w:hAnsi="Calibri" w:cs="Times New Roman"/>
          <w:b/>
          <w:sz w:val="20"/>
          <w:szCs w:val="20"/>
        </w:rPr>
        <w:t>a</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Isotheaflavin</w:t>
      </w:r>
      <w:proofErr w:type="spellEnd"/>
      <w:r w:rsidRPr="00CF1D1E">
        <w:rPr>
          <w:rFonts w:ascii="Calibri" w:eastAsia="Calibri" w:hAnsi="Calibri" w:cs="Times New Roman"/>
          <w:sz w:val="20"/>
          <w:szCs w:val="20"/>
        </w:rPr>
        <w:t>, (</w:t>
      </w:r>
      <w:r w:rsidRPr="00CF1D1E">
        <w:rPr>
          <w:rFonts w:ascii="Calibri" w:eastAsia="Calibri" w:hAnsi="Calibri" w:cs="Times New Roman"/>
          <w:b/>
          <w:sz w:val="20"/>
          <w:szCs w:val="20"/>
        </w:rPr>
        <w:t>b</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epitheaflagallin</w:t>
      </w:r>
      <w:proofErr w:type="spellEnd"/>
      <w:r w:rsidRPr="00CF1D1E">
        <w:rPr>
          <w:rFonts w:ascii="Calibri" w:eastAsia="Calibri" w:hAnsi="Calibri" w:cs="Times New Roman"/>
          <w:sz w:val="20"/>
          <w:szCs w:val="20"/>
        </w:rPr>
        <w:t>, (</w:t>
      </w:r>
      <w:r w:rsidRPr="00CF1D1E">
        <w:rPr>
          <w:rFonts w:ascii="Calibri" w:eastAsia="Calibri" w:hAnsi="Calibri" w:cs="Times New Roman"/>
          <w:b/>
          <w:sz w:val="20"/>
          <w:szCs w:val="20"/>
        </w:rPr>
        <w:t>c</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theaflavate</w:t>
      </w:r>
      <w:proofErr w:type="spellEnd"/>
      <w:r w:rsidRPr="00CF1D1E">
        <w:rPr>
          <w:rFonts w:ascii="Calibri" w:eastAsia="Calibri" w:hAnsi="Calibri" w:cs="Times New Roman"/>
          <w:sz w:val="20"/>
          <w:szCs w:val="20"/>
        </w:rPr>
        <w:t xml:space="preserve"> and (</w:t>
      </w:r>
      <w:r w:rsidRPr="00CF1D1E">
        <w:rPr>
          <w:rFonts w:ascii="Calibri" w:eastAsia="Calibri" w:hAnsi="Calibri" w:cs="Times New Roman"/>
          <w:b/>
          <w:sz w:val="20"/>
          <w:szCs w:val="20"/>
        </w:rPr>
        <w:t>d</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theaflavic</w:t>
      </w:r>
      <w:proofErr w:type="spellEnd"/>
      <w:r w:rsidRPr="00CF1D1E">
        <w:rPr>
          <w:rFonts w:ascii="Calibri" w:eastAsia="Calibri" w:hAnsi="Calibri" w:cs="Times New Roman"/>
          <w:sz w:val="20"/>
          <w:szCs w:val="20"/>
        </w:rPr>
        <w:t xml:space="preserve"> acid.</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34B62394" wp14:editId="4A7FA98D">
            <wp:extent cx="1026695" cy="1219200"/>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Theadibenzotropolone A.PNG"/>
                    <pic:cNvPicPr/>
                  </pic:nvPicPr>
                  <pic:blipFill>
                    <a:blip r:embed="rId131">
                      <a:extLst>
                        <a:ext uri="{28A0092B-C50C-407E-A947-70E740481C1C}">
                          <a14:useLocalDpi xmlns:a14="http://schemas.microsoft.com/office/drawing/2010/main" val="0"/>
                        </a:ext>
                      </a:extLst>
                    </a:blip>
                    <a:stretch>
                      <a:fillRect/>
                    </a:stretch>
                  </pic:blipFill>
                  <pic:spPr>
                    <a:xfrm>
                      <a:off x="0" y="0"/>
                      <a:ext cx="1054797" cy="1252571"/>
                    </a:xfrm>
                    <a:prstGeom prst="rect">
                      <a:avLst/>
                    </a:prstGeom>
                  </pic:spPr>
                </pic:pic>
              </a:graphicData>
            </a:graphic>
          </wp:inline>
        </w:drawing>
      </w:r>
      <w:r w:rsidRPr="00CF1D1E">
        <w:rPr>
          <w:rFonts w:ascii="Calibri" w:eastAsia="Calibri" w:hAnsi="Calibri" w:cs="Times New Roman"/>
          <w:sz w:val="20"/>
          <w:szCs w:val="20"/>
        </w:rPr>
        <w:tab/>
      </w:r>
      <w:r w:rsidRPr="00CF1D1E">
        <w:rPr>
          <w:rFonts w:ascii="Calibri" w:eastAsia="Calibri" w:hAnsi="Calibri" w:cs="Times New Roman"/>
          <w:noProof/>
          <w:sz w:val="20"/>
          <w:szCs w:val="20"/>
          <w:lang w:eastAsia="en-GB"/>
        </w:rPr>
        <w:drawing>
          <wp:inline distT="0" distB="0" distL="0" distR="0" wp14:anchorId="1E985653" wp14:editId="5534684C">
            <wp:extent cx="957943" cy="116672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Theanaphthoquinone.PNG"/>
                    <pic:cNvPicPr/>
                  </pic:nvPicPr>
                  <pic:blipFill>
                    <a:blip r:embed="rId132">
                      <a:extLst>
                        <a:ext uri="{28A0092B-C50C-407E-A947-70E740481C1C}">
                          <a14:useLocalDpi xmlns:a14="http://schemas.microsoft.com/office/drawing/2010/main" val="0"/>
                        </a:ext>
                      </a:extLst>
                    </a:blip>
                    <a:stretch>
                      <a:fillRect/>
                    </a:stretch>
                  </pic:blipFill>
                  <pic:spPr>
                    <a:xfrm>
                      <a:off x="0" y="0"/>
                      <a:ext cx="973558" cy="1185743"/>
                    </a:xfrm>
                    <a:prstGeom prst="rect">
                      <a:avLst/>
                    </a:prstGeom>
                  </pic:spPr>
                </pic:pic>
              </a:graphicData>
            </a:graphic>
          </wp:inline>
        </w:drawing>
      </w:r>
      <w:r w:rsidRPr="00CF1D1E">
        <w:rPr>
          <w:rFonts w:ascii="Calibri" w:eastAsia="Calibri" w:hAnsi="Calibri" w:cs="Times New Roman"/>
          <w:sz w:val="20"/>
          <w:szCs w:val="20"/>
        </w:rPr>
        <w:tab/>
      </w:r>
      <w:r w:rsidRPr="00CF1D1E">
        <w:rPr>
          <w:rFonts w:ascii="Calibri" w:eastAsia="Calibri" w:hAnsi="Calibri" w:cs="Times New Roman"/>
          <w:noProof/>
          <w:sz w:val="20"/>
          <w:szCs w:val="20"/>
          <w:lang w:eastAsia="en-GB"/>
        </w:rPr>
        <w:drawing>
          <wp:inline distT="0" distB="0" distL="0" distR="0" wp14:anchorId="569203A6" wp14:editId="3AA2E18E">
            <wp:extent cx="1432754" cy="1229286"/>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stheaflavin A.PNG"/>
                    <pic:cNvPicPr/>
                  </pic:nvPicPr>
                  <pic:blipFill>
                    <a:blip r:embed="rId133">
                      <a:extLst>
                        <a:ext uri="{28A0092B-C50C-407E-A947-70E740481C1C}">
                          <a14:useLocalDpi xmlns:a14="http://schemas.microsoft.com/office/drawing/2010/main" val="0"/>
                        </a:ext>
                      </a:extLst>
                    </a:blip>
                    <a:stretch>
                      <a:fillRect/>
                    </a:stretch>
                  </pic:blipFill>
                  <pic:spPr>
                    <a:xfrm>
                      <a:off x="0" y="0"/>
                      <a:ext cx="1463394" cy="1255575"/>
                    </a:xfrm>
                    <a:prstGeom prst="rect">
                      <a:avLst/>
                    </a:prstGeom>
                  </pic:spPr>
                </pic:pic>
              </a:graphicData>
            </a:graphic>
          </wp:inline>
        </w:drawing>
      </w:r>
      <w:r w:rsidRPr="00CF1D1E">
        <w:rPr>
          <w:rFonts w:ascii="Calibri" w:eastAsia="Calibri" w:hAnsi="Calibri" w:cs="Times New Roman"/>
          <w:sz w:val="20"/>
          <w:szCs w:val="20"/>
        </w:rPr>
        <w:tab/>
      </w:r>
      <w:r w:rsidRPr="00CF1D1E">
        <w:rPr>
          <w:rFonts w:ascii="Calibri" w:eastAsia="Calibri" w:hAnsi="Calibri" w:cs="Times New Roman"/>
          <w:noProof/>
          <w:sz w:val="20"/>
          <w:szCs w:val="20"/>
          <w:lang w:eastAsia="en-GB"/>
        </w:rPr>
        <w:drawing>
          <wp:inline distT="0" distB="0" distL="0" distR="0" wp14:anchorId="15B3CDCB" wp14:editId="2DEAA9FB">
            <wp:extent cx="1121229" cy="1085226"/>
            <wp:effectExtent l="0" t="0" r="3175"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ehydrotheaflavin.PNG"/>
                    <pic:cNvPicPr/>
                  </pic:nvPicPr>
                  <pic:blipFill>
                    <a:blip r:embed="rId134">
                      <a:extLst>
                        <a:ext uri="{28A0092B-C50C-407E-A947-70E740481C1C}">
                          <a14:useLocalDpi xmlns:a14="http://schemas.microsoft.com/office/drawing/2010/main" val="0"/>
                        </a:ext>
                      </a:extLst>
                    </a:blip>
                    <a:stretch>
                      <a:fillRect/>
                    </a:stretch>
                  </pic:blipFill>
                  <pic:spPr>
                    <a:xfrm>
                      <a:off x="0" y="0"/>
                      <a:ext cx="1137511" cy="1100985"/>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ab/>
      </w:r>
      <w:proofErr w:type="gramStart"/>
      <w:r w:rsidRPr="00CF1D1E">
        <w:rPr>
          <w:rFonts w:ascii="Calibri" w:eastAsia="Calibri" w:hAnsi="Calibri" w:cs="Times New Roman"/>
          <w:sz w:val="20"/>
          <w:szCs w:val="20"/>
        </w:rPr>
        <w:t>a</w:t>
      </w:r>
      <w:proofErr w:type="gramEnd"/>
      <w:r w:rsidRPr="00CF1D1E">
        <w:rPr>
          <w:rFonts w:ascii="Calibri" w:eastAsia="Calibri" w:hAnsi="Calibri" w:cs="Times New Roman"/>
          <w:sz w:val="20"/>
          <w:szCs w:val="20"/>
        </w:rPr>
        <w:t>,</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b,</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c,</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d,</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Fig.79. Molecular structures of (</w:t>
      </w:r>
      <w:r w:rsidRPr="00CF1D1E">
        <w:rPr>
          <w:rFonts w:ascii="Calibri" w:eastAsia="Calibri" w:hAnsi="Calibri" w:cs="Times New Roman"/>
          <w:b/>
          <w:sz w:val="20"/>
          <w:szCs w:val="20"/>
        </w:rPr>
        <w:t>a</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Theadibenzotropolone</w:t>
      </w:r>
      <w:proofErr w:type="spellEnd"/>
      <w:r w:rsidRPr="00CF1D1E">
        <w:rPr>
          <w:rFonts w:ascii="Calibri" w:eastAsia="Calibri" w:hAnsi="Calibri" w:cs="Times New Roman"/>
          <w:sz w:val="20"/>
          <w:szCs w:val="20"/>
        </w:rPr>
        <w:t xml:space="preserve"> A, (</w:t>
      </w:r>
      <w:r w:rsidRPr="00CF1D1E">
        <w:rPr>
          <w:rFonts w:ascii="Calibri" w:eastAsia="Calibri" w:hAnsi="Calibri" w:cs="Times New Roman"/>
          <w:b/>
          <w:sz w:val="20"/>
          <w:szCs w:val="20"/>
        </w:rPr>
        <w:t>b</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Theanaphthoquinone</w:t>
      </w:r>
      <w:proofErr w:type="spellEnd"/>
      <w:r w:rsidRPr="00CF1D1E">
        <w:rPr>
          <w:rFonts w:ascii="Calibri" w:eastAsia="Calibri" w:hAnsi="Calibri" w:cs="Times New Roman"/>
          <w:sz w:val="20"/>
          <w:szCs w:val="20"/>
        </w:rPr>
        <w:t>, (</w:t>
      </w:r>
      <w:r w:rsidRPr="00CF1D1E">
        <w:rPr>
          <w:rFonts w:ascii="Calibri" w:eastAsia="Calibri" w:hAnsi="Calibri" w:cs="Times New Roman"/>
          <w:b/>
          <w:sz w:val="20"/>
          <w:szCs w:val="20"/>
        </w:rPr>
        <w:t>c</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Bistheaflavin</w:t>
      </w:r>
      <w:proofErr w:type="spellEnd"/>
      <w:r w:rsidRPr="00CF1D1E">
        <w:rPr>
          <w:rFonts w:ascii="Calibri" w:eastAsia="Calibri" w:hAnsi="Calibri" w:cs="Times New Roman"/>
          <w:sz w:val="20"/>
          <w:szCs w:val="20"/>
        </w:rPr>
        <w:t xml:space="preserve"> A and (</w:t>
      </w:r>
      <w:r w:rsidRPr="00CF1D1E">
        <w:rPr>
          <w:rFonts w:ascii="Calibri" w:eastAsia="Calibri" w:hAnsi="Calibri" w:cs="Times New Roman"/>
          <w:b/>
          <w:sz w:val="20"/>
          <w:szCs w:val="20"/>
        </w:rPr>
        <w:t>d</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Dehydrotheaflavin</w:t>
      </w:r>
      <w:proofErr w:type="spellEnd"/>
      <w:r w:rsidRPr="00CF1D1E">
        <w:rPr>
          <w:rFonts w:ascii="Calibri" w:eastAsia="Calibri" w:hAnsi="Calibri" w:cs="Times New Roman"/>
          <w:sz w:val="20"/>
          <w:szCs w:val="20"/>
        </w:rPr>
        <w:t>.</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Also (-)-Epigallocatechin gallate dimer, theasinensins, </w:t>
      </w:r>
      <w:proofErr w:type="spellStart"/>
      <w:r w:rsidRPr="00CF1D1E">
        <w:rPr>
          <w:rFonts w:ascii="Calibri" w:eastAsia="Calibri" w:hAnsi="Calibri" w:cs="Times New Roman"/>
          <w:sz w:val="24"/>
          <w:szCs w:val="24"/>
        </w:rPr>
        <w:t>tricetanidin</w:t>
      </w:r>
      <w:proofErr w:type="spellEnd"/>
      <w:r w:rsidRPr="00CF1D1E">
        <w:rPr>
          <w:rFonts w:ascii="Calibri" w:eastAsia="Calibri" w:hAnsi="Calibri" w:cs="Times New Roman"/>
          <w:sz w:val="24"/>
          <w:szCs w:val="24"/>
        </w:rPr>
        <w:t xml:space="preserve">, and theacitrins are included. Theacitrins are thought to be the precursors which are key in the production of TRs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{"citationItems":[{"id":"ITEM-1","itemData":{"DOI":"10.1002/jsfa.2740630113","ISSN":"10970010","abstract":"Reverse-phase HPLC of liquors prepared from a Lattakari Assam black tea was used to assess the contribution of black tea phenolic pigments to 'tea cream', a precipitate which forms routinely following caffeine complexation of the phenols when a strong infusion of black tea cools. In this study caffeine was added back to tea liquor fractions and reconstituted decaffeinated whole tea liquor, and the extent to which the theaflavins, thearubigins and flavonol glycosides were removed from solution in the form of insoluble complexes was monitored by HPLC. The poorly characterised thearubigins are shown to be the principal (almost-equal-to 86 %) pigmented phenolic components of 'tea cream'. Theaflavins (almost-equal-to 12 %) and flavonol glycosides (almost-equal-to 2 %) were also present. Evidence is presented for a synergistic interaction between theaflavins and thearubigins during cream formation. The use of caffeine precipitation is proposed as an aid to the fractionation and quantification of phenols including thearubigins in black tea liquors.","author":[{"dropping-particle":"","family":"Powell","given":"Christopher","non-dropping-particle":"","parse-names":false,"suffix":""},{"dropping-particle":"","family":"Clifford","given":"Michael N.","non-dropping-particle":"","parse-names":false,"suffix":""},{"dropping-particle":"","family":"Opie","given":"Shaun C.","non-dropping-particle":"","parse-names":false,"suffix":""},{"dropping-particle":"","family":"Ford","given":"Michael A.","non-dropping-particle":"","parse-names":false,"suffix":""},{"dropping-particle":"","family":"Robertson","given":"Alastair","non-dropping-particle":"","parse-names":false,"suffix":""},{"dropping-particle":"","family":"Gibson","given":"Cohn L.","non-dropping-particle":"","parse-names":false,"suffix":""}],"container-title":"Journal of the Science of Food and Agriculture","id":"ITEM-1","issue":"1","issued":{"date-parts":[["1993"]]},"page":"77-86","title":"Tea cream formation: The contribution of black tea phenolic pigments determined by HPLC","type":"article-journal","volume":"63"},"uris":["http://www.mendeley.com/documents/?uuid=29a87401-8418-4d9a-9271-44e9a58af763"]}],"mendeley":{"formattedCitation":"(Powell et al., 1993)","plainTextFormattedCitation":"(Powell et al., 1993)","previouslyFormattedCitation":"(Powell et al., 1993)"},"properties":{"noteIndex":0},"schema":"https://github.com/citation-style-language/schema/raw/master/csl-citation.json"}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(Powell </w:t>
      </w:r>
      <w:r w:rsidR="00941740" w:rsidRPr="00DD5AA0">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1993)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See Fig 80.</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1E87D5BB" wp14:editId="5C1F2EB7">
            <wp:extent cx="1306286" cy="1251091"/>
            <wp:effectExtent l="0" t="0" r="8255"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Epigallocatechin gallate dimer.PNG"/>
                    <pic:cNvPicPr/>
                  </pic:nvPicPr>
                  <pic:blipFill>
                    <a:blip r:embed="rId135">
                      <a:extLst>
                        <a:ext uri="{28A0092B-C50C-407E-A947-70E740481C1C}">
                          <a14:useLocalDpi xmlns:a14="http://schemas.microsoft.com/office/drawing/2010/main" val="0"/>
                        </a:ext>
                      </a:extLst>
                    </a:blip>
                    <a:stretch>
                      <a:fillRect/>
                    </a:stretch>
                  </pic:blipFill>
                  <pic:spPr>
                    <a:xfrm>
                      <a:off x="0" y="0"/>
                      <a:ext cx="1314558" cy="1259014"/>
                    </a:xfrm>
                    <a:prstGeom prst="rect">
                      <a:avLst/>
                    </a:prstGeom>
                  </pic:spPr>
                </pic:pic>
              </a:graphicData>
            </a:graphic>
          </wp:inline>
        </w:drawing>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334FFCC5" wp14:editId="1EA0E6B0">
            <wp:extent cx="940777" cy="137872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theasinensins A.PNG"/>
                    <pic:cNvPicPr/>
                  </pic:nvPicPr>
                  <pic:blipFill>
                    <a:blip r:embed="rId136">
                      <a:extLst>
                        <a:ext uri="{28A0092B-C50C-407E-A947-70E740481C1C}">
                          <a14:useLocalDpi xmlns:a14="http://schemas.microsoft.com/office/drawing/2010/main" val="0"/>
                        </a:ext>
                      </a:extLst>
                    </a:blip>
                    <a:stretch>
                      <a:fillRect/>
                    </a:stretch>
                  </pic:blipFill>
                  <pic:spPr>
                    <a:xfrm>
                      <a:off x="0" y="0"/>
                      <a:ext cx="968296" cy="1419054"/>
                    </a:xfrm>
                    <a:prstGeom prst="rect">
                      <a:avLst/>
                    </a:prstGeom>
                  </pic:spPr>
                </pic:pic>
              </a:graphicData>
            </a:graphic>
          </wp:inline>
        </w:drawing>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1DBEAE9A" wp14:editId="373D1A6B">
            <wp:extent cx="1098928" cy="716692"/>
            <wp:effectExtent l="0" t="0" r="6350" b="762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ricetanidin.png"/>
                    <pic:cNvPicPr/>
                  </pic:nvPicPr>
                  <pic:blipFill>
                    <a:blip r:embed="rId137">
                      <a:extLst>
                        <a:ext uri="{28A0092B-C50C-407E-A947-70E740481C1C}">
                          <a14:useLocalDpi xmlns:a14="http://schemas.microsoft.com/office/drawing/2010/main" val="0"/>
                        </a:ext>
                      </a:extLst>
                    </a:blip>
                    <a:stretch>
                      <a:fillRect/>
                    </a:stretch>
                  </pic:blipFill>
                  <pic:spPr>
                    <a:xfrm>
                      <a:off x="0" y="0"/>
                      <a:ext cx="1133121" cy="738992"/>
                    </a:xfrm>
                    <a:prstGeom prst="rect">
                      <a:avLst/>
                    </a:prstGeom>
                  </pic:spPr>
                </pic:pic>
              </a:graphicData>
            </a:graphic>
          </wp:inline>
        </w:drawing>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3E2B57DC" wp14:editId="1FD6565C">
            <wp:extent cx="1194816" cy="1316240"/>
            <wp:effectExtent l="0" t="0" r="571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Theacitrin A.PNG"/>
                    <pic:cNvPicPr/>
                  </pic:nvPicPr>
                  <pic:blipFill>
                    <a:blip r:embed="rId138">
                      <a:extLst>
                        <a:ext uri="{28A0092B-C50C-407E-A947-70E740481C1C}">
                          <a14:useLocalDpi xmlns:a14="http://schemas.microsoft.com/office/drawing/2010/main" val="0"/>
                        </a:ext>
                      </a:extLst>
                    </a:blip>
                    <a:stretch>
                      <a:fillRect/>
                    </a:stretch>
                  </pic:blipFill>
                  <pic:spPr>
                    <a:xfrm>
                      <a:off x="0" y="0"/>
                      <a:ext cx="1211674" cy="1334811"/>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ab/>
      </w:r>
      <w:proofErr w:type="gramStart"/>
      <w:r w:rsidRPr="00CF1D1E">
        <w:rPr>
          <w:rFonts w:ascii="Calibri" w:eastAsia="Calibri" w:hAnsi="Calibri" w:cs="Times New Roman"/>
          <w:sz w:val="20"/>
          <w:szCs w:val="20"/>
        </w:rPr>
        <w:t>a</w:t>
      </w:r>
      <w:proofErr w:type="gramEnd"/>
      <w:r w:rsidRPr="00CF1D1E">
        <w:rPr>
          <w:rFonts w:ascii="Calibri" w:eastAsia="Calibri" w:hAnsi="Calibri" w:cs="Times New Roman"/>
          <w:sz w:val="20"/>
          <w:szCs w:val="20"/>
        </w:rPr>
        <w:t>,</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b,</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c</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d,</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Fig.80.</w:t>
      </w:r>
      <w:r w:rsidR="0018760D">
        <w:rPr>
          <w:rFonts w:ascii="Calibri" w:eastAsia="Calibri" w:hAnsi="Calibri" w:cs="Times New Roman"/>
          <w:sz w:val="20"/>
          <w:szCs w:val="20"/>
        </w:rPr>
        <w:t xml:space="preserve"> </w:t>
      </w:r>
      <w:r w:rsidRPr="00CF1D1E">
        <w:rPr>
          <w:rFonts w:ascii="Calibri" w:eastAsia="Calibri" w:hAnsi="Calibri" w:cs="Times New Roman"/>
          <w:sz w:val="20"/>
          <w:szCs w:val="20"/>
        </w:rPr>
        <w:t>Molecular structures of (</w:t>
      </w:r>
      <w:r w:rsidRPr="00CF1D1E">
        <w:rPr>
          <w:rFonts w:ascii="Calibri" w:eastAsia="Calibri" w:hAnsi="Calibri" w:cs="Times New Roman"/>
          <w:b/>
          <w:sz w:val="20"/>
          <w:szCs w:val="20"/>
        </w:rPr>
        <w:t>a</w:t>
      </w:r>
      <w:proofErr w:type="gramStart"/>
      <w:r w:rsidRPr="00CF1D1E">
        <w:rPr>
          <w:rFonts w:ascii="Calibri" w:eastAsia="Calibri" w:hAnsi="Calibri" w:cs="Times New Roman"/>
          <w:sz w:val="20"/>
          <w:szCs w:val="20"/>
        </w:rPr>
        <w:t>)  (</w:t>
      </w:r>
      <w:proofErr w:type="gramEnd"/>
      <w:r w:rsidRPr="00CF1D1E">
        <w:rPr>
          <w:rFonts w:ascii="Calibri" w:eastAsia="Calibri" w:hAnsi="Calibri" w:cs="Times New Roman"/>
          <w:sz w:val="20"/>
          <w:szCs w:val="20"/>
        </w:rPr>
        <w:t>-)-Epigallocatechin gallate dimer, (</w:t>
      </w:r>
      <w:r w:rsidRPr="00CF1D1E">
        <w:rPr>
          <w:rFonts w:ascii="Calibri" w:eastAsia="Calibri" w:hAnsi="Calibri" w:cs="Times New Roman"/>
          <w:b/>
          <w:sz w:val="20"/>
          <w:szCs w:val="20"/>
        </w:rPr>
        <w:t>b</w:t>
      </w:r>
      <w:r w:rsidR="0018760D">
        <w:rPr>
          <w:rFonts w:ascii="Calibri" w:eastAsia="Calibri" w:hAnsi="Calibri" w:cs="Times New Roman"/>
          <w:sz w:val="20"/>
          <w:szCs w:val="20"/>
        </w:rPr>
        <w:t>) T</w:t>
      </w:r>
      <w:r w:rsidRPr="00CF1D1E">
        <w:rPr>
          <w:rFonts w:ascii="Calibri" w:eastAsia="Calibri" w:hAnsi="Calibri" w:cs="Times New Roman"/>
          <w:sz w:val="20"/>
          <w:szCs w:val="20"/>
        </w:rPr>
        <w:t>he</w:t>
      </w:r>
      <w:r w:rsidR="0018760D">
        <w:rPr>
          <w:rFonts w:ascii="Calibri" w:eastAsia="Calibri" w:hAnsi="Calibri" w:cs="Times New Roman"/>
          <w:sz w:val="20"/>
          <w:szCs w:val="20"/>
        </w:rPr>
        <w:t>asinensin</w:t>
      </w:r>
      <w:r w:rsidRPr="00CF1D1E">
        <w:rPr>
          <w:rFonts w:ascii="Calibri" w:eastAsia="Calibri" w:hAnsi="Calibri" w:cs="Times New Roman"/>
          <w:sz w:val="20"/>
          <w:szCs w:val="20"/>
        </w:rPr>
        <w:t xml:space="preserve"> A, (</w:t>
      </w:r>
      <w:r w:rsidRPr="00CF1D1E">
        <w:rPr>
          <w:rFonts w:ascii="Calibri" w:eastAsia="Calibri" w:hAnsi="Calibri" w:cs="Times New Roman"/>
          <w:b/>
          <w:sz w:val="20"/>
          <w:szCs w:val="20"/>
        </w:rPr>
        <w:t>c</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Tricetanidin</w:t>
      </w:r>
      <w:proofErr w:type="spellEnd"/>
      <w:r w:rsidRPr="00CF1D1E">
        <w:rPr>
          <w:rFonts w:ascii="Calibri" w:eastAsia="Calibri" w:hAnsi="Calibri" w:cs="Times New Roman"/>
          <w:sz w:val="20"/>
          <w:szCs w:val="20"/>
        </w:rPr>
        <w:t xml:space="preserve"> and (</w:t>
      </w:r>
      <w:r w:rsidRPr="00CF1D1E">
        <w:rPr>
          <w:rFonts w:ascii="Calibri" w:eastAsia="Calibri" w:hAnsi="Calibri" w:cs="Times New Roman"/>
          <w:b/>
          <w:sz w:val="20"/>
          <w:szCs w:val="20"/>
        </w:rPr>
        <w:t>d</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Theacitrin</w:t>
      </w:r>
      <w:proofErr w:type="spellEnd"/>
      <w:r w:rsidRPr="00CF1D1E">
        <w:rPr>
          <w:rFonts w:ascii="Calibri" w:eastAsia="Calibri" w:hAnsi="Calibri" w:cs="Times New Roman"/>
          <w:sz w:val="20"/>
          <w:szCs w:val="20"/>
        </w:rPr>
        <w:t xml:space="preserve"> A.</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On top of this are galloyl-glucose and </w:t>
      </w:r>
      <w:proofErr w:type="spellStart"/>
      <w:r w:rsidRPr="00CF1D1E">
        <w:rPr>
          <w:rFonts w:ascii="Calibri" w:eastAsia="Calibri" w:hAnsi="Calibri" w:cs="Times New Roman"/>
          <w:sz w:val="24"/>
          <w:szCs w:val="24"/>
        </w:rPr>
        <w:t>galloylquinic</w:t>
      </w:r>
      <w:proofErr w:type="spellEnd"/>
      <w:r w:rsidRPr="00CF1D1E">
        <w:rPr>
          <w:rFonts w:ascii="Calibri" w:eastAsia="Calibri" w:hAnsi="Calibri" w:cs="Times New Roman"/>
          <w:sz w:val="24"/>
          <w:szCs w:val="24"/>
        </w:rPr>
        <w:t xml:space="preserve"> aci</w:t>
      </w:r>
      <w:r w:rsidR="000B4356">
        <w:rPr>
          <w:rFonts w:ascii="Calibri" w:eastAsia="Calibri" w:hAnsi="Calibri" w:cs="Times New Roman"/>
          <w:sz w:val="24"/>
          <w:szCs w:val="24"/>
        </w:rPr>
        <w:t xml:space="preserve">ds such as </w:t>
      </w:r>
      <w:proofErr w:type="spellStart"/>
      <w:r w:rsidR="000B4356">
        <w:rPr>
          <w:rFonts w:ascii="Calibri" w:eastAsia="Calibri" w:hAnsi="Calibri" w:cs="Times New Roman"/>
          <w:sz w:val="24"/>
          <w:szCs w:val="24"/>
        </w:rPr>
        <w:t>strictinin</w:t>
      </w:r>
      <w:proofErr w:type="spellEnd"/>
      <w:r w:rsidR="000B4356">
        <w:rPr>
          <w:rFonts w:ascii="Calibri" w:eastAsia="Calibri" w:hAnsi="Calibri" w:cs="Times New Roman"/>
          <w:sz w:val="24"/>
          <w:szCs w:val="24"/>
        </w:rPr>
        <w:t xml:space="preserve"> (Fig 81).</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7CBBCD2D" wp14:editId="4BBB3BAC">
            <wp:extent cx="4257207" cy="1469223"/>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4,6-tri-O-galloyl-b-D-glucose, theogallin(a galloylquinic acid) and strictinin.PNG"/>
                    <pic:cNvPicPr/>
                  </pic:nvPicPr>
                  <pic:blipFill>
                    <a:blip r:embed="rId139">
                      <a:extLst>
                        <a:ext uri="{28A0092B-C50C-407E-A947-70E740481C1C}">
                          <a14:useLocalDpi xmlns:a14="http://schemas.microsoft.com/office/drawing/2010/main" val="0"/>
                        </a:ext>
                      </a:extLst>
                    </a:blip>
                    <a:stretch>
                      <a:fillRect/>
                    </a:stretch>
                  </pic:blipFill>
                  <pic:spPr>
                    <a:xfrm>
                      <a:off x="0" y="0"/>
                      <a:ext cx="4293267" cy="1481668"/>
                    </a:xfrm>
                    <a:prstGeom prst="rect">
                      <a:avLst/>
                    </a:prstGeom>
                  </pic:spPr>
                </pic:pic>
              </a:graphicData>
            </a:graphic>
          </wp:inline>
        </w:drawing>
      </w:r>
    </w:p>
    <w:p w:rsidR="00CF1D1E" w:rsidRPr="00CF1D1E" w:rsidRDefault="00CF1D1E" w:rsidP="00CF1D1E">
      <w:pPr>
        <w:spacing w:line="360" w:lineRule="auto"/>
        <w:ind w:firstLine="720"/>
        <w:jc w:val="both"/>
        <w:rPr>
          <w:rFonts w:ascii="Calibri" w:eastAsia="Calibri" w:hAnsi="Calibri" w:cs="Times New Roman"/>
          <w:sz w:val="20"/>
          <w:szCs w:val="20"/>
        </w:rPr>
      </w:pPr>
      <w:r w:rsidRPr="00CF1D1E">
        <w:rPr>
          <w:rFonts w:ascii="Calibri" w:eastAsia="Calibri" w:hAnsi="Calibri" w:cs="Times New Roman"/>
          <w:sz w:val="20"/>
          <w:szCs w:val="20"/>
        </w:rPr>
        <w:tab/>
      </w:r>
      <w:proofErr w:type="gramStart"/>
      <w:r w:rsidRPr="00CF1D1E">
        <w:rPr>
          <w:rFonts w:ascii="Calibri" w:eastAsia="Calibri" w:hAnsi="Calibri" w:cs="Times New Roman"/>
          <w:sz w:val="20"/>
          <w:szCs w:val="20"/>
        </w:rPr>
        <w:t>a</w:t>
      </w:r>
      <w:proofErr w:type="gramEnd"/>
      <w:r w:rsidRPr="00CF1D1E">
        <w:rPr>
          <w:rFonts w:ascii="Calibri" w:eastAsia="Calibri" w:hAnsi="Calibri" w:cs="Times New Roman"/>
          <w:sz w:val="20"/>
          <w:szCs w:val="20"/>
        </w:rPr>
        <w:t>,</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b,</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c,</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Fig.81. Molecular structures of (</w:t>
      </w:r>
      <w:r w:rsidRPr="00CF1D1E">
        <w:rPr>
          <w:rFonts w:ascii="Calibri" w:eastAsia="Calibri" w:hAnsi="Calibri" w:cs="Times New Roman"/>
          <w:b/>
          <w:sz w:val="20"/>
          <w:szCs w:val="20"/>
        </w:rPr>
        <w:t>a</w:t>
      </w:r>
      <w:r w:rsidRPr="00CF1D1E">
        <w:rPr>
          <w:rFonts w:ascii="Calibri" w:eastAsia="Calibri" w:hAnsi="Calibri" w:cs="Times New Roman"/>
          <w:sz w:val="20"/>
          <w:szCs w:val="20"/>
        </w:rPr>
        <w:t>) 1</w:t>
      </w:r>
      <w:proofErr w:type="gramStart"/>
      <w:r w:rsidRPr="00CF1D1E">
        <w:rPr>
          <w:rFonts w:ascii="Calibri" w:eastAsia="Calibri" w:hAnsi="Calibri" w:cs="Times New Roman"/>
          <w:sz w:val="20"/>
          <w:szCs w:val="20"/>
        </w:rPr>
        <w:t>,4,6</w:t>
      </w:r>
      <w:proofErr w:type="gramEnd"/>
      <w:r w:rsidRPr="00CF1D1E">
        <w:rPr>
          <w:rFonts w:ascii="Calibri" w:eastAsia="Calibri" w:hAnsi="Calibri" w:cs="Times New Roman"/>
          <w:sz w:val="20"/>
          <w:szCs w:val="20"/>
        </w:rPr>
        <w:t>-tri-O-galloyl-b-D-glucose, (</w:t>
      </w:r>
      <w:r w:rsidRPr="00CF1D1E">
        <w:rPr>
          <w:rFonts w:ascii="Calibri" w:eastAsia="Calibri" w:hAnsi="Calibri" w:cs="Times New Roman"/>
          <w:b/>
          <w:sz w:val="20"/>
          <w:szCs w:val="20"/>
        </w:rPr>
        <w:t>b</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theogallin</w:t>
      </w:r>
      <w:proofErr w:type="spellEnd"/>
      <w:r w:rsidRPr="00CF1D1E">
        <w:rPr>
          <w:rFonts w:ascii="Calibri" w:eastAsia="Calibri" w:hAnsi="Calibri" w:cs="Times New Roman"/>
          <w:sz w:val="20"/>
          <w:szCs w:val="20"/>
        </w:rPr>
        <w:t xml:space="preserve"> (a </w:t>
      </w:r>
      <w:proofErr w:type="spellStart"/>
      <w:r w:rsidRPr="00CF1D1E">
        <w:rPr>
          <w:rFonts w:ascii="Calibri" w:eastAsia="Calibri" w:hAnsi="Calibri" w:cs="Times New Roman"/>
          <w:sz w:val="20"/>
          <w:szCs w:val="20"/>
        </w:rPr>
        <w:t>galloylquinic</w:t>
      </w:r>
      <w:proofErr w:type="spellEnd"/>
      <w:r w:rsidRPr="00CF1D1E">
        <w:rPr>
          <w:rFonts w:ascii="Calibri" w:eastAsia="Calibri" w:hAnsi="Calibri" w:cs="Times New Roman"/>
          <w:sz w:val="20"/>
          <w:szCs w:val="20"/>
        </w:rPr>
        <w:t xml:space="preserve"> acid) and (</w:t>
      </w:r>
      <w:r w:rsidRPr="00CF1D1E">
        <w:rPr>
          <w:rFonts w:ascii="Calibri" w:eastAsia="Calibri" w:hAnsi="Calibri" w:cs="Times New Roman"/>
          <w:b/>
          <w:sz w:val="20"/>
          <w:szCs w:val="20"/>
        </w:rPr>
        <w:t>c</w:t>
      </w:r>
      <w:r w:rsidRPr="00CF1D1E">
        <w:rPr>
          <w:rFonts w:ascii="Calibri" w:eastAsia="Calibri" w:hAnsi="Calibri" w:cs="Times New Roman"/>
          <w:sz w:val="20"/>
          <w:szCs w:val="20"/>
        </w:rPr>
        <w:t xml:space="preserve">) </w:t>
      </w:r>
      <w:proofErr w:type="spellStart"/>
      <w:r w:rsidRPr="00CF1D1E">
        <w:rPr>
          <w:rFonts w:ascii="Calibri" w:eastAsia="Calibri" w:hAnsi="Calibri" w:cs="Times New Roman"/>
          <w:sz w:val="20"/>
          <w:szCs w:val="20"/>
        </w:rPr>
        <w:t>strictinin</w:t>
      </w:r>
      <w:proofErr w:type="spellEnd"/>
      <w:r w:rsidRPr="00CF1D1E">
        <w:rPr>
          <w:rFonts w:ascii="Calibri" w:eastAsia="Calibri" w:hAnsi="Calibri" w:cs="Times New Roman"/>
          <w:sz w:val="20"/>
          <w:szCs w:val="20"/>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There are 14 </w:t>
      </w:r>
      <w:r w:rsidR="00E4646C">
        <w:rPr>
          <w:rFonts w:ascii="Calibri" w:eastAsia="Calibri" w:hAnsi="Calibri" w:cs="Times New Roman"/>
          <w:sz w:val="24"/>
          <w:szCs w:val="24"/>
        </w:rPr>
        <w:t xml:space="preserve">known </w:t>
      </w:r>
      <w:r w:rsidRPr="00CF1D1E">
        <w:rPr>
          <w:rFonts w:ascii="Calibri" w:eastAsia="Calibri" w:hAnsi="Calibri" w:cs="Times New Roman"/>
          <w:sz w:val="24"/>
          <w:szCs w:val="24"/>
        </w:rPr>
        <w:t>flavonol glycosides based on quercetin, kaempferol and myricetin (Fig.82) plus flavone-C-glycosides and also proanthocyanid</w:t>
      </w:r>
      <w:r w:rsidR="007A0DB5">
        <w:rPr>
          <w:rFonts w:ascii="Calibri" w:eastAsia="Calibri" w:hAnsi="Calibri" w:cs="Times New Roman"/>
          <w:sz w:val="24"/>
          <w:szCs w:val="24"/>
        </w:rPr>
        <w:t>ins (examples shown in Fig.83).</w:t>
      </w:r>
    </w:p>
    <w:p w:rsidR="00CF1D1E" w:rsidRPr="00CF1D1E" w:rsidRDefault="00CF1D1E" w:rsidP="00CF1D1E">
      <w:pPr>
        <w:spacing w:line="360" w:lineRule="auto"/>
        <w:ind w:left="720" w:firstLine="720"/>
        <w:jc w:val="both"/>
        <w:rPr>
          <w:rFonts w:ascii="Calibri" w:eastAsia="Calibri" w:hAnsi="Calibri" w:cs="Times New Roman"/>
          <w:sz w:val="24"/>
          <w:szCs w:val="24"/>
        </w:rPr>
      </w:pPr>
      <w:r w:rsidRPr="00CF1D1E">
        <w:rPr>
          <w:rFonts w:ascii="Calibri" w:eastAsia="Calibri" w:hAnsi="Calibri" w:cs="Times New Roman"/>
          <w:noProof/>
          <w:lang w:eastAsia="en-GB"/>
        </w:rPr>
        <w:drawing>
          <wp:inline distT="0" distB="0" distL="0" distR="0" wp14:anchorId="68ED06EE" wp14:editId="682FC34E">
            <wp:extent cx="3727688" cy="774364"/>
            <wp:effectExtent l="0" t="0" r="635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804085" cy="790234"/>
                    </a:xfrm>
                    <a:prstGeom prst="rect">
                      <a:avLst/>
                    </a:prstGeom>
                  </pic:spPr>
                </pic:pic>
              </a:graphicData>
            </a:graphic>
          </wp:inline>
        </w:drawing>
      </w:r>
      <w:r w:rsidRPr="00CF1D1E">
        <w:rPr>
          <w:rFonts w:ascii="Calibri" w:eastAsia="Calibri" w:hAnsi="Calibri" w:cs="Times New Roman"/>
          <w:sz w:val="24"/>
          <w:szCs w:val="24"/>
        </w:rPr>
        <w:t xml:space="preserve"> </w:t>
      </w:r>
    </w:p>
    <w:p w:rsidR="00CF1D1E" w:rsidRPr="00CF1D1E" w:rsidRDefault="00CF1D1E" w:rsidP="00CF1D1E">
      <w:pPr>
        <w:spacing w:line="360" w:lineRule="auto"/>
        <w:ind w:left="720" w:firstLine="720"/>
        <w:jc w:val="both"/>
        <w:rPr>
          <w:rFonts w:ascii="Calibri" w:eastAsia="Calibri" w:hAnsi="Calibri" w:cs="Times New Roman"/>
          <w:sz w:val="20"/>
          <w:szCs w:val="20"/>
        </w:rPr>
      </w:pPr>
      <w:r w:rsidRPr="00CF1D1E">
        <w:rPr>
          <w:rFonts w:ascii="Calibri" w:eastAsia="Calibri" w:hAnsi="Calibri" w:cs="Times New Roman"/>
          <w:sz w:val="20"/>
          <w:szCs w:val="20"/>
        </w:rPr>
        <w:tab/>
      </w:r>
      <w:proofErr w:type="gramStart"/>
      <w:r w:rsidRPr="00CF1D1E">
        <w:rPr>
          <w:rFonts w:ascii="Calibri" w:eastAsia="Calibri" w:hAnsi="Calibri" w:cs="Times New Roman"/>
          <w:sz w:val="20"/>
          <w:szCs w:val="20"/>
        </w:rPr>
        <w:t>a</w:t>
      </w:r>
      <w:proofErr w:type="gramEnd"/>
      <w:r w:rsidRPr="00CF1D1E">
        <w:rPr>
          <w:rFonts w:ascii="Calibri" w:eastAsia="Calibri" w:hAnsi="Calibri" w:cs="Times New Roman"/>
          <w:sz w:val="20"/>
          <w:szCs w:val="20"/>
        </w:rPr>
        <w:t>,</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b,</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c,</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Fig.82. Molecular structures of (</w:t>
      </w:r>
      <w:r w:rsidRPr="00CF1D1E">
        <w:rPr>
          <w:rFonts w:ascii="Calibri" w:eastAsia="Calibri" w:hAnsi="Calibri" w:cs="Times New Roman"/>
          <w:b/>
          <w:sz w:val="20"/>
          <w:szCs w:val="20"/>
        </w:rPr>
        <w:t>a</w:t>
      </w:r>
      <w:r w:rsidRPr="00CF1D1E">
        <w:rPr>
          <w:rFonts w:ascii="Calibri" w:eastAsia="Calibri" w:hAnsi="Calibri" w:cs="Times New Roman"/>
          <w:sz w:val="20"/>
          <w:szCs w:val="20"/>
        </w:rPr>
        <w:t>) Kaempferol, (</w:t>
      </w:r>
      <w:r w:rsidRPr="00CF1D1E">
        <w:rPr>
          <w:rFonts w:ascii="Calibri" w:eastAsia="Calibri" w:hAnsi="Calibri" w:cs="Times New Roman"/>
          <w:b/>
          <w:sz w:val="20"/>
          <w:szCs w:val="20"/>
        </w:rPr>
        <w:t>b</w:t>
      </w:r>
      <w:r w:rsidRPr="00CF1D1E">
        <w:rPr>
          <w:rFonts w:ascii="Calibri" w:eastAsia="Calibri" w:hAnsi="Calibri" w:cs="Times New Roman"/>
          <w:sz w:val="20"/>
          <w:szCs w:val="20"/>
        </w:rPr>
        <w:t>) Quercetin and (</w:t>
      </w:r>
      <w:r w:rsidRPr="00CF1D1E">
        <w:rPr>
          <w:rFonts w:ascii="Calibri" w:eastAsia="Calibri" w:hAnsi="Calibri" w:cs="Times New Roman"/>
          <w:b/>
          <w:sz w:val="20"/>
          <w:szCs w:val="20"/>
        </w:rPr>
        <w:t>c</w:t>
      </w:r>
      <w:r w:rsidRPr="00CF1D1E">
        <w:rPr>
          <w:rFonts w:ascii="Calibri" w:eastAsia="Calibri" w:hAnsi="Calibri" w:cs="Times New Roman"/>
          <w:sz w:val="20"/>
          <w:szCs w:val="20"/>
        </w:rPr>
        <w:t>) Myricetin.</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ind w:left="720" w:firstLine="720"/>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0B64884B" wp14:editId="2ACD4983">
            <wp:extent cx="1062681" cy="890777"/>
            <wp:effectExtent l="0" t="0" r="4445" b="508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8-C-isovitexin.PNG"/>
                    <pic:cNvPicPr/>
                  </pic:nvPicPr>
                  <pic:blipFill>
                    <a:blip r:embed="rId141">
                      <a:extLst>
                        <a:ext uri="{28A0092B-C50C-407E-A947-70E740481C1C}">
                          <a14:useLocalDpi xmlns:a14="http://schemas.microsoft.com/office/drawing/2010/main" val="0"/>
                        </a:ext>
                      </a:extLst>
                    </a:blip>
                    <a:stretch>
                      <a:fillRect/>
                    </a:stretch>
                  </pic:blipFill>
                  <pic:spPr>
                    <a:xfrm>
                      <a:off x="0" y="0"/>
                      <a:ext cx="1074163" cy="900401"/>
                    </a:xfrm>
                    <a:prstGeom prst="rect">
                      <a:avLst/>
                    </a:prstGeom>
                  </pic:spPr>
                </pic:pic>
              </a:graphicData>
            </a:graphic>
          </wp:inline>
        </w:drawing>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2089FD22" wp14:editId="68C0D352">
            <wp:extent cx="1890405" cy="112446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rodepphinidin B4 and Procyanidin B5.PNG"/>
                    <pic:cNvPicPr/>
                  </pic:nvPicPr>
                  <pic:blipFill>
                    <a:blip r:embed="rId142">
                      <a:extLst>
                        <a:ext uri="{28A0092B-C50C-407E-A947-70E740481C1C}">
                          <a14:useLocalDpi xmlns:a14="http://schemas.microsoft.com/office/drawing/2010/main" val="0"/>
                        </a:ext>
                      </a:extLst>
                    </a:blip>
                    <a:stretch>
                      <a:fillRect/>
                    </a:stretch>
                  </pic:blipFill>
                  <pic:spPr>
                    <a:xfrm flipV="1">
                      <a:off x="0" y="0"/>
                      <a:ext cx="1960022" cy="1165875"/>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ab/>
      </w:r>
      <w:r w:rsidRPr="00CF1D1E">
        <w:rPr>
          <w:rFonts w:ascii="Calibri" w:eastAsia="Calibri" w:hAnsi="Calibri" w:cs="Times New Roman"/>
          <w:sz w:val="20"/>
          <w:szCs w:val="20"/>
        </w:rPr>
        <w:tab/>
      </w:r>
      <w:r w:rsidR="007A0DB5">
        <w:rPr>
          <w:rFonts w:ascii="Calibri" w:eastAsia="Calibri" w:hAnsi="Calibri" w:cs="Times New Roman"/>
          <w:sz w:val="20"/>
          <w:szCs w:val="20"/>
        </w:rPr>
        <w:tab/>
      </w:r>
      <w:proofErr w:type="gramStart"/>
      <w:r w:rsidR="007A0DB5">
        <w:rPr>
          <w:rFonts w:ascii="Calibri" w:eastAsia="Calibri" w:hAnsi="Calibri" w:cs="Times New Roman"/>
          <w:sz w:val="20"/>
          <w:szCs w:val="20"/>
        </w:rPr>
        <w:t>a</w:t>
      </w:r>
      <w:proofErr w:type="gramEnd"/>
      <w:r w:rsidR="007A0DB5">
        <w:rPr>
          <w:rFonts w:ascii="Calibri" w:eastAsia="Calibri" w:hAnsi="Calibri" w:cs="Times New Roman"/>
          <w:sz w:val="20"/>
          <w:szCs w:val="20"/>
        </w:rPr>
        <w:t>,</w:t>
      </w:r>
      <w:r w:rsidR="007A0DB5">
        <w:rPr>
          <w:rFonts w:ascii="Calibri" w:eastAsia="Calibri" w:hAnsi="Calibri" w:cs="Times New Roman"/>
          <w:sz w:val="20"/>
          <w:szCs w:val="20"/>
        </w:rPr>
        <w:tab/>
      </w:r>
      <w:r w:rsidR="007A0DB5">
        <w:rPr>
          <w:rFonts w:ascii="Calibri" w:eastAsia="Calibri" w:hAnsi="Calibri" w:cs="Times New Roman"/>
          <w:sz w:val="20"/>
          <w:szCs w:val="20"/>
        </w:rPr>
        <w:tab/>
      </w:r>
      <w:r w:rsidR="007A0DB5">
        <w:rPr>
          <w:rFonts w:ascii="Calibri" w:eastAsia="Calibri" w:hAnsi="Calibri" w:cs="Times New Roman"/>
          <w:sz w:val="20"/>
          <w:szCs w:val="20"/>
        </w:rPr>
        <w:tab/>
      </w:r>
      <w:r w:rsidRPr="00CF1D1E">
        <w:rPr>
          <w:rFonts w:ascii="Calibri" w:eastAsia="Calibri" w:hAnsi="Calibri" w:cs="Times New Roman"/>
          <w:sz w:val="20"/>
          <w:szCs w:val="20"/>
        </w:rPr>
        <w:t>b,</w:t>
      </w:r>
      <w:r w:rsidRPr="00CF1D1E">
        <w:rPr>
          <w:rFonts w:ascii="Calibri" w:eastAsia="Calibri" w:hAnsi="Calibri" w:cs="Times New Roman"/>
          <w:sz w:val="20"/>
          <w:szCs w:val="20"/>
        </w:rPr>
        <w:tab/>
      </w:r>
      <w:r w:rsidRPr="00CF1D1E">
        <w:rPr>
          <w:rFonts w:ascii="Calibri" w:eastAsia="Calibri" w:hAnsi="Calibri" w:cs="Times New Roman"/>
          <w:sz w:val="20"/>
          <w:szCs w:val="20"/>
        </w:rPr>
        <w:tab/>
        <w:t>c,</w:t>
      </w:r>
    </w:p>
    <w:p w:rsid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Fig.83. Molecular structures of (</w:t>
      </w:r>
      <w:r w:rsidRPr="00CF1D1E">
        <w:rPr>
          <w:rFonts w:ascii="Calibri" w:eastAsia="Calibri" w:hAnsi="Calibri" w:cs="Times New Roman"/>
          <w:b/>
          <w:sz w:val="20"/>
          <w:szCs w:val="20"/>
        </w:rPr>
        <w:t>a</w:t>
      </w:r>
      <w:r w:rsidRPr="00CF1D1E">
        <w:rPr>
          <w:rFonts w:ascii="Calibri" w:eastAsia="Calibri" w:hAnsi="Calibri" w:cs="Times New Roman"/>
          <w:sz w:val="20"/>
          <w:szCs w:val="20"/>
        </w:rPr>
        <w:t>) 8-C-isovitexin (a flavone-C-glycoside example) plus (</w:t>
      </w:r>
      <w:r w:rsidRPr="00CF1D1E">
        <w:rPr>
          <w:rFonts w:ascii="Calibri" w:eastAsia="Calibri" w:hAnsi="Calibri" w:cs="Times New Roman"/>
          <w:b/>
          <w:sz w:val="20"/>
          <w:szCs w:val="20"/>
        </w:rPr>
        <w:t>b</w:t>
      </w:r>
      <w:r w:rsidR="0077771D">
        <w:rPr>
          <w:rFonts w:ascii="Calibri" w:eastAsia="Calibri" w:hAnsi="Calibri" w:cs="Times New Roman"/>
          <w:sz w:val="20"/>
          <w:szCs w:val="20"/>
        </w:rPr>
        <w:t xml:space="preserve">) </w:t>
      </w:r>
      <w:proofErr w:type="spellStart"/>
      <w:r w:rsidR="0077771D">
        <w:rPr>
          <w:rFonts w:ascii="Calibri" w:eastAsia="Calibri" w:hAnsi="Calibri" w:cs="Times New Roman"/>
          <w:sz w:val="20"/>
          <w:szCs w:val="20"/>
        </w:rPr>
        <w:t>Prodel</w:t>
      </w:r>
      <w:r w:rsidRPr="00CF1D1E">
        <w:rPr>
          <w:rFonts w:ascii="Calibri" w:eastAsia="Calibri" w:hAnsi="Calibri" w:cs="Times New Roman"/>
          <w:sz w:val="20"/>
          <w:szCs w:val="20"/>
        </w:rPr>
        <w:t>phinidin</w:t>
      </w:r>
      <w:proofErr w:type="spellEnd"/>
      <w:r w:rsidRPr="00CF1D1E">
        <w:rPr>
          <w:rFonts w:ascii="Calibri" w:eastAsia="Calibri" w:hAnsi="Calibri" w:cs="Times New Roman"/>
          <w:sz w:val="20"/>
          <w:szCs w:val="20"/>
        </w:rPr>
        <w:t xml:space="preserve"> B4 and (</w:t>
      </w:r>
      <w:r w:rsidRPr="00CF1D1E">
        <w:rPr>
          <w:rFonts w:ascii="Calibri" w:eastAsia="Calibri" w:hAnsi="Calibri" w:cs="Times New Roman"/>
          <w:b/>
          <w:sz w:val="20"/>
          <w:szCs w:val="20"/>
        </w:rPr>
        <w:t>c</w:t>
      </w:r>
      <w:r w:rsidRPr="00CF1D1E">
        <w:rPr>
          <w:rFonts w:ascii="Calibri" w:eastAsia="Calibri" w:hAnsi="Calibri" w:cs="Times New Roman"/>
          <w:sz w:val="20"/>
          <w:szCs w:val="20"/>
        </w:rPr>
        <w:t>) Procyanidin B5 (showing two representative structures of proanthocyanidins).</w:t>
      </w:r>
    </w:p>
    <w:p w:rsidR="000B4356" w:rsidRPr="00CF1D1E" w:rsidRDefault="000B4356" w:rsidP="000B4356">
      <w:pPr>
        <w:rPr>
          <w:rFonts w:ascii="Calibri" w:eastAsia="Calibri" w:hAnsi="Calibri" w:cs="Times New Roman"/>
          <w:sz w:val="20"/>
          <w:szCs w:val="20"/>
        </w:rPr>
      </w:pPr>
      <w:r>
        <w:rPr>
          <w:rFonts w:ascii="Calibri" w:eastAsia="Calibri" w:hAnsi="Calibri" w:cs="Times New Roman"/>
          <w:sz w:val="20"/>
          <w:szCs w:val="20"/>
        </w:rPr>
        <w:br w:type="page"/>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It is thought that the characterisation of the components of black tea achieved so far, is actually only a small slice of the thousands that are present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{"citationItems":[{"id":"ITEM-1","itemData":{"DOI":"10.1016/S0031-9422(03)00355-8","ISSN":"00319422","abstract":"The chemistry underlying the changes which occur during tea leaf fermentation is reviewed and used as a basis for proposals for the structure of thearubigins, the major pigments of black teas. © 2003 Published by Elsevier Ltd.","author":[{"dropping-particle":"","family":"Haslam","given":"Edwin","non-dropping-particle":"","parse-names":false,"suffix":""}],"container-title":"Phytochemistry","id":"ITEM-1","issue":"1","issued":{"date-parts":[["2003"]]},"page":"61-73","title":"Thoughts on thearubigins","type":"article-journal","volume":"64"},"uris":["http://www.mendeley.com/documents/?uuid=2d16804a-db46-414f-b88d-d0996d5ee04a"]}],"mendeley":{"formattedCitation":"(Haslam, 2003)","plainTextFormattedCitation":"(Haslam, 2003)","previouslyFormattedCitation":"(Haslam, 2003)"},"properties":{"noteIndex":0},"schema":"https://github.com/citation-style-language/schema/raw/master/csl-citation.json"}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(Haslam, 2003)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theme of using small building blocks to be the basis of larger functional structures is illustrated by amino acids and protein chemistry, nucleic acids and DNA chemistry and also carbohydrate chemistry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{"citationItems":[{"id":"ITEM-1","itemData":{"DOI":"10.1039/b912523j","ISSN":"02650568","abstract":"This review summarises the chemistry of low molecular weight polyphenols isolated and characterised from black tea, discussing both structures identified and mechanisms of their likely formation.","author":[{"dropping-particle":"","family":"Drynan","given":"James Warren","non-dropping-particle":"","parse-names":false,"suffix":""},{"dropping-particle":"","family":"Clifford","given":"Michael N.","non-dropping-particle":"","parse-names":false,"suffix":""},{"dropping-particle":"","family":"Obuchowicz","given":"Jacek","non-dropping-particle":"","parse-names":false,"suffix":""},{"dropping-particle":"","family":"Kuhnert","given":"Nikolai","non-dropping-particle":"","parse-names":false,"suffix":""}],"container-title":"Natural Product Reports","id":"ITEM-1","issue":"3","issued":{"date-parts":[["2010"]]},"page":"417-462","title":"The chemistry of low molecular weight black tea polyphenols","type":"article-journal","volume":"27"},"uris":["http://www.mendeley.com/documents/?uuid=615f3d4e-2e67-4641-9f6c-cdd98adf4906"]}],"mendeley":{"formattedCitation":"(Drynan et al., 2010)","plainTextFormattedCitation":"(Drynan et al., 2010)","previouslyFormattedCitation":"(Drynan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(Drynan </w:t>
      </w:r>
      <w:r w:rsidR="00941740" w:rsidRPr="00DD5AA0">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health benefits of green tea are much easier to define than those of black tea. The many complex polyphenols present in black tea, many of which are in the early days of characterisation, make this a much more difficult task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{"citationItems":[{"id":"ITEM-1","itemData":{"DOI":"10.1021/jf035427e","ISSN":"00218561","abstract":"Black tea contains two major groups of pigments, theaflavins (TFs) and thearubigins (TRs). TFs contain a bis-flavan substituted 1,2-dihydroxy-3,4-benzotropolone moiety. Unlike the TFs, TRs have not yet been characterized. The chemical structure of the TRs remains a mystery. The present paper reports our effort to study the structure of TFs and TRs using delayed pulsed ion extraction of ions generated via the matrix-assisted laser desorption ionization (MALDI) technique, on line with a Linear time-of-flight (TOF) mass spectrometer. Spectra of standard TFs show not only pseudomolecular ions but also ions resulting from fragmentation. The analysis of MALDI-TOF spectra of black tea fractions shows the structure of some TRs, which are similar to those of TFs because the same loss of mass is observed.","author":[{"dropping-particle":"","family":"Menet","given":"Marie Claude","non-dropping-particle":"","parse-names":false,"suffix":""},{"dropping-particle":"","family":"Sang","given":"Shengmin","non-dropping-particle":"","parse-names":false,"suffix":""},{"dropping-particle":"","family":"Yang","given":"Chung S.","non-dropping-particle":"","parse-names":false,"suffix":""},{"dropping-particle":"","family":"Ho","given":"Chi Tano","non-dropping-particle":"","parse-names":false,"suffix":""},{"dropping-particle":"","family":"Rosen","given":"Robert T.","non-dropping-particle":"","parse-names":false,"suffix":""}],"container-title":"Journal of Agricultural and Food Chemistry","id":"ITEM-1","issue":"9","issued":{"date-parts":[["2004"]]},"page":"2455-2461","title":"Analysis of Theaflavins and Thearubigins from Black Tea Extract by MALDI-TOF Mass Spectrometry","type":"article-journal","volume":"52"},"uris":["http://www.mendeley.com/documents/?uuid=d0603ef5-90a0-4467-9253-99a81d6c2b58"]}],"mendeley":{"formattedCitation":"(Menet, Sang, Yang, Ho, &amp; Rosen, 2004)","plainTextFormattedCitation":"(Menet, Sang, Yang, Ho, &amp; Rosen, 2004)","previouslyFormattedCitation":"(Menet, Sang, Yang, Ho, &amp; Rosen, 2004)"},"properties":{"noteIndex":0},"schema":"https://github.com/citation-style-language/schema/raw/master/csl-citation.json"}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(Menet, Sang, Yang, Ho, &amp; Rosen, 2004)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Drinking</w:t>
      </w:r>
      <w:r w:rsidR="00DD48EF">
        <w:rPr>
          <w:rFonts w:ascii="Calibri" w:eastAsia="Calibri" w:hAnsi="Calibri" w:cs="Times New Roman"/>
          <w:sz w:val="24"/>
          <w:szCs w:val="24"/>
        </w:rPr>
        <w:t xml:space="preserve"> 3 cups of black tea per day</w:t>
      </w:r>
      <w:r w:rsidRPr="00CF1D1E">
        <w:rPr>
          <w:rFonts w:ascii="Calibri" w:eastAsia="Calibri" w:hAnsi="Calibri" w:cs="Times New Roman"/>
          <w:sz w:val="24"/>
          <w:szCs w:val="24"/>
        </w:rPr>
        <w:t xml:space="preserve"> for 2 weeks increased the concentration of flavonoids in the blood by about 25%. The consumption of flavonoids can lower the risk of coronary heart disease through a number of mechanisms. Tea flavonoids have also been shown to reduce low-density lipoprotein (LDL) cholesterol by 11.1%. Studies reveal positive effects of flavonoids as they induce an anti-inflammatory response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URL":"https://teascapes.wordpress.com/2009/06/06/general-health-benefits-of-black-tea-thearubigins-and-theaflavins/","accessed":{"date-parts":[["2019","7","2"]]},"author":[{"dropping-particle":"","family":"S.Lutfallah","given":"","non-dropping-particle":"","parse-names":false,"suffix":""}],"container-title":"www","id":"ITEM-1","issued":{"date-parts":[["2009"]]},"title":"General Health Benefits of Black Tea: Thearubigins and Theaflavins « Tea Scapes’ Blog","type":"webpage"},"uris":["http://www.mendeley.com/documents/?uuid=e82a194a-b626-3a21-bfb5-ff8c4cf0dc47"]}],"mendeley":{"formattedCitation":"(S.Lutfallah, 2009)","plainTextFormattedCitation":"(S.Lutfallah, 2009)","previouslyFormattedCitation":"(S.Lutfallah,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(S.Lutfallah,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It is logical to expect that the specific health benefits of black tea will be different to those of green tea due to the varying composition of the TF, TR and </w:t>
      </w:r>
      <w:r w:rsidRPr="00E4646C">
        <w:rPr>
          <w:rFonts w:ascii="Calibri" w:eastAsia="Calibri" w:hAnsi="Calibri" w:cs="Times New Roman"/>
          <w:i/>
          <w:sz w:val="24"/>
          <w:szCs w:val="24"/>
        </w:rPr>
        <w:t>bis</w:t>
      </w:r>
      <w:r w:rsidR="00E4646C">
        <w:rPr>
          <w:rFonts w:ascii="Calibri" w:eastAsia="Calibri" w:hAnsi="Calibri" w:cs="Times New Roman"/>
          <w:sz w:val="24"/>
          <w:szCs w:val="24"/>
        </w:rPr>
        <w:t>-</w:t>
      </w:r>
      <w:r w:rsidRPr="00CF1D1E">
        <w:rPr>
          <w:rFonts w:ascii="Calibri" w:eastAsia="Calibri" w:hAnsi="Calibri" w:cs="Times New Roman"/>
          <w:sz w:val="24"/>
          <w:szCs w:val="24"/>
        </w:rPr>
        <w:t xml:space="preserve">flavanol components, to name but a few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{"citationItems":[{"id":"ITEM-1","itemData":{"author":[{"dropping-particle":"","family":"Engelhardt","given":"Ulrich H","non-dropping-particle":"","parse-names":false,"suffix":""},{"dropping-particle":"","family":"Lakenbrink","given":"Christiane","non-dropping-particle":"","parse-names":false,"suffix":""},{"dropping-particle":"","family":"Pokorny","given":"Olaf","non-dropping-particle":"","parse-names":false,"suffix":""}],"container-title":"Neutraceutical Beverages, ACS.","id":"ITEM-1","issued":{"date-parts":[["2004"]]},"page":"254-264","title":"Tannins in Green and Black Teas","type":"article-journal"},"uris":["http://www.mendeley.com/documents/?uuid=eef0d638-cb4f-47df-b1ef-d070cca09946"]}],"mendeley":{"formattedCitation":"(Ulrich H Engelhardt, Lakenbrink, &amp; Pokorny, 2004)","plainTextFormattedCitation":"(Ulrich H Engelhardt, Lakenbrink, &amp; Pokorny, 2004)","previouslyFormattedCitation":"(Ulrich H Engelhardt, Lakenbrink, &amp; Pokorny, 2004)"},"properties":{"noteIndex":0},"schema":"https://github.com/citation-style-language/schema/raw/master/csl-citation.json"}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(Ulrich H Engelhardt, Lakenbrink, &amp; Pokorny, 2004)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but good evidence that defines the specific differences is scarce. Theaflavins have been shown to be much more efficient </w:t>
      </w:r>
      <w:r w:rsidRPr="00CF1D1E">
        <w:rPr>
          <w:rFonts w:ascii="Calibri" w:eastAsia="Calibri" w:hAnsi="Calibri" w:cs="Times New Roman"/>
          <w:i/>
          <w:sz w:val="24"/>
          <w:szCs w:val="24"/>
        </w:rPr>
        <w:t>alpha</w:t>
      </w:r>
      <w:r w:rsidRPr="00CF1D1E">
        <w:rPr>
          <w:rFonts w:ascii="Calibri" w:eastAsia="Calibri" w:hAnsi="Calibri" w:cs="Times New Roman"/>
          <w:sz w:val="24"/>
          <w:szCs w:val="24"/>
        </w:rPr>
        <w:t xml:space="preserve">-amylase (EC number 3.2.1.1) inhibitors than catechins, leading to better control of blood glucose levels in diabetics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B978-0-12-398456-2.00009-8","ISBN":"9780123984562","author":[{"dropping-particle":"","family":"Kwong","given":"Benny","non-dropping-particle":"","parse-names":false,"suffix":""},{"dropping-particle":"","family":"Tan","given":"Huat","non-dropping-particle":"","parse-names":false,"suffix":""},{"dropping-particle":"","family":"Ong","given":"Khang Wei","non-dropping-particle":"","parse-names":false,"suffix":""}],"container-title":"Polyphenols in Human Health and Disease","id":"ITEM-1","issue":"1","issued":{"date-parts":[["2014"]]},"number-of-pages":"95-111","publisher":"Elsevier Inc.","title":"Carbohydrate Metabolism","type":"book"},"uris":["http://www.mendeley.com/documents/?uuid=b9864001-acf8-4d27-a12c-0bd9339b07ef"]}],"mendeley":{"formattedCitation":"(Kwong, Tan, &amp; Ong, 2014)","plainTextFormattedCitation":"(Kwong, Tan, &amp; Ong, 2014)","previouslyFormattedCitation":"(Kwong, Tan, &amp; Ong,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(Kwong, Tan, &amp; Ong,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Also Hiroaki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report that theaflavins and their gallate esters in black tea have strong metal ion scavenging ability, affecting apoptotic and inflammatory pathways. They induce apoptosis in mammary epithelial carcinoma cells and inhibit HIV-1 entry. In terms of an action attributed specifically to TRs, Hiroaki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discovered that TRs are potent inhibitors of pancreatic lipase (EC number 3.1.1.3) and can supress postprandial elevation of triglycerides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{"citationItems":[{"id":"ITEM-1","itemData":{"DOI":"10.1016/B978-0-12-398456-2.00012-8","ISBN":"9780123984562","author":[{"dropping-particle":"","family":"Hiroaki","given":"Yajima","non-dropping-particle":"","parse-names":false,"suffix":""}],"container-title":"Polyphenols in Human Health and Disease","id":"ITEM-1","issued":{"date-parts":[["2014"]]},"number-of-pages":"135-142","publisher":"Elsevier Inc.","title":"Prevention of Diet-Induced Obesity by Dietary Polyphenols Derived from Nelumbo nucifera and","type":"book"},"uris":["http://www.mendeley.com/documents/?uuid=499ec454-8e4c-4885-8e4c-d07c40446de7"]}],"mendeley":{"formattedCitation":"(Hiroaki, 2014)","plainTextFormattedCitation":"(Hiroaki, 2014)","previouslyFormattedCitation":"(Hiroaki,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(Hiroaki,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It is felt that a catalyst to black tea health studies lies in the eventual characterisation of TRs although the more general health benefits of black tea </w:t>
      </w:r>
      <w:r w:rsidR="00D80C23">
        <w:rPr>
          <w:rFonts w:ascii="Calibri" w:eastAsia="Calibri" w:hAnsi="Calibri" w:cs="Times New Roman"/>
          <w:sz w:val="24"/>
          <w:szCs w:val="24"/>
        </w:rPr>
        <w:t>are reasonably established</w:t>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{"citationItems":[{"id":"ITEM-1","itemData":{"author":[{"dropping-particle":"","family":"Izawa","given":"Kunisuke Motonaka Kuroda","non-dropping-particle":"","parse-names":false,"suffix":""}],"id":"ITEM-1","issued":{"date-parts":[["2010"]]},"title":"Thearubigins Learn more about Thearubigins Chemical Ecology Polyphenols in Chronic Diseases and their Mechanisms of Action","type":"article-journal"},"uris":["http://www.mendeley.com/documents/?uuid=7f7461c0-caf7-4f79-a0c8-017af3e0aebb"]}],"mendeley":{"formattedCitation":"(Izawa, 2010)","plainTextFormattedCitation":"(Izawa, 2010)","previouslyFormattedCitation":"(Izawa,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(Izawa,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White tea is defined differently depending on its origin. In Kenya white tea is defined as only plucking the bud or first leaves which are then dried with minimal processing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{"citationItems":[{"id":"ITEM-1","itemData":{"DOI":"10.1007/s00003-007-0250-3","ISSN":"16615751","abstract":"An overview is given on the manufacture of the different types of tea along with the most important phenolics present in tea and methods of analysis. Compositional data are presented for green, white and black teas. A differentiation of green and black tea by using the ratio between total phenolics and sum of the major catechins seems to be feasible. For white tea there is no general accepted definition. Possible approaches are geographic origin, the botanical variety and the manufacture or the appearance. The differentiation between green and white teas by the ratio mentioned above is not possible.","author":[{"dropping-particle":"","family":"Hilal","given":"Y.","non-dropping-particle":"","parse-names":false,"suffix":""},{"dropping-particle":"","family":"Engelhardt","given":"U.","non-dropping-particle":"","parse-names":false,"suffix":""}],"container-title":"Journal fur Verbraucherschutz und Lebensmittelsicherheit","id":"ITEM-1","issue":"4","issued":{"date-parts":[["2007"]]},"page":"414-421","title":"Characterisation of white tea - Comparison to green and black tea","type":"article-journal","volume":"2"},"uris":["http://www.mendeley.com/documents/?uuid=2957bb75-648e-4078-a551-50e4d8afb9c5"]}],"mendeley":{"formattedCitation":"(Hilal &amp; Engelhardt, 2007)","plainTextFormattedCitation":"(Hilal &amp; Engelhardt, 2007)","previouslyFormattedCitation":"(Hilal &amp; Engelhardt, 2007)"},"properties":{"noteIndex":0},"schema":"https://github.com/citation-style-language/schema/raw/master/csl-citation.json"}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(Hilal &amp; Engelhardt, 2007)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Although some natural oxidation occurs, white tea generally has </w:t>
      </w:r>
      <w:r w:rsidRPr="00CF1D1E">
        <w:rPr>
          <w:rFonts w:ascii="Calibri" w:eastAsia="Calibri" w:hAnsi="Calibri" w:cs="Times New Roman"/>
          <w:sz w:val="24"/>
          <w:szCs w:val="24"/>
        </w:rPr>
        <w:lastRenderedPageBreak/>
        <w:t xml:space="preserve">characteristics similar to that of green tea due to its minimal processing. One noticeable difference is that the caffeine levels reported in white tea are approximately double that of green tea. Another difference reported is that white teas contain a myricetin triglycoside (787m/z). This has not yet been characterised and is found in neither green nor black tea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{"citationItems":[{"id":"ITEM-1","itemData":{"DOI":"10.1007/s00003-007-0250-3","ISSN":"16615751","abstract":"An overview is given on the manufacture of the different types of tea along with the most important phenolics present in tea and methods of analysis. Compositional data are presented for green, white and black teas. A differentiation of green and black tea by using the ratio between total phenolics and sum of the major catechins seems to be feasible. For white tea there is no general accepted definition. Possible approaches are geographic origin, the botanical variety and the manufacture or the appearance. The differentiation between green and white teas by the ratio mentioned above is not possible.","author":[{"dropping-particle":"","family":"Hilal","given":"Y.","non-dropping-particle":"","parse-names":false,"suffix":""},{"dropping-particle":"","family":"Engelhardt","given":"U.","non-dropping-particle":"","parse-names":false,"suffix":""}],"container-title":"Journal fur Verbraucherschutz und Lebensmittelsicherheit","id":"ITEM-1","issue":"4","issued":{"date-parts":[["2007"]]},"page":"414-421","title":"Characterisation of white tea - Comparison to green and black tea","type":"article-journal","volume":"2"},"uris":["http://www.mendeley.com/documents/?uuid=2957bb75-648e-4078-a551-50e4d8afb9c5"]}],"mendeley":{"formattedCitation":"(Hilal &amp; Engelhardt, 2007)","plainTextFormattedCitation":"(Hilal &amp; Engelhardt, 2007)","previouslyFormattedCitation":"(Hilal &amp; Engelhardt, 2007)"},"properties":{"noteIndex":0},"schema":"https://github.com/citation-style-language/schema/raw/master/csl-citation.json"}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(Hilal &amp; Engelhardt, 2007)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The health claims of white tea are very similar to</w:t>
      </w:r>
      <w:r w:rsidR="00E4646C">
        <w:rPr>
          <w:rFonts w:ascii="Calibri" w:eastAsia="Calibri" w:hAnsi="Calibri" w:cs="Times New Roman"/>
          <w:sz w:val="24"/>
          <w:szCs w:val="24"/>
        </w:rPr>
        <w:t xml:space="preserve"> that of</w:t>
      </w:r>
      <w:r w:rsidRPr="00CF1D1E">
        <w:rPr>
          <w:rFonts w:ascii="Calibri" w:eastAsia="Calibri" w:hAnsi="Calibri" w:cs="Times New Roman"/>
          <w:sz w:val="24"/>
          <w:szCs w:val="24"/>
        </w:rPr>
        <w:t xml:space="preserve"> green tea in general due to its minimal processing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{"citationItems":[{"id":"ITEM-1","itemData":{"URL":"https://www.organicfacts.net/health-benefits/beverage/white-tea.html","accessed":{"date-parts":[["2019","7","2"]]},"author":[{"dropping-particle":"","family":"Meenakshi Nagdeve","given":"","non-dropping-particle":"","parse-names":false,"suffix":""}],"container-title":"www","id":"ITEM-1","issued":{"date-parts":[["2019"]]},"title":"10 Amazing Benefits of White Tea | Organic Facts","type":"webpage"},"uris":["http://www.mendeley.com/documents/?uuid=a18af269-dbf5-3f72-afeb-5e4c041867d1"]}],"mendeley":{"formattedCitation":"(Meenakshi Nagdeve, 2019)","plainTextFormattedCitation":"(Meenakshi Nagdeve, 2019)","previouslyFormattedCitation":"(Meenakshi Nagdeve,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(Meenakshi Nagdeve,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EGCG is identified as the major polyphenol in both white and green teas, but caffeine, gallic acid, theobromine, EGC, and ECG are present at higher concentrations in white tea. Furthermore, due to the higher concentrations of key polyphenols, white teas exhibit potent anti-mutagenic properties which </w:t>
      </w:r>
      <w:r w:rsidR="00E4646C">
        <w:rPr>
          <w:rFonts w:ascii="Calibri" w:eastAsia="Calibri" w:hAnsi="Calibri" w:cs="Times New Roman"/>
          <w:sz w:val="24"/>
          <w:szCs w:val="24"/>
        </w:rPr>
        <w:t>exceed</w:t>
      </w:r>
      <w:r w:rsidRPr="00CF1D1E">
        <w:rPr>
          <w:rFonts w:ascii="Calibri" w:eastAsia="Calibri" w:hAnsi="Calibri" w:cs="Times New Roman"/>
          <w:sz w:val="24"/>
          <w:szCs w:val="24"/>
        </w:rPr>
        <w:t xml:space="preserve"> that of premium grade green tea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{"citationItems":[{"id":"ITEM-1","itemData":{"DOI":"10.1016/S1383-5718(01)00200-5","ISSN":"13835718","abstract":"There is growing interest in the potential health benefits of tea, including the antimutagenic properties. Four varieties of white tea, which represent the least processed form of tea, were shown to have marked antimutagenic activity in the Salmonella assay, particularly in the presence of S9. The most active of these teas, Exotica China white tea, was significantly more effective than Premium green tea (Dragonwell special grade) against 2-amino-3-methylimidazo[4,5-f]quinoline (IQ) and four other heterocyclic amine mutagens, namely 2-amino-3,8-dimethylimidazo[4,5-f]quinoxaline (MeIQx), 2-amino-3,4,8-trimethyl-3H-imidazo[4,5-f]quinoxaline (4,8-DiMeIQx), 2-amino-1-methyl-6-phenylimidazo[4,5-b]pyridine (PhIP), and 3-amino-1-methyl-5H-pyrido[4,3-b]indole (Trp-P-2). Mechanism studies were performed using rat liver S9 in assays for methoxyresorufin O-demethylase (MROD), a marker for the enzyme cytochrome P4501A2 that activates heterocyclic amines, as well as Salmonella assays with the direct-acting mutagen 2-hydroxyamino-3-methylimidazo[4,5-f]quinoline (N-hydroxy-IQ). White tea at low concentrations in the assay inhibited MROD activity, and attenuated the mutagenic activity of N-hydroxy-IQ in the absence of S9. Nine of the major constituents found in green tea also were detected in white tea, including high levels of epigallocatechin-3-gallate (EGCG) and several other polyphenols. When these major constituents were mixed to produce 'artificial' teas, according to their relative levels in white and green teas, the complete tea exhibited higher antimutagenic potency compared with the corresponding artificial tea. The results suggest that the greater inhibitory potency of white versus green tea in the Salmonella assay might be related to the relative levels of the nine major constituents, perhaps acting synergistically with other (minor) constituents, to inhibit mutagen activation as well as 'scavenging' the reactive intermediate(s). © 2001 Elsevier Science B.V.","author":[{"dropping-particle":"","family":"Santana-Rios","given":"Gilberto","non-dropping-particle":"","parse-names":false,"suffix":""},{"dropping-particle":"","family":"Orner","given":"Gayle A.","non-dropping-particle":"","parse-names":false,"suffix":""},{"dropping-particle":"","family":"Amantana","given":"Adams","non-dropping-particle":"","parse-names":false,"suffix":""},{"dropping-particle":"","family":"Provost","given":"Cynthia","non-dropping-particle":"","parse-names":false,"suffix":""},{"dropping-particle":"","family":"Wu","given":"Shiau Yin","non-dropping-particle":"","parse-names":false,"suffix":""},{"dropping-particle":"","family":"Dashwood","given":"Roderick H.","non-dropping-particle":"","parse-names":false,"suffix":""}],"container-title":"Mutation Research - Genetic Toxicology and Environmental Mutagenesis","id":"ITEM-1","issue":"1-2","issued":{"date-parts":[["2001"]]},"page":"61-74","title":"Potent antimutagenic activity of white tea in comparison with green tea in the Salmonella assay","type":"article-journal","volume":"495"},"uris":["http://www.mendeley.com/documents/?uuid=9753f38f-8e96-4913-9201-6a98506a099f"]}],"mendeley":{"formattedCitation":"(Santana-Rios et al., 2001)","plainTextFormattedCitation":"(Santana-Rios et al., 2001)","previouslyFormattedCitation":"(Santana-Rios et al., 2001)"},"properties":{"noteIndex":0},"schema":"https://github.com/citation-style-language/schema/raw/master/csl-citation.json"}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(Santana-Rios </w:t>
      </w:r>
      <w:r w:rsidR="00941740" w:rsidRPr="007B580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2001)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The chemistry of purple tea</w:t>
      </w:r>
      <w:r w:rsidR="00E4646C">
        <w:rPr>
          <w:rFonts w:ascii="Calibri" w:eastAsia="Calibri" w:hAnsi="Calibri" w:cs="Times New Roman"/>
          <w:sz w:val="24"/>
          <w:szCs w:val="24"/>
        </w:rPr>
        <w:t xml:space="preserve"> and green tea</w:t>
      </w:r>
      <w:r w:rsidRPr="00CF1D1E">
        <w:rPr>
          <w:rFonts w:ascii="Calibri" w:eastAsia="Calibri" w:hAnsi="Calibri" w:cs="Times New Roman"/>
          <w:sz w:val="24"/>
          <w:szCs w:val="24"/>
        </w:rPr>
        <w:t xml:space="preserve"> is very</w:t>
      </w:r>
      <w:r w:rsidR="00E4646C">
        <w:rPr>
          <w:rFonts w:ascii="Calibri" w:eastAsia="Calibri" w:hAnsi="Calibri" w:cs="Times New Roman"/>
          <w:sz w:val="24"/>
          <w:szCs w:val="24"/>
        </w:rPr>
        <w:t xml:space="preserve"> similar</w:t>
      </w:r>
      <w:r w:rsidRPr="00CF1D1E">
        <w:rPr>
          <w:rFonts w:ascii="Calibri" w:eastAsia="Calibri" w:hAnsi="Calibri" w:cs="Times New Roman"/>
          <w:sz w:val="24"/>
          <w:szCs w:val="24"/>
        </w:rPr>
        <w:t>. The big difference being the</w:t>
      </w:r>
      <w:r w:rsidR="001219DA">
        <w:rPr>
          <w:rFonts w:ascii="Calibri" w:eastAsia="Calibri" w:hAnsi="Calibri" w:cs="Times New Roman"/>
          <w:sz w:val="24"/>
          <w:szCs w:val="24"/>
        </w:rPr>
        <w:t xml:space="preserve"> presence of</w:t>
      </w:r>
      <w:r w:rsidRPr="00CF1D1E">
        <w:rPr>
          <w:rFonts w:ascii="Calibri" w:eastAsia="Calibri" w:hAnsi="Calibri" w:cs="Times New Roman"/>
          <w:sz w:val="24"/>
          <w:szCs w:val="24"/>
        </w:rPr>
        <w:t xml:space="preserve"> anthocyanidins and anthocyanins </w:t>
      </w:r>
      <w:r w:rsidR="001219DA">
        <w:rPr>
          <w:rFonts w:ascii="Calibri" w:eastAsia="Calibri" w:hAnsi="Calibri" w:cs="Times New Roman"/>
          <w:sz w:val="24"/>
          <w:szCs w:val="24"/>
        </w:rPr>
        <w:t xml:space="preserve">in purple tea </w:t>
      </w:r>
      <w:r w:rsidRPr="00CF1D1E">
        <w:rPr>
          <w:rFonts w:ascii="Calibri" w:eastAsia="Calibri" w:hAnsi="Calibri" w:cs="Times New Roman"/>
          <w:sz w:val="24"/>
          <w:szCs w:val="24"/>
        </w:rPr>
        <w:t xml:space="preserve">whose inclusion was the aim of the developers of this variety. Profiling of Kenyan purple tea (clone TRFK 306) has shown the presence of the anthocyanidins cyanidin, peonidin, pelargonidin, delphinidin, and malvidin (See Fig.84)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{"citationItems":[{"id":"ITEM-1","itemData":{"DOI":"10.1016/j.foodchem.2012.09.066","ISSN":"03088146","abstract":"Black (aerated) and green (unaerated) tea products, processed from 10 green and 18 purple leaf coloured cultivars of Kenyan origin, and two tea products, from the Japanese cultivars, Yabukita and Yutakamidori, were assayed for total polyphenols (TP) content, individual catechin profiles and in vitro antioxidant capacity (AA). In addition, the phenolic content of the tea products was determined using the Folin-Ciocalteu phenol reagent. Catechin fractions were identified using reverse phase high performance liquid chromatography (HPLC) with a binary gradient elution system. The AA% of the tea products was determined using a 2,2′-diphenyl picrylhydrazyl (DPPH) radical assay method. The results showed that TPs, catechin profiles and antioxidant activities were significantly (p ≤ 0.05) higher in unaerated than in aerated teas. Tea products from the purple leaf coloured tea cultivars had levels of TPs, total catechin (TC) and antioxidant activities similar to those from the green leaf coloured cultivars, except for teas from the Japanese cultivars that were very low in the assayed parameters. Caffeine content was significantly (p ≤ 0.05) lower in products from the purple leaf coloured cultivars than in those from the green leaf coloured tea cultivars. Antioxidant activity (%) was higher in tea products from the Kenyan germplasm than in those from the Japanese cultivars. Antioxidant potency of tea products was significantly (r = 0.789, p ≤ 0.01) influenced by the total anthocyanin content of the purple leaf coloured cultivars. Cyanidin-3-O-glucoside was the anthocyanin most highly correlated with AA% (r = 0.843, p ≤ 0.01 in unaerated tea). Total catechins in the unaerated products from the green leaf coloured tea cultivars were also significantly correlated with antioxidant capacity (r = 0.818 p ≤ 0.01). Results from this study suggest that the antioxidant potency of teas is dependent on the predominant flavonoid compound, the type of tea cultivar and the processing method. © 2012 Elsevier Ltd. All rights reserved.","author":[{"dropping-particle":"","family":"Kerio","given":"L. C.","non-dropping-particle":"","parse-names":false,"suffix":""},{"dropping-particle":"","family":"Wachira","given":"F. N.","non-dropping-particle":"","parse-names":false,"suffix":""},{"dropping-particle":"","family":"Wanyoko","given":"J. K.","non-dropping-particle":"","parse-names":false,"suffix":""},{"dropping-particle":"","family":"Rotich","given":"M. K.","non-dropping-particle":"","parse-names":false,"suffix":""}],"container-title":"Food Chemistry","id":"ITEM-1","issue":"3-4","issued":{"date-parts":[["2013"]]},"page":"1405-1413","publisher":"Elsevier Ltd","title":"Total polyphenols, catechin profiles and antioxidant activity of tea products from purple leaf coloured tea cultivars","type":"article-journal","volume":"136"},"uris":["http://www.mendeley.com/documents/?uuid=fe09ee4b-9d9d-46a1-a926-c0aa12d3d371"]},{"id":"ITEM-2","itemData":{"DOI":"10.1016/j.foodchem.2011.08.005","ISSN":"03088146","abstract":"Characterization and quantification of anthocyanins in selected tea cultivars processed into black (aerated) and green (unaerated) tea products was carried out in this study. The anthocyanins were extracted from tea products processed from a number of newly bred purple leaf coloured Kenyan tea cultivars (Camellia sinensis) using acidified methanol/HCl (99:1 v/v). Extracted anthocyanins were purified by C18 solid phase extraction (SPE) catridges and characterised by HPLC-UV-Visible. They were identified according to their HPLC retention times, elution order and comparison with authentic standards that were available. Total monomeric anthocyanins were determined by the pH-differential method. Although the tea cultivars gave different yields of anthocyanins, the unaerated (green) teas had significantly (p ≤ 0.05) higher anthocyanin content than the aerated (black) teas. This was attributed to the degradation of anthocyanins by polyphenol oxidase products (catechin O-quinones) formed during the auto-oxidation (fermentation) process of black tea manufacture. Of the six most common natural anthocyanidins, five were identified in the purified extracts from purple leaf coloured tea, in both aerated (black) and unaerated (green) teas namely; delphinidin, cyanidin, pelargonidin, peonidin and malvidin. The most predominant anthocyanidin was malvidin in both tea products. In addition, two anthocyanins namely, cyanidin-3-O-galactoside and cyanidin-3-O-glucoside were also identified. Tea catechins were also identified in the tea products derived from the purple coloured tea cultivars namely, epigallocatechin (EGC), catechin (+C), epicatechin (EC), epigallocatechin gallate (EGCG), and epicatechin gallate (ECG). Correlation between the total catechins versus the total anthocyanins and anthocyanin concentration in unaerated teas revealed significant negative correlations (r = -0.723 * and r = -0.743*, p ≤ 0.05 and p ≤ 0.01, respectively). However, in aerated (black) tea the correlations were insignificant (r = -0.182 and r = -0.241, p &gt; 0.05). © 2011 Elsevier Ltd. All rights reserved.","author":[{"dropping-particle":"","family":"Kerio","given":"L. C.","non-dropping-particle":"","parse-names":false,"suffix":""},{"dropping-particle":"","family":"Wachira","given":"F. N.","non-dropping-particle":"","parse-names":false,"suffix":""},{"dropping-particle":"","family":"Wanyoko","given":"J. K.","non-dropping-particle":"","parse-names":false,"suffix":""},{"dropping-particle":"","family":"Rotich","given":"M. K.","non-dropping-particle":"","parse-names":false,"suffix":""}],"container-title":"Food Chemistry","id":"ITEM-2","issue":"1","issued":{"date-parts":[["2012"]]},"page":"31-38","publisher":"Elsevier Ltd","title":"Characterization of anthocyanins in Kenyan teas: Extraction and identification","type":"article-journal","volume":"131"},"uris":["http://www.mendeley.com/documents/?uuid=ae754ced-41d0-4005-8957-6d25e4fd3ae5"]},{"id":"ITEM-3","itemData":{"DOI":"10.1016/j.foodchem.2013.03.051","ISSN":"18737072","abstract":"The Kenyan tea industry wishes to diversify its tea products, and in line with this, anthocyanin - rich teas were developed at the Tea Research Foundation of Kenya. These teas have purple-coloured leaves and the green colour is masked. In total, 12 accessions of the purple leaf coloured teas and 2 standard tea varieties were studied. Clones Hanlu and Yabukita are Chinese and Japanese tea varieties, respectively, known for good green tea, and they were used as reference standards. Little if any research had been done to characterize the quality of these purple leaf coloured teas and this study investigated their total polyphenols (TPP), catechins, caffeine, gallic acid and theanine. These are the major green tea quality parameters. Results showed that the new Kenyan tea clones had higher total polyphenols than had the reference standard tea varieties, which had 17.2% and 19.7% while the lowest among the Kenyan clones was 20.8%. On catechin quality index, K-purple and TRFK 91/1 showed high index values of 15.9 and 13.3, respectively, while clones TRFK 83/1 and 73/5 showed low index values of 0.74 and 1.0, respectively. Hanlu had the highest caffeine level with 2.42% while clones TRFK KS 3, TRFK KS 2 and TRFK 83/1 had relatively high caffeine levels among the purple leaf coloured teas, with 2.33%, 2.22% and 2.21%, respectively. Clone TRFK 73/5 had the lowest caffeine content, with 1.16%. Theanine analysis showed that most purple leaf coloured teas had more theanine than had the reference standard clones, except TRFK 83/1 and K-purple, which were lower than the reference standard clones. The implication of the green tea chemical quality parameters is also discussed. It is concluded that all the studied clones/varieties have above the minimum 14% of total polyphenols. Clones K-purple and TRFK 91/1 showed high green tea quality indices with the latter doubling with high levels of theanine; hence its highly recommended for green tea manufacture. © 2013 Elsevier Ltd. All rights reserved.","author":[{"dropping-particle":"","family":"Kilel","given":"E. C.","non-dropping-particle":"","parse-names":false,"suffix":""},{"dropping-particle":"","family":"Faraj","given":"A. K.","non-dropping-particle":"","parse-names":false,"suffix":""},{"dropping-particle":"","family":"Wanyoko","given":"J. K.","non-dropping-particle":"","parse-names":false,"suffix":""},{"dropping-particle":"","family":"Wachira","given":"F. N.","non-dropping-particle":"","parse-names":false,"suffix":""},{"dropping-particle":"","family":"Mwingirwa","given":"V.","non-dropping-particle":"","parse-names":false,"suffix":""}],"container-title":"Food Chemistry","id":"ITEM-3","issue":"2","issued":{"date-parts":[["2013"]]},"page":"769-775","publisher":"Elsevier Ltd","title":"Green tea from purple leaf coloured tea clones in Kenya-their quality characteristics","type":"article-journal","volume":"141"},"uris":["http://www.mendeley.com/documents/?uuid=ef05d920-5141-4c64-80ed-83c70f9ef56d"]}],"mendeley":{"formattedCitation":"(Kerio, Wachira, Wanyoko, &amp; Rotich, 2012; Kerio et al., 2013; Kilel et al., 2013)","plainTextFormattedCitation":"(Kerio, Wachira, Wanyoko, &amp; Rotich, 2012; Kerio et al., 2013; Kilel et al., 2013)","previouslyFormattedCitation":"(Kerio, Wachira, Wanyoko, &amp; Rotich, 2012; Kerio et al., 2013; Kilel et al.,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(Kerio, Wachira, Wanyoko, &amp; Rotich, 2012; Kerio </w:t>
      </w:r>
      <w:r w:rsidR="00941740" w:rsidRPr="007B580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xml:space="preserve">., 2013; Kilel </w:t>
      </w:r>
      <w:r w:rsidR="00941740" w:rsidRPr="007B580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additional </w:t>
      </w:r>
      <w:r w:rsidR="007B580F">
        <w:rPr>
          <w:rFonts w:ascii="Calibri" w:eastAsia="Calibri" w:hAnsi="Calibri" w:cs="Times New Roman"/>
          <w:sz w:val="24"/>
          <w:szCs w:val="24"/>
        </w:rPr>
        <w:t>properties</w:t>
      </w:r>
      <w:r w:rsidRPr="00CF1D1E">
        <w:rPr>
          <w:rFonts w:ascii="Calibri" w:eastAsia="Calibri" w:hAnsi="Calibri" w:cs="Times New Roman"/>
          <w:sz w:val="24"/>
          <w:szCs w:val="24"/>
        </w:rPr>
        <w:t xml:space="preserve"> of this purple pigment adds potential for extra health benefits. An example of this is </w:t>
      </w:r>
      <w:r w:rsidRPr="00CF1D1E">
        <w:rPr>
          <w:rFonts w:ascii="Calibri" w:eastAsia="Calibri" w:hAnsi="Calibri" w:cs="Times New Roman"/>
          <w:i/>
          <w:sz w:val="24"/>
          <w:szCs w:val="24"/>
        </w:rPr>
        <w:t>Croton lechleri</w:t>
      </w:r>
      <w:r w:rsidR="007B580F">
        <w:rPr>
          <w:rFonts w:ascii="Calibri" w:eastAsia="Calibri" w:hAnsi="Calibri" w:cs="Times New Roman"/>
          <w:i/>
          <w:sz w:val="24"/>
          <w:szCs w:val="24"/>
        </w:rPr>
        <w:t>,</w:t>
      </w:r>
      <w:r w:rsidRPr="00CF1D1E">
        <w:rPr>
          <w:rFonts w:ascii="Calibri" w:eastAsia="Calibri" w:hAnsi="Calibri" w:cs="Times New Roman"/>
          <w:i/>
          <w:sz w:val="24"/>
          <w:szCs w:val="24"/>
        </w:rPr>
        <w:t xml:space="preserve"> </w:t>
      </w:r>
      <w:r w:rsidRPr="00CF1D1E">
        <w:rPr>
          <w:rFonts w:ascii="Calibri" w:eastAsia="Calibri" w:hAnsi="Calibri" w:cs="Times New Roman"/>
          <w:sz w:val="24"/>
          <w:szCs w:val="24"/>
        </w:rPr>
        <w:t>which is</w:t>
      </w:r>
      <w:r w:rsidRPr="00CF1D1E">
        <w:rPr>
          <w:rFonts w:ascii="Calibri" w:eastAsia="Calibri" w:hAnsi="Calibri" w:cs="Times New Roman"/>
          <w:i/>
          <w:sz w:val="24"/>
          <w:szCs w:val="24"/>
        </w:rPr>
        <w:t xml:space="preserve"> </w:t>
      </w:r>
      <w:r w:rsidRPr="00CF1D1E">
        <w:rPr>
          <w:rFonts w:ascii="Calibri" w:eastAsia="Calibri" w:hAnsi="Calibri" w:cs="Times New Roman"/>
          <w:sz w:val="24"/>
          <w:szCs w:val="24"/>
        </w:rPr>
        <w:t xml:space="preserve">described later. In a recent study, older adults with mild to advanced dementia were given supplements containing anthocyanins which catabolised to anthocyanidins </w:t>
      </w:r>
      <w:r w:rsidRPr="00CF1D1E">
        <w:rPr>
          <w:rFonts w:ascii="Calibri" w:eastAsia="Calibri" w:hAnsi="Calibri" w:cs="Times New Roman"/>
          <w:i/>
          <w:sz w:val="24"/>
          <w:szCs w:val="24"/>
        </w:rPr>
        <w:t>in vivo</w:t>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jff.2019.103667","ISSN":"1756-4646","author":[{"dropping-particle":"","family":"Krikorian","given":"Robert","non-dropping-particle":"","parse-names":false,"suffix":""},{"dropping-particle":"","family":"Kalt","given":"Wilhelmina","non-dropping-particle":"","parse-names":false,"suffix":""},{"dropping-particle":"","family":"Mcdonald","given":"Jane E","non-dropping-particle":"","parse-names":false,"suffix":""},{"dropping-particle":"","family":"Shidler","given":"Marcelle D","non-dropping-particle":"","parse-names":false,"suffix":""},{"dropping-particle":"","family":"Summer","given":"Suzanne S","non-dropping-particle":"","parse-names":false,"suffix":""},{"dropping-particle":"","family":"Stein","given":"Amanda L","non-dropping-particle":"","parse-names":false,"suffix":""}],"container-title":"Journal of Functional Foods","id":"ITEM-1","issue":"October","issued":{"date-parts":[["2019"]]},"page":"103667","publisher":"Elsevier","title":"Cognitive performance in relation to urinary anthocyanins and their fl avonoid-based products following blueberry supplementation in older adults at risk for dementia","type":"article-journal"},"uris":["http://www.mendeley.com/documents/?uuid=730856b8-3d55-46e5-9d41-91ff4605cba0"]}],"mendeley":{"formattedCitation":"(Krikorian et al., 2019)","plainTextFormattedCitation":"(Krikorian et al., 2019)","previouslyFormattedCitation":"(Krikorian et al.,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(Krikorian </w:t>
      </w:r>
      <w:r w:rsidR="00941740" w:rsidRPr="00DD5AA0">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Improved cognitive performance was demonstrated </w:t>
      </w:r>
      <w:r w:rsidR="00DD5AA0">
        <w:rPr>
          <w:rFonts w:ascii="Calibri" w:eastAsia="Calibri" w:hAnsi="Calibri" w:cs="Times New Roman"/>
          <w:sz w:val="24"/>
          <w:szCs w:val="24"/>
        </w:rPr>
        <w:t>in their study</w:t>
      </w:r>
      <w:r w:rsidRPr="00CF1D1E">
        <w:rPr>
          <w:rFonts w:ascii="Calibri" w:eastAsia="Calibri" w:hAnsi="Calibri" w:cs="Times New Roman"/>
          <w:sz w:val="24"/>
          <w:szCs w:val="24"/>
        </w:rPr>
        <w:t xml:space="preserve">. Anthocyanidins have been shown to cross the blood brain barrier in mice resulting in an upregulation of antioxidant reserves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{"citationItems":[{"id":"ITEM-1","itemData":{"DOI":"10.1179/1476830513y.0000000081","ISSN":"1028-415X","abstract":"Studies on antioxidants as neuroprotective agents have been hampered by the impermeability of the blood brain barrier (BBB) to many compounds. However, previous studies have shown that a group of tea flavonoids, the catechins, are brain permeable and neuroprotective. Despite this remarkable observation, there exist no data on the bioavailability and pharmacological benefits of tea anthocyanins (ACNs) in the brain tissue. This study investigated the ability of Kenyan purple tea ACNs to cross the BBB and boost the brain antioxidant capacity. Mice were orally administered with purified and characterized Kenyan purple tea ACNs or a combination of Kenyan purple tea ACNs and coenzyme-Q10 at a dose of 200 mg/kg body weight in an experiment that lasted for 15 days. Twenty-four hours post the last dosage of antioxidants, CO2 was used to euthanize the mice after which the brain was excised and used for various biochemical analyses. Brain extracts were analysed by high-performance liquid chromatography for ACN metabolites and spectrophotometry for cellular glutathione (GSH). Kenyan purple tea ACNs significantly (P &lt; 0.05) raised brain GSH levels implying boost in brain antioxidant capacity. However, co-administration of both antioxidants caused a reduction of these beneficial effects implying a negative interaction. Notably, ACN metabolites were detected in brain tissue of ACN-fed mice. Our results constitute the first demonstration that Kenyan purple tea ACNs can cross the BBB reinforcing the brain's antioxidant capacity. Hence, the need to study them as suitable candidates for dietary supplements that could support antioxidant capacity in the brain and have potential to provide neuroprotection in neurodegenerative conditions.","author":[{"dropping-particle":"","family":"Rashid","given":"Khalid","non-dropping-particle":"","parse-names":false,"suffix":""},{"dropping-particle":"","family":"Wachira","given":"Francis Nyamu","non-dropping-particle":"","parse-names":false,"suffix":""},{"dropping-particle":"","family":"Nyabuga","given":"James Nyariki","non-dropping-particle":"","parse-names":false,"suffix":""},{"dropping-particle":"","family":"Wanyonyi","given":"Bernard","non-dropping-particle":"","parse-names":false,"suffix":""},{"dropping-particle":"","family":"Murilla","given":"Grace","non-dropping-particle":"","parse-names":false,"suffix":""},{"dropping-particle":"","family":"Isaac","given":"Alfred Orina","non-dropping-particle":"","parse-names":false,"suffix":""}],"container-title":"Nutritional Neuroscience","id":"ITEM-1","issue":"4","issued":{"date-parts":[["2013"]]},"page":"178-185","title":"Kenyan purple tea anthocyanins ability to cross the blood brain barrier and reinforce brain antioxidant capacity in mice","type":"article-journal","volume":"17"},"uris":["http://www.mendeley.com/documents/?uuid=ad39fd68-e6b5-4b46-a087-91b27daf0365"]}],"mendeley":{"formattedCitation":"(Rashid et al., 2013)","plainTextFormattedCitation":"(Rashid et al., 2013)","previouslyFormattedCitation":"(Rashid et al.,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(Rashid </w:t>
      </w:r>
      <w:r w:rsidR="00941740" w:rsidRPr="00DD5AA0">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This is thought to protect neurons from reactive oxygen species (ROS) induced cell death. This may be of benefit towards the prevention of conditions associated with oxidative stress in the brain such as Alzheimer’s and Parkinson’s disease, </w:t>
      </w:r>
      <w:r w:rsidRPr="00CF1D1E">
        <w:rPr>
          <w:rFonts w:ascii="Calibri" w:eastAsia="Calibri" w:hAnsi="Calibri" w:cs="Calibri"/>
          <w:sz w:val="24"/>
          <w:szCs w:val="24"/>
        </w:rPr>
        <w:t>amyotrophic lateral sclerosis (</w:t>
      </w:r>
      <w:r w:rsidRPr="00CF1D1E">
        <w:rPr>
          <w:rFonts w:ascii="Calibri" w:eastAsia="Calibri" w:hAnsi="Calibri" w:cs="Calibri"/>
          <w:color w:val="000000"/>
          <w:sz w:val="24"/>
          <w:szCs w:val="24"/>
          <w:shd w:val="clear" w:color="auto" w:fill="FFFFFF"/>
        </w:rPr>
        <w:t>also known as motor neurone disease</w:t>
      </w:r>
      <w:r w:rsidRPr="00CF1D1E">
        <w:rPr>
          <w:rFonts w:ascii="Calibri" w:eastAsia="Calibri" w:hAnsi="Calibri" w:cs="Calibri"/>
          <w:color w:val="545454"/>
          <w:sz w:val="24"/>
          <w:szCs w:val="24"/>
          <w:shd w:val="clear" w:color="auto" w:fill="FFFFFF"/>
        </w:rPr>
        <w:t>)</w:t>
      </w:r>
      <w:r w:rsidRPr="00CF1D1E">
        <w:rPr>
          <w:rFonts w:ascii="Calibri" w:eastAsia="Calibri" w:hAnsi="Calibri" w:cs="Calibri"/>
          <w:sz w:val="24"/>
          <w:szCs w:val="24"/>
        </w:rPr>
        <w:t xml:space="preserve"> and multiple sclerosis</w:t>
      </w:r>
      <w:r w:rsidRPr="00CF1D1E">
        <w:rPr>
          <w:rFonts w:ascii="Calibri" w:eastAsia="Calibri" w:hAnsi="Calibri" w:cs="Times New Roman"/>
          <w:sz w:val="24"/>
          <w:szCs w:val="24"/>
        </w:rPr>
        <w:t xml:space="preserve">. Purple tea has been shown to have an anti-obesity effect due to the combination of caffeine and catechins supressing fat accumulation in a study performed on over-weight human adults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{"citationItems":[{"id":"ITEM-1","itemData":{"ISSN":"15552810","abstract":"A number of clinical trials have been completed using green tea and black tea to investigate their effect in controlling weight in overweight adults. The results of these investigations, however, have often been contradictory, with some trials reporting positive effects of tea supplementation and some trials reporting no effect. As a result, the use of these teas for weight loss is controversial. Purple tea is a variety of green tea developed in Kenya (called TRFK306), which in addition to certain tea constituents found in green tea, also contains anthocyanins. The major constituents in the leaves of purple tea are caffeine, theobromine, epigallocatechin (ECG), epigallocatechin gallate (EGCG) and 1,2-di-O-galloyl-4,6-O-(S)-hexahydroxydiphenoyl-β-D-glucose (GHG). We investigated the efficacy of purple tea extract (PTE) on diet-induced fat accumulation in mice. PTE administration (200 mg/kg) significantly suppressed body weight gain, liver weight, abdominal fat and triglycerides in serum and liver. Protein expression of carnitine palmitoyltransferase (CPT) 1A was also enhanced. In olive oil loaded mice, PTE (100 mg/kg) and caffeine (25 mg/kg) suppressed fat absorption. PTE (10 μg/mL) and GHG (10 μg/mL) also enhanced protein expression of CPT1A in HepG2 hepatoma. Moreover, 4-week daily consumption of purple tea drink in humans improved obesity parameters compared to baseline, including body weight (79.9 ± 3.1 kg vs 80.8 ± 3.2, p&lt;0.05), body mass index (BMI) (26.8 ± 0.6 vs 27.0 ± 0.6, p&lt;0.05) and body fat mass (21.0 ± 1.4 kg vs 21.8 ± 1.5, p&lt;0.01). In conclusion, PTE could control diet-induced weight gain by suppression of fat absorption and enhancement of hepatic fat metabolism.","author":[{"dropping-particle":"","family":"Shimoda","given":"Hiroshi","non-dropping-particle":"","parse-names":false,"suffix":""},{"dropping-particle":"","family":"Hitoe","given":"Shoketsu","non-dropping-particle":"","parse-names":false,"suffix":""},{"dropping-particle":"","family":"Nakamura","given":"Seikou","non-dropping-particle":"","parse-names":false,"suffix":""},{"dropping-particle":"","family":"Matsuda","given":"Hisashi","non-dropping-particle":"","parse-names":false,"suffix":""}],"container-title":"International Journal of Biomedical Science","id":"ITEM-1","issue":"2","issued":{"date-parts":[["2015"]]},"page":"67-75","title":"Purple tea and its extract suppress diet-induced fat accumulation in mice and human subjects by inhibiting fat absorption and enhancing hepatic carnitine palmitoyltransferase expression","type":"article-journal","volume":"11"},"uris":["http://www.mendeley.com/documents/?uuid=92ed2486-0bdf-4639-bed9-61bca5a2ae06"]}],"mendeley":{"formattedCitation":"(Shimoda et al., 2015)","plainTextFormattedCitation":"(Shimoda et al., 2015)","previouslyFormattedCitation":"(Shimoda et al.,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(Shimoda </w:t>
      </w:r>
      <w:r w:rsidR="00941740" w:rsidRPr="00DD5AA0">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w:drawing>
          <wp:inline distT="0" distB="0" distL="0" distR="0" wp14:anchorId="4877E60D" wp14:editId="3AC164D4">
            <wp:extent cx="1222743" cy="691781"/>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cyanidin.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50568" cy="707523"/>
                    </a:xfrm>
                    <a:prstGeom prst="rect">
                      <a:avLst/>
                    </a:prstGeom>
                  </pic:spPr>
                </pic:pic>
              </a:graphicData>
            </a:graphic>
          </wp:inline>
        </w:drawing>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2845E645" wp14:editId="1C9FA2F6">
            <wp:extent cx="1102048" cy="770743"/>
            <wp:effectExtent l="0" t="0" r="317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eonidin.png"/>
                    <pic:cNvPicPr/>
                  </pic:nvPicPr>
                  <pic:blipFill>
                    <a:blip r:embed="rId144" cstate="print">
                      <a:extLst>
                        <a:ext uri="{28A0092B-C50C-407E-A947-70E740481C1C}">
                          <a14:useLocalDpi xmlns:a14="http://schemas.microsoft.com/office/drawing/2010/main" val="0"/>
                        </a:ext>
                      </a:extLst>
                    </a:blip>
                    <a:stretch>
                      <a:fillRect/>
                    </a:stretch>
                  </pic:blipFill>
                  <pic:spPr>
                    <a:xfrm flipV="1">
                      <a:off x="0" y="0"/>
                      <a:ext cx="1190736" cy="832769"/>
                    </a:xfrm>
                    <a:prstGeom prst="rect">
                      <a:avLst/>
                    </a:prstGeom>
                  </pic:spPr>
                </pic:pic>
              </a:graphicData>
            </a:graphic>
          </wp:inline>
        </w:drawing>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333B6C31" wp14:editId="09B26FD1">
            <wp:extent cx="1196819" cy="677115"/>
            <wp:effectExtent l="0" t="0" r="3810" b="889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elargonidin.png"/>
                    <pic:cNvPicPr/>
                  </pic:nvPicPr>
                  <pic:blipFill>
                    <a:blip r:embed="rId145" cstate="print">
                      <a:extLst>
                        <a:ext uri="{28A0092B-C50C-407E-A947-70E740481C1C}">
                          <a14:useLocalDpi xmlns:a14="http://schemas.microsoft.com/office/drawing/2010/main" val="0"/>
                        </a:ext>
                      </a:extLst>
                    </a:blip>
                    <a:stretch>
                      <a:fillRect/>
                    </a:stretch>
                  </pic:blipFill>
                  <pic:spPr>
                    <a:xfrm flipV="1">
                      <a:off x="0" y="0"/>
                      <a:ext cx="1291921" cy="730920"/>
                    </a:xfrm>
                    <a:prstGeom prst="rect">
                      <a:avLst/>
                    </a:prstGeom>
                  </pic:spPr>
                </pic:pic>
              </a:graphicData>
            </a:graphic>
          </wp:inline>
        </w:drawing>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0"/>
          <w:szCs w:val="20"/>
        </w:rPr>
      </w:pPr>
      <w:proofErr w:type="gramStart"/>
      <w:r w:rsidRPr="00CF1D1E">
        <w:rPr>
          <w:rFonts w:ascii="Calibri" w:eastAsia="Calibri" w:hAnsi="Calibri" w:cs="Times New Roman"/>
          <w:sz w:val="20"/>
          <w:szCs w:val="20"/>
        </w:rPr>
        <w:t>a</w:t>
      </w:r>
      <w:proofErr w:type="gramEnd"/>
      <w:r w:rsidRPr="00CF1D1E">
        <w:rPr>
          <w:rFonts w:ascii="Calibri" w:eastAsia="Calibri" w:hAnsi="Calibri" w:cs="Times New Roman"/>
          <w:sz w:val="20"/>
          <w:szCs w:val="20"/>
        </w:rPr>
        <w:t>,</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b,</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c,</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1D785A80" wp14:editId="2D34B578">
            <wp:extent cx="1125415" cy="756542"/>
            <wp:effectExtent l="0" t="0" r="0" b="571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elphinidin.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164849" cy="783051"/>
                    </a:xfrm>
                    <a:prstGeom prst="rect">
                      <a:avLst/>
                    </a:prstGeom>
                  </pic:spPr>
                </pic:pic>
              </a:graphicData>
            </a:graphic>
          </wp:inline>
        </w:drawing>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5A2295AF" wp14:editId="7BD53349">
            <wp:extent cx="1135464" cy="774704"/>
            <wp:effectExtent l="0" t="0" r="762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lvidin.png"/>
                    <pic:cNvPicPr/>
                  </pic:nvPicPr>
                  <pic:blipFill>
                    <a:blip r:embed="rId147" cstate="print">
                      <a:extLst>
                        <a:ext uri="{28A0092B-C50C-407E-A947-70E740481C1C}">
                          <a14:useLocalDpi xmlns:a14="http://schemas.microsoft.com/office/drawing/2010/main" val="0"/>
                        </a:ext>
                      </a:extLst>
                    </a:blip>
                    <a:stretch>
                      <a:fillRect/>
                    </a:stretch>
                  </pic:blipFill>
                  <pic:spPr>
                    <a:xfrm flipV="1">
                      <a:off x="0" y="0"/>
                      <a:ext cx="1169938" cy="798225"/>
                    </a:xfrm>
                    <a:prstGeom prst="rect">
                      <a:avLst/>
                    </a:prstGeom>
                  </pic:spPr>
                </pic:pic>
              </a:graphicData>
            </a:graphic>
          </wp:inline>
        </w:drawing>
      </w:r>
    </w:p>
    <w:p w:rsidR="00CF1D1E" w:rsidRPr="00CF1D1E" w:rsidRDefault="00CF1D1E" w:rsidP="00CF1D1E">
      <w:pPr>
        <w:spacing w:line="360" w:lineRule="auto"/>
        <w:ind w:firstLine="720"/>
        <w:jc w:val="both"/>
        <w:rPr>
          <w:rFonts w:ascii="Calibri" w:eastAsia="Calibri" w:hAnsi="Calibri" w:cs="Times New Roman"/>
          <w:sz w:val="20"/>
          <w:szCs w:val="20"/>
        </w:rPr>
      </w:pPr>
      <w:proofErr w:type="gramStart"/>
      <w:r w:rsidRPr="00CF1D1E">
        <w:rPr>
          <w:rFonts w:ascii="Calibri" w:eastAsia="Calibri" w:hAnsi="Calibri" w:cs="Times New Roman"/>
          <w:sz w:val="20"/>
          <w:szCs w:val="20"/>
        </w:rPr>
        <w:t>d</w:t>
      </w:r>
      <w:proofErr w:type="gramEnd"/>
      <w:r w:rsidRPr="00CF1D1E">
        <w:rPr>
          <w:rFonts w:ascii="Calibri" w:eastAsia="Calibri" w:hAnsi="Calibri" w:cs="Times New Roman"/>
          <w:sz w:val="20"/>
          <w:szCs w:val="20"/>
        </w:rPr>
        <w:t>,</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e,</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Fig.84. Kenyan purple tea anthocyanidins: cyanidin (a), peonidin (b), pelargonidin (c), delphinidin (d), and malvidin (e).</w:t>
      </w:r>
    </w:p>
    <w:p w:rsidR="00CF1D1E" w:rsidRPr="00CF1D1E" w:rsidRDefault="00CF1D1E" w:rsidP="00CF1D1E">
      <w:pPr>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0"/>
          <w:szCs w:val="20"/>
        </w:rPr>
        <w:tab/>
      </w:r>
      <w:r w:rsidRPr="00CF1D1E">
        <w:rPr>
          <w:rFonts w:ascii="Calibri" w:eastAsia="Calibri" w:hAnsi="Calibri" w:cs="Times New Roman"/>
          <w:sz w:val="24"/>
          <w:szCs w:val="24"/>
        </w:rPr>
        <w:t>Oolong tea is in many ways a ‘best of both worlds’ tea product which has the afore mentioned components of green tea (</w:t>
      </w:r>
      <w:r w:rsidRPr="00CF1D1E">
        <w:rPr>
          <w:rFonts w:ascii="Calibri" w:eastAsia="Calibri" w:hAnsi="Calibri" w:cs="Times New Roman"/>
          <w:sz w:val="24"/>
          <w:szCs w:val="24"/>
          <w:lang w:val="en"/>
        </w:rPr>
        <w:t>flavanols)</w:t>
      </w:r>
      <w:r w:rsidRPr="00CF1D1E">
        <w:rPr>
          <w:rFonts w:ascii="Calibri" w:eastAsia="Calibri" w:hAnsi="Calibri" w:cs="Times New Roman"/>
          <w:sz w:val="24"/>
          <w:szCs w:val="24"/>
        </w:rPr>
        <w:t xml:space="preserve"> plus many of the products of black tea (TFs and TRs) due to the controlled partial oxidation process employed to create this tea. Oolong tea, therefore possesses the characteristics of both in terms of volatile aromas plus sensory and flavour aspects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{"citationItems":[{"id":"ITEM-1","itemData":{"DOI":"10.1111/j.1365-2621.2010.02224.x","ISSN":"09505423","abstract":"Properties of leaf and infusion colours, chemical components and volatile flavour compounds of oolong teas and their correlation with perceived quality score given by tea-tasting panel were analysed. The scores for appearance and infused leaf correlate strongly with concentrations of chlorophyll a (chl a), chlorophyll (chl b) and chlorophyll (chl) (r = 0.355-0.433, P &lt; 0.05) and the total quality score (TQS) positively correlated with concentrations of chl a, chl b and chl (r = 0.517-0.533, P &lt; 0.01). The perceived taste score and TQS positively correlated with the concentration of total free amino acid (r = 0.514, 0/694, P &lt; 0.01) and theanine (r = 0.500, 0.684, P &lt; 0.01). The volatile composition and their quantities varied videly among oolong tea samples. Nerolidol, indol, benzeneacetaldehyde, linalool, linalool oxide I, hexanal, benzyl nitrile, geraniol and 1-penten-3-ol were prevailing volatile compounds detected in most of oolong tea samples. Principal component analysis screened ten principal components with the firts three (glutamic acid, total catechins and benzeneacetaldehyde) explaining 27.86%, 20.00% and 14.46% of the total variance. respectively. Regression analysis upon the ten principal components formulated a prediction model on the total quality score with 78.5% probability. The result showed that oolong teas couble be partially classified by cluster analysis based on principal components.","author":[{"dropping-particle":"","family":"Wang","given":"Kunbo","non-dropping-particle":"","parse-names":false,"suffix":""},{"dropping-particle":"","family":"Liu","given":"Fang","non-dropping-particle":"","parse-names":false,"suffix":""},{"dropping-particle":"","family":"Liu","given":"Zhonghua","non-dropping-particle":"","parse-names":false,"suffix":""},{"dropping-particle":"","family":"Huang","given":"Jianan","non-dropping-particle":"","parse-names":false,"suffix":""},{"dropping-particle":"","family":"Xu","given":"Zhongxi","non-dropping-particle":"","parse-names":false,"suffix":""},{"dropping-particle":"","family":"Li","given":"Yinhua","non-dropping-particle":"","parse-names":false,"suffix":""},{"dropping-particle":"","family":"Chen","given":"Jinhua","non-dropping-particle":"","parse-names":false,"suffix":""},{"dropping-particle":"","family":"Gong","given":"Yushun","non-dropping-particle":"","parse-names":false,"suffix":""},{"dropping-particle":"","family":"Yang","given":"Xinghe","non-dropping-particle":"","parse-names":false,"suffix":""}],"container-title":"International Journal of Food Science and Technology","id":"ITEM-1","issue":"5","issued":{"date-parts":[["2010"]]},"page":"913-920","title":"Analysis of chemical components in oolong tea in relation to perceived quality","type":"article-journal","volume":"45"},"uris":["http://www.mendeley.com/documents/?uuid=693ab43e-aba8-4413-8e30-51232de7fc0d"]}],"mendeley":{"formattedCitation":"(K. Wang et al., 2010)","plainTextFormattedCitation":"(K. Wang et al., 2010)","previouslyFormattedCitation":"(K. Wang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(K. Wang </w:t>
      </w:r>
      <w:r w:rsidR="00941740" w:rsidRPr="002D31C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Nerolidol, indole, benzenacetaldehyde, linalool, linalool oxide, n-hexanal, benzyl nitrile, geraniol and 1-penten-3-ol are the dominant volatile compounds of oolong tea samples quoted in literature. Other principle contributors to oolong’s fragrant and flowery aroma are methyl salicylate, methyl jasmonate, phenylethyl alcohol, benzyl alcohol, cis-jasmone and β-Ionone. </w:t>
      </w:r>
      <w:r w:rsidRPr="00CF1D1E">
        <w:rPr>
          <w:rFonts w:ascii="Arial" w:eastAsia="Calibri" w:hAnsi="Arial" w:cs="Arial"/>
          <w:color w:val="222222"/>
          <w:sz w:val="21"/>
          <w:szCs w:val="21"/>
          <w:shd w:val="clear" w:color="auto" w:fill="FFFFFF"/>
        </w:rPr>
        <w:t>β-Ionone</w:t>
      </w:r>
      <w:r w:rsidRPr="00CF1D1E">
        <w:rPr>
          <w:rFonts w:ascii="Calibri" w:eastAsia="Calibri" w:hAnsi="Calibri" w:cs="Times New Roman"/>
          <w:sz w:val="24"/>
          <w:szCs w:val="24"/>
        </w:rPr>
        <w:t xml:space="preserve"> is a member of the ‘rose ketone’ family and is in part responsible for the fragrance of roses as is geraniol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{"citationItems":[{"id":"ITEM-1","itemData":{"DOI":"10.1016/j.scienta.2017.12.010","ISSN":"03044238","abstract":"Rosa damascena is one of important flowers for the production of aromatic compounds mainly used in perfume industry. In this research, complete sequences of gene coding geranylgeranyl diphosphate synthesis (GGPPS) involved in monoterpenes biosynthesis pathway was isolated from Rosa damascena “Kamoorˮ and the relative expression of genes GGPPS, DXR, and CCD1 was characterized during flower developmental stages (A, B and C) in petals of four landraces of damask roses (Ghalhar, Lavasanat, Kamoor and Minab) by real-time quantitative fluorescence PCR. The overall expression of GGPPS gene was lower as compared with those of gene CCD1 and DXR. To further study, comprehensive analysis were done among physiological, molecular and phytochemical results to evaluate the relationship between main volatile compounds and colors. The output data revealed that damask roses with light colored flowers showed carotenoid accumulation and accommodation of higher carotenoid content and low anthocyanin content. Main volatile including citronellol, geraniol, neral, lianlyl acetate and dihydro citronellol acetate in flower development increase in the early stage, peaking in stage B and decreasing thereafter. These results suggest that the gene GGPPS may play role in the biosynthesis of volatile monoterpenes in R. damascena flowers, and this gene could be an important candidate genes for the regulation of secondary metabolism for Damask rose aromatic components.","author":[{"dropping-particle":"","family":"Rasouli","given":"O.","non-dropping-particle":"","parse-names":false,"suffix":""},{"dropping-particle":"","family":"Ahmadi","given":"N.","non-dropping-particle":"","parse-names":false,"suffix":""},{"dropping-particle":"","family":"Rashidi Monfared","given":"S.","non-dropping-particle":"","parse-names":false,"suffix":""},{"dropping-particle":"","family":"Sefidkon","given":"F.","non-dropping-particle":"","parse-names":false,"suffix":""}],"container-title":"Scientia Horticulturae","id":"ITEM-1","issue":"November 2017","issued":{"date-parts":[["2018"]]},"page":"144-150","title":"Physiological, phytochemicals and molecular analysis of color and scent of different landrace of Rosa damascena during flower development stages","type":"article-journal","volume":"231"},"uris":["http://www.mendeley.com/documents/?uuid=7c0b02da-1dd9-4ade-affd-a005867e6555"]}],"mendeley":{"formattedCitation":"(Rasouli, Ahmadi, Rashidi Monfared, &amp; Sefidkon, 2018)","plainTextFormattedCitation":"(Rasouli, Ahmadi, Rashidi Monfared, &amp; Sefidkon, 2018)","previouslyFormattedCitation":"(Rasouli, Ahmadi, Rashidi Monfared, &amp; Sefidkon, 2018)"},"properties":{"noteIndex":0},"schema":"https://github.com/citation-style-language/schema/raw/master/csl-citation.json"}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(Rasouli, Ahmadi, Rashidi Monfared, &amp; Sefidkon, 2018)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high abundance of these components in oolong teas are formed during manufacture. Wang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believe that hydrolysis of glycosidically bound volatiles by β-primeverosidase (EC number 3.2.1.149) occurs intensively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{"citationItems":[{"id":"ITEM-1","itemData":{"DOI":"10.1111/j.1365-2621.2010.02224.x","ISSN":"09505423","abstract":"Properties of leaf and infusion colours, chemical components and volatile flavour compounds of oolong teas and their correlation with perceived quality score given by tea-tasting panel were analysed. The scores for appearance and infused leaf correlate strongly with concentrations of chlorophyll a (chl a), chlorophyll (chl b) and chlorophyll (chl) (r = 0.355-0.433, P &lt; 0.05) and the total quality score (TQS) positively correlated with concentrations of chl a, chl b and chl (r = 0.517-0.533, P &lt; 0.01). The perceived taste score and TQS positively correlated with the concentration of total free amino acid (r = 0.514, 0/694, P &lt; 0.01) and theanine (r = 0.500, 0.684, P &lt; 0.01). The volatile composition and their quantities varied videly among oolong tea samples. Nerolidol, indol, benzeneacetaldehyde, linalool, linalool oxide I, hexanal, benzyl nitrile, geraniol and 1-penten-3-ol were prevailing volatile compounds detected in most of oolong tea samples. Principal component analysis screened ten principal components with the firts three (glutamic acid, total catechins and benzeneacetaldehyde) explaining 27.86%, 20.00% and 14.46% of the total variance. respectively. Regression analysis upon the ten principal components formulated a prediction model on the total quality score with 78.5% probability. The result showed that oolong teas couble be partially classified by cluster analysis based on principal components.","author":[{"dropping-particle":"","family":"Wang","given":"Kunbo","non-dropping-particle":"","parse-names":false,"suffix":""},{"dropping-particle":"","family":"Liu","given":"Fang","non-dropping-particle":"","parse-names":false,"suffix":""},{"dropping-particle":"","family":"Liu","given":"Zhonghua","non-dropping-particle":"","parse-names":false,"suffix":""},{"dropping-particle":"","family":"Huang","given":"Jianan","non-dropping-particle":"","parse-names":false,"suffix":""},{"dropping-particle":"","family":"Xu","given":"Zhongxi","non-dropping-particle":"","parse-names":false,"suffix":""},{"dropping-particle":"","family":"Li","given":"Yinhua","non-dropping-particle":"","parse-names":false,"suffix":""},{"dropping-particle":"","family":"Chen","given":"Jinhua","non-dropping-particle":"","parse-names":false,"suffix":""},{"dropping-particle":"","family":"Gong","given":"Yushun","non-dropping-particle":"","parse-names":false,"suffix":""},{"dropping-particle":"","family":"Yang","given":"Xinghe","non-dropping-particle":"","parse-names":false,"suffix":""}],"container-title":"International Journal of Food Science and Technology","id":"ITEM-1","issue":"5","issued":{"date-parts":[["2010"]]},"page":"913-920","title":"Analysis of chemical components in oolong tea in relation to perceived quality","type":"article-journal","volume":"45"},"uris":["http://www.mendeley.com/documents/?uuid=693ab43e-aba8-4413-8e30-51232de7fc0d"]}],"mendeley":{"formattedCitation":"(K. Wang et al., 2010)","plainTextFormattedCitation":"(K. Wang et al., 2010)","previouslyFormattedCitation":"(K. Wang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(K. Wang </w:t>
      </w:r>
      <w:r w:rsidR="00941740" w:rsidRPr="00C60AC8">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although more modern research suggests that this is incorrect and that another process is taking place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{"citationItems":[{"id":"ITEM-1","itemData":{"DOI":"10.1021/acs.jafc.5b02741","ISSN":"15205118","abstract":"© 2015 American Chemical Society. It was generally thought that aroma of oolong tea resulted from hydrolysis of glycosidically bound volatiles (GBVs). In this study, most GBVs showed no reduction during the oolong tea manufacturing process. β-Glycosidases either at protein or gene level were not activated during the manufacturing process. Subcellular localization of β-primeverosidase provided evidence that β-primeverosidase was located in the leaf cell wall. The cell wall remained intact during the enzyme-active manufacturing process. After the leaf cell disruption, GBV content was reduced. These findings reveal that, during the enzyme-active process of oolong tea, nondisruption of the leaf cell walls resulted in impossibility of interaction of GBVs and β-glycosidases. Indole, jasmine lactone, and trans-nerolidol were characteristic volatiles produced from the manufacturing process. Interestingly, the contents of the three volatiles was reduced after the leaf cell disruption, suggesting that mechanical damage with the cell disruption, which is similar to black tea manufacturing, did not induce accumulation of the three volatiles. In addition, 11 volatiles with flavor dilution factor ≥4&lt;sup&gt;4&lt;/sup&gt; were identified as relatively potent odorants in the oolong tea. These results suggest that enzymatic hydrolysis of GBVs was not involved in the formation of volatiles of oolong tea, and some characteristic volatiles with potent odorants were produced from the manufacturing process.","author":[{"dropping-particle":"","family":"Gui","given":"Jiadong","non-dropping-particle":"","parse-names":false,"suffix":""},{"dropping-particle":"","family":"Fu","given":"Xiumin","non-dropping-particle":"","parse-names":false,"suffix":""},{"dropping-particle":"","family":"Zhou","given":"Ying","non-dropping-particle":"","parse-names":false,"suffix":""},{"dropping-particle":"","family":"Katsuno","given":"Tsuyoshi","non-dropping-particle":"","parse-names":false,"suffix":""},{"dropping-particle":"","family":"Mei","given":"Xin","non-dropping-particle":"","parse-names":false,"suffix":""},{"dropping-particle":"","family":"Deng","given":"Rufang","non-dropping-particle":"","parse-names":false,"suffix":""},{"dropping-particle":"","family":"Xu","given":"Xinlan","non-dropping-particle":"","parse-names":false,"suffix":""},{"dropping-particle":"","family":"Zhang","given":"Linyun","non-dropping-particle":"","parse-names":false,"suffix":""},{"dropping-particle":"","family":"Dong","given":"Fang","non-dropping-particle":"","parse-names":false,"suffix":""},{"dropping-particle":"","family":"Watanabe","given":"Naoharu","non-dropping-particle":"","parse-names":false,"suffix":""},{"dropping-particle":"","family":"Yang","given":"Ziyin","non-dropping-particle":"","parse-names":false,"suffix":""}],"container-title":"Journal of Agricultural and Food Chemistry","id":"ITEM-1","issue":"31","issued":{"date-parts":[["2015"]]},"page":"6905-6914","title":"Does Enzymatic Hydrolysis of Glycosidically Bound Volatile Compounds Really Contribute to the Formation of Volatile Compounds during the Oolong Tea Manufacturing Process?","type":"article-journal","volume":"63"},"uris":["http://www.mendeley.com/documents/?uuid=6fd1bc2d-13c4-4d34-9299-e8d974c1b9ee"]}],"mendeley":{"formattedCitation":"(Gui et al., 2015)","plainTextFormattedCitation":"(Gui et al., 2015)","previouslyFormattedCitation":"(Gui et al.,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(Gui </w:t>
      </w:r>
      <w:r w:rsidR="00941740" w:rsidRPr="002D31C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Furthermore, </w:t>
      </w:r>
      <w:proofErr w:type="spellStart"/>
      <w:r w:rsidRPr="00CF1D1E">
        <w:rPr>
          <w:rFonts w:ascii="Calibri" w:eastAsia="Calibri" w:hAnsi="Calibri" w:cs="Times New Roman"/>
          <w:sz w:val="24"/>
          <w:szCs w:val="24"/>
        </w:rPr>
        <w:t>Gui</w:t>
      </w:r>
      <w:proofErr w:type="spellEnd"/>
      <w:r w:rsidRPr="00CF1D1E">
        <w:rPr>
          <w:rFonts w:ascii="Calibri" w:eastAsia="Calibri" w:hAnsi="Calibri" w:cs="Times New Roman"/>
          <w:sz w:val="24"/>
          <w:szCs w:val="24"/>
        </w:rPr>
        <w:t xml:space="preserve">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offer the idea that the mechanism of aroma compound formation is not the same in oolong tea and black tea due to the level of cell disruption achieve via their different production methods and therefore altering the </w:t>
      </w:r>
      <w:r w:rsidRPr="00CF1D1E">
        <w:rPr>
          <w:rFonts w:ascii="Calibri" w:eastAsia="Calibri" w:hAnsi="Calibri" w:cs="Times New Roman"/>
          <w:sz w:val="24"/>
          <w:szCs w:val="24"/>
        </w:rPr>
        <w:lastRenderedPageBreak/>
        <w:t xml:space="preserve">availability of key enzymes. As β-primeverosidase is located in the leaf cell wall then this removes the possibility of its action on glycosidically bound volatiles. This process takes place in black tea. In oolong tea the mechanism is thought to be related to turning over of the leaves in the production process which leads to wounding of the leaves, which is not enough to cause cell disruption to a level that β-primeverosidase is available. Turn over may occur up to five times.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level of cell damage is clearly documented through the use of transmission electron micrograph of the tea leaf cells during the oolong tea manufacturing process by </w:t>
      </w:r>
      <w:proofErr w:type="spellStart"/>
      <w:proofErr w:type="gramStart"/>
      <w:r w:rsidRPr="00CF1D1E">
        <w:rPr>
          <w:rFonts w:ascii="Calibri" w:eastAsia="Calibri" w:hAnsi="Calibri" w:cs="Times New Roman"/>
          <w:sz w:val="24"/>
          <w:szCs w:val="24"/>
        </w:rPr>
        <w:t>Gui</w:t>
      </w:r>
      <w:proofErr w:type="spellEnd"/>
      <w:r w:rsidRPr="00CF1D1E">
        <w:rPr>
          <w:rFonts w:ascii="Calibri" w:eastAsia="Calibri" w:hAnsi="Calibri" w:cs="Times New Roman"/>
          <w:sz w:val="24"/>
          <w:szCs w:val="24"/>
        </w:rPr>
        <w:t xml:space="preserve"> </w:t>
      </w:r>
      <w:r w:rsidRPr="00CF1D1E">
        <w:rPr>
          <w:rFonts w:ascii="Calibri" w:eastAsia="Calibri" w:hAnsi="Calibri" w:cs="Times New Roman"/>
          <w:i/>
          <w:sz w:val="24"/>
          <w:szCs w:val="24"/>
        </w:rPr>
        <w:t>et al</w:t>
      </w:r>
      <w:proofErr w:type="gramEnd"/>
      <w:r w:rsidRPr="00CF1D1E">
        <w:rPr>
          <w:rFonts w:ascii="Calibri" w:eastAsia="Calibri" w:hAnsi="Calibri" w:cs="Times New Roman"/>
          <w:sz w:val="24"/>
          <w:szCs w:val="24"/>
        </w:rPr>
        <w:t>. The turnover process leads to the accumulation of indole, jasmine lactone, and trans-nerolidol (see Fig. 85) which are the characteristic aromas of oolong tea.</w:t>
      </w:r>
    </w:p>
    <w:p w:rsidR="00CF1D1E" w:rsidRPr="00CF1D1E" w:rsidRDefault="00CF1D1E" w:rsidP="00CF1D1E">
      <w:pPr>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3D1D7A1F" wp14:editId="2EE2C1D1">
            <wp:extent cx="740337" cy="589085"/>
            <wp:effectExtent l="0" t="0" r="3175" b="190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ndole.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51572" cy="598024"/>
                    </a:xfrm>
                    <a:prstGeom prst="rect">
                      <a:avLst/>
                    </a:prstGeom>
                  </pic:spPr>
                </pic:pic>
              </a:graphicData>
            </a:graphic>
          </wp:inline>
        </w:drawing>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4C323E80" wp14:editId="3E948A98">
            <wp:extent cx="1178169" cy="688368"/>
            <wp:effectExtent l="0" t="0" r="317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jasmine lactone.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196759" cy="699229"/>
                    </a:xfrm>
                    <a:prstGeom prst="rect">
                      <a:avLst/>
                    </a:prstGeom>
                  </pic:spPr>
                </pic:pic>
              </a:graphicData>
            </a:graphic>
          </wp:inline>
        </w:drawing>
      </w:r>
      <w:r w:rsidRPr="00CF1D1E">
        <w:rPr>
          <w:rFonts w:ascii="Calibri" w:eastAsia="Calibri" w:hAnsi="Calibri" w:cs="Times New Roman"/>
          <w:sz w:val="24"/>
          <w:szCs w:val="24"/>
        </w:rPr>
        <w:tab/>
      </w:r>
      <w:r w:rsidRPr="00CF1D1E">
        <w:rPr>
          <w:rFonts w:ascii="Calibri" w:eastAsia="Calibri" w:hAnsi="Calibri" w:cs="Times New Roman"/>
          <w:sz w:val="24"/>
          <w:szCs w:val="24"/>
        </w:rPr>
        <w:tab/>
      </w:r>
      <w:r w:rsidRPr="00CF1D1E">
        <w:rPr>
          <w:rFonts w:ascii="Calibri" w:eastAsia="Calibri" w:hAnsi="Calibri" w:cs="Times New Roman"/>
          <w:noProof/>
          <w:sz w:val="24"/>
          <w:szCs w:val="24"/>
          <w:lang w:eastAsia="en-GB"/>
        </w:rPr>
        <w:drawing>
          <wp:inline distT="0" distB="0" distL="0" distR="0" wp14:anchorId="6395B7BE" wp14:editId="01B6DBA7">
            <wp:extent cx="1556238" cy="315579"/>
            <wp:effectExtent l="0" t="0" r="6350" b="889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trans-nerolidol.png"/>
                    <pic:cNvPicPr/>
                  </pic:nvPicPr>
                  <pic:blipFill>
                    <a:blip r:embed="rId150" cstate="print">
                      <a:extLst>
                        <a:ext uri="{28A0092B-C50C-407E-A947-70E740481C1C}">
                          <a14:useLocalDpi xmlns:a14="http://schemas.microsoft.com/office/drawing/2010/main" val="0"/>
                        </a:ext>
                      </a:extLst>
                    </a:blip>
                    <a:stretch>
                      <a:fillRect/>
                    </a:stretch>
                  </pic:blipFill>
                  <pic:spPr>
                    <a:xfrm flipV="1">
                      <a:off x="0" y="0"/>
                      <a:ext cx="1682042" cy="341090"/>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4"/>
          <w:szCs w:val="24"/>
        </w:rPr>
        <w:tab/>
      </w:r>
      <w:proofErr w:type="gramStart"/>
      <w:r w:rsidRPr="00CF1D1E">
        <w:rPr>
          <w:rFonts w:ascii="Calibri" w:eastAsia="Calibri" w:hAnsi="Calibri" w:cs="Times New Roman"/>
          <w:sz w:val="20"/>
          <w:szCs w:val="20"/>
        </w:rPr>
        <w:t>a</w:t>
      </w:r>
      <w:proofErr w:type="gramEnd"/>
      <w:r w:rsidRPr="00CF1D1E">
        <w:rPr>
          <w:rFonts w:ascii="Calibri" w:eastAsia="Calibri" w:hAnsi="Calibri" w:cs="Times New Roman"/>
          <w:sz w:val="20"/>
          <w:szCs w:val="20"/>
        </w:rPr>
        <w:t>,</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b,</w:t>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r>
      <w:r w:rsidRPr="00CF1D1E">
        <w:rPr>
          <w:rFonts w:ascii="Calibri" w:eastAsia="Calibri" w:hAnsi="Calibri" w:cs="Times New Roman"/>
          <w:sz w:val="20"/>
          <w:szCs w:val="20"/>
        </w:rPr>
        <w:tab/>
        <w:t>c,</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Fig.85. Characteristic aroma molecules of oolong tea (</w:t>
      </w:r>
      <w:r w:rsidRPr="00CF1D1E">
        <w:rPr>
          <w:rFonts w:ascii="Calibri" w:eastAsia="Calibri" w:hAnsi="Calibri" w:cs="Times New Roman"/>
          <w:b/>
          <w:sz w:val="20"/>
          <w:szCs w:val="20"/>
        </w:rPr>
        <w:t>a</w:t>
      </w:r>
      <w:r w:rsidRPr="00CF1D1E">
        <w:rPr>
          <w:rFonts w:ascii="Calibri" w:eastAsia="Calibri" w:hAnsi="Calibri" w:cs="Times New Roman"/>
          <w:sz w:val="20"/>
          <w:szCs w:val="20"/>
        </w:rPr>
        <w:t>) indole, (</w:t>
      </w:r>
      <w:r w:rsidRPr="00CF1D1E">
        <w:rPr>
          <w:rFonts w:ascii="Calibri" w:eastAsia="Calibri" w:hAnsi="Calibri" w:cs="Times New Roman"/>
          <w:b/>
          <w:sz w:val="20"/>
          <w:szCs w:val="20"/>
        </w:rPr>
        <w:t>b</w:t>
      </w:r>
      <w:r w:rsidRPr="00CF1D1E">
        <w:rPr>
          <w:rFonts w:ascii="Calibri" w:eastAsia="Calibri" w:hAnsi="Calibri" w:cs="Times New Roman"/>
          <w:sz w:val="20"/>
          <w:szCs w:val="20"/>
        </w:rPr>
        <w:t>) jasmine lactone and (</w:t>
      </w:r>
      <w:r w:rsidRPr="00CF1D1E">
        <w:rPr>
          <w:rFonts w:ascii="Calibri" w:eastAsia="Calibri" w:hAnsi="Calibri" w:cs="Times New Roman"/>
          <w:b/>
          <w:sz w:val="20"/>
          <w:szCs w:val="20"/>
        </w:rPr>
        <w:t>c</w:t>
      </w:r>
      <w:r w:rsidRPr="00CF1D1E">
        <w:rPr>
          <w:rFonts w:ascii="Calibri" w:eastAsia="Calibri" w:hAnsi="Calibri" w:cs="Times New Roman"/>
          <w:sz w:val="20"/>
          <w:szCs w:val="20"/>
        </w:rPr>
        <w:t>) trans-nerolidol.</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To gain a more comprehensive picture of the phytochemical profile, a variety of analytical techniques are used from HPLC to GC with various detectors such as diode array and </w:t>
      </w:r>
      <w:r w:rsidR="002D7796">
        <w:rPr>
          <w:rFonts w:ascii="Calibri" w:eastAsia="Calibri" w:hAnsi="Calibri" w:cs="Times New Roman"/>
          <w:sz w:val="24"/>
          <w:szCs w:val="24"/>
        </w:rPr>
        <w:t>MS</w:t>
      </w:r>
      <w:r w:rsidRPr="00CF1D1E">
        <w:rPr>
          <w:rFonts w:ascii="Calibri" w:eastAsia="Calibri" w:hAnsi="Calibri" w:cs="Times New Roman"/>
          <w:sz w:val="24"/>
          <w:szCs w:val="24"/>
        </w:rPr>
        <w:t xml:space="preserve">. NMR </w:t>
      </w:r>
      <w:r w:rsidR="002D7796">
        <w:rPr>
          <w:rFonts w:ascii="Calibri" w:eastAsia="Calibri" w:hAnsi="Calibri" w:cs="Times New Roman"/>
          <w:sz w:val="24"/>
          <w:szCs w:val="24"/>
        </w:rPr>
        <w:t>is commonly used</w:t>
      </w:r>
      <w:r w:rsidRPr="00CF1D1E">
        <w:rPr>
          <w:rFonts w:ascii="Calibri" w:eastAsia="Calibri" w:hAnsi="Calibri" w:cs="Times New Roman"/>
          <w:sz w:val="24"/>
          <w:szCs w:val="24"/>
        </w:rPr>
        <w:t xml:space="preserve"> t</w:t>
      </w:r>
      <w:r w:rsidR="002D7796">
        <w:rPr>
          <w:rFonts w:ascii="Calibri" w:eastAsia="Calibri" w:hAnsi="Calibri" w:cs="Times New Roman"/>
          <w:sz w:val="24"/>
          <w:szCs w:val="24"/>
        </w:rPr>
        <w:t xml:space="preserve">o add valuable information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{"citationItems":[{"id":"ITEM-1","itemData":{"DOI":"10.1002/9783527655861","ISBN":"9783527330980","abstract":"Nowadays in metabolomics many different Mass Spectrometry (MS) based platforms are employed worldwide to perform targeted and untargeted studies in both profiling and qualitative contexts. The International organization for Standardization (ISO) is continuously demanding and/or producing Quality Assurance (QA) tool to screen and validate the huge data flow produced in the last years. This work is proposing an introductive example of validation of a MS-based metabolic profiling experiment via measurement uncertainty assessment according the third edition of the Eurachem/CITAC guide for Measurement Uncertainty, \"Quantifying uncertainty in analytical measurement\". The chapter offers both an introduction to the measurement uncertainty topic and an inside look atits application to different sample preparation protocols and MS-based analytical platforms. In conclusion a practical example of measurement uncertainty applied to the quantification of central carbon metabolism compound via MS is illustrated in order to perform a close examination of the topic and highlight the critical step that have to be carefully validated during MS-based profiling analysis. © 2013 Wiley-VCH Verlag GmbH &amp; Co. KGaA.","author":[{"dropping-particle":"","family":"Lammerhofer","given":"Michael","non-dropping-particle":"","parse-names":false,"suffix":""},{"dropping-particle":"","family":"Weckwerth","given":"Wolfram","non-dropping-particle":"","parse-names":false,"suffix":""}],"container-title":"Metabolomics in Practice","id":"ITEM-1","issued":{"date-parts":[["2013"]]},"title":"Metabolomics in Practice","type":"book"},"uris":["http://www.mendeley.com/documents/?uuid=c70a6f3c-de07-4908-b148-208d7cff63da"]}],"mendeley":{"formattedCitation":"(Lammerhofer &amp; Weckwerth, 2013)","plainTextFormattedCitation":"(Lammerhofer &amp; Weckwerth, 2013)","previouslyFormattedCitation":"(Lammerhofer &amp; Weckwerth,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(Lammerhofer &amp; Weckwerth,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Research into the specific health benefits of oolong tea is rare. The bioactive components present in oolong tea are a mixture of those found in green and black tea and therefore research has concentrated very much on these teas. For example, “studies have shown that theasinensin A, a polymer formed by anthocyanidins units from oolong tea, induces apoptosis in tumour cells”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{"citationItems":[{"id":"ITEM-1","itemData":{"DOI":"10.1016/j.phrs.2012.10.018","ISSN":"10436618","abstract":"In recent years, numerous studies have demonstrated the health benefits of polyphenols, and special attention has been paid to their beneficial effects against cardiovascular disease, the leading cause of death in the world today. Polyphenols present vasodilator effects and are able to improve lipid profiles and attenuate the oxidation of low density lipoproteins. In addition, they present clear anti-inflammatory effects and can modulate apoptotic processes in the vascular endothelium. It has been suggested that most of these effects are a consequence of the antioxidant properties of polyphenols, but this idea is not completely accepted, and many other mechanisms have been proposed recently to explain the health effects of these compounds. In fact, different signaling pathways have been linked to polyphenols. This review brings together some recent studies which establish the beneficial properties of polyphenols for cardiovascular disease and analyzes the mechanisms involved in these properties. © 2012 Elsevier Ltd.","author":[{"dropping-particle":"","family":"Quiñones","given":"Mar","non-dropping-particle":"","parse-names":false,"suffix":""},{"dropping-particle":"","family":"Miguel","given":"Marta","non-dropping-particle":"","parse-names":false,"suffix":""},{"dropping-particle":"","family":"Aleixandre","given":"Amaya","non-dropping-particle":"","parse-names":false,"suffix":""}],"container-title":"Pharmacological Research","id":"ITEM-1","issue":"1","issued":{"date-parts":[["2013"]]},"page":"125-131","title":"Beneficial effects of polyphenols on cardiovascular disease","type":"article-journal","volume":"68"},"uris":["http://www.mendeley.com/documents/?uuid=9d9e73ba-7ebe-441d-8353-7a863d6ecd7a"]}],"mendeley":{"formattedCitation":"(Quiñones, Miguel, &amp; Aleixandre, 2013)","plainTextFormattedCitation":"(Quiñones, Miguel, &amp; Aleixandre, 2013)","previouslyFormattedCitation":"(Quiñones, Miguel, &amp; Aleixandre,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(Quiñones, Miguel, &amp; Aleixandre,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This component is present in teas that have gone through the oxidation process and, as stated earlier, is a </w:t>
      </w:r>
      <w:proofErr w:type="spellStart"/>
      <w:r w:rsidRPr="00CF1D1E">
        <w:rPr>
          <w:rFonts w:ascii="Calibri" w:eastAsia="Calibri" w:hAnsi="Calibri" w:cs="Times New Roman"/>
          <w:sz w:val="24"/>
          <w:szCs w:val="24"/>
        </w:rPr>
        <w:t>well documented</w:t>
      </w:r>
      <w:proofErr w:type="spellEnd"/>
      <w:r w:rsidRPr="00CF1D1E">
        <w:rPr>
          <w:rFonts w:ascii="Calibri" w:eastAsia="Calibri" w:hAnsi="Calibri" w:cs="Times New Roman"/>
          <w:sz w:val="24"/>
          <w:szCs w:val="24"/>
        </w:rPr>
        <w:t xml:space="preserve"> component of black tea. Further research would be required to pin down whether this apopto</w:t>
      </w:r>
      <w:r w:rsidR="002D7796">
        <w:rPr>
          <w:rFonts w:ascii="Calibri" w:eastAsia="Calibri" w:hAnsi="Calibri" w:cs="Times New Roman"/>
          <w:sz w:val="24"/>
          <w:szCs w:val="24"/>
        </w:rPr>
        <w:t>tic</w:t>
      </w:r>
      <w:r w:rsidRPr="00CF1D1E">
        <w:rPr>
          <w:rFonts w:ascii="Calibri" w:eastAsia="Calibri" w:hAnsi="Calibri" w:cs="Times New Roman"/>
          <w:sz w:val="24"/>
          <w:szCs w:val="24"/>
        </w:rPr>
        <w:t xml:space="preserve"> effect is</w:t>
      </w:r>
      <w:r w:rsidR="00BC20F7">
        <w:rPr>
          <w:rFonts w:ascii="Calibri" w:eastAsia="Calibri" w:hAnsi="Calibri" w:cs="Times New Roman"/>
          <w:sz w:val="24"/>
          <w:szCs w:val="24"/>
        </w:rPr>
        <w:t xml:space="preserve"> specific to the theasinensin </w:t>
      </w:r>
      <w:proofErr w:type="gramStart"/>
      <w:r w:rsidR="00BC20F7">
        <w:rPr>
          <w:rFonts w:ascii="Calibri" w:eastAsia="Calibri" w:hAnsi="Calibri" w:cs="Times New Roman"/>
          <w:sz w:val="24"/>
          <w:szCs w:val="24"/>
        </w:rPr>
        <w:t>A</w:t>
      </w:r>
      <w:proofErr w:type="gramEnd"/>
      <w:r w:rsidR="00BC20F7">
        <w:rPr>
          <w:rFonts w:ascii="Calibri" w:eastAsia="Calibri" w:hAnsi="Calibri" w:cs="Times New Roman"/>
          <w:sz w:val="24"/>
          <w:szCs w:val="24"/>
        </w:rPr>
        <w:t xml:space="preserve"> </w:t>
      </w:r>
      <w:r w:rsidRPr="00CF1D1E">
        <w:rPr>
          <w:rFonts w:ascii="Calibri" w:eastAsia="Calibri" w:hAnsi="Calibri" w:cs="Times New Roman"/>
          <w:sz w:val="24"/>
          <w:szCs w:val="24"/>
        </w:rPr>
        <w:t xml:space="preserve">molecule or if the chemical matrix of oolong tea is necessary for this effect to be observed. The health benefits of the </w:t>
      </w:r>
      <w:r w:rsidRPr="00CF1D1E">
        <w:rPr>
          <w:rFonts w:ascii="Calibri" w:eastAsia="Calibri" w:hAnsi="Calibri" w:cs="Times New Roman"/>
          <w:sz w:val="24"/>
          <w:szCs w:val="24"/>
        </w:rPr>
        <w:lastRenderedPageBreak/>
        <w:t>components present in oolong tea, as a result of partial oxidation, are described earlier in this and previous chapters.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Even though yellow tea and Pu’er tea are not the focus of this particular study, for completeness there follows a brief overview of their phytochemistry and health benefits.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Yellow tea undergoes slight natural oxidation through the </w:t>
      </w:r>
      <w:r w:rsidR="002D7796">
        <w:rPr>
          <w:rFonts w:ascii="Calibri" w:eastAsia="Calibri" w:hAnsi="Calibri" w:cs="Times New Roman"/>
          <w:sz w:val="24"/>
          <w:szCs w:val="24"/>
        </w:rPr>
        <w:t xml:space="preserve">heaping or men huang </w:t>
      </w:r>
      <w:r w:rsidRPr="00CF1D1E">
        <w:rPr>
          <w:rFonts w:ascii="Calibri" w:eastAsia="Calibri" w:hAnsi="Calibri" w:cs="Times New Roman"/>
          <w:sz w:val="24"/>
          <w:szCs w:val="24"/>
        </w:rPr>
        <w:t>production</w:t>
      </w:r>
      <w:r w:rsidR="002D7796">
        <w:rPr>
          <w:rFonts w:ascii="Calibri" w:eastAsia="Calibri" w:hAnsi="Calibri" w:cs="Times New Roman"/>
          <w:sz w:val="24"/>
          <w:szCs w:val="24"/>
        </w:rPr>
        <w:t xml:space="preserve"> process</w:t>
      </w:r>
      <w:r w:rsidRPr="00CF1D1E">
        <w:rPr>
          <w:rFonts w:ascii="Calibri" w:eastAsia="Calibri" w:hAnsi="Calibri" w:cs="Times New Roman"/>
          <w:sz w:val="24"/>
          <w:szCs w:val="24"/>
        </w:rPr>
        <w:t>. As a result of this heaping processing, yellow teas contain higher amounts of gallo-catechin, catechin and gallo-catechingallate than green teas.</w:t>
      </w:r>
      <w:r w:rsidRPr="00CF1D1E">
        <w:rPr>
          <w:rFonts w:ascii="Calibri" w:eastAsia="Calibri" w:hAnsi="Calibri" w:cs="Times New Roman"/>
        </w:rPr>
        <w:t xml:space="preserve"> </w:t>
      </w:r>
      <w:r w:rsidRPr="00CF1D1E">
        <w:rPr>
          <w:rFonts w:ascii="Calibri" w:eastAsia="Calibri" w:hAnsi="Calibri" w:cs="Times New Roman"/>
          <w:sz w:val="24"/>
          <w:szCs w:val="24"/>
        </w:rPr>
        <w:t xml:space="preserve">The total amount of catechins decreases during the oxidation process, and EGCG is degraded to gallo-catechingallate resulting in a higher content in yellow tea </w:t>
      </w:r>
      <w:r w:rsidR="002D7796">
        <w:rPr>
          <w:rFonts w:ascii="Calibri" w:eastAsia="Calibri" w:hAnsi="Calibri" w:cs="Times New Roman"/>
          <w:sz w:val="24"/>
          <w:szCs w:val="24"/>
        </w:rPr>
        <w:t>and subsequently</w:t>
      </w:r>
      <w:r w:rsidRPr="00CF1D1E">
        <w:rPr>
          <w:rFonts w:ascii="Calibri" w:eastAsia="Calibri" w:hAnsi="Calibri" w:cs="Times New Roman"/>
          <w:sz w:val="24"/>
          <w:szCs w:val="24"/>
        </w:rPr>
        <w:t xml:space="preserve"> in health benefits similar to that of green tea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{"citationItems":[{"id":"ITEM-1","itemData":{"DOI":"10.1016/j.foodchem.2016.05.048","ISSN":"18737072","abstract":"This paper presents a study on development of functional food products containing green and yellow tea leaves. The results indicated that green and yellow tea are significant tools in the creation of the nutritional value, antioxidative potential and stability of the lipid fraction of cookies. Tea-fortified cookies showed considerably higher contents of dietary fiber, especially hemicellulose and insoluble fractions, and were characterized by significantly higher antioxidant potential associated with their phenolics content. Results of ABTS, DPPH, ORAC FL and PCL assay showed significantly higher antioxidant potential of tea cookies, highest for yellow tea. The antioxidative potential of applied teas was significant in terms of the inhibition of hydroperoxide content, while formation of secondary lipid oxidation products was less spectacular. It is concluded that tea leaves could be widely used as a source of polyphenols with high antioxidative potential, as well as fiber; thus introducing numerous health benefits for the consumer.","author":[{"dropping-particle":"","family":"Gramza-Michałowska","given":"Anna","non-dropping-particle":"","parse-names":false,"suffix":""},{"dropping-particle":"","family":"Kobus-Cisowska","given":"Joanna","non-dropping-particle":"","parse-names":false,"suffix":""},{"dropping-particle":"","family":"Kmiecik","given":"Dominik","non-dropping-particle":"","parse-names":false,"suffix":""},{"dropping-particle":"","family":"Korczak","given":"Józef","non-dropping-particle":"","parse-names":false,"suffix":""},{"dropping-particle":"","family":"Helak","given":"Barbara","non-dropping-particle":"","parse-names":false,"suffix":""},{"dropping-particle":"","family":"Dziedzic","given":"Krzysztof","non-dropping-particle":"","parse-names":false,"suffix":""},{"dropping-particle":"","family":"Górecka","given":"Danuta","non-dropping-particle":"","parse-names":false,"suffix":""}],"container-title":"Food Chemistry","id":"ITEM-1","issued":{"date-parts":[["2016"]]},"page":"448-454","title":"Antioxidative potential, nutritional value and sensory profiles of confectionery fortified with green and yellow tea leaves (Camellia sinensis)","type":"article-journal","volume":"211"},"uris":["http://www.mendeley.com/documents/?uuid=435795d4-7b9d-4b8c-9e6c-b244857a7b5a"]}],"mendeley":{"formattedCitation":"(Gramza-Michałowska et al., 2016)","plainTextFormattedCitation":"(Gramza-Michałowska et al., 2016)","previouslyFormattedCitation":"(Gramza-Michałowska et al., 2016)"},"properties":{"noteIndex":0},"schema":"https://github.com/citation-style-language/schema/raw/master/csl-citation.json"}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(Gramza-Michałowska </w:t>
      </w:r>
      <w:r w:rsidR="00941740" w:rsidRPr="00C6622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Pu’er tea is a post-fermented tea which is formed into cakes and left to ferment naturally over many years culturing micro-organisms from its environment (sheng) or aged over several months in humidity controlled facilities (</w:t>
      </w:r>
      <w:proofErr w:type="spellStart"/>
      <w:r w:rsidRPr="00CF1D1E">
        <w:rPr>
          <w:rFonts w:ascii="Calibri" w:eastAsia="Calibri" w:hAnsi="Calibri" w:cs="Times New Roman"/>
          <w:sz w:val="24"/>
          <w:szCs w:val="24"/>
        </w:rPr>
        <w:t>shou</w:t>
      </w:r>
      <w:proofErr w:type="spellEnd"/>
      <w:r w:rsidRPr="00CF1D1E">
        <w:rPr>
          <w:rFonts w:ascii="Calibri" w:eastAsia="Calibri" w:hAnsi="Calibri" w:cs="Times New Roman"/>
          <w:sz w:val="24"/>
          <w:szCs w:val="24"/>
        </w:rPr>
        <w:t xml:space="preserve">). Leaves may also be intentionally inoculated with selected microorganisms such as </w:t>
      </w:r>
      <w:r w:rsidRPr="00CF1D1E">
        <w:rPr>
          <w:rFonts w:ascii="Calibri" w:eastAsia="Calibri" w:hAnsi="Calibri" w:cs="Times New Roman"/>
          <w:i/>
          <w:sz w:val="24"/>
          <w:szCs w:val="24"/>
        </w:rPr>
        <w:t>Aspergillus sp</w:t>
      </w:r>
      <w:r w:rsidRPr="00CF1D1E">
        <w:rPr>
          <w:rFonts w:ascii="Calibri" w:eastAsia="Calibri" w:hAnsi="Calibri" w:cs="Times New Roman"/>
          <w:sz w:val="24"/>
          <w:szCs w:val="24"/>
        </w:rPr>
        <w:t xml:space="preserve">. The main focus in literature  of the health benefits, with this tea, is not the phytochemistry  but the probiotic qualities that aid digestion and are thought to promote a healthy immune system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{"citationItems":[{"id":"ITEM-1","itemData":{"ISBN":"9781465436061","author":[{"dropping-particle":"","family":"L.Gaylard","given":"","non-dropping-particle":"","parse-names":false,"suffix":""}],"id":"ITEM-1","issued":{"date-parts":[["2015"]]},"title":"The Tea Book","type":"book"},"uris":["http://www.mendeley.com/documents/?uuid=a02c7812-4281-4c36-b6e0-5bd62498e844"]}],"mendeley":{"formattedCitation":"(L.Gaylard, 2015)","plainTextFormattedCitation":"(L.Gaylard, 2015)","previouslyFormattedCitation":"(L.Gaylard,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(L.Gaylard,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Pu’er tea tasting is a social practice of strong cultural significance in China that emphasizes shared sensory experience, wellbeing, and alertness. Research shows that production environment, processing methods, and infusion sequence in tea preparation have a measurable effect on the phytochemical profile, free radical scavenging activity, and flavour of this tea. The processing steps are similar to that of green tea, in which oxidation of phytochemicals is prevented. However, the deactivation of enzymes is not complete for Pu’er tea. Consequently, Pu’er tea undergoes a distinct oxidation process and develops a smooth taste with age.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{"citationItems":[{"id":"ITEM-1","itemData":{"DOI":"10.1016/j.jep.2010.08.016","ISSN":"03788741","abstract":"Aim of the study: Pu-erh (or pu'er) tea tasting is a social practice that emphasizes shared sensory experience, wellbeing, and alertness. The present study examines how variable production and preparation practices of pu-erh tea affect drinkers' perceptions, phytochemical profiles, and anti-oxidant activity. Materials and methods: One hundred semi-structured interviews were conducted in Yunnan Province to understand the cultural and environmental context of pu-erh tea tasting. The gong fu cha dao ('way of tea' with 'effort,' 'work,' or 'skill') method of brewing tea through multiple infusions was employed to evaluate green and black pu-erh samples from smallholder agro-forests and terrace plantations. Ranking interviews, High Performance Liquid Chromatography (HPLC), and the 1-1-diphenyl-2-picrylhydrazyl (DPPH) assay were conducted to characterize color and taste profiles, Total Catechin Content (TCC), Total Methylxanthine Content (TMC), and free radical scavenging capacity (IC50). Results: Significant variation was found among pu-erh samples based on: (1) agro-ecosystem mode of production by TCC (P&lt;0.0001) and TMC (P&lt;0.0265), (2) processing method for TCC (P&lt;0.0001), TMC (P&lt;0.0027), and free radical scavenging capacity (P&lt;0.0001), (3) infusion sequence for TMC (P&lt;0.0013), (4) taste rankings for TCC (P&lt;0.0001), TMC (P&lt;0.0001), and IC50 (P&lt;0.0059) and, (5) color rankings for TMC (P&lt;0.0009) and IC50 (P&lt;0.0001). Samples rated as bitter and bitter-sweet contained the greatest TCC and free radical scavenging capacity. Conclusions: This research demonstrated that production environment, processing methods, and infusion sequence in preparing tea are related to the phytochemical profile, free radical scavenging activity, and flavor of tea. Findings contribute to the ethnomedical literature by supporting previous studies that have hypothesized that the taste of plants, particularly bitterness, may guide societies in the search for medicinal plants and beneficial phytochemicals. © 2010 Elsevier Ireland Ltd.","author":[{"dropping-particle":"","family":"Ahmed","given":"Selena","non-dropping-particle":"","parse-names":false,"suffix":""},{"dropping-particle":"","family":"Unachukwu","given":"Uchenna","non-dropping-particle":"","parse-names":false,"suffix":""},{"dropping-particle":"","family":"Stepp","given":"John Richard","non-dropping-particle":"","parse-names":false,"suffix":""},{"dropping-particle":"","family":"Peters","given":"Charles M.","non-dropping-particle":"","parse-names":false,"suffix":""},{"dropping-particle":"","family":"Long","given":"Chunlin","non-dropping-particle":"","parse-names":false,"suffix":""},{"dropping-particle":"","family":"Kennelly","given":"Edward","non-dropping-particle":"","parse-names":false,"suffix":""}],"container-title":"Journal of Ethnopharmacology","id":"ITEM-1","issue":"1","issued":{"date-parts":[["2010"]]},"page":"176-185","publisher":"Elsevier Ireland Ltd","title":"Pu-erh tea tasting in Yunnan, China: Correlation of drinkers' perceptions to phytochemistry","type":"article-journal","volume":"132"},"uris":["http://www.mendeley.com/documents/?uuid=d6bfe9db-3d52-4297-ad55-4a0af393366f"]}],"mendeley":{"formattedCitation":"(Ahmed et al., 2010)","plainTextFormattedCitation":"(Ahmed et al., 2010)","previouslyFormattedCitation":"(Ahmed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(Ahmed </w:t>
      </w:r>
      <w:r w:rsidR="00941740" w:rsidRPr="00C6622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Statins are produced during the microbial fermentation process of Pu’er tea. The microorganisms in black Pu’er, oxidize polyphenol compounds more completely than the usual process catalysed by the tea leaf’s intrinsic PPO and create fermentation derived compounds known as statins</w:t>
      </w:r>
      <w:r w:rsidR="00981A14">
        <w:rPr>
          <w:rFonts w:ascii="Calibri" w:eastAsia="Calibri" w:hAnsi="Calibri" w:cs="Times New Roman"/>
          <w:sz w:val="24"/>
          <w:szCs w:val="24"/>
        </w:rPr>
        <w:t xml:space="preserve"> (Fig.86)</w:t>
      </w:r>
      <w:r w:rsidRPr="00CF1D1E">
        <w:rPr>
          <w:rFonts w:ascii="Calibri" w:eastAsia="Calibri" w:hAnsi="Calibri" w:cs="Times New Roman"/>
          <w:sz w:val="24"/>
          <w:szCs w:val="24"/>
        </w:rPr>
        <w:t xml:space="preserve">. Statins are a class of lipid-lowering drugs that decrease the chances of illness and death in those who have an increased risk of cardiovascular disease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{"citationItems":[{"id":"ITEM-1","itemData":{"DOI":"10.2307/20079276","abstract":"Through examination of the horse trade, silver exports, and cowry monetary system of Yunnan, currently a province in southwestern China, this paper seeks to place Yunnan in global perspective. Furthermore, by considering Yunnan's cross-regional trade networks as routes parallel to the overland Silk Roads and the maritime Silk Roads, the paper adds new dimensions to the understanding of Eurasian communications. Finally, consideration of world-system perspectives will shed some light on contemporary world-system debates.","author":[{"dropping-particle":"","family":"Yang","given":"Bin","non-dropping-particle":"","parse-names":false,"suffix":""}],"container-title":"Journal of World History","id":"ITEM-1","issued":{"date-parts":[["2004"]]},"page":"281-322","publisher":"University of Hawai'i Press","title":"Horses, Silver, and Cowries: Yunnan in Global Perspective","type":"article","volume":"15"},"uris":["http://www.mendeley.com/documents/?uuid=b172d462-84ef-3ea4-8265-3e50cc64ec0f"]}],"mendeley":{"formattedCitation":"(Yang, 2004)","plainTextFormattedCitation":"(Yang, 2004)","previouslyFormattedCitation":"(Yang, 2004)"},"properties":{"noteIndex":0},"schema":"https://github.com/citation-style-language/schema/raw/master/csl-citation.json"}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(Yang, 2004)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left="2160" w:firstLine="720"/>
        <w:jc w:val="both"/>
        <w:rPr>
          <w:rFonts w:ascii="Calibri" w:eastAsia="Calibri" w:hAnsi="Calibri" w:cs="Times New Roman"/>
          <w:sz w:val="24"/>
          <w:szCs w:val="24"/>
        </w:rPr>
      </w:pPr>
      <w:r w:rsidRPr="00CF1D1E">
        <w:rPr>
          <w:rFonts w:ascii="Calibri" w:eastAsia="Calibri" w:hAnsi="Calibri" w:cs="Times New Roman"/>
        </w:rPr>
        <w:object w:dxaOrig="2124" w:dyaOrig="1738">
          <v:shape id="_x0000_i1033" type="#_x0000_t75" style="width:118.3pt;height:98.75pt" o:ole="">
            <v:imagedata r:id="rId151" o:title=""/>
          </v:shape>
          <o:OLEObject Type="Embed" ProgID="ChemDraw.Document.6.0" ShapeID="_x0000_i1033" DrawAspect="Content" ObjectID="_1658825299" r:id="rId152"/>
        </w:object>
      </w:r>
    </w:p>
    <w:p w:rsidR="00CF1D1E" w:rsidRPr="00CF1D1E" w:rsidRDefault="00CF1D1E" w:rsidP="00CF1D1E">
      <w:pPr>
        <w:spacing w:line="360" w:lineRule="auto"/>
        <w:ind w:left="2160" w:firstLine="720"/>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Fig.86.</w:t>
      </w:r>
      <w:r w:rsidRPr="00CF1D1E">
        <w:rPr>
          <w:rFonts w:ascii="Calibri" w:eastAsia="Calibri" w:hAnsi="Calibri" w:cs="Times New Roman"/>
        </w:rPr>
        <w:t xml:space="preserve"> </w:t>
      </w:r>
      <w:r w:rsidRPr="00CF1D1E">
        <w:rPr>
          <w:rFonts w:ascii="Calibri" w:eastAsia="Calibri" w:hAnsi="Calibri" w:cs="Times New Roman"/>
          <w:sz w:val="20"/>
          <w:szCs w:val="20"/>
        </w:rPr>
        <w:t>Lovastatin. An example of a statin molecule.</w:t>
      </w:r>
    </w:p>
    <w:p w:rsidR="00CF1D1E" w:rsidRPr="00CF1D1E" w:rsidRDefault="00CF1D1E" w:rsidP="00CF1D1E">
      <w:pPr>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This provides an interesting route for future research in to the discovery and production of pharmaceuticals. The high diversity of secondary metabolites raises their interest for drug discovery. Today about one‐third of all drugs on the market are secondary metabolites or compounds derived from secondary metabolite scaffolds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{"citationItems":[{"id":"ITEM-1","itemData":{"DOI":"10.1021/acs.jnatprod.5b01055","ISSN":"15206025","abstract":"This contribution is a completely updated and expanded version of the four prior analogous reviews that were published in this journal in 1997, 2003, 2007, and 2012. In the case of all approved therapeutic agents, the time frame has been extended to cover the 34 years from January 1, 1981, to December 31, 2014, for all diseases worldwide, and from 1950 (earliest so far identified) to December 2014 for all approved antitumor drugs worldwide. As mentioned in the 2012 review, we have continued to utilize our secondary subdivision of a \"natural product mimic\", or \"NM\", to join the original primary divisions and the designation \"natural product botanical\", or \"NB\", to cover those botanical \"defined mixtures\" now recognized as drug entities by the U.S. FDA (and similar organizations). From the data presented in this review, the utilization of natural products and/or their novel structures, in order to discover and develop the final drug entity, is still alive and well. For example, in the area of cancer, over the time frame from around the 1940s to the end of 2014, of the 175 small molecules approved, 131, or 75%, are other than \"S\" (synthetic), with 85, or 49%, actually being either natural products or directly derived therefrom. In other areas, the influence of natural product structures is quite marked, with, as expected from prior information, the anti-infective area being dependent on natural products and their structures. We wish to draw the attention of readers to the rapidly evolving recognition that a significant number of natural product drugs/leads are actually produced by microbes and/or microbial interactions with the \"host from whence it was isolated\", and therefore it is considered that this area of natural product research should be expanded significantly.","author":[{"dropping-particle":"","family":"Newman","given":"David J.","non-dropping-particle":"","parse-names":false,"suffix":""},{"dropping-particle":"","family":"Cragg","given":"Gordon M.","non-dropping-particle":"","parse-names":false,"suffix":""}],"container-title":"Journal of Natural Products","id":"ITEM-1","issue":"3","issued":{"date-parts":[["2016"]]},"page":"629-661","title":"Natural Products as Sources of New Drugs from 1981 to 2014","type":"article-journal","volume":"79"},"uris":["http://www.mendeley.com/documents/?uuid=02413787-c98b-42e9-aac2-739f6eb93393"]}],"mendeley":{"formattedCitation":"(Newman &amp; Cragg, 2016)","plainTextFormattedCitation":"(Newman &amp; Cragg, 2016)","previouslyFormattedCitation":"(Newman &amp; Cragg, 2016)"},"properties":{"noteIndex":0},"schema":"https://github.com/citation-style-language/schema/raw/master/csl-citation.json"}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(Newman &amp; Cragg, 2016)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This figure increases to 49% in terms of cancer treatment. A significant number of these compounds of interest are created via microbial interactions with the host from which they were isolated. An example of a success in this line of drug discovery is the recent approval, by  the US Food and Drug Administration (FDA), of an enriched green tea polyphenol extract (Polyphenon E®) as an ointment for the treatment of genital warts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{"citationItems":[{"id":"ITEM-1","itemData":{"DOI":"10.1111/j.1365-2133.2009.09375.x","ISSN":"00070963","abstract":"Background External genital warts (EGWs, condylomata acuminata) are a common, highly contagious disease caused by human papillomavirus (HPV), predominantly HPV 6 and HPV 11. Green tea catechins have been identified for their immunostimulatory, antiproliferative and antitumour properties. Two phase III trials evaluated treatment of EGWs with ointment containing a mixture of green tea catechins (Polyphenon E®, U.S. adopted name: sinecatechins). Objectives To obtain additional data on the efficacy and safety of Polyphenon E® ointment in the treatment of EGWs from two randomized, double-blind, vehicle-controlled trials. Methods Men and women aged ≥ 18 years (n = 1005), with two to 30 EGWs (12-600 mm2 total area) applied vehicle (GVeh; n = 207), Polyphenon E® ointment 10% (G10%; n = 401) or Polyphenon E® ointment 15% (G15%; n = 397) three times daily until complete clearance of all EGWs (baseline + new EGWs) or for a maximum of 16 weeks. Results A total of 1004 patients were evaluable for safety and 986 for efficacy; 838 completed treatment after 16 weeks. Complete clearance of all EGWs was obtained in 53·6% (G10%) and 54·9% (G15%) of patients with Polyphenon E® vs. vehicle (35·4%) (P &lt; 0·001). Statistically significant differences in clearance rates appeared after 6 weeks of active treatment. Odds ratios vs. GVeh for G 10% [2·10; 95% confidence interval (CI) 1·49- 2·98] and G15% (2·22; 95% CI 1·57-3·14) indicated about a twofold higher chance of complete clearance under active treatment. Time to complete clearance was shorter with active treatment (hazard ratios 1·57 and 1·87, respectively, for G10% and G 15% vs. GVeh groups; P &lt; 0·001). Recurrence rates during follow-up were low and similar across groups: 5·8%, 6·8% and 6·5% (GVeh, G10% and G 15% groups, respectively). Adverse events were evenly distributed across groups (</w:instrText>
      </w:r>
      <w:r w:rsidR="00595237">
        <w:rPr>
          <w:rFonts w:ascii="Cambria Math" w:eastAsia="Calibri" w:hAnsi="Cambria Math" w:cs="Cambria Math"/>
          <w:sz w:val="24"/>
          <w:szCs w:val="24"/>
        </w:rPr>
        <w:instrText>∼</w:instrText>
      </w:r>
      <w:r w:rsidR="00595237">
        <w:rPr>
          <w:rFonts w:ascii="Calibri" w:eastAsia="Calibri" w:hAnsi="Calibri" w:cs="Times New Roman"/>
          <w:sz w:val="24"/>
          <w:szCs w:val="24"/>
        </w:rPr>
        <w:instrText xml:space="preserve"> 30% of patients). Severe local signs were more frequent but moderate in the active treatment groups (1·5%, 9·2% and 13·5% for GVeh, G10% and G15% groups, respectively). Conclusions Polyphenon E® ointment is effective and well tolerated in the treatment of EGWs. © 2009 British Association of Dermatologists.","author":[{"dropping-particle":"","family":"Tatti","given":"S.","non-dropping-particle":"","parse-names":false,"suffix":""},{"dropping-particle":"","family":"Stockfleth","given":"E.","non-dropping-particle":"","parse-names":false,"suffix":""},{"dropping-particle":"","family":"Beutner","given":"K. R.","non-dropping-particle":"","parse-names":false,"suffix":""},{"dropping-particle":"","family":"Tawfik","given":"H.","non-dropping-particle":"","parse-names":false,"suffix":""},{"dropping-particle":"","family":"Elsasser","given":"U.","non-dropping-particle":"","parse-names":false,"suffix":""},{"dropping-particle":"","family":"Weyrauch","given":"P.","non-dropping-particle":"","parse-names":false,"suffix":""},{"dropping-particle":"","family":"Mescheder","given":"A.","non-dropping-particle":"","parse-names":false,"suffix":""}],"container-title":"British Journal of Dermatology","id":"ITEM-1","issue":"1","issued":{"date-parts":[["2010"]]},"page":"176-184","title":"Polyphenon E®: A new treatment for external anogenital warts","type":"article-journal","volume":"162"},"uris":["http://www.mendeley.com/documents/?uuid=f2c9bf23-b249-4290-bdd2-e3fd9c5ae96f"]}],"mendeley":{"formattedCitation":"(Tatti et al., 2010)","plainTextFormattedCitation":"(Tatti et al., 2010)","previouslyFormattedCitation":"(Tatti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(Tatti </w:t>
      </w:r>
      <w:r w:rsidR="00941740" w:rsidRPr="00C6622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Polyphenon E® has also been tested in a number of trials against various cancers as both a preventive and a direct agent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{"citationItems":[{"id":"ITEM-1","itemData":{"DOI":"10.1021/np200906s","ISSN":"23747951","author":[{"dropping-particle":"","family":"Newman","given":"David J.","non-dropping-particle":"","parse-names":false,"suffix":""},{"dropping-particle":"","family":"Cragg","given":"Gordon M.","non-dropping-particle":"","parse-names":false,"suffix":""}],"container-title":"ACS Central Science","id":"ITEM-1","issue":"7","issued":{"date-parts":[["2012"]]},"title":"Natural Products as Sources of New Drugs from 1981 to 2010","type":"article-journal","volume":"1"},"uris":["http://www.mendeley.com/documents/?uuid=1b3fce2a-1b4e-43bb-8b84-96d1a4d25883"]}],"mendeley":{"formattedCitation":"(Newman &amp; Cragg, 2012)","plainTextFormattedCitation":"(Newman &amp; Cragg, 2012)","previouslyFormattedCitation":"(Newman &amp; Cragg, 2012)"},"properties":{"noteIndex":0},"schema":"https://github.com/citation-style-language/schema/raw/master/csl-citation.json"}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(Newman &amp; Cragg, 2012)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Another example is Crofelemer®, which has been approved by the FDA for symptomatic relief in HIV‐infected patients on antiretroviral therapy who have non‐infectious diarrhoea. Crofelemer® is manufactured from a purified polyphenol, an oligomeric proanthocyanidin, from the red latex of the South American tree </w:t>
      </w:r>
      <w:r w:rsidRPr="00CF1D1E">
        <w:rPr>
          <w:rFonts w:ascii="Calibri" w:eastAsia="Calibri" w:hAnsi="Calibri" w:cs="Times New Roman"/>
          <w:i/>
          <w:sz w:val="24"/>
          <w:szCs w:val="24"/>
        </w:rPr>
        <w:t xml:space="preserve">Croton lechleri </w:t>
      </w:r>
      <w:r w:rsidRPr="00CF1D1E">
        <w:rPr>
          <w:rFonts w:ascii="Calibri" w:eastAsia="Calibri" w:hAnsi="Calibri" w:cs="Times New Roman"/>
          <w:sz w:val="24"/>
          <w:szCs w:val="24"/>
        </w:rPr>
        <w:t>or</w:t>
      </w:r>
      <w:r w:rsidRPr="00CF1D1E">
        <w:rPr>
          <w:rFonts w:ascii="Calibri" w:eastAsia="Calibri" w:hAnsi="Calibri" w:cs="Times New Roman"/>
        </w:rPr>
        <w:t xml:space="preserve"> </w:t>
      </w:r>
      <w:proofErr w:type="spellStart"/>
      <w:r w:rsidRPr="00CF1D1E">
        <w:rPr>
          <w:rFonts w:ascii="Calibri" w:eastAsia="Calibri" w:hAnsi="Calibri" w:cs="Times New Roman"/>
          <w:i/>
          <w:sz w:val="24"/>
          <w:szCs w:val="24"/>
        </w:rPr>
        <w:t>sangre</w:t>
      </w:r>
      <w:proofErr w:type="spellEnd"/>
      <w:r w:rsidRPr="00CF1D1E">
        <w:rPr>
          <w:rFonts w:ascii="Calibri" w:eastAsia="Calibri" w:hAnsi="Calibri" w:cs="Times New Roman"/>
          <w:i/>
          <w:sz w:val="24"/>
          <w:szCs w:val="24"/>
        </w:rPr>
        <w:t xml:space="preserve"> de </w:t>
      </w:r>
      <w:proofErr w:type="spellStart"/>
      <w:r w:rsidRPr="00CF1D1E">
        <w:rPr>
          <w:rFonts w:ascii="Calibri" w:eastAsia="Calibri" w:hAnsi="Calibri" w:cs="Times New Roman"/>
          <w:i/>
          <w:sz w:val="24"/>
          <w:szCs w:val="24"/>
        </w:rPr>
        <w:t>drago</w:t>
      </w:r>
      <w:proofErr w:type="spellEnd"/>
      <w:r w:rsidRPr="00CF1D1E">
        <w:rPr>
          <w:rFonts w:ascii="Calibri" w:eastAsia="Calibri" w:hAnsi="Calibri" w:cs="Times New Roman"/>
          <w:i/>
          <w:sz w:val="24"/>
          <w:szCs w:val="24"/>
        </w:rPr>
        <w:t xml:space="preserve">, dragon’s blood </w:t>
      </w:r>
      <w:r w:rsidRPr="00CF1D1E">
        <w:rPr>
          <w:rFonts w:ascii="Calibri" w:eastAsia="Calibri" w:hAnsi="Calibri" w:cs="Times New Roman"/>
          <w:i/>
          <w:sz w:val="24"/>
          <w:szCs w:val="24"/>
        </w:rPr>
        <w:fldChar w:fldCharType="begin" w:fldLock="1"/>
      </w:r>
      <w:r w:rsidR="00595237">
        <w:rPr>
          <w:rFonts w:ascii="Calibri" w:eastAsia="Calibri" w:hAnsi="Calibri" w:cs="Times New Roman"/>
          <w:i/>
          <w:sz w:val="24"/>
          <w:szCs w:val="24"/>
        </w:rPr>
        <w:instrText>ADDIN CSL_CITATION {"citationItems":[{"id":"ITEM-1","itemData":{"DOI":"10.2147/btat.s42267","ISSN":"1179-9897","author":[{"dropping-particle":"","family":"MacArthur","given":"Rodger","non-dropping-particle":"","parse-names":false,"suffix":""},{"dropping-particle":"","family":"Leonard","given":"Christina","non-dropping-particle":"","parse-names":false,"suffix":""},{"dropping-particle":"","family":"Chordia","given":"Poorvi","non-dropping-particle":"","parse-names":false,"suffix":""}],"container-title":"Botanics: Targets and Therapy","id":"ITEM-1","issued":{"date-parts":[["2015"]]},"page":"21","title":"Profile of crofelemer for the symptomatic treatment of diarrhea in HIV-infected persons","type":"article-journal"},"uris":["http://www.mendeley.com/documents/?uuid=1c01451b-d1c4-4cf1-a280-59c7e1531713"]}],"mendeley":{"formattedCitation":"(MacArthur, Leonard, &amp; Chordia, 2015)","plainTextFormattedCitation":"(MacArthur, Leonard, &amp; Chordia, 2015)","previouslyFormattedCitation":"(MacArthur, Leonard, &amp; Chordia, 2015)"},"properties":{"noteIndex":0},"schema":"https://github.com/citation-style-language/schema/raw/master/csl-citation.json"}</w:instrText>
      </w:r>
      <w:r w:rsidRPr="00CF1D1E">
        <w:rPr>
          <w:rFonts w:ascii="Calibri" w:eastAsia="Calibri" w:hAnsi="Calibri" w:cs="Times New Roman"/>
          <w:i/>
          <w:sz w:val="24"/>
          <w:szCs w:val="24"/>
        </w:rPr>
        <w:fldChar w:fldCharType="separate"/>
      </w:r>
      <w:r w:rsidR="00941740" w:rsidRPr="00941740">
        <w:rPr>
          <w:rFonts w:ascii="Calibri" w:eastAsia="Calibri" w:hAnsi="Calibri" w:cs="Times New Roman"/>
          <w:noProof/>
          <w:sz w:val="24"/>
          <w:szCs w:val="24"/>
        </w:rPr>
        <w:t>(MacArthur, Leonard, &amp; Chordia, 2015)</w:t>
      </w:r>
      <w:r w:rsidRPr="00CF1D1E">
        <w:rPr>
          <w:rFonts w:ascii="Calibri" w:eastAsia="Calibri" w:hAnsi="Calibri" w:cs="Times New Roman"/>
          <w:i/>
          <w:sz w:val="24"/>
          <w:szCs w:val="24"/>
        </w:rPr>
        <w:fldChar w:fldCharType="end"/>
      </w:r>
      <w:r w:rsidRPr="00CF1D1E">
        <w:rPr>
          <w:rFonts w:ascii="Calibri" w:eastAsia="Calibri" w:hAnsi="Calibri" w:cs="Times New Roman"/>
          <w:i/>
          <w:sz w:val="24"/>
          <w:szCs w:val="24"/>
        </w:rPr>
        <w:t>.</w:t>
      </w:r>
      <w:r w:rsidRPr="00CF1D1E">
        <w:rPr>
          <w:rFonts w:ascii="Calibri" w:eastAsia="Calibri" w:hAnsi="Calibri" w:cs="Times New Roman"/>
          <w:sz w:val="24"/>
          <w:szCs w:val="24"/>
        </w:rPr>
        <w:t xml:space="preserve"> These examples show that polyphenols should continue to be considered as valuable drug candidates despite some general opinion demoting them to non‐selective compounds for treating disease with potential health benefits. The possibilities for the tea industry are evident</w:t>
      </w:r>
      <w:r w:rsidRPr="00CF1D1E">
        <w:rPr>
          <w:rFonts w:ascii="Calibri" w:eastAsia="Calibri" w:hAnsi="Calibri" w:cs="Times New Roman"/>
          <w:i/>
          <w:sz w:val="24"/>
          <w:szCs w:val="24"/>
        </w:rPr>
        <w:t xml:space="preserve"> </w:t>
      </w:r>
      <w:r w:rsidRPr="00CF1D1E">
        <w:rPr>
          <w:rFonts w:ascii="Calibri" w:eastAsia="Calibri" w:hAnsi="Calibri" w:cs="Times New Roman"/>
          <w:i/>
          <w:sz w:val="24"/>
          <w:szCs w:val="24"/>
        </w:rPr>
        <w:fldChar w:fldCharType="begin" w:fldLock="1"/>
      </w:r>
      <w:r w:rsidR="00595237">
        <w:rPr>
          <w:rFonts w:ascii="Calibri" w:eastAsia="Calibri" w:hAnsi="Calibri" w:cs="Times New Roman"/>
          <w:i/>
          <w:sz w:val="24"/>
          <w:szCs w:val="24"/>
        </w:rPr>
        <w:instrText>ADDIN CSL_CITATION {"citationItems":[{"id":"ITEM-1","itemData":{"ISBN":"9781119427933","author":[{"dropping-particle":"","family":"Cheynier","given":"V","non-dropping-particle":"","parse-names":false,"suffix":""}],"container-title":"Volume 6","id":"ITEM-1","issued":{"date-parts":[["2019"]]},"publisher":"Wiley, Blackwell","title":"Recent advances in polyphenol research","type":"book"},"uris":["http://www.mendeley.com/documents/?uuid=4be7dbf7-1278-41f9-9ff6-578c06f091e3"]}],"mendeley":{"formattedCitation":"(Cheynier, 2019)","plainTextFormattedCitation":"(Cheynier, 2019)","previouslyFormattedCitation":"(Cheynier, 2019)"},"properties":{"noteIndex":0},"schema":"https://github.com/citation-style-language/schema/raw/master/csl-citation.json"}</w:instrText>
      </w:r>
      <w:r w:rsidRPr="00CF1D1E">
        <w:rPr>
          <w:rFonts w:ascii="Calibri" w:eastAsia="Calibri" w:hAnsi="Calibri" w:cs="Times New Roman"/>
          <w:i/>
          <w:sz w:val="24"/>
          <w:szCs w:val="24"/>
        </w:rPr>
        <w:fldChar w:fldCharType="separate"/>
      </w:r>
      <w:r w:rsidR="00941740" w:rsidRPr="00941740">
        <w:rPr>
          <w:rFonts w:ascii="Calibri" w:eastAsia="Calibri" w:hAnsi="Calibri" w:cs="Times New Roman"/>
          <w:noProof/>
          <w:sz w:val="24"/>
          <w:szCs w:val="24"/>
        </w:rPr>
        <w:t>(Cheynier, 2019)</w:t>
      </w:r>
      <w:r w:rsidRPr="00CF1D1E">
        <w:rPr>
          <w:rFonts w:ascii="Calibri" w:eastAsia="Calibri" w:hAnsi="Calibri" w:cs="Times New Roman"/>
          <w:i/>
          <w:sz w:val="24"/>
          <w:szCs w:val="24"/>
        </w:rPr>
        <w:fldChar w:fldCharType="end"/>
      </w:r>
      <w:r w:rsidRPr="00CF1D1E">
        <w:rPr>
          <w:rFonts w:ascii="Calibri" w:eastAsia="Calibri" w:hAnsi="Calibri" w:cs="Times New Roman"/>
          <w:i/>
          <w:sz w:val="24"/>
          <w:szCs w:val="24"/>
        </w:rPr>
        <w:t>.</w:t>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rPr>
      </w:pPr>
      <w:r w:rsidRPr="00CF1D1E">
        <w:rPr>
          <w:rFonts w:ascii="Calibri" w:eastAsia="Calibri" w:hAnsi="Calibri" w:cs="Times New Roman"/>
          <w:sz w:val="24"/>
          <w:szCs w:val="24"/>
        </w:rPr>
        <w:t xml:space="preserve">In discussions with representatives from the tea industry, it was said that the ability to match some of the characterisation attributes to preferred or more valuable tea types, would allow a clearer understanding of what constitutes and drives segmentation and hence </w:t>
      </w:r>
      <w:r w:rsidRPr="00CF1D1E">
        <w:rPr>
          <w:rFonts w:ascii="Calibri" w:eastAsia="Calibri" w:hAnsi="Calibri" w:cs="Times New Roman"/>
          <w:sz w:val="24"/>
          <w:szCs w:val="24"/>
        </w:rPr>
        <w:lastRenderedPageBreak/>
        <w:t>value in the tea product landscape.  Furthermore, the opinion was expressed that once attributes that are associated with liked or disliked tea products are characterised, this enables product development to focus on attributes that are likely to be more commercially valuable  (Personal communication – Dr F. Dehrmann, Dr W. Tosch</w:t>
      </w:r>
      <w:r w:rsidR="00C22667">
        <w:rPr>
          <w:rFonts w:ascii="Calibri" w:eastAsia="Calibri" w:hAnsi="Calibri" w:cs="Times New Roman"/>
          <w:sz w:val="24"/>
          <w:szCs w:val="24"/>
        </w:rPr>
        <w:t xml:space="preserve"> from J. Finlay</w:t>
      </w:r>
      <w:r w:rsidRPr="00CF1D1E">
        <w:rPr>
          <w:rFonts w:ascii="Calibri" w:eastAsia="Calibri" w:hAnsi="Calibri" w:cs="Times New Roman"/>
          <w:sz w:val="24"/>
          <w:szCs w:val="24"/>
        </w:rPr>
        <w:t>). These discussions kindly provided an industry driven focus for this research. A better understanding of the chemistry of tea can provide not only a route to better process control but also facilitate a commercial edge through catering for consumers’ preferences.</w:t>
      </w:r>
      <w:r w:rsidRPr="00CF1D1E">
        <w:rPr>
          <w:rFonts w:ascii="Calibri" w:eastAsia="Calibri" w:hAnsi="Calibri" w:cs="Times New Roman"/>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It is generally agreed that the TF content is the best scientific indicator of the quality and value of teas. The higher the TF content, the higher the quality and therefore market value. The accurate and objective determination of optimum </w:t>
      </w:r>
      <w:r w:rsidR="00DD48EF">
        <w:rPr>
          <w:rFonts w:ascii="Calibri" w:eastAsia="Calibri" w:hAnsi="Calibri" w:cs="Times New Roman"/>
          <w:sz w:val="24"/>
          <w:szCs w:val="24"/>
        </w:rPr>
        <w:t>oxidation</w:t>
      </w:r>
      <w:r w:rsidRPr="00CF1D1E">
        <w:rPr>
          <w:rFonts w:ascii="Calibri" w:eastAsia="Calibri" w:hAnsi="Calibri" w:cs="Times New Roman"/>
          <w:sz w:val="24"/>
          <w:szCs w:val="24"/>
        </w:rPr>
        <w:t xml:space="preserve"> time in the factory becomes of great economic importance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{"citationItems":[{"id":"ITEM-1","itemData":{"author":[{"dropping-particle":"","family":"Cloughley","given":"J.B","non-dropping-particle":"","parse-names":false,"suffix":""}],"container-title":"Tea Res. Found. Cent. African Quart. 55: 16-18.","id":"ITEM-1","issued":{"date-parts":[["1979"]]},"title":"The determination of optimum fermentation time in the factory: In-Line TF analysis during fermentation. Tea Res. Found. Cent. African Quart. 55: 16-18. Cloughley,","type":"article-journal"},"uris":["http://www.mendeley.com/documents/?uuid=ae24b480-382c-4936-a237-2abd44858b48"]},{"id":"ITEM-2","itemData":{"author":[{"dropping-particle":"","family":"Cloughley","given":"J.B","non-dropping-particle":"","parse-names":false,"suffix":""}],"container-title":"J. Sci. Food Agric. 31: 911-919","id":"ITEM-2","issued":{"date-parts":[["1980"]]},"title":"Cloughley, J.B. 1980a. The effect of fermentation temperature on the quality parameters and price evaluation of Central African black teas. J. Sci. Food Agric. 31: 911-919. Cloughley,","type":"article-journal"},"uris":["http://www.mendeley.com/documents/?uuid=8d0933f9-a383-4431-9442-008bce0ce184"]},{"id":"ITEM-3","itemData":{"author":[{"dropping-particle":"","family":"Cloughley","given":"J.B","non-dropping-particle":"","parse-names":false,"suffix":""}],"container-title":"J. Sci. Food Agric. 31: 920-923.","id":"ITEM-3","issued":{"date-parts":[["1980"]]},"title":"Cloughley, J.B. 1980b. The effect of temperature on enzymic activity during the fermentation phase of black tea manufacture. J. Sci. Food Agric. 31: 920-923.","type":"article-journal"},"uris":["http://www.mendeley.com/documents/?uuid=0f3bb86b-fc1d-4bca-bb28-b8d2b4c4acd1"]}],"mendeley":{"formattedCitation":"(Cloughley, 1979, 1980a, 1980b)","plainTextFormattedCitation":"(Cloughley, 1979, 1980a, 1980b)","previouslyFormattedCitation":"(Cloughley, 1979, 1980a, 1980b)"},"properties":{"noteIndex":0},"schema":"https://github.com/citation-style-language/schema/raw/master/csl-citation.json"}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(Cloughley, 1979, 1980a, 1980b)</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TFs are stable in the presence of air and polyphenol oxidase but are rapidly converted to TRs under the action of peroxidase present in tea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{"citationItems":[{"id":"ITEM-1","itemData":{"author":[{"dropping-particle":"","family":"Dix, M.A., Fairley, C.J., Millin, D.J. and Swaine","given":"D. 1981.","non-dropping-particle":"","parse-names":false,"suffix":""}],"container-title":"J. Sci. Food Agric. 32: 920-932.","id":"ITEM-1","issued":{"date-parts":[["1981"]]},"title":"Fermentation of tea in aqueous suspension: influence of tea peroxidase. J. Sci. Food Agric. 32: 920-932.","type":"article-journal"},"uris":["http://www.mendeley.com/documents/?uuid=a71ce8e8-cd77-4fbd-9725-db7efef830fe"]}],"mendeley":{"formattedCitation":"(Dix, M.A., Fairley, C.J., Millin, D.J. and Swaine, 1981)","plainTextFormattedCitation":"(Dix, M.A., Fairley, C.J., Millin, D.J. and Swaine, 1981)","previouslyFormattedCitation":"(Dix, M.A., Fairley, C.J., Millin, D.J. and Swaine, 1981)"},"properties":{"noteIndex":0},"schema":"https://github.com/citation-style-language/schema/raw/master/csl-citation.json"}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(Dix, M.A., Fairley, C.J., Millin, D.J. and Swaine, 1981)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Black tea created from tea leaves harvested in the warmer months contain the highest level of theaflavins and, therefore, result in a correspondingly higher quality product. Coarse plucking or mechanical harvesting is used to harvest </w:t>
      </w:r>
      <w:r w:rsidR="00C22667">
        <w:rPr>
          <w:rFonts w:ascii="Calibri" w:eastAsia="Calibri" w:hAnsi="Calibri" w:cs="Times New Roman"/>
          <w:sz w:val="24"/>
          <w:szCs w:val="24"/>
        </w:rPr>
        <w:t xml:space="preserve">the </w:t>
      </w:r>
      <w:r w:rsidRPr="00CF1D1E">
        <w:rPr>
          <w:rFonts w:ascii="Calibri" w:eastAsia="Calibri" w:hAnsi="Calibri" w:cs="Times New Roman"/>
          <w:sz w:val="24"/>
          <w:szCs w:val="24"/>
        </w:rPr>
        <w:t xml:space="preserve">more mature leaves known to be of poorer quality. With age, the amount of EGCG and ECG falls sharply and the amount of EGC and EC increase. The ratio of (ECG+EGCG)/EGC is used to measure seasonal variation in the levels of flavonoids in green tea leaves on plantations and provides an analytical evaluation to determine the best time of year to harvest tea leaves. In addition, the activity of PPO may decrease by about 70 % during maturation of tea leaves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{"citationItems":[{"id":"ITEM-1","itemData":{"author":[{"dropping-particle":"","family":"Takeo, T. and Baker","given":"J.E.","non-dropping-particle":"","parse-names":false,"suffix":""}],"container-title":"Phytochem. 12: 21-24.","id":"ITEM-1","issued":{"date-parts":[["1973"]]},"title":"Takeo, T. and Baker, J.E.1973. Changes in multiple forms of polyphenol oxidase during maturation of tea leaves. Phytochem. 12: 21-24.","type":"article-journal"},"uris":["http://www.mendeley.com/documents/?uuid=0181faaa-9b01-412a-8052-0c64a1a444d4"]}],"mendeley":{"formattedCitation":"(Takeo, T. and Baker, 1973)","plainTextFormattedCitation":"(Takeo, T. and Baker, 1973)","previouslyFormattedCitation":"(Takeo, T. and Baker, 1973)"},"properties":{"noteIndex":0},"schema":"https://github.com/citation-style-language/schema/raw/master/csl-citation.json"}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(Takeo, T. and Baker, 1973)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ECG and EGCG are responsible for PPO inhibition, whereas EC and EGC are not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{"citationItems":[{"id":"ITEM-1","itemData":{"author":[{"dropping-particle":"","family":"Robertson","given":"A. 1983b.","non-dropping-particle":"","parse-names":false,"suffix":""}],"container-title":"Phytochem. 22(4): 897-903.","id":"ITEM-1","issued":{"date-parts":[["1983"]]},"title":"Robertson, A. 1983b. Effect of catechin concentration on the formation of black tea polyphenols during in vitro oxidation. Phytochem. 22(4): 897-903.","type":"article-journal"},"uris":["http://www.mendeley.com/documents/?uuid=d1d2a8c3-5cf7-4603-849d-0a3ecda57bec"]}],"mendeley":{"formattedCitation":"(Robertson, 1983)","plainTextFormattedCitation":"(Robertson, 1983)","previouslyFormattedCitation":"(Robertson, 1983)"},"properties":{"noteIndex":0},"schema":"https://github.com/citation-style-language/schema/raw/master/csl-citation.json"}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(Robertson, 1983)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This suggests that a high ratio of simple catechins to catechin-gallates in the leaf will facilitate a high ratio of TFs to TRs in the resultant black tea. On top of this, the levels of TFs in black tea increase quadratically with oxidation time, whilst the rate of production of individual TFs varies between tea plant clones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{"citationItems":[{"id":"ITEM-1","itemData":{"author":[{"dropping-particle":"","family":"Owuor, P.O., Orchard, J.E. and McDowell","given":"I","non-dropping-particle":"","parse-names":false,"suffix":""}],"container-title":"J. Sci. Food Agric. 64(3): 319-326.","id":"ITEM-1","issued":{"date-parts":[["1994"]]},"title":"Changes in the quality parameters of clonal black tea due to fermentation time. J. Sci. Food Agric. 64(3): 319-326. Owuor,","type":"article-journal"},"uris":["http://www.mendeley.com/documents/?uuid=fbf30597-ad21-4968-b112-f29108a0cd01"]}],"mendeley":{"formattedCitation":"(Owuor, P.O., Orchard, J.E. and McDowell, 1994)","plainTextFormattedCitation":"(Owuor, P.O., Orchard, J.E. and McDowell, 1994)","previouslyFormattedCitation":"(Owuor, P.O., Orchard, J.E. and McDowell, 1994)"},"properties":{"noteIndex":0},"schema":"https://github.com/citation-style-language/schema/raw/master/csl-citation.json"}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(Owuor, P.O., Orchard, J.E. and McDowell, 1994)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Good quality black tea is produced from tea leaves with high polyphenolic and caffeine content, a relatively low protein content, and an adequate amount of PPO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{"citationItems":[{"id":"ITEM-1","itemData":{"author":[{"dropping-particle":"","family":"Bhatia","given":"I.S. and Ullah","non-dropping-particle":"","parse-names":false,"suffix":""}],"container-title":"J. Sci. Food Agric. 19: 535- 542.","id":"ITEM-1","issued":{"date-parts":[["1968"]]},"title":"Bhatia, I.S. and Ullah, M.R. 1968. Polyphenols of tea. IV. Qualitative and quantitative study of the polyphenols of different organs and some cultivated varieties of tea plant. J. Sci. Food Agric. 19: 535- 542.","type":"article-journal"},"uris":["http://www.mendeley.com/documents/?uuid=3874b372-3db4-479d-9207-6fa5907d7675"]}],"mendeley":{"formattedCitation":"(Bhatia, 1968)","plainTextFormattedCitation":"(Bhatia, 1968)","previouslyFormattedCitation":"(Bhatia, 1968)"},"properties":{"noteIndex":0},"schema":"https://github.com/citation-style-language/schema/raw/master/csl-citation.json"}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(Bhatia, 1968)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981A14" w:rsidRPr="00CF1D1E" w:rsidRDefault="00981A14" w:rsidP="00981A14">
      <w:pPr>
        <w:rPr>
          <w:rFonts w:ascii="Calibri" w:eastAsia="Calibri" w:hAnsi="Calibri" w:cs="Times New Roman"/>
          <w:sz w:val="24"/>
          <w:szCs w:val="24"/>
        </w:rPr>
      </w:pPr>
      <w:r>
        <w:rPr>
          <w:rFonts w:ascii="Calibri" w:eastAsia="Calibri" w:hAnsi="Calibri" w:cs="Times New Roman"/>
          <w:sz w:val="24"/>
          <w:szCs w:val="24"/>
        </w:rPr>
        <w:br w:type="page"/>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The previous paragraph illustrates the complexity of tea production from what appears, on the surface, to be deceptively simple. Add to this the variations caused by location, season, weather, harvesting technique, processing by hand or by machine and storage, to name but a few, and the challenges are clear to see. In the modern consumer-driven market, the need to adapt becomes more and more prevalent in order for companies to stay competitive. Tea, like most products, faces the commercial need to adapt effectively and efficiently to the speed with which consumers change their preferences and consumption patterns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SN":"0003858X","author":[{"dropping-particle":"","family":"Logan","given":"Katharine","non-dropping-particle":"","parse-names":false,"suffix":""},{"dropping-particle":"","family":"Gonchar","given":"Joann","non-dropping-particle":"","parse-names":false,"suffix":""}],"container-title":"Architectural Record","id":"ITEM-1","issue":"9","issued":{"date-parts":[["2017"]]},"page":"131-136","title":"Trends, Issues and Opportunities in the Tea Industry. White Paper.","type":"article-journal","volume":"205"},"uris":["http://www.mendeley.com/documents/?uuid=6fdee64a-1c0f-481e-bf89-a0fce6b4db9c"]}],"mendeley":{"formattedCitation":"(Logan &amp; Gonchar, 2017)","plainTextFormattedCitation":"(Logan &amp; Gonchar, 2017)","previouslyFormattedCitation":"(Logan &amp; Gonchar, 2017)"},"properties":{"noteIndex":0},"schema":"https://github.com/citation-style-language/schema/raw/master/csl-citation.json"}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(Logan &amp; Gonchar, 2017)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Also, to further quote experts from the tea industry, “Any science that aims to promote the broader acceptance and value to tea would benefit the commercial viability of tea plantations.  This in turn would benefit the employees and their families who are largely dependent on single income for financial income. Tea plantations are usually situated in remote rural areas and the ability to have a job and financial security is prized” - (Personal communication – Dr F. Dehrmann).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Although the variables are huge, it is believed that modern mass spectrometric techniques can be employed to help solve these issues alongside established methods. The use of HRAM MS in discovery mode can help to unravel the complexities of this natural product. The choice of inlet will offer access to different components. UHPLC can show the polyphenolic contents of the various teas provided as in previous chapters. Other categories of chemicals could be sought by comparison to diffe</w:t>
      </w:r>
      <w:r w:rsidR="005E1D1B">
        <w:rPr>
          <w:rFonts w:ascii="Calibri" w:eastAsia="Calibri" w:hAnsi="Calibri" w:cs="Times New Roman"/>
          <w:sz w:val="24"/>
          <w:szCs w:val="24"/>
        </w:rPr>
        <w:t xml:space="preserve">rent databases e.g. free amino </w:t>
      </w:r>
      <w:r w:rsidRPr="00CF1D1E">
        <w:rPr>
          <w:rFonts w:ascii="Calibri" w:eastAsia="Calibri" w:hAnsi="Calibri" w:cs="Times New Roman"/>
          <w:sz w:val="24"/>
          <w:szCs w:val="24"/>
        </w:rPr>
        <w:t xml:space="preserve">acids. Gas chromatography (GC) could be used in order to show the volatile odour and flavour components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{"citationItems":[{"id":"ITEM-1","itemData":{"DOI":"10.1016/j.foodchem.2016.06.049","ISSN":"18737072","abstract":"Flavour determinants in tea infusions and their changes during manufacturing processes were studied using Camellia sinensis cultivars ‘Bai-Sang Cha’ (‘BAS’) possessing significant floral scents and ‘Fuding-Dabai Cha’ (‘FUD’) with common green tea odour. Metabolite profiling based on odour activity threshold revealed that ‘BAS’ contained higher levels of the active odorants β-ionone, linalool and its two oxides, geraniol, epoxylinalool, decanal and taste determinant catechins than ‘FUD’ (p &lt; 0.05). Enhanced transcription of some terpenoid and catechin biosynthetic genes in ‘BAS’ suggested genetically enhanced production of those flavour compounds. Due to manufacturing processes, the levels of linalool and geraniol decreased whereas those of β-ionone, linalool oxides, indole and cis-jasmone increased. Compared with pan-fire treatment, steam treatment reduced the levels of catechins and proportion of geraniol, linalool and its derivatives, consequently, reducing catechin-related astringency and monoterpenol-related floral scent. Our study suggests that flavour determinant targeted modulation could be made through genotype and manufacturing improvements.","author":[{"dropping-particle":"","family":"Han","given":"Zhuo Xiao","non-dropping-particle":"","parse-names":false,"suffix":""},{"dropping-particle":"","family":"Rana","given":"Mohammad M.","non-dropping-particle":"","parse-names":false,"suffix":""},{"dropping-particle":"","family":"Liu","given":"Guo Feng","non-dropping-particle":"","parse-names":false,"suffix":""},{"dropping-particle":"","family":"Gao","given":"Ming Jun","non-dropping-particle":"","parse-names":false,"suffix":""},{"dropping-particle":"","family":"Li","given":"Da Xiang","non-dropping-particle":"","parse-names":false,"suffix":""},{"dropping-particle":"","family":"Wu","given":"Fu Guang","non-dropping-particle":"","parse-names":false,"suffix":""},{"dropping-particle":"","family":"Li","given":"Xin Bao","non-dropping-particle":"","parse-names":false,"suffix":""},{"dropping-particle":"","family":"Wan","given":"Xiao Chun","non-dropping-particle":"","parse-names":false,"suffix":""},{"dropping-particle":"","family":"Wei","given":"Shu","non-dropping-particle":"","parse-names":false,"suffix":""}],"container-title":"Food Chemistry","id":"ITEM-1","issued":{"date-parts":[["2016"]]},"page":"739-748","publisher":"Elsevier Ltd","title":"Green tea flavour determinants and their changes over manufacturing processes","type":"article-journal","volume":"212"},"uris":["http://www.mendeley.com/documents/?uuid=a7e94664-fc2e-4495-b15b-9fd7f44ab10e"]}],"mendeley":{"formattedCitation":"(Han et al., 2016)","plainTextFormattedCitation":"(Han et al., 2016)","previouslyFormattedCitation":"(Han et al., 2016)"},"properties":{"noteIndex":0},"schema":"https://github.com/citation-style-language/schema/raw/master/csl-citation.json"}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(Han </w:t>
      </w:r>
      <w:r w:rsidR="00941740" w:rsidRPr="0059668A">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focus of the research here was based on UHPLC for chromatographic separation. The discovery mode data acquired </w:t>
      </w:r>
      <w:r w:rsidR="00DD48EF">
        <w:rPr>
          <w:rFonts w:ascii="Calibri" w:eastAsia="Calibri" w:hAnsi="Calibri" w:cs="Times New Roman"/>
          <w:sz w:val="24"/>
          <w:szCs w:val="24"/>
        </w:rPr>
        <w:t xml:space="preserve">provided </w:t>
      </w:r>
      <w:r w:rsidRPr="00CF1D1E">
        <w:rPr>
          <w:rFonts w:ascii="Calibri" w:eastAsia="Calibri" w:hAnsi="Calibri" w:cs="Times New Roman"/>
          <w:sz w:val="24"/>
          <w:szCs w:val="24"/>
        </w:rPr>
        <w:t>a complex array of ions although the primary focus here will be on polyphenolics. This complex data was processed using Progenesis QI to establish sample ions of interest. Their annotation was achieved by querying and co</w:t>
      </w:r>
      <w:r w:rsidR="00462AB6">
        <w:rPr>
          <w:rFonts w:ascii="Calibri" w:eastAsia="Calibri" w:hAnsi="Calibri" w:cs="Times New Roman"/>
          <w:sz w:val="24"/>
          <w:szCs w:val="24"/>
        </w:rPr>
        <w:t>mparison to the ChemSpider Phenol-Explorer</w:t>
      </w:r>
      <w:r w:rsidRPr="00CF1D1E">
        <w:rPr>
          <w:rFonts w:ascii="Calibri" w:eastAsia="Calibri" w:hAnsi="Calibri" w:cs="Times New Roman"/>
          <w:sz w:val="24"/>
          <w:szCs w:val="24"/>
        </w:rPr>
        <w:t xml:space="preserve"> database </w:t>
      </w:r>
      <w:r w:rsidRPr="00CF1D1E">
        <w:rPr>
          <w:rFonts w:ascii="Calibri" w:eastAsia="Calibri" w:hAnsi="Calibri" w:cs="Times New Roman"/>
          <w:sz w:val="24"/>
          <w:szCs w:val="24"/>
        </w:rPr>
        <w:fldChar w:fldCharType="begin" w:fldLock="1"/>
      </w:r>
      <w:r w:rsidR="001E5DE1">
        <w:rPr>
          <w:rFonts w:ascii="Calibri" w:eastAsia="Calibri" w:hAnsi="Calibri" w:cs="Times New Roman"/>
          <w:sz w:val="24"/>
          <w:szCs w:val="24"/>
        </w:rPr>
        <w:instrText>ADDIN CSL_CITATION {"citationItems":[{"id":"ITEM-1","itemData":{"URL":"https://www.chemspider.com/DatasourceDetails.aspx?id=912","author":[{"dropping-particle":"","family":"Agronomique","given":"Institut National de la Recherche","non-dropping-particle":"","parse-names":false,"suffix":""}],"id":"ITEM-1","issued":{"date-parts":[["2019"]]},"title":"Chemspider - Phenol Explorer","type":"webpage"},"uris":["http://www.mendeley.com/documents/?uuid=8fa04657-368d-460d-ae2a-5e76f5259e96"]}],"mendeley":{"formattedCitation":"(Agronomique, 2019)","plainTextFormattedCitation":"(Agronomique, 2019)","previouslyFormattedCitation":"(Agronomique,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595237" w:rsidRPr="00595237">
        <w:rPr>
          <w:rFonts w:ascii="Calibri" w:eastAsia="Calibri" w:hAnsi="Calibri" w:cs="Times New Roman"/>
          <w:noProof/>
          <w:sz w:val="24"/>
          <w:szCs w:val="24"/>
        </w:rPr>
        <w:t>(Agronomique, 2019)</w:t>
      </w:r>
      <w:r w:rsidRPr="00CF1D1E">
        <w:rPr>
          <w:rFonts w:ascii="Calibri" w:eastAsia="Calibri" w:hAnsi="Calibri" w:cs="Times New Roman"/>
          <w:sz w:val="24"/>
          <w:szCs w:val="24"/>
        </w:rPr>
        <w:fldChar w:fldCharType="end"/>
      </w:r>
      <w:r w:rsidR="003505E4">
        <w:rPr>
          <w:rFonts w:ascii="Calibri" w:eastAsia="Calibri" w:hAnsi="Calibri" w:cs="Times New Roman"/>
          <w:sz w:val="24"/>
          <w:szCs w:val="24"/>
        </w:rPr>
        <w:t xml:space="preserve"> based on accurate mass and </w:t>
      </w:r>
      <w:r w:rsidR="003505E4" w:rsidRPr="003505E4">
        <w:rPr>
          <w:rFonts w:ascii="Calibri" w:eastAsia="Calibri" w:hAnsi="Calibri" w:cs="Times New Roman"/>
          <w:i/>
          <w:sz w:val="24"/>
          <w:szCs w:val="24"/>
        </w:rPr>
        <w:t>in silico</w:t>
      </w:r>
      <w:r w:rsidR="003505E4">
        <w:rPr>
          <w:rFonts w:ascii="Calibri" w:eastAsia="Calibri" w:hAnsi="Calibri" w:cs="Times New Roman"/>
          <w:sz w:val="24"/>
          <w:szCs w:val="24"/>
        </w:rPr>
        <w:t xml:space="preserve"> fragmentation.</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Through the use of a type of Multivariate analysis (MVA) known as Principal component analysis (PCA) the key discriminants between different tea types can be revealed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{"citationItems":[{"id":"ITEM-1","itemData":{"DOI":"10.1111/j.1365-2621.2009.02040.x","ISSN":"09505423","abstract":"P&gt;Properties of leaf and infusion colours, chemical components and volatile flavour compounds of Longjing teas and their correlation with perceived quality score given by tea-tasting panel were analysed. The scores for appearance, infused leaves and for the Total Quality Score (TQS) negatively correlated with concentrations of chlorophyll-a (Chl-a), Chl-b and total chlorophyll (r = -0.723 to -0.846, P &lt; 0.01). The perceived taste score positively correlated with the concentration of total free amino acid (r = 0.527, P &lt; 0.05) and theanine (r = 0.511, P &lt; 0.05), whereas the TQS positively correlated with total free amino acid (r = 0.533). The volatile composition and their quantities varied widely among Longjing tea samples. (E)-geraniol, linalool, hexanal, pentanal, heptanal, nonanal and jasmone were prevailing volatile compounds detected in all samples. Principal component analysis (PCA) screened twelve principal components with the first three explaining 18.82%, 15.31% and 11.83% of the total variance respectively. The concentrations of total free amino acids, pentanal and epigallocatechin gallate were with the highest component score coefficients for the first three principal components respectively. Regression analysis upon the twelve principal components formulated a prediction model on the TQS with 77.0% probability.","author":[{"dropping-particle":"","family":"Wang","given":"Kunbo","non-dropping-particle":"","parse-names":false,"suffix":""},{"dropping-particle":"","family":"Ruan","given":"Jianyun","non-dropping-particle":"","parse-names":false,"suffix":""}],"container-title":"International Journal of Food Science and Technology","id":"ITEM-1","issue":"12","issued":{"date-parts":[["2009"]]},"page":"2476-2484","title":"Analysis of chemical components in green tea in relation with perceived quality, a case study with Longjing teas","type":"article-journal","volume":"44"},"uris":["http://www.mendeley.com/documents/?uuid=aac87b36-b214-4acd-b0b1-123daa3bf61c"]},{"id":"ITEM-2","itemData":{"DOI":"10.1111/j.1365-2621.2010.02224.x","ISSN":"09505423","abstract":"Properties of leaf and infusion colours, chemical components and volatile flavour compounds of oolong teas and their correlation with perceived quality score given by tea-tasting panel were analysed. The scores for appearance and infused leaf correlate strongly with concentrations of chlorophyll a (chl a), chlorophyll (chl b) and chlorophyll (chl) (r = 0.355-0.433, P &lt; 0.05) and the total quality score (TQS) positively correlated with concentrations of chl a, chl b and chl (r = 0.517-0.533, P &lt; 0.01). The perceived taste score and TQS positively correlated with the concentration of total free amino acid (r = 0.514, 0/694, P &lt; 0.01) and theanine (r = 0.500, 0.684, P &lt; 0.01). The volatile composition and their quantities varied videly among oolong tea samples. Nerolidol, indol, benzeneacetaldehyde, linalool, linalool oxide I, hexanal, benzyl nitrile, geraniol and 1-penten-3-ol were prevailing volatile compounds detected in most of oolong tea samples. Principal component analysis screened ten principal components with the firts three (glutamic acid, total catechins and benzeneacetaldehyde) explaining 27.86%, 20.00% and 14.46% of the total variance. respectively. Regression analysis upon the ten principal components formulated a prediction model on the total quality score with 78.5% probability. The result showed that oolong teas couble be partially classified by cluster analysis based on principal components.","author":[{"dropping-particle":"","family":"Wang","given":"Kunbo","non-dropping-particle":"","parse-names":false,"suffix":""},{"dropping-particle":"","family":"Liu","given":"Fang","non-dropping-particle":"","parse-names":false,"suffix":""},{"dropping-particle":"","family":"Liu","given":"Zhonghua","non-dropping-particle":"","parse-names":false,"suffix":""},{"dropping-particle":"","family":"Huang","given":"Jianan","non-dropping-particle":"","parse-names":false,"suffix":""},{"dropping-particle":"","family":"Xu","given":"Zhongxi","non-dropping-particle":"","parse-names":false,"suffix":""},{"dropping-particle":"","family":"Li","given":"Yinhua","non-dropping-particle":"","parse-names":false,"suffix":""},{"dropping-particle":"","family":"Chen","given":"Jinhua","non-dropping-particle":"","parse-names":false,"suffix":""},{"dropping-particle":"","family":"Gong","given":"Yushun","non-dropping-particle":"","parse-names":false,"suffix":""},{"dropping-particle":"","family":"Yang","given":"Xinghe","non-dropping-particle":"","parse-names":false,"suffix":""}],"container-title":"International Journal of Food Science and Technology","id":"ITEM-2","issue":"5","issued":{"date-parts":[["2010"]]},"page":"913-920","title":"Analysis of chemical components in oolong tea in relation to perceived quality","type":"article-journal","volume":"45"},"uris":["http://www.mendeley.com/documents/?uuid=693ab43e-aba8-4413-8e30-51232de7fc0d"]}],"mendeley":{"formattedCitation":"(K. Wang et al., 2010; K. Wang &amp; Ruan, 2009)","plainTextFormattedCitation":"(K. Wang et al., 2010; K. Wang &amp; Ruan, 2009)","previouslyFormattedCitation":"(K. Wang et al., 2010; K. Wang &amp; Ruan, 2009)"},"properties":{"noteIndex":0},"schema":"https://github.com/citation-style-language/schema/raw/master/csl-citation.json"}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(K. Wang </w:t>
      </w:r>
      <w:r w:rsidR="00941740" w:rsidRPr="00462AB6">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 K. Wang &amp; Ruan, 2009)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This provides a useful methodology to distinguish the origin, quality and category of teas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{"citationItems":[{"id":"ITEM-1","itemData":{"DOI":"10.1016/j.foodres.2018.03.059","ISSN":"18737145","abstract":"A data set of sixty samples of diverse black tea were collected and analysed using high-performance liquid chromatography-mass spectrometry (HPLC-MS) methods. Chemical variations of black tea infusions depending on origin, botanical variety, and processing were investigated employing various multivariate statistical techniques including principal component analysis (PCA), hierarchical cluster analysis (HCA), partial least squares discriminant analysis (PLS-DA) and analysis of variance (ANOVA). In particular, PLS-DA allowed identification of a variety of marker compounds responsible for differences among black teas of different origin, plant variety and processing methods used. Among most variable compounds are catechins, derivatives of quercetin, apigenin, quinic acid, and kaempferol. Rutin, epigallocatechin gallate (EGCG), quinic acid and theaflavin (TF) were contributing to most variances. Products of black tea fermentation (theaflavin, theasinensin, and theacitrin derivatives) contributed to PLS-DA associated to the processing of black tea.","author":[{"dropping-particle":"","family":"Shevchuk","given":"Anastasiia","non-dropping-particle":"","parse-names":false,"suffix":""},{"dropping-particle":"","family":"Jayasinghe","given":"Lalith","non-dropping-particle":"","parse-names":false,"suffix":""},{"dropping-particle":"","family":"Kuhnert","given":"Nikolai","non-dropping-particle":"","parse-names":false,"suffix":""}],"container-title":"Food Research International","id":"ITEM-1","issue":"March","issued":{"date-parts":[["2018"]]},"page":"387-402","publisher":"Elsevier","title":"Differentiation of black tea infusions according to origin, processing and botanical varieties using multivariate statistical analysis of LC-MS data","type":"article-journal","volume":"109"},"uris":["http://www.mendeley.com/documents/?uuid=f0bef2ff-7787-4288-abf3-510491437a15"]},{"id":"ITEM-2","itemData":{"DOI":"10.1016/0963-9969(95)00029-1","ISSN":"09639969","abstract":"Volatile components in unfermented green tea, semi-fermented Oolong tea and fully fermented black tea were analyzed by gas chromatography (GC) and gas chromatography-mass spectrometry (GC-MS). For differentiating, three tea categories based on their volatile components, unsupervised and supervised pattern recognition techniques were applied to the resulting GC data. Three distinct clusters each corresponding to green tea, Oolong tea and black tea were observed in the dendrogram and the principal component (PC) score plot. However, a subcluster of Oolong tea was observed in the vicinity of black tea cluster in both the dendrogram and the PC plot. The first and second PC corresponded to the fermentation products and aroma components originally contained in tea leaves, respectively. Both the partial least squares (PLS) analysis and linear discriminant analysis correctly differentiated tea samples into the three categories. (E)-2-Hexenal, the major fermentation product from unsaturated fatty acids, was the most efficient for the discrimination. Although three teas are produced from the same plant species, pattern recognition clarified the existence of the apparent quality difference among their volatile component profiles. © 1995.","author":[{"dropping-particle":"","family":"Togari","given":"N.","non-dropping-particle":"","parse-names":false,"suffix":""},{"dropping-particle":"","family":"Kobayashi","given":"A.","non-dropping-particle":"","parse-names":false,"suffix":""},{"dropping-particle":"","family":"Aishima","given":"T.","non-dropping-particle":"","parse-names":false,"suffix":""}],"container-title":"Food Research International","id":"ITEM-2","issue":"5","issued":{"date-parts":[["1995"]]},"page":"495-502","title":"Pattern recognition applied to gas chromatographic profiles of volatile components in three tea categories","type":"article-journal","volume":"28"},"uris":["http://www.mendeley.com/documents/?uuid=117cec6a-e652-4db2-b8ea-604bcd9235c5"]},{"id":"ITEM-3","itemData":{"DOI":"10.1016/j.jfca.2010.07.006","ISSN":"08891575","abstract":"A worldwide data collection was undertaken using the validated ISO methods ISO 14502 parts 1 and 2, with 17 laboratories participating worldwide. This is the largest tea database worldwide, containing 295 black- and 358 green-origin teas. We found it quite easy to differentiate most green and black teas by the type of analysis presented in this study. The geographic spread gave a good representation of the vast majority of the producing countries. The production figures of the countries and the proportion of teas in the database are very similar. There are only a few origins which are not easy to differentiate, e.g. Darjeeling samples fall into the area of green teas. Other types of tea, e.g. Oolong or white teas, are currently not in the database. In the future other standardized methods for tea phenolics, such as theaflavins or flavonol glycosides, might become available. Additional data will certainly contribute to an even more robust discrimination between the types of tea. © 2010 Elsevier Inc.","author":[{"dropping-particle":"","family":"Obuchowicz","given":"Jacek","non-dropping-particle":"","parse-names":false,"suffix":""},{"dropping-particle":"","family":"Engelhardt","given":"Ulrich H.","non-dropping-particle":"","parse-names":false,"suffix":""},{"dropping-particle":"","family":"Donnelly","given":"Katie","non-dropping-particle":"","parse-names":false,"suffix":""}],"container-title":"Journal of Food Composition and Analysis","id":"ITEM-3","issue":"3","issued":{"date-parts":[["2011"]]},"page":"411-417","title":"Flavanol database for green and black teas utilising ISO 14502-1 and ISO 14502-2 as analytical tools","type":"article-journal","volume":"24"},"uris":["http://www.mendeley.com/documents/?uuid=42c8aefa-da53-421f-b251-bf5f1150a6cc"]},{"id":"ITEM-4","itemData":{"DOI":"10.1016/S0308-8146(02)00191-7","ISSN":"03088146","abstract":"In order to assess the intrinsic characteristics of black teas from different regions of India, a chemical and biochemical fingerprint was generated. Relevant constituents of black teas were analysed, using standard physico-chemical, spectrophotometric, HPLC and GC-MS analytical methodologies, to carry out the fingerprinting. Palampur teas had the lowest theaflavins (TFs) and total colour (TC) and high caffeine, total soluble solids (TSS) and viscosity. Teas from Nilgiris, Rosekandy and Kurti had the highest TFs and TC. Assam teas had moderate TFs and TC. Nilgiris and Annamalai teas had low caffeine, TSS and viscosities. Assam, Rosekandy and Kurti teas had high caffeine, moderate TSS and viscosities. Twenty-five volatile flavour compounds (VFCs) were identified by GC-MS as fingerprint markers. Only Palampur teas had nonanal but no dihydroactinidiolide. Annamalai tea had the lowest n-hexanol and Nilgiri-Wynad tea had the lowest geranyl acetate. Only Kurti tea contained xylene. This fingerprint will help to trace the origin of teas. © 2002 Elsevier Science Ltd. All rights reserved.","author":[{"dropping-particle":"","family":"Borse","given":"B. B.","non-dropping-particle":"","parse-names":false,"suffix":""},{"dropping-particle":"","family":"Rao","given":"L. Jagan Mohan","non-dropping-particle":"","parse-names":false,"suffix":""},{"dropping-particle":"","family":"Nagalakshmi","given":"S.","non-dropping-particle":"","parse-names":false,"suffix":""},{"dropping-particle":"","family":"Krishnamurthy","given":"N.","non-dropping-particle":"","parse-names":false,"suffix":""}],"container-title":"Food Chemistry","id":"ITEM-4","issue":"4","issued":{"date-parts":[["2002"]]},"page":"419-424","title":"Fingerprint of black teas from India: Identification of the regio-specific characteristics","type":"article-journal","volume":"79"},"uris":["http://www.mendeley.com/documents/?uuid=ccc31f36-0532-47e9-bf1d-b8bd28bb464c"]}],"mendeley":{"formattedCitation":"(Borse et al., 2002; Obuchowicz, Engelhardt, &amp; Donnelly, 2011; Shevchuk, Jayasinghe, &amp; Kuhnert, 2018; Togari, Kobayashi, &amp; Aishima, 1995)","plainTextFormattedCitation":"(Borse et al., 2002; Obuchowicz, Engelhardt, &amp; Donnelly, 2011; Shevchuk, Jayasinghe, &amp; Kuhnert, 2018; Togari, Kobayashi, &amp; Aishima, 1995)","previouslyFormattedCitation":"(Borse et al., 2002; Obuchowicz, Engelhardt, &amp; Donnelly, 2011; Shevchuk, Jayasinghe, &amp; Kuhnert, 2018; Togari, Kobayashi, &amp; Aishima, 1995)"},"properties":{"noteIndex":0},"schema":"https://github.com/citation-style-language/schema/raw/master/csl-citation.json"}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(Borse </w:t>
      </w:r>
      <w:r w:rsidR="00941740" w:rsidRPr="004B59D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xml:space="preserve">., 2002; Obuchowicz, Engelhardt, &amp; Donnelly, 2011; Shevchuk, Jayasinghe, &amp; Kuhnert, 2018; Togari, Kobayashi, &amp; </w:t>
      </w:r>
      <w:r w:rsidR="00941740" w:rsidRPr="00941740">
        <w:rPr>
          <w:rFonts w:ascii="Calibri" w:eastAsia="Calibri" w:hAnsi="Calibri" w:cs="Times New Roman"/>
          <w:noProof/>
          <w:sz w:val="24"/>
          <w:szCs w:val="24"/>
        </w:rPr>
        <w:lastRenderedPageBreak/>
        <w:t>Aishima, 1995)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It is also common to refer to this approach as metabolomic fingerprinting or profiling. The purpose of MVA is to measure, explain and predict the relationships amongst many variates; these are the weighted combinations of variables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{"citationItems":[{"id":"ITEM-1","itemData":{"DOI":"10.1007/978-3-319-01517-0_3","ISBN":"9781292021904","abstract":"For over 30 years, Multivariate Data Analysis has provided readers with the information they need to understand and apply multivariate data analysis. Hair et. al provides an applications-oriented introduction to multivariate analysis for the non-statistician. By reducing heavy statistical research into fundamental concepts, the text explains to readers how to understand and make use of the results of specific statistical techniques. In this Seventh Edition, the organization of the chapters has been greatly simplified. New chapters have been added on structural equations modeling, and all sections have been updated to reflect advances in technology, capability, and mathematical techniques.","author":[{"dropping-particle":"","family":"Hair","given":"Joseph F.","non-dropping-particle":"","parse-names":false,"suffix":""}],"container-title":"Exploratory Data Analysis in Business and Economics","edition":"7th","id":"ITEM-1","issued":{"date-parts":[["2014"]]},"number-of-pages":"23-60","publisher":"Pearson","title":"Multivariate Data Analysis","type":"book"},"uris":["http://www.mendeley.com/documents/?uuid=1b405130-eaf0-4d73-b8d0-67500c574b3b"]}],"mendeley":{"formattedCitation":"(Hair, 2014)","plainTextFormattedCitation":"(Hair, 2014)","previouslyFormattedCitation":"(Hair,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(Hair,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variables are specified by the researcher, whereas the weights are determined by the multivariate technique. The result is a single value representing a combination of the entire set of variables. Principal components are the groups of features in the data that contribute the most to distinguish one sample from the other. PCA is a technique for reducing the amount of data when a correlation is actually present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{"citationItems":[{"id":"ITEM-1","itemData":{"DOI":"10.2307/2413249","ISSN":"00397989","abstract":"Wisconsin 53706)1981. The geometry of canonical variate analysis. Syst. Zool., 30:268-280.-The geometry of canonical variate analysis is described as a two-stage orthogonal rotation. The first stage involves a principal component analysis of the original variables. The second stage involves a principal component analysis of the group means for the orthonormal vari-ables from the first-stage eigenanalysis. The geometry of principal component analysis is also outlined. Algebraic aspects of canonical variate analysis are discussed and these are related to the geometrical description. Some practical implications of the geometrical approach for stability of the canonical vectors and variable selection are presented. [Multivariate analysis; canonical variate analysis; discriminant analysis; principal component analysis.]","author":[{"dropping-particle":"","family":"Campbell","given":"N. A.","non-dropping-particle":"","parse-names":false,"suffix":""},{"dropping-particle":"","family":"Atchley","given":"William R.","non-dropping-particle":"","parse-names":false,"suffix":""}],"container-title":"Systematic Zoology","id":"ITEM-1","issue":"3","issued":{"date-parts":[["1981"]]},"page":"268","title":"The Geometry of Canonical Variate Analysis","type":"article-journal","volume":"30"},"uris":["http://www.mendeley.com/documents/?uuid=76488f28-47c7-47e1-8f70-9d13ee05dcb1"]}],"mendeley":{"formattedCitation":"(Campbell &amp; Atchley, 1981)","plainTextFormattedCitation":"(Campbell &amp; Atchley, 1981)","previouslyFormattedCitation":"(Campbell &amp; Atchley, 1981)"},"properties":{"noteIndex":0},"schema":"https://github.com/citation-style-language/schema/raw/master/csl-citation.json"}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(Campbell &amp; Atchley, 1981)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Principal components are chosen so that the first principal component accounts for most of the variation in the dataset, the second principal component accounts for the next largest variation and so on. The upshot of this is that, when significant correlation occurs, the number of useful principal components is much less than the number of original variables. The principal components created are orthogonal to each other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{"citationItems":[{"id":"ITEM-1","itemData":{"ISBN":"978-0-273-73042-2","abstract":"This popular textbook gives a clear account of the principles of the main statistical methods used in modern analytical laboratories. Such methods underpin high-quality analyses in areas such as the safety of food, water and medicines, environmental monitoring, and chemical manufacturing. The treatment throughout empha-sises the underlying statistical ideas, and no detailed knowledge of mathematics is required. There are numerous worked examples, including the use of Microsoft Excel and Minitab, and a large number of student exercises, many of them based on examples from the analytical literature. Features of the new edition • introduction to Bayesian methods • additions to cover method validation and sampling uncertainty • extended treatment of robust statistics • new material on experimental design • additions to sections on regression and calibration methods • updated Instructor's Manual • improved website including further exercises for lecturers and students at www.pearsoned.co.uk/Miller","author":[{"dropping-particle":"","family":"Miller","given":"James N","non-dropping-particle":"","parse-names":false,"suffix":""},{"dropping-particle":"","family":"Miller","given":"Jane C","non-dropping-particle":"","parse-names":false,"suffix":""}],"id":"ITEM-1","issued":{"date-parts":[["2010"]]},"number-of-pages":"80","title":"Statistics and Chemometrics for Analytical Chemistry Dr Jane Miller completed","type":"book"},"uris":["http://www.mendeley.com/documents/?uuid=b9be6903-d81d-42da-8fb8-705b111d1b89"]}],"mendeley":{"formattedCitation":"(Miller &amp; Miller, 2010)","plainTextFormattedCitation":"(Miller &amp; Miller, 2010)","previouslyFormattedCitation":"(Miller &amp; Miller,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(Miller &amp; Miller,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In discriminant analysis, the variate is formed so as to create scores for each observation that maximise differences between groups of observations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{"citationItems":[{"id":"ITEM-1","itemData":{"author":[{"dropping-particle":"","family":"Umetrics","given":"","non-dropping-particle":"","parse-names":false,"suffix":""}],"container-title":"Umetrics Knowledge Base","id":"ITEM-1","issued":{"date-parts":[["2016"]]},"page":"1-9","title":"Analysis, Multivariate Questions, Frequently Asked","type":"article-journal"},"uris":["http://www.mendeley.com/documents/?uuid=b43c5484-8431-4085-86ea-51a2b8463e39"]},{"id":"ITEM-2","itemData":{"DOI":"10.1007/978-3-319-01517-0_3","ISBN":"9781292021904","abstract":"For over 30 years, Multivariate Data Analysis has provided readers with the information they need to understand and apply multivariate data analysis. Hair et. al provides an applications-oriented introduction to multivariate analysis for the non-statistician. By reducing heavy statistical research into fundamental concepts, the text explains to readers how to understand and make use of the results of specific statistical techniques. In this Seventh Edition, the organization of the chapters has been greatly simplified. New chapters have been added on structural equations modeling, and all sections have been updated to reflect advances in technology, capability, and mathematical techniques.","author":[{"dropping-particle":"","family":"Hair","given":"Joseph F.","non-dropping-particle":"","parse-names":false,"suffix":""}],"container-title":"Exploratory Data Analysis in Business and Economics","edition":"7th","id":"ITEM-2","issued":{"date-parts":[["2014"]]},"number-of-pages":"23-60","publisher":"Pearson","title":"Multivariate Data Analysis","type":"book"},"uris":["http://www.mendeley.com/documents/?uuid=1b405130-eaf0-4d73-b8d0-67500c574b3b"]},{"id":"ITEM-3","itemData":{"ISBN":"978-0-273-73042-2","abstract":"This popular textbook gives a clear account of the principles of the main statistical methods used in modern analytical laboratories. Such methods underpin high-quality analyses in areas such as the safety of food, water and medicines, environmental monitoring, and chemical manufacturing. The treatment throughout empha-sises the underlying statistical ideas, and no detailed knowledge of mathematics is required. There are numerous worked examples, including the use of Microsoft Excel and Minitab, and a large number of student exercises, many of them based on examples from the analytical literature. Features of the new edition • introduction to Bayesian methods • additions to cover method validation and sampling uncertainty • extended treatment of robust statistics • new material on experimental design • additions to sections on regression and calibration methods • updated Instructor's Manual • improved website including further exercises for lecturers and students at www.pearsoned.co.uk/Miller","author":[{"dropping-particle":"","family":"Miller","given":"James N","non-dropping-particle":"","parse-names":false,"suffix":""},{"dropping-particle":"","family":"Miller","given":"Jane C","non-dropping-particle":"","parse-names":false,"suffix":""}],"id":"ITEM-3","issued":{"date-parts":[["2010"]]},"number-of-pages":"80","title":"Statistics and Chemometrics for Analytical Chemistry Dr Jane Miller completed","type":"book"},"uris":["http://www.mendeley.com/documents/?uuid=b9be6903-d81d-42da-8fb8-705b111d1b89"]}],"mendeley":{"formattedCitation":"(Hair, 2014; Miller &amp; Miller, 2010; Umetrics, 2016)","plainTextFormattedCitation":"(Hair, 2014; Miller &amp; Miller, 2010; Umetrics, 2016)","previouslyFormattedCitation":"(Hair, 2014; Miller &amp; Miller, 2010; Umetrics, 2016)"},"properties":{"noteIndex":0},"schema":"https://github.com/citation-style-language/schema/raw/master/csl-citation.json"}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(Hair, 2014; Miller &amp; Miller, 2010; Umetrics, 2016)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This will be explored in more detail later on in this chapter, when OPLS-DA is applied to the dataset.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Provenance is </w:t>
      </w:r>
      <w:r w:rsidR="00FE5B7F">
        <w:rPr>
          <w:rFonts w:ascii="Calibri" w:eastAsia="Calibri" w:hAnsi="Calibri" w:cs="Times New Roman"/>
          <w:sz w:val="24"/>
          <w:szCs w:val="24"/>
        </w:rPr>
        <w:t xml:space="preserve">another </w:t>
      </w:r>
      <w:r w:rsidRPr="00CF1D1E">
        <w:rPr>
          <w:rFonts w:ascii="Calibri" w:eastAsia="Calibri" w:hAnsi="Calibri" w:cs="Times New Roman"/>
          <w:sz w:val="24"/>
          <w:szCs w:val="24"/>
        </w:rPr>
        <w:t>very important</w:t>
      </w:r>
      <w:r w:rsidR="00FE5B7F">
        <w:rPr>
          <w:rFonts w:ascii="Calibri" w:eastAsia="Calibri" w:hAnsi="Calibri" w:cs="Times New Roman"/>
          <w:sz w:val="24"/>
          <w:szCs w:val="24"/>
        </w:rPr>
        <w:t xml:space="preserve"> aspect</w:t>
      </w:r>
      <w:r w:rsidRPr="00CF1D1E">
        <w:rPr>
          <w:rFonts w:ascii="Calibri" w:eastAsia="Calibri" w:hAnsi="Calibri" w:cs="Times New Roman"/>
          <w:sz w:val="24"/>
          <w:szCs w:val="24"/>
        </w:rPr>
        <w:t xml:space="preserve"> to the tea industry and the consumer. It is important to avoid food fraud. In the words of </w:t>
      </w:r>
      <w:proofErr w:type="spellStart"/>
      <w:r w:rsidRPr="00CF1D1E">
        <w:rPr>
          <w:rFonts w:ascii="Calibri" w:eastAsia="Calibri" w:hAnsi="Calibri" w:cs="Times New Roman"/>
          <w:sz w:val="24"/>
          <w:szCs w:val="24"/>
        </w:rPr>
        <w:t>Prof.</w:t>
      </w:r>
      <w:proofErr w:type="spellEnd"/>
      <w:r w:rsidRPr="00CF1D1E">
        <w:rPr>
          <w:rFonts w:ascii="Calibri" w:eastAsia="Calibri" w:hAnsi="Calibri" w:cs="Times New Roman"/>
          <w:sz w:val="24"/>
          <w:szCs w:val="24"/>
        </w:rPr>
        <w:t xml:space="preserve"> David Burslem, of the School of Biological Sciences at Aberdeen University, Scotland, “although DNA testing gives very precise information on a plant’s genotype (i.e. variety or clone), if that variety is grown in multiple locations then it says nothing about geographical origin. For example, a Georgian tea variety grown in Georgia and Scotland will come out as identical using this method….”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SN":"0003858X","author":[{"dropping-particle":"","family":"Logan","given":"Katharine","non-dropping-particle":"","parse-names":false,"suffix":""},{"dropping-particle":"","family":"Gonchar","given":"Joann","non-dropping-particle":"","parse-names":false,"suffix":""}],"container-title":"Architectural Record","id":"ITEM-1","issue":"9","issued":{"date-parts":[["2017"]]},"page":"131-136","title":"Trends, Issues and Opportunities in the Tea Industry. White Paper.","type":"article-journal","volume":"205"},"uris":["http://www.mendeley.com/documents/?uuid=6fdee64a-1c0f-481e-bf89-a0fce6b4db9c"]}],"mendeley":{"formattedCitation":"(Logan &amp; Gonchar, 2017)","plainTextFormattedCitation":"(Logan &amp; Gonchar, 2017)","previouslyFormattedCitation":"(Logan &amp; Gonchar, 2017)"},"properties":{"noteIndex":0},"schema":"https://github.com/citation-style-language/schema/raw/master/csl-citation.json"}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(Logan &amp; Gonchar, 2017)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This is the case across the tea industry. The approach provided in this manuscript provides a route for improving the confidence in the</w:t>
      </w:r>
      <w:r w:rsidRPr="00CF1D1E">
        <w:rPr>
          <w:rFonts w:ascii="Calibri" w:eastAsia="Calibri" w:hAnsi="Calibri" w:cs="Times New Roman"/>
        </w:rPr>
        <w:t xml:space="preserve"> </w:t>
      </w:r>
      <w:r w:rsidRPr="00CF1D1E">
        <w:rPr>
          <w:rFonts w:ascii="Calibri" w:eastAsia="Calibri" w:hAnsi="Calibri" w:cs="Times New Roman"/>
          <w:sz w:val="24"/>
          <w:szCs w:val="24"/>
        </w:rPr>
        <w:t>authenticity of teas</w:t>
      </w:r>
      <w:r w:rsidR="00462AB6">
        <w:rPr>
          <w:rFonts w:ascii="Calibri" w:eastAsia="Calibri" w:hAnsi="Calibri" w:cs="Times New Roman"/>
          <w:sz w:val="24"/>
          <w:szCs w:val="24"/>
        </w:rPr>
        <w:t xml:space="preserve"> as m</w:t>
      </w:r>
      <w:r w:rsidR="00462AB6" w:rsidRPr="00CF1D1E">
        <w:rPr>
          <w:rFonts w:ascii="Calibri" w:eastAsia="Calibri" w:hAnsi="Calibri" w:cs="Times New Roman"/>
          <w:sz w:val="24"/>
          <w:szCs w:val="24"/>
        </w:rPr>
        <w:t>etabolites are more proximal to a phenotype</w:t>
      </w:r>
      <w:r w:rsidR="00462AB6">
        <w:rPr>
          <w:rFonts w:ascii="Calibri" w:eastAsia="Calibri" w:hAnsi="Calibri" w:cs="Times New Roman"/>
          <w:sz w:val="24"/>
          <w:szCs w:val="24"/>
        </w:rPr>
        <w:t xml:space="preserve"> than the proteome or genome</w:t>
      </w:r>
      <w:r w:rsidR="00E23D46">
        <w:rPr>
          <w:rFonts w:ascii="Calibri" w:eastAsia="Calibri" w:hAnsi="Calibri" w:cs="Times New Roman"/>
          <w:sz w:val="24"/>
          <w:szCs w:val="24"/>
        </w:rPr>
        <w:t xml:space="preserve"> </w:t>
      </w:r>
      <w:r w:rsidR="00E23D46">
        <w:rPr>
          <w:rFonts w:ascii="Calibri" w:eastAsia="Calibri" w:hAnsi="Calibri" w:cs="Times New Roman"/>
          <w:sz w:val="24"/>
          <w:szCs w:val="24"/>
        </w:rPr>
        <w:fldChar w:fldCharType="begin" w:fldLock="1"/>
      </w:r>
      <w:r w:rsidR="00411C25">
        <w:rPr>
          <w:rFonts w:ascii="Calibri" w:eastAsia="Calibri" w:hAnsi="Calibri" w:cs="Times New Roman"/>
          <w:sz w:val="24"/>
          <w:szCs w:val="24"/>
        </w:rPr>
        <w:instrText>ADDIN CSL_CITATION {"citationItems":[{"id":"ITEM-1","itemData":{"DOI":"10.2174/2213235X11301010092","ISSN":"2213-235X","PMID":"26078916","abstract":"Metabolomics aims to provide a global snapshot of all small-molecule metabolites in cells and biological fluids, free of observational biases inherent to more focused studies of metabolism. However, the staggeringly high information content of such global analyses introduces a challenge of its own; efficiently forming biologically relevant conclusions from any given metabolomics dataset indeed requires specialized forms of data analysis. One approach to finding meaning in metabolomics datasets involves multivariate analysis (MVA) methods such as principal component analysis (PCA) and partial least squares projection to latent structures (PLS), where spectral features contributing most to variation or separation are identified for further analysis. However, as with any mathematical treatment, these methods are not a panacea; this review discusses the use of multivariate analysis for metabolomics, as well as common pitfalls and misconceptions.","author":[{"dropping-particle":"","family":"Worley","given":"Bradley","non-dropping-particle":"","parse-names":false,"suffix":""},{"dropping-particle":"","family":"Powers","given":"Robert","non-dropping-particle":"","parse-names":false,"suffix":""}],"container-title":"Current Metabolomics","id":"ITEM-1","issue":"1","issued":{"date-parts":[["2015"]]},"page":"92-107","title":"Multivariate Analysis in Metabolomics.","type":"article-journal","volume":"1"},"uris":["http://www.mendeley.com/documents/?uuid=fe8781cb-598e-484e-8c13-1576a32ebd9b"]}],"mendeley":{"formattedCitation":"(Worley &amp; Powers, 2015)","plainTextFormattedCitation":"(Worley &amp; Powers, 2015)","previouslyFormattedCitation":"(Worley &amp; Powers, 2015)"},"properties":{"noteIndex":0},"schema":"https://github.com/citation-style-language/schema/raw/master/csl-citation.json"}</w:instrText>
      </w:r>
      <w:r w:rsidR="00E23D46">
        <w:rPr>
          <w:rFonts w:ascii="Calibri" w:eastAsia="Calibri" w:hAnsi="Calibri" w:cs="Times New Roman"/>
          <w:sz w:val="24"/>
          <w:szCs w:val="24"/>
        </w:rPr>
        <w:fldChar w:fldCharType="separate"/>
      </w:r>
      <w:r w:rsidR="00E23D46" w:rsidRPr="00E23D46">
        <w:rPr>
          <w:rFonts w:ascii="Calibri" w:eastAsia="Calibri" w:hAnsi="Calibri" w:cs="Times New Roman"/>
          <w:noProof/>
          <w:sz w:val="24"/>
          <w:szCs w:val="24"/>
        </w:rPr>
        <w:t>(Worley &amp; Powers, 2015)</w:t>
      </w:r>
      <w:r w:rsidR="00E23D46">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This in turn adds value and provides assistance for marketing. As stated by another tea industry expert, Tony Gebely, “Provenance is typically concealed for tea. And one doesn’t have to look far to discover that there are many companies selling teas made by the same producer under different names, or different prices. And no doubt some even falsifying place of origin” and also “Tea, like most products, faces the commercial need to adapt </w:t>
      </w:r>
      <w:r w:rsidRPr="00CF1D1E">
        <w:rPr>
          <w:rFonts w:ascii="Calibri" w:eastAsia="Calibri" w:hAnsi="Calibri" w:cs="Times New Roman"/>
          <w:sz w:val="24"/>
          <w:szCs w:val="24"/>
        </w:rPr>
        <w:lastRenderedPageBreak/>
        <w:t xml:space="preserve">effectively and efficiently to the speed with which consumers change their preferences and consumption patterns”-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SN":"0003858X","author":[{"dropping-particle":"","family":"Logan","given":"Katharine","non-dropping-particle":"","parse-names":false,"suffix":""},{"dropping-particle":"","family":"Gonchar","given":"Joann","non-dropping-particle":"","parse-names":false,"suffix":""}],"container-title":"Architectural Record","id":"ITEM-1","issue":"9","issued":{"date-parts":[["2017"]]},"page":"131-136","title":"Trends, Issues and Opportunities in the Tea Industry. White Paper.","type":"article-journal","volume":"205"},"uris":["http://www.mendeley.com/documents/?uuid=6fdee64a-1c0f-481e-bf89-a0fce6b4db9c"]}],"mendeley":{"formattedCitation":"(Logan &amp; Gonchar, 2017)","plainTextFormattedCitation":"(Logan &amp; Gonchar, 2017)","previouslyFormattedCitation":"(Logan &amp; Gonchar, 2017)"},"properties":{"noteIndex":0},"schema":"https://github.com/citation-style-language/schema/raw/master/csl-citation.json"}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(Logan &amp; Gonchar, 2017)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use of modern research techniques provides a mechanism to help answer these consumer demands and increase credence in the tea’s origin and history with greater depth than previous publications due to the use of HRAM mass spectrometry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{"citationItems":[{"id":"ITEM-1","itemData":{"DOI":"10.1111/j.1365-2621.2009.02040.x","ISSN":"09505423","abstract":"P&gt;Properties of leaf and infusion colours, chemical components and volatile flavour compounds of Longjing teas and their correlation with perceived quality score given by tea-tasting panel were analysed. The scores for appearance, infused leaves and for the Total Quality Score (TQS) negatively correlated with concentrations of chlorophyll-a (Chl-a), Chl-b and total chlorophyll (r = -0.723 to -0.846, P &lt; 0.01). The perceived taste score positively correlated with the concentration of total free amino acid (r = 0.527, P &lt; 0.05) and theanine (r = 0.511, P &lt; 0.05), whereas the TQS positively correlated with total free amino acid (r = 0.533). The volatile composition and their quantities varied widely among Longjing tea samples. (E)-geraniol, linalool, hexanal, pentanal, heptanal, nonanal and jasmone were prevailing volatile compounds detected in all samples. Principal component analysis (PCA) screened twelve principal components with the first three explaining 18.82%, 15.31% and 11.83% of the total variance respectively. The concentrations of total free amino acids, pentanal and epigallocatechin gallate were with the highest component score coefficients for the first three principal components respectively. Regression analysis upon the twelve principal components formulated a prediction model on the TQS with 77.0% probability.","author":[{"dropping-particle":"","family":"Wang","given":"Kunbo","non-dropping-particle":"","parse-names":false,"suffix":""},{"dropping-particle":"","family":"Ruan","given":"Jianyun","non-dropping-particle":"","parse-names":false,"suffix":""}],"container-title":"International Journal of Food Science and Technology","id":"ITEM-1","issue":"12","issued":{"date-parts":[["2009"]]},"page":"2476-2484","title":"Analysis of chemical components in green tea in relation with perceived quality, a case study with Longjing teas","type":"article-journal","volume":"44"},"uris":["http://www.mendeley.com/documents/?uuid=aac87b36-b214-4acd-b0b1-123daa3bf61c"]},{"id":"ITEM-2","itemData":{"DOI":"10.1016/j.lwt.2015.01.003","ISSN":"00236438","abstract":"A new HPLC-DAD-MS method was developed to compare the major constituents in 7 types of processed tea, namely green tea, yellow tea, white tea, oolong tea, black tea, aged pu-erh tea and ripened pu-erh tea. MS was used for identification in positive ion mode, and DAD was used for quantification at wavelength of 210nm. Ten components were simultaneously determined in 74 tea samples representing 7 processing types, and then principal component analysis (PCA) and hierarchical cluster analysis (HCA) were used to distinguish and classify between the samples. The results demonstrate that the contents of the major constituents significantly varied among the 7 types of tea. Unique aspects of each type of processing were correlated with unique aspects of the chemistry of the tea. The 7 types of processed tea were successfully divided into four categories based on our determination and chemometrics analysis. Our present method was adaptable for the comparative study of processed tea, which significantly contributes to discrimination and quality evaluation of teas.","author":[{"dropping-particle":"","family":"Yi","given":"Tao","non-dropping-particle":"","parse-names":false,"suffix":""},{"dropping-particle":"","family":"Zhu","given":"Lin","non-dropping-particle":"","parse-names":false,"suffix":""},{"dropping-particle":"","family":"Peng","given":"Wan Ling","non-dropping-particle":"","parse-names":false,"suffix":""},{"dropping-particle":"","family":"He","given":"Xi Cheng","non-dropping-particle":"","parse-names":false,"suffix":""},{"dropping-particle":"","family":"Chen","given":"Hong Li","non-dropping-particle":"","parse-names":false,"suffix":""},{"dropping-particle":"","family":"Li","given":"Jie","non-dropping-particle":"","parse-names":false,"suffix":""},{"dropping-particle":"","family":"Yu","given":"Tao","non-dropping-particle":"","parse-names":false,"suffix":""},{"dropping-particle":"","family":"Liang","given":"Zhi Tao","non-dropping-particle":"","parse-names":false,"suffix":""},{"dropping-particle":"","family":"Zhao","given":"Zhong Zhen","non-dropping-particle":"","parse-names":false,"suffix":""},{"dropping-particle":"","family":"Chen","given":"Hu Biao","non-dropping-particle":"","parse-names":false,"suffix":""}],"container-title":"LWT - Food Science and Technology","id":"ITEM-2","issue":"1","issued":{"date-parts":[["2015"]]},"page":"194-201","publisher":"Elsevier Ltd","title":"Comparison of ten major constituents in seven types of processed tea using HPLC-DAD-MS followed by principal component and hierarchical cluster analysis","type":"article-journal","volume":"62"},"uris":["http://www.mendeley.com/documents/?uuid=9086ff89-423d-421d-972d-85ebeebd49ca"]},{"id":"ITEM-3","itemData":{"DOI":"10.2174/2213235X11301010092","ISSN":"2213-235X","PMID":"26078916","abstract":"Metabolomics aims to provide a global snapshot of all small-molecule metabolites in cells and biological fluids, free of observational biases inherent to more focused studies of metabolism. However, the staggeringly high information content of such global analyses introduces a challenge of its own; efficiently forming biologically relevant conclusions from any given metabolomics dataset indeed requires specialized forms of data analysis. One approach to finding meaning in metabolomics datasets involves multivariate analysis (MVA) methods such as principal component analysis (PCA) and partial least squares projection to latent structures (PLS), where spectral features contributing most to variation or separation are identified for further analysis. However, as with any mathematical treatment, these methods are not a panacea; this review discusses the use of multivariate analysis for metabolomics, as well as common pitfalls and misconceptions.","author":[{"dropping-particle":"","family":"Worley","given":"Bradley","non-dropping-particle":"","parse-names":false,"suffix":""},{"dropping-particle":"","family":"Powers","given":"Robert","non-dropping-particle":"","parse-names":false,"suffix":""}],"container-title":"Current Metabolomics","id":"ITEM-3","issue":"1","issued":{"date-parts":[["2015"]]},"page":"92-107","title":"Multivariate Analysis in Metabolomics.","type":"article-journal","volume":"1"},"uris":["http://www.mendeley.com/documents/?uuid=fe8781cb-598e-484e-8c13-1576a32ebd9b"]}],"mendeley":{"formattedCitation":"(K. Wang &amp; Ruan, 2009; Worley &amp; Powers, 2015; Yi et al., 2015)","plainTextFormattedCitation":"(K. Wang &amp; Ruan, 2009; Worley &amp; Powers, 2015; Yi et al., 2015)","previouslyFormattedCitation":"(K. Wang &amp; Ruan, 2009; Worley &amp; Powers, 2015; Yi et al.,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(K. Wang &amp; Ruan, 2009; Worley &amp; Powers, 2015; Yi </w:t>
      </w:r>
      <w:r w:rsidR="00941740" w:rsidRPr="00FE5B7F">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To wrap up the introduction to this chapter, the answer to a question put to tea industry expert, Dr F. Dehrmann, is felt to summarise a further need for this research. It was asked whether detailed characterisation will help </w:t>
      </w:r>
      <w:r w:rsidR="00FE5B7F">
        <w:rPr>
          <w:rFonts w:ascii="Calibri" w:eastAsia="Calibri" w:hAnsi="Calibri" w:cs="Times New Roman"/>
          <w:sz w:val="24"/>
          <w:szCs w:val="24"/>
        </w:rPr>
        <w:t xml:space="preserve">to </w:t>
      </w:r>
      <w:r w:rsidRPr="00CF1D1E">
        <w:rPr>
          <w:rFonts w:ascii="Calibri" w:eastAsia="Calibri" w:hAnsi="Calibri" w:cs="Times New Roman"/>
          <w:sz w:val="24"/>
          <w:szCs w:val="24"/>
        </w:rPr>
        <w:t>focus improvements in production env</w:t>
      </w:r>
      <w:r w:rsidR="00FE5B7F">
        <w:rPr>
          <w:rFonts w:ascii="Calibri" w:eastAsia="Calibri" w:hAnsi="Calibri" w:cs="Times New Roman"/>
          <w:sz w:val="24"/>
          <w:szCs w:val="24"/>
        </w:rPr>
        <w:t>ironment and processing methods.</w:t>
      </w:r>
      <w:r w:rsidRPr="00CF1D1E">
        <w:rPr>
          <w:rFonts w:ascii="Calibri" w:eastAsia="Calibri" w:hAnsi="Calibri" w:cs="Times New Roman"/>
          <w:sz w:val="24"/>
          <w:szCs w:val="24"/>
        </w:rPr>
        <w:t xml:space="preserve"> The reply provided reveals the responsible thinking toward environmental benefits too. This industry driven focus, provides relevance and direction for this study. This insight is much appreciated.</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“Detailed molecular characterisation does offer the opportunity to review and revisit </w:t>
      </w:r>
      <w:r w:rsidR="00FE5B7F">
        <w:rPr>
          <w:rFonts w:ascii="Calibri" w:eastAsia="Calibri" w:hAnsi="Calibri" w:cs="Times New Roman"/>
          <w:sz w:val="24"/>
          <w:szCs w:val="24"/>
        </w:rPr>
        <w:t xml:space="preserve">the </w:t>
      </w:r>
      <w:r w:rsidRPr="00CF1D1E">
        <w:rPr>
          <w:rFonts w:ascii="Calibri" w:eastAsia="Calibri" w:hAnsi="Calibri" w:cs="Times New Roman"/>
          <w:sz w:val="24"/>
          <w:szCs w:val="24"/>
        </w:rPr>
        <w:t>production process to ensure that the maximum benefit of the tea plant is extracted.  If a certain compound is identified in one stage of the process, and it is noted to disappear after that stage, it becomes possible to change the process to ensure the compound is retained or harvested at an appropriate step.  This could benefit the maximising of extraction potential in a more responsible and less wasteful way.”  - (Dr F. Dehrmann, personal communication).</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numPr>
          <w:ilvl w:val="1"/>
          <w:numId w:val="7"/>
        </w:numPr>
        <w:spacing w:line="360" w:lineRule="auto"/>
        <w:contextualSpacing/>
        <w:jc w:val="both"/>
        <w:rPr>
          <w:rFonts w:ascii="Calibri" w:eastAsia="Calibri" w:hAnsi="Calibri" w:cs="Times New Roman"/>
          <w:b/>
          <w:sz w:val="44"/>
          <w:szCs w:val="44"/>
        </w:rPr>
      </w:pPr>
      <w:r w:rsidRPr="00CF1D1E">
        <w:rPr>
          <w:rFonts w:ascii="Calibri" w:eastAsia="Calibri" w:hAnsi="Calibri" w:cs="Times New Roman"/>
          <w:b/>
          <w:sz w:val="44"/>
          <w:szCs w:val="44"/>
        </w:rPr>
        <w:lastRenderedPageBreak/>
        <w:t>Methods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In previous chapters, the Vanquish UHPLC, linked to a Q Exactive Plus mass spectrometer (Thermo Scientific Ltd, Waltham, Massachusetts), was used for external standard targeted analysis. In this chapter, the mode of operation used for the Q Exactive Plus mass spectrometer is Full MS/dd-MS</w:t>
      </w:r>
      <w:r w:rsidRPr="00CF1D1E">
        <w:rPr>
          <w:rFonts w:ascii="Calibri" w:eastAsia="Calibri" w:hAnsi="Calibri" w:cs="Times New Roman"/>
          <w:sz w:val="24"/>
          <w:szCs w:val="24"/>
          <w:vertAlign w:val="superscript"/>
        </w:rPr>
        <w:t xml:space="preserve">2 </w:t>
      </w:r>
      <w:r w:rsidRPr="00CF1D1E">
        <w:rPr>
          <w:rFonts w:ascii="Calibri" w:eastAsia="Calibri" w:hAnsi="Calibri" w:cs="Times New Roman"/>
          <w:sz w:val="24"/>
          <w:szCs w:val="24"/>
        </w:rPr>
        <w:t>(Top N) although the UHPLC method used is very similar to the previously described methods. This MS mode enables the</w:t>
      </w:r>
      <w:r w:rsidR="00FE5B7F">
        <w:rPr>
          <w:rFonts w:ascii="Calibri" w:eastAsia="Calibri" w:hAnsi="Calibri" w:cs="Times New Roman"/>
          <w:sz w:val="24"/>
          <w:szCs w:val="24"/>
        </w:rPr>
        <w:t xml:space="preserve"> acquisition of</w:t>
      </w:r>
      <w:r w:rsidRPr="00CF1D1E">
        <w:rPr>
          <w:rFonts w:ascii="Calibri" w:eastAsia="Calibri" w:hAnsi="Calibri" w:cs="Times New Roman"/>
          <w:sz w:val="24"/>
          <w:szCs w:val="24"/>
        </w:rPr>
        <w:t xml:space="preserve"> detailed discovery data</w:t>
      </w:r>
      <w:r w:rsidR="00FE5B7F">
        <w:rPr>
          <w:rFonts w:ascii="Calibri" w:eastAsia="Calibri" w:hAnsi="Calibri" w:cs="Times New Roman"/>
          <w:sz w:val="24"/>
          <w:szCs w:val="24"/>
        </w:rPr>
        <w:t>,</w:t>
      </w:r>
      <w:r w:rsidRPr="00CF1D1E">
        <w:rPr>
          <w:rFonts w:ascii="Calibri" w:eastAsia="Calibri" w:hAnsi="Calibri" w:cs="Times New Roman"/>
          <w:sz w:val="24"/>
          <w:szCs w:val="24"/>
        </w:rPr>
        <w:t xml:space="preserve"> which is required for a more comprehensive characterisation of the tea samples supplied. </w:t>
      </w:r>
    </w:p>
    <w:p w:rsidR="00CF1D1E" w:rsidRPr="00CF1D1E" w:rsidRDefault="00FE5B7F"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A</w:t>
      </w:r>
      <w:r w:rsidR="00CF1D1E" w:rsidRPr="00CF1D1E">
        <w:rPr>
          <w:rFonts w:ascii="Calibri" w:eastAsia="Calibri" w:hAnsi="Calibri" w:cs="Times New Roman"/>
          <w:sz w:val="24"/>
          <w:szCs w:val="24"/>
        </w:rPr>
        <w:t xml:space="preserve"> Waters Cortecs UPLC Shield RP18 </w:t>
      </w:r>
      <w:r>
        <w:rPr>
          <w:rFonts w:ascii="Calibri" w:eastAsia="Calibri" w:hAnsi="Calibri" w:cs="Times New Roman"/>
          <w:sz w:val="24"/>
          <w:szCs w:val="24"/>
        </w:rPr>
        <w:t>(</w:t>
      </w:r>
      <w:r w:rsidR="00CF1D1E" w:rsidRPr="00CF1D1E">
        <w:rPr>
          <w:rFonts w:ascii="Calibri" w:eastAsia="Calibri" w:hAnsi="Calibri" w:cs="Times New Roman"/>
          <w:sz w:val="24"/>
          <w:szCs w:val="24"/>
        </w:rPr>
        <w:t>2.7μ x 2.1mm x 100mm</w:t>
      </w:r>
      <w:r>
        <w:rPr>
          <w:rFonts w:ascii="Calibri" w:eastAsia="Calibri" w:hAnsi="Calibri" w:cs="Times New Roman"/>
          <w:sz w:val="24"/>
          <w:szCs w:val="24"/>
        </w:rPr>
        <w:t>)</w:t>
      </w:r>
      <w:r w:rsidR="00CF1D1E" w:rsidRPr="00CF1D1E">
        <w:rPr>
          <w:rFonts w:ascii="Calibri" w:eastAsia="Calibri" w:hAnsi="Calibri" w:cs="Times New Roman"/>
          <w:sz w:val="24"/>
          <w:szCs w:val="24"/>
        </w:rPr>
        <w:t xml:space="preserve"> superficially porous column</w:t>
      </w:r>
      <w:r w:rsidR="00526E49">
        <w:rPr>
          <w:rFonts w:ascii="Calibri" w:eastAsia="Calibri" w:hAnsi="Calibri" w:cs="Times New Roman"/>
          <w:sz w:val="24"/>
          <w:szCs w:val="24"/>
        </w:rPr>
        <w:t xml:space="preserve"> was the analytical column used for the UHPLC method. A</w:t>
      </w:r>
      <w:r w:rsidR="00CF1D1E" w:rsidRPr="00CF1D1E">
        <w:rPr>
          <w:rFonts w:ascii="Calibri" w:eastAsia="Calibri" w:hAnsi="Calibri" w:cs="Times New Roman"/>
          <w:sz w:val="24"/>
          <w:szCs w:val="24"/>
        </w:rPr>
        <w:t xml:space="preserve"> Waters Vanguard guard column system, with the same stationary phase, was used to protect the analytical column. The </w:t>
      </w:r>
      <w:r>
        <w:rPr>
          <w:rFonts w:ascii="Calibri" w:eastAsia="Calibri" w:hAnsi="Calibri" w:cs="Times New Roman"/>
          <w:sz w:val="24"/>
          <w:szCs w:val="24"/>
        </w:rPr>
        <w:t>U</w:t>
      </w:r>
      <w:r w:rsidR="00526E49">
        <w:rPr>
          <w:rFonts w:ascii="Calibri" w:eastAsia="Calibri" w:hAnsi="Calibri" w:cs="Times New Roman"/>
          <w:sz w:val="24"/>
          <w:szCs w:val="24"/>
        </w:rPr>
        <w:t>H</w:t>
      </w:r>
      <w:r>
        <w:rPr>
          <w:rFonts w:ascii="Calibri" w:eastAsia="Calibri" w:hAnsi="Calibri" w:cs="Times New Roman"/>
          <w:sz w:val="24"/>
          <w:szCs w:val="24"/>
        </w:rPr>
        <w:t xml:space="preserve">PLC </w:t>
      </w:r>
      <w:r w:rsidR="00CF1D1E" w:rsidRPr="00CF1D1E">
        <w:rPr>
          <w:rFonts w:ascii="Calibri" w:eastAsia="Calibri" w:hAnsi="Calibri" w:cs="Times New Roman"/>
          <w:sz w:val="24"/>
          <w:szCs w:val="24"/>
        </w:rPr>
        <w:t xml:space="preserve">method was extended to 8 minutes in order to </w:t>
      </w:r>
      <w:r w:rsidR="00746A16">
        <w:rPr>
          <w:rFonts w:ascii="Calibri" w:eastAsia="Calibri" w:hAnsi="Calibri" w:cs="Times New Roman"/>
          <w:sz w:val="24"/>
          <w:szCs w:val="24"/>
        </w:rPr>
        <w:t>more opportunity for analyte</w:t>
      </w:r>
      <w:r w:rsidR="00CF1D1E" w:rsidRPr="00CF1D1E">
        <w:rPr>
          <w:rFonts w:ascii="Calibri" w:eastAsia="Calibri" w:hAnsi="Calibri" w:cs="Times New Roman"/>
          <w:sz w:val="24"/>
          <w:szCs w:val="24"/>
        </w:rPr>
        <w:t xml:space="preserve"> separation over the cou</w:t>
      </w:r>
      <w:r w:rsidR="00746A16">
        <w:rPr>
          <w:rFonts w:ascii="Calibri" w:eastAsia="Calibri" w:hAnsi="Calibri" w:cs="Times New Roman"/>
          <w:sz w:val="24"/>
          <w:szCs w:val="24"/>
        </w:rPr>
        <w:t>rse of the gradient. This allowed</w:t>
      </w:r>
      <w:r w:rsidR="00CF1D1E" w:rsidRPr="00CF1D1E">
        <w:rPr>
          <w:rFonts w:ascii="Calibri" w:eastAsia="Calibri" w:hAnsi="Calibri" w:cs="Times New Roman"/>
          <w:sz w:val="24"/>
          <w:szCs w:val="24"/>
        </w:rPr>
        <w:t xml:space="preserve"> scan times to be fast enough to acquire enough data points across emerging peaks. Fisher Scientific Optima</w:t>
      </w:r>
      <w:r w:rsidR="00CF1D1E" w:rsidRPr="00CF1D1E">
        <w:rPr>
          <w:rFonts w:ascii="Calibri" w:eastAsia="Calibri" w:hAnsi="Calibri" w:cs="Times New Roman"/>
          <w:sz w:val="24"/>
          <w:szCs w:val="24"/>
          <w:vertAlign w:val="superscript"/>
        </w:rPr>
        <w:t>TM</w:t>
      </w:r>
      <w:r w:rsidR="00CF1D1E" w:rsidRPr="00CF1D1E">
        <w:rPr>
          <w:rFonts w:ascii="Calibri" w:eastAsia="Calibri" w:hAnsi="Calibri" w:cs="Times New Roman"/>
          <w:sz w:val="24"/>
          <w:szCs w:val="24"/>
        </w:rPr>
        <w:t xml:space="preserve"> grade MS solvents and modifiers were used. The UHPLC m</w:t>
      </w:r>
      <w:r w:rsidR="00771FA8">
        <w:rPr>
          <w:rFonts w:ascii="Calibri" w:eastAsia="Calibri" w:hAnsi="Calibri" w:cs="Times New Roman"/>
          <w:sz w:val="24"/>
          <w:szCs w:val="24"/>
        </w:rPr>
        <w:t>ethod is outlined below in Tab.</w:t>
      </w:r>
      <w:r w:rsidR="00CF1D1E" w:rsidRPr="00CF1D1E">
        <w:rPr>
          <w:rFonts w:ascii="Calibri" w:eastAsia="Calibri" w:hAnsi="Calibri" w:cs="Times New Roman"/>
          <w:sz w:val="24"/>
          <w:szCs w:val="24"/>
        </w:rPr>
        <w:t>33 and illustrated in the graphic Fig.87.</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p>
    <w:tbl>
      <w:tblPr>
        <w:tblStyle w:val="TableGrid"/>
        <w:tblW w:w="0" w:type="auto"/>
        <w:tblLook w:val="04A0" w:firstRow="1" w:lastRow="0" w:firstColumn="1" w:lastColumn="0" w:noHBand="0" w:noVBand="1"/>
      </w:tblPr>
      <w:tblGrid>
        <w:gridCol w:w="9016"/>
      </w:tblGrid>
      <w:tr w:rsidR="00CF1D1E" w:rsidRPr="00CF1D1E" w:rsidTr="00C8289C">
        <w:tc>
          <w:tcPr>
            <w:tcW w:w="9016" w:type="dxa"/>
          </w:tcPr>
          <w:p w:rsidR="00CF1D1E" w:rsidRPr="00CF1D1E" w:rsidRDefault="00CF1D1E" w:rsidP="00924DD2">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Mobile phase: 70</w:t>
            </w:r>
            <w:r w:rsidR="00924DD2">
              <w:rPr>
                <w:rFonts w:ascii="Calibri" w:eastAsia="Calibri" w:hAnsi="Calibri" w:cs="Times New Roman"/>
                <w:sz w:val="24"/>
                <w:szCs w:val="24"/>
              </w:rPr>
              <w:t>%A</w:t>
            </w:r>
            <w:proofErr w:type="gramStart"/>
            <w:r w:rsidRPr="00CF1D1E">
              <w:rPr>
                <w:rFonts w:ascii="Calibri" w:eastAsia="Calibri" w:hAnsi="Calibri" w:cs="Times New Roman"/>
                <w:sz w:val="24"/>
                <w:szCs w:val="24"/>
              </w:rPr>
              <w:t>:30</w:t>
            </w:r>
            <w:proofErr w:type="gramEnd"/>
            <w:r w:rsidR="00924DD2">
              <w:rPr>
                <w:rFonts w:ascii="Calibri" w:eastAsia="Calibri" w:hAnsi="Calibri" w:cs="Times New Roman"/>
                <w:sz w:val="24"/>
                <w:szCs w:val="24"/>
              </w:rPr>
              <w:t>%B. A=Water + 0.1% Acetic Acid, B=</w:t>
            </w:r>
            <w:r w:rsidRPr="00CF1D1E">
              <w:rPr>
                <w:rFonts w:ascii="Calibri" w:eastAsia="Calibri" w:hAnsi="Calibri" w:cs="Times New Roman"/>
                <w:sz w:val="24"/>
                <w:szCs w:val="24"/>
              </w:rPr>
              <w:t>Me</w:t>
            </w:r>
            <w:r w:rsidR="00924DD2">
              <w:rPr>
                <w:rFonts w:ascii="Calibri" w:eastAsia="Calibri" w:hAnsi="Calibri" w:cs="Times New Roman"/>
                <w:sz w:val="24"/>
                <w:szCs w:val="24"/>
              </w:rPr>
              <w:t xml:space="preserve">OH + </w:t>
            </w:r>
            <w:r w:rsidRPr="00CF1D1E">
              <w:rPr>
                <w:rFonts w:ascii="Calibri" w:eastAsia="Calibri" w:hAnsi="Calibri" w:cs="Times New Roman"/>
                <w:sz w:val="24"/>
                <w:szCs w:val="24"/>
              </w:rPr>
              <w:t>0.1% Acetic Acid</w:t>
            </w:r>
          </w:p>
        </w:tc>
      </w:tr>
      <w:tr w:rsidR="00CF1D1E" w:rsidRPr="00CF1D1E" w:rsidTr="00C8289C">
        <w:tc>
          <w:tcPr>
            <w:tcW w:w="9016" w:type="dxa"/>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Flow: 0.55 ml/min</w:t>
            </w:r>
          </w:p>
        </w:tc>
      </w:tr>
      <w:tr w:rsidR="00CF1D1E" w:rsidRPr="00CF1D1E" w:rsidTr="00C8289C">
        <w:tc>
          <w:tcPr>
            <w:tcW w:w="9016" w:type="dxa"/>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Column Oven: 40°C</w:t>
            </w:r>
          </w:p>
        </w:tc>
      </w:tr>
      <w:tr w:rsidR="00CF1D1E" w:rsidRPr="00CF1D1E" w:rsidTr="00C8289C">
        <w:tc>
          <w:tcPr>
            <w:tcW w:w="9016" w:type="dxa"/>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 xml:space="preserve">Injection volume: 1μl           </w:t>
            </w:r>
          </w:p>
        </w:tc>
      </w:tr>
      <w:tr w:rsidR="00CF1D1E" w:rsidRPr="00CF1D1E" w:rsidTr="00C8289C">
        <w:tc>
          <w:tcPr>
            <w:tcW w:w="9016" w:type="dxa"/>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Gradient: 70:30 initially to 1:99 over 6 min., hold for 0.9min and back to 70:30 over 0.1 min.</w:t>
            </w:r>
          </w:p>
        </w:tc>
      </w:tr>
      <w:tr w:rsidR="00CF1D1E" w:rsidRPr="00CF1D1E" w:rsidTr="00C8289C">
        <w:tc>
          <w:tcPr>
            <w:tcW w:w="9016" w:type="dxa"/>
          </w:tcPr>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Hold at this combination for 1.0 min to equilibrate prior to the next injection.</w:t>
            </w:r>
          </w:p>
        </w:tc>
      </w:tr>
    </w:tbl>
    <w:p w:rsidR="00CF1D1E" w:rsidRPr="00CF1D1E" w:rsidRDefault="00CF1D1E" w:rsidP="00CF1D1E">
      <w:pPr>
        <w:rPr>
          <w:rFonts w:ascii="Calibri" w:eastAsia="Calibri" w:hAnsi="Calibri" w:cs="Times New Roman"/>
          <w:sz w:val="24"/>
          <w:szCs w:val="24"/>
        </w:rPr>
      </w:pP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0"/>
          <w:szCs w:val="20"/>
        </w:rPr>
        <w:t>Tab. 33. UHPLC conditions</w:t>
      </w:r>
      <w:r w:rsidR="00800D74">
        <w:rPr>
          <w:rFonts w:ascii="Calibri" w:eastAsia="Calibri" w:hAnsi="Calibri" w:cs="Times New Roman"/>
          <w:sz w:val="20"/>
          <w:szCs w:val="20"/>
        </w:rPr>
        <w:t xml:space="preserve"> for tea extract analysis</w:t>
      </w:r>
      <w:r w:rsidRPr="00CF1D1E">
        <w:rPr>
          <w:rFonts w:ascii="Calibri" w:eastAsia="Calibri" w:hAnsi="Calibri" w:cs="Times New Roman"/>
          <w:sz w:val="20"/>
          <w:szCs w:val="20"/>
        </w:rPr>
        <w:t xml:space="preserve">. </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3E775F" w:rsidRDefault="00CF1D1E" w:rsidP="003E775F">
      <w:pPr>
        <w:spacing w:line="360" w:lineRule="auto"/>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w:drawing>
          <wp:inline distT="0" distB="0" distL="0" distR="0" wp14:anchorId="5F155129" wp14:editId="4FD77447">
            <wp:extent cx="5731510" cy="844550"/>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low Gradient ZOOM1 labels.png"/>
                    <pic:cNvPicPr/>
                  </pic:nvPicPr>
                  <pic:blipFill>
                    <a:blip r:embed="rId153">
                      <a:extLst>
                        <a:ext uri="{28A0092B-C50C-407E-A947-70E740481C1C}">
                          <a14:useLocalDpi xmlns:a14="http://schemas.microsoft.com/office/drawing/2010/main" val="0"/>
                        </a:ext>
                      </a:extLst>
                    </a:blip>
                    <a:stretch>
                      <a:fillRect/>
                    </a:stretch>
                  </pic:blipFill>
                  <pic:spPr>
                    <a:xfrm>
                      <a:off x="0" y="0"/>
                      <a:ext cx="5731510" cy="844550"/>
                    </a:xfrm>
                    <a:prstGeom prst="rect">
                      <a:avLst/>
                    </a:prstGeom>
                  </pic:spPr>
                </pic:pic>
              </a:graphicData>
            </a:graphic>
          </wp:inline>
        </w:drawing>
      </w:r>
    </w:p>
    <w:p w:rsidR="00CF1D1E" w:rsidRPr="003E775F" w:rsidRDefault="00CF1D1E" w:rsidP="003E775F">
      <w:pPr>
        <w:spacing w:line="360" w:lineRule="auto"/>
        <w:jc w:val="both"/>
        <w:rPr>
          <w:rFonts w:ascii="Calibri" w:eastAsia="Calibri" w:hAnsi="Calibri" w:cs="Times New Roman"/>
          <w:sz w:val="24"/>
          <w:szCs w:val="24"/>
        </w:rPr>
      </w:pPr>
      <w:r w:rsidRPr="00CF1D1E">
        <w:rPr>
          <w:rFonts w:ascii="Calibri" w:eastAsia="Calibri" w:hAnsi="Calibri" w:cs="Times New Roman"/>
          <w:sz w:val="20"/>
          <w:szCs w:val="20"/>
        </w:rPr>
        <w:t>Fig.87 A graphical representation of the UHPLC mobile phase gradient</w:t>
      </w:r>
      <w:r w:rsidR="003E775F">
        <w:rPr>
          <w:rFonts w:ascii="Calibri" w:eastAsia="Calibri" w:hAnsi="Calibri" w:cs="Times New Roman"/>
          <w:sz w:val="20"/>
          <w:szCs w:val="20"/>
        </w:rPr>
        <w:t xml:space="preserve"> for tea extract analysis</w:t>
      </w:r>
      <w:r w:rsidRPr="00CF1D1E">
        <w:rPr>
          <w:rFonts w:ascii="Calibri" w:eastAsia="Calibri" w:hAnsi="Calibri" w:cs="Times New Roman"/>
          <w:sz w:val="20"/>
          <w:szCs w:val="20"/>
        </w:rPr>
        <w:t>.</w:t>
      </w:r>
    </w:p>
    <w:p w:rsidR="00CF1D1E" w:rsidRPr="00CF1D1E" w:rsidRDefault="00CF1D1E"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When using Full MS/dd-MS</w:t>
      </w:r>
      <w:r w:rsidRPr="00CF1D1E">
        <w:rPr>
          <w:rFonts w:ascii="Calibri" w:eastAsia="Calibri" w:hAnsi="Calibri" w:cs="Times New Roman"/>
          <w:sz w:val="24"/>
          <w:szCs w:val="24"/>
          <w:vertAlign w:val="superscript"/>
        </w:rPr>
        <w:t xml:space="preserve">2 </w:t>
      </w:r>
      <w:r w:rsidRPr="00CF1D1E">
        <w:rPr>
          <w:rFonts w:ascii="Calibri" w:eastAsia="Calibri" w:hAnsi="Calibri" w:cs="Times New Roman"/>
          <w:sz w:val="24"/>
          <w:szCs w:val="24"/>
        </w:rPr>
        <w:t>(Top N), the initial scan event is a full MS scan, without fragmentation, called a survey scan. This is followed by a data dependant MS-MS (dd-MS</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scan in which the selected collision energies are applied in the HCD (Higher-energy C-trap dissociation). Only ions that achieve a pre-set abundance threshold are added to the inclusion list and are passed on from the first to the second scan event. The number of ions that can be includ</w:t>
      </w:r>
      <w:r w:rsidR="00746A16">
        <w:rPr>
          <w:rFonts w:ascii="Calibri" w:eastAsia="Calibri" w:hAnsi="Calibri" w:cs="Times New Roman"/>
          <w:sz w:val="24"/>
          <w:szCs w:val="24"/>
        </w:rPr>
        <w:t>ed is referred to as Top N and wa</w:t>
      </w:r>
      <w:r w:rsidRPr="00CF1D1E">
        <w:rPr>
          <w:rFonts w:ascii="Calibri" w:eastAsia="Calibri" w:hAnsi="Calibri" w:cs="Times New Roman"/>
          <w:sz w:val="24"/>
          <w:szCs w:val="24"/>
        </w:rPr>
        <w:t xml:space="preserve">s set at 5 in this method. HCD refers to a type of collision induced dissociation which uses a higher RF voltage to keep fragment ions in the C-trap. The HCD cell is used to fragment ions, which are then accelerated into, cooled down and stored inside of the C-trap. Ions are injected into the Orbitrap </w:t>
      </w:r>
      <w:r w:rsidR="00526E49" w:rsidRPr="00CF1D1E">
        <w:rPr>
          <w:rFonts w:ascii="Calibri" w:eastAsia="Calibri" w:hAnsi="Calibri" w:cs="Times New Roman"/>
          <w:sz w:val="24"/>
          <w:szCs w:val="24"/>
        </w:rPr>
        <w:t xml:space="preserve">and separated </w:t>
      </w:r>
      <w:r w:rsidRPr="00CF1D1E">
        <w:rPr>
          <w:rFonts w:ascii="Calibri" w:eastAsia="Calibri" w:hAnsi="Calibri" w:cs="Times New Roman"/>
          <w:sz w:val="24"/>
          <w:szCs w:val="24"/>
        </w:rPr>
        <w:t xml:space="preserve">based on differences in their rotational frequencies. See Fig.17 in chapter 1 for a schematic. Ions that have been added to the </w:t>
      </w:r>
      <w:r w:rsidRPr="00CF1D1E">
        <w:rPr>
          <w:rFonts w:ascii="Calibri" w:eastAsia="Calibri" w:hAnsi="Calibri" w:cs="Times New Roman"/>
          <w:i/>
          <w:sz w:val="24"/>
          <w:szCs w:val="24"/>
        </w:rPr>
        <w:t>inclusion</w:t>
      </w:r>
      <w:r w:rsidRPr="00CF1D1E">
        <w:rPr>
          <w:rFonts w:ascii="Calibri" w:eastAsia="Calibri" w:hAnsi="Calibri" w:cs="Times New Roman"/>
          <w:sz w:val="24"/>
          <w:szCs w:val="24"/>
        </w:rPr>
        <w:t xml:space="preserve"> list, once passed to the second scan event, are then added to an </w:t>
      </w:r>
      <w:r w:rsidRPr="00CF1D1E">
        <w:rPr>
          <w:rFonts w:ascii="Calibri" w:eastAsia="Calibri" w:hAnsi="Calibri" w:cs="Times New Roman"/>
          <w:i/>
          <w:sz w:val="24"/>
          <w:szCs w:val="24"/>
        </w:rPr>
        <w:t>exclusion</w:t>
      </w:r>
      <w:r w:rsidRPr="00CF1D1E">
        <w:rPr>
          <w:rFonts w:ascii="Calibri" w:eastAsia="Calibri" w:hAnsi="Calibri" w:cs="Times New Roman"/>
          <w:sz w:val="24"/>
          <w:szCs w:val="24"/>
        </w:rPr>
        <w:t xml:space="preserve"> list for a user-selected period of time.</w:t>
      </w:r>
      <w:r w:rsidR="00526E49">
        <w:rPr>
          <w:rFonts w:ascii="Calibri" w:eastAsia="Calibri" w:hAnsi="Calibri" w:cs="Times New Roman"/>
          <w:sz w:val="24"/>
          <w:szCs w:val="24"/>
        </w:rPr>
        <w:t xml:space="preserve"> This process helps to avoid the repeated detection of the same analyte peak.</w:t>
      </w:r>
      <w:r w:rsidRPr="00CF1D1E">
        <w:rPr>
          <w:rFonts w:ascii="Calibri" w:eastAsia="Calibri" w:hAnsi="Calibri" w:cs="Times New Roman"/>
          <w:sz w:val="24"/>
          <w:szCs w:val="24"/>
        </w:rPr>
        <w:t xml:space="preserve"> As can be seen below in Fig.88 the exclusion time has been set at 10 seconds for this experiment.</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ind w:left="2160" w:firstLine="720"/>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w:drawing>
          <wp:inline distT="0" distB="0" distL="0" distR="0" wp14:anchorId="1794A53B" wp14:editId="3C938F51">
            <wp:extent cx="1524000" cy="3522064"/>
            <wp:effectExtent l="0" t="0" r="0"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35626" cy="3548932"/>
                    </a:xfrm>
                    <a:prstGeom prst="rect">
                      <a:avLst/>
                    </a:prstGeom>
                    <a:noFill/>
                    <a:ln>
                      <a:noFill/>
                    </a:ln>
                  </pic:spPr>
                </pic:pic>
              </a:graphicData>
            </a:graphic>
          </wp:inline>
        </w:drawing>
      </w:r>
      <w:r w:rsidRPr="00CF1D1E">
        <w:rPr>
          <w:rFonts w:ascii="Calibri" w:eastAsia="Calibri" w:hAnsi="Calibri" w:cs="Times New Roman"/>
          <w:sz w:val="24"/>
          <w:szCs w:val="24"/>
        </w:rPr>
        <w:t xml:space="preserve">       </w:t>
      </w:r>
    </w:p>
    <w:p w:rsidR="00746A16" w:rsidRDefault="00746A16" w:rsidP="00CF1D1E">
      <w:pPr>
        <w:spacing w:line="360" w:lineRule="auto"/>
        <w:jc w:val="both"/>
        <w:rPr>
          <w:rFonts w:ascii="Calibri" w:eastAsia="Calibri" w:hAnsi="Calibri" w:cs="Times New Roman"/>
          <w:sz w:val="24"/>
          <w:szCs w:val="24"/>
        </w:rPr>
      </w:pPr>
      <w:r>
        <w:rPr>
          <w:rFonts w:ascii="Calibri" w:eastAsia="Calibri" w:hAnsi="Calibri" w:cs="Times New Roman"/>
          <w:sz w:val="20"/>
          <w:szCs w:val="20"/>
        </w:rPr>
        <w:tab/>
      </w:r>
      <w:r w:rsidRPr="00CF1D1E">
        <w:rPr>
          <w:rFonts w:ascii="Calibri" w:eastAsia="Calibri" w:hAnsi="Calibri" w:cs="Times New Roman"/>
          <w:sz w:val="20"/>
          <w:szCs w:val="20"/>
        </w:rPr>
        <w:t>Fig.88 Properties of Full MS / dd-MS</w:t>
      </w:r>
      <w:r w:rsidRPr="00CF1D1E">
        <w:rPr>
          <w:rFonts w:ascii="Calibri" w:eastAsia="Calibri" w:hAnsi="Calibri" w:cs="Times New Roman"/>
          <w:sz w:val="20"/>
          <w:szCs w:val="20"/>
          <w:vertAlign w:val="superscript"/>
        </w:rPr>
        <w:t>2</w:t>
      </w:r>
      <w:r>
        <w:rPr>
          <w:rFonts w:ascii="Calibri" w:eastAsia="Calibri" w:hAnsi="Calibri" w:cs="Times New Roman"/>
          <w:sz w:val="20"/>
          <w:szCs w:val="20"/>
        </w:rPr>
        <w:t xml:space="preserve"> (Top N) used</w:t>
      </w:r>
      <w:r w:rsidRPr="00CF1D1E">
        <w:rPr>
          <w:rFonts w:ascii="Calibri" w:eastAsia="Calibri" w:hAnsi="Calibri" w:cs="Times New Roman"/>
          <w:sz w:val="20"/>
          <w:szCs w:val="20"/>
        </w:rPr>
        <w:t xml:space="preserve"> </w:t>
      </w:r>
      <w:r>
        <w:rPr>
          <w:rFonts w:ascii="Calibri" w:eastAsia="Calibri" w:hAnsi="Calibri" w:cs="Times New Roman"/>
          <w:sz w:val="20"/>
          <w:szCs w:val="20"/>
        </w:rPr>
        <w:t>for tea extract analysis.</w:t>
      </w:r>
      <w:r w:rsidRPr="00CF1D1E">
        <w:rPr>
          <w:rFonts w:ascii="Calibri" w:eastAsia="Calibri" w:hAnsi="Calibri" w:cs="Times New Roman"/>
          <w:sz w:val="20"/>
          <w:szCs w:val="20"/>
        </w:rPr>
        <w:t xml:space="preserve">  </w:t>
      </w:r>
    </w:p>
    <w:p w:rsidR="00746A16" w:rsidRDefault="00746A16"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 xml:space="preserve">Fig.88 also shows the full details chosen for this data acquisition. It is important to set parameters in a pragmatic way in order to produce high quality data. For example, the Q Exactive Plus is capable of a resolution of 280,000. A full scan resolution of 35,000 was selected in order to achieve enough data points across the eluting peaks. At 280,000 this would </w:t>
      </w:r>
      <w:r w:rsidR="00746A16">
        <w:rPr>
          <w:rFonts w:ascii="Calibri" w:eastAsia="Calibri" w:hAnsi="Calibri" w:cs="Times New Roman"/>
          <w:sz w:val="24"/>
          <w:szCs w:val="24"/>
        </w:rPr>
        <w:t xml:space="preserve">not be </w:t>
      </w:r>
      <w:r w:rsidRPr="00CF1D1E">
        <w:rPr>
          <w:rFonts w:ascii="Calibri" w:eastAsia="Calibri" w:hAnsi="Calibri" w:cs="Times New Roman"/>
          <w:sz w:val="24"/>
          <w:szCs w:val="24"/>
        </w:rPr>
        <w:t>possible</w:t>
      </w:r>
      <w:r w:rsidR="00746A16">
        <w:rPr>
          <w:rFonts w:ascii="Calibri" w:eastAsia="Calibri" w:hAnsi="Calibri" w:cs="Times New Roman"/>
          <w:sz w:val="24"/>
          <w:szCs w:val="24"/>
        </w:rPr>
        <w:t>,</w:t>
      </w:r>
      <w:r w:rsidRPr="00CF1D1E">
        <w:rPr>
          <w:rFonts w:ascii="Calibri" w:eastAsia="Calibri" w:hAnsi="Calibri" w:cs="Times New Roman"/>
          <w:sz w:val="24"/>
          <w:szCs w:val="24"/>
        </w:rPr>
        <w:t xml:space="preserve"> leading to poor quality data with missed peaks and a large disparity of abundances across replicates which would subsequently present a challenge when processing the data produced. </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ab/>
        <w:t>Nine tea samples were supplied by J.Finlay Ltd. These were from a range of origins and were of different types too. These are listed by origin, grade/type and date of manufacture in the</w:t>
      </w:r>
      <w:r w:rsidR="00526E49">
        <w:rPr>
          <w:rFonts w:ascii="Calibri" w:eastAsia="Calibri" w:hAnsi="Calibri" w:cs="Times New Roman"/>
          <w:sz w:val="24"/>
          <w:szCs w:val="24"/>
        </w:rPr>
        <w:t xml:space="preserve"> table below (Tab. 34). N</w:t>
      </w:r>
      <w:r w:rsidRPr="00CF1D1E">
        <w:rPr>
          <w:rFonts w:ascii="Calibri" w:eastAsia="Calibri" w:hAnsi="Calibri" w:cs="Times New Roman"/>
          <w:sz w:val="24"/>
          <w:szCs w:val="24"/>
        </w:rPr>
        <w:t>umbers were assigned to individual samples for the purpose of administration.</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26006F" w:rsidP="00CF1D1E">
      <w:pPr>
        <w:spacing w:line="360" w:lineRule="auto"/>
        <w:jc w:val="both"/>
        <w:rPr>
          <w:rFonts w:ascii="Calibri" w:eastAsia="Calibri" w:hAnsi="Calibri" w:cs="Times New Roman"/>
          <w:sz w:val="24"/>
          <w:szCs w:val="24"/>
        </w:rPr>
      </w:pPr>
      <w:r w:rsidRPr="0026006F">
        <w:rPr>
          <w:noProof/>
          <w:lang w:eastAsia="en-GB"/>
        </w:rPr>
        <w:lastRenderedPageBreak/>
        <w:drawing>
          <wp:inline distT="0" distB="0" distL="0" distR="0">
            <wp:extent cx="5655733" cy="2311985"/>
            <wp:effectExtent l="0" t="0" r="254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86999" cy="2324766"/>
                    </a:xfrm>
                    <a:prstGeom prst="rect">
                      <a:avLst/>
                    </a:prstGeom>
                    <a:noFill/>
                    <a:ln>
                      <a:noFill/>
                    </a:ln>
                  </pic:spPr>
                </pic:pic>
              </a:graphicData>
            </a:graphic>
          </wp:inline>
        </w:drawing>
      </w:r>
    </w:p>
    <w:p w:rsidR="00CF1D1E" w:rsidRPr="00CF1D1E" w:rsidRDefault="00CF1D1E" w:rsidP="00CF1D1E">
      <w:pPr>
        <w:spacing w:line="360" w:lineRule="auto"/>
        <w:ind w:left="720"/>
        <w:jc w:val="both"/>
        <w:rPr>
          <w:rFonts w:ascii="Calibri" w:eastAsia="Calibri" w:hAnsi="Calibri" w:cs="Times New Roman"/>
          <w:sz w:val="20"/>
          <w:szCs w:val="20"/>
        </w:rPr>
      </w:pPr>
      <w:r w:rsidRPr="00CF1D1E">
        <w:rPr>
          <w:rFonts w:ascii="Calibri" w:eastAsia="Calibri" w:hAnsi="Calibri" w:cs="Times New Roman"/>
          <w:sz w:val="20"/>
          <w:szCs w:val="20"/>
        </w:rPr>
        <w:t>Tab. 34. This table shows the details of the samples received from J.Finlay Ltd.</w:t>
      </w:r>
    </w:p>
    <w:p w:rsidR="00CF1D1E" w:rsidRPr="00CF1D1E" w:rsidRDefault="00CF1D1E" w:rsidP="00CF1D1E">
      <w:pPr>
        <w:spacing w:line="360" w:lineRule="auto"/>
        <w:ind w:left="720" w:firstLine="720"/>
        <w:jc w:val="both"/>
        <w:rPr>
          <w:rFonts w:ascii="Calibri" w:eastAsia="Calibri" w:hAnsi="Calibri" w:cs="Times New Roman"/>
          <w:sz w:val="20"/>
          <w:szCs w:val="20"/>
        </w:rPr>
      </w:pPr>
    </w:p>
    <w:p w:rsid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Samples were prepared in accordance with the following method. 1g of tea sample </w:t>
      </w:r>
      <w:r w:rsidR="00526E49">
        <w:rPr>
          <w:rFonts w:ascii="Calibri" w:eastAsia="Calibri" w:hAnsi="Calibri" w:cs="Times New Roman"/>
          <w:sz w:val="24"/>
          <w:szCs w:val="24"/>
        </w:rPr>
        <w:t xml:space="preserve">as supplied </w:t>
      </w:r>
      <w:r w:rsidRPr="00CF1D1E">
        <w:rPr>
          <w:rFonts w:ascii="Calibri" w:eastAsia="Calibri" w:hAnsi="Calibri" w:cs="Times New Roman"/>
          <w:sz w:val="24"/>
          <w:szCs w:val="24"/>
        </w:rPr>
        <w:t>was weighed into a glass vial with a screw cap. 20ml of solvent with the same composition as the initial mobile phase (</w:t>
      </w:r>
      <w:r w:rsidR="007B787D">
        <w:rPr>
          <w:rFonts w:ascii="Calibri" w:eastAsia="Calibri" w:hAnsi="Calibri" w:cs="Times New Roman"/>
          <w:sz w:val="24"/>
          <w:szCs w:val="24"/>
        </w:rPr>
        <w:t>70%A</w:t>
      </w:r>
      <w:proofErr w:type="gramStart"/>
      <w:r w:rsidR="007B787D">
        <w:rPr>
          <w:rFonts w:ascii="Calibri" w:eastAsia="Calibri" w:hAnsi="Calibri" w:cs="Times New Roman"/>
          <w:sz w:val="24"/>
          <w:szCs w:val="24"/>
        </w:rPr>
        <w:t>:30</w:t>
      </w:r>
      <w:proofErr w:type="gramEnd"/>
      <w:r w:rsidR="007B787D">
        <w:rPr>
          <w:rFonts w:ascii="Calibri" w:eastAsia="Calibri" w:hAnsi="Calibri" w:cs="Times New Roman"/>
          <w:sz w:val="24"/>
          <w:szCs w:val="24"/>
        </w:rPr>
        <w:t>%B,</w:t>
      </w:r>
      <w:r w:rsidR="007B787D" w:rsidRPr="007B787D">
        <w:rPr>
          <w:rFonts w:ascii="Calibri" w:eastAsia="Calibri" w:hAnsi="Calibri" w:cs="Times New Roman"/>
          <w:sz w:val="24"/>
          <w:szCs w:val="24"/>
        </w:rPr>
        <w:t xml:space="preserve"> A=Water + 0.1% Acetic Acid, B=MeOH + 0.1% Acetic Acid</w:t>
      </w:r>
      <w:r w:rsidRPr="00CF1D1E">
        <w:rPr>
          <w:rFonts w:ascii="Calibri" w:eastAsia="Calibri" w:hAnsi="Calibri" w:cs="Times New Roman"/>
          <w:sz w:val="24"/>
          <w:szCs w:val="24"/>
        </w:rPr>
        <w:t>) was then added using a grade B glass pipette. This sample was sonicated for 30min. with intermittent shaking and then allowed to settle. 1ml of extract was then pipetted into a new vial and 9ml of 70:30 Water 0.1% Acetic Acid: Methanol 0.1% Acetic Acid was added. This was shaken thoroughly. Extracts were filtered through a 0.2μ</w:t>
      </w:r>
      <w:r w:rsidR="00194204">
        <w:rPr>
          <w:rFonts w:ascii="Calibri" w:eastAsia="Calibri" w:hAnsi="Calibri" w:cs="Times New Roman"/>
          <w:sz w:val="24"/>
          <w:szCs w:val="24"/>
        </w:rPr>
        <w:t>m</w:t>
      </w:r>
      <w:r w:rsidRPr="00CF1D1E">
        <w:rPr>
          <w:rFonts w:ascii="Calibri" w:eastAsia="Calibri" w:hAnsi="Calibri" w:cs="Times New Roman"/>
          <w:sz w:val="24"/>
          <w:szCs w:val="24"/>
        </w:rPr>
        <w:t xml:space="preserve"> PTFE filter whilst being transferred to a 2ml glass autosampler vial.</w:t>
      </w:r>
    </w:p>
    <w:p w:rsidR="00746A16" w:rsidRPr="00CF1D1E" w:rsidRDefault="00746A16" w:rsidP="00CF1D1E">
      <w:pPr>
        <w:spacing w:line="360" w:lineRule="auto"/>
        <w:ind w:firstLine="720"/>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211CD3AB" wp14:editId="69F11B7D">
            <wp:extent cx="5132070" cy="223266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32070" cy="2232660"/>
                    </a:xfrm>
                    <a:prstGeom prst="rect">
                      <a:avLst/>
                    </a:prstGeom>
                    <a:noFill/>
                    <a:ln>
                      <a:noFill/>
                    </a:ln>
                  </pic:spPr>
                </pic:pic>
              </a:graphicData>
            </a:graphic>
          </wp:inline>
        </w:drawing>
      </w:r>
    </w:p>
    <w:p w:rsidR="00CF1D1E" w:rsidRPr="00CF1D1E" w:rsidRDefault="00CF1D1E" w:rsidP="00CF1D1E">
      <w:pPr>
        <w:spacing w:line="360" w:lineRule="auto"/>
        <w:ind w:firstLine="720"/>
        <w:jc w:val="both"/>
        <w:rPr>
          <w:rFonts w:ascii="Calibri" w:eastAsia="Calibri" w:hAnsi="Calibri" w:cs="Times New Roman"/>
          <w:sz w:val="20"/>
          <w:szCs w:val="20"/>
        </w:rPr>
      </w:pPr>
      <w:r w:rsidRPr="00CF1D1E">
        <w:rPr>
          <w:rFonts w:ascii="Calibri" w:eastAsia="Calibri" w:hAnsi="Calibri" w:cs="Times New Roman"/>
          <w:sz w:val="20"/>
          <w:szCs w:val="20"/>
        </w:rPr>
        <w:t xml:space="preserve">Fig.89 </w:t>
      </w:r>
      <w:r w:rsidR="00746A16">
        <w:rPr>
          <w:rFonts w:ascii="Calibri" w:eastAsia="Calibri" w:hAnsi="Calibri" w:cs="Times New Roman"/>
          <w:sz w:val="20"/>
          <w:szCs w:val="20"/>
        </w:rPr>
        <w:t>Tea s</w:t>
      </w:r>
      <w:r w:rsidRPr="00CF1D1E">
        <w:rPr>
          <w:rFonts w:ascii="Calibri" w:eastAsia="Calibri" w:hAnsi="Calibri" w:cs="Times New Roman"/>
          <w:sz w:val="20"/>
          <w:szCs w:val="20"/>
        </w:rPr>
        <w:t>amples during preparation before sonication.</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w:drawing>
          <wp:inline distT="0" distB="0" distL="0" distR="0" wp14:anchorId="61B8787A" wp14:editId="7CF2DA00">
            <wp:extent cx="5148580" cy="21913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148580" cy="2191385"/>
                    </a:xfrm>
                    <a:prstGeom prst="rect">
                      <a:avLst/>
                    </a:prstGeom>
                    <a:noFill/>
                    <a:ln>
                      <a:noFill/>
                    </a:ln>
                  </pic:spPr>
                </pic:pic>
              </a:graphicData>
            </a:graphic>
          </wp:inline>
        </w:drawing>
      </w:r>
    </w:p>
    <w:p w:rsidR="00CF1D1E" w:rsidRPr="00CF1D1E" w:rsidRDefault="00746A16" w:rsidP="00CF1D1E">
      <w:pPr>
        <w:spacing w:line="360" w:lineRule="auto"/>
        <w:ind w:firstLine="720"/>
        <w:jc w:val="both"/>
        <w:rPr>
          <w:rFonts w:ascii="Calibri" w:eastAsia="Calibri" w:hAnsi="Calibri" w:cs="Times New Roman"/>
          <w:sz w:val="20"/>
          <w:szCs w:val="20"/>
        </w:rPr>
      </w:pPr>
      <w:r>
        <w:rPr>
          <w:rFonts w:ascii="Calibri" w:eastAsia="Calibri" w:hAnsi="Calibri" w:cs="Times New Roman"/>
          <w:sz w:val="20"/>
          <w:szCs w:val="20"/>
        </w:rPr>
        <w:t>Fig.90 Tea s</w:t>
      </w:r>
      <w:r w:rsidR="00CF1D1E" w:rsidRPr="00CF1D1E">
        <w:rPr>
          <w:rFonts w:ascii="Calibri" w:eastAsia="Calibri" w:hAnsi="Calibri" w:cs="Times New Roman"/>
          <w:sz w:val="20"/>
          <w:szCs w:val="20"/>
        </w:rPr>
        <w:t>amples after sonication showing a considerable increase in depth of colour.</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Each diluted sample extract was analysed by the described analytical method with 4 technical replicates of each. Blank extracts were acquired between the batches of 4 injections per sample. This was done to ensure that no carry-over was present and to provide blank </w:t>
      </w:r>
      <w:r w:rsidR="00727F60">
        <w:rPr>
          <w:rFonts w:ascii="Calibri" w:eastAsia="Calibri" w:hAnsi="Calibri" w:cs="Times New Roman"/>
          <w:sz w:val="24"/>
          <w:szCs w:val="24"/>
        </w:rPr>
        <w:t>background data. Additionally, p</w:t>
      </w:r>
      <w:r w:rsidRPr="00CF1D1E">
        <w:rPr>
          <w:rFonts w:ascii="Calibri" w:eastAsia="Calibri" w:hAnsi="Calibri" w:cs="Times New Roman"/>
          <w:sz w:val="24"/>
          <w:szCs w:val="24"/>
        </w:rPr>
        <w:t>ooled s</w:t>
      </w:r>
      <w:r w:rsidR="00727F60">
        <w:rPr>
          <w:rFonts w:ascii="Calibri" w:eastAsia="Calibri" w:hAnsi="Calibri" w:cs="Times New Roman"/>
          <w:sz w:val="24"/>
          <w:szCs w:val="24"/>
        </w:rPr>
        <w:t>amples were acquired</w:t>
      </w:r>
      <w:r w:rsidRPr="00CF1D1E">
        <w:rPr>
          <w:rFonts w:ascii="Calibri" w:eastAsia="Calibri" w:hAnsi="Calibri" w:cs="Times New Roman"/>
          <w:sz w:val="24"/>
          <w:szCs w:val="24"/>
        </w:rPr>
        <w:t xml:space="preserve">. The pooled sample was a composite of the 9 tea extracts. This creates a sample with all the components of the 9 teas and the mobile phase and serves as a good alignment reference when processing in Progenesis QI. Well aligned data is essential for the identification processes and subsequently for good quality multivariate analysis (MVA).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The acquired data was transferred to an informatics workstation and imported into Progenesis QI. Data was then aligned and grouped into the 9 tea types. Peaks were picked revealing over 5</w:t>
      </w:r>
      <w:r w:rsidR="00A51CF8">
        <w:rPr>
          <w:rFonts w:ascii="Calibri" w:eastAsia="Calibri" w:hAnsi="Calibri" w:cs="Times New Roman"/>
          <w:sz w:val="24"/>
          <w:szCs w:val="24"/>
        </w:rPr>
        <w:t>,</w:t>
      </w:r>
      <w:r w:rsidRPr="00CF1D1E">
        <w:rPr>
          <w:rFonts w:ascii="Calibri" w:eastAsia="Calibri" w:hAnsi="Calibri" w:cs="Times New Roman"/>
          <w:sz w:val="24"/>
          <w:szCs w:val="24"/>
        </w:rPr>
        <w:t xml:space="preserve">500 compound ions, which were then used for identification in Progenesis QI, querying the ChemSpider Phenol Explorer database </w:t>
      </w:r>
      <w:r w:rsidRPr="00CF1D1E">
        <w:rPr>
          <w:rFonts w:ascii="Calibri" w:eastAsia="Calibri" w:hAnsi="Calibri" w:cs="Times New Roman"/>
          <w:sz w:val="24"/>
          <w:szCs w:val="24"/>
        </w:rPr>
        <w:fldChar w:fldCharType="begin" w:fldLock="1"/>
      </w:r>
      <w:r w:rsidR="001E5DE1">
        <w:rPr>
          <w:rFonts w:ascii="Calibri" w:eastAsia="Calibri" w:hAnsi="Calibri" w:cs="Times New Roman"/>
          <w:sz w:val="24"/>
          <w:szCs w:val="24"/>
        </w:rPr>
        <w:instrText>ADDIN CSL_CITATION {"citationItems":[{"id":"ITEM-1","itemData":{"URL":"https://www.chemspider.com/DatasourceDetails.aspx?id=912","author":[{"dropping-particle":"","family":"Agronomique","given":"Institut National de la Recherche","non-dropping-particle":"","parse-names":false,"suffix":""}],"id":"ITEM-1","issued":{"date-parts":[["2019"]]},"title":"Chemspider - Phenol Explorer","type":"webpage"},"uris":["http://www.mendeley.com/documents/?uuid=8fa04657-368d-460d-ae2a-5e76f5259e96"]}],"mendeley":{"formattedCitation":"(Agronomique, 2019)","plainTextFormattedCitation":"(Agronomique, 2019)","previouslyFormattedCitation":"(Agronomique,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595237" w:rsidRPr="00595237">
        <w:rPr>
          <w:rFonts w:ascii="Calibri" w:eastAsia="Calibri" w:hAnsi="Calibri" w:cs="Times New Roman"/>
          <w:noProof/>
          <w:sz w:val="24"/>
          <w:szCs w:val="24"/>
        </w:rPr>
        <w:t>(Agronomique,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and then on to further processing using EZ Info (Umetrics, Malmö, Sweden) to carry out MVA interpretation of the data. In order to select the best quality data for ongoing processing, only those ions with very low ANOVA (p) and q value</w:t>
      </w:r>
      <w:r w:rsidR="0026006F">
        <w:rPr>
          <w:rFonts w:ascii="Calibri" w:eastAsia="Calibri" w:hAnsi="Calibri" w:cs="Times New Roman"/>
          <w:sz w:val="24"/>
          <w:szCs w:val="24"/>
        </w:rPr>
        <w:t>s were selected. C</w:t>
      </w:r>
      <w:r w:rsidRPr="00CF1D1E">
        <w:rPr>
          <w:rFonts w:ascii="Calibri" w:eastAsia="Calibri" w:hAnsi="Calibri" w:cs="Times New Roman"/>
          <w:sz w:val="24"/>
          <w:szCs w:val="24"/>
        </w:rPr>
        <w:t>ompounds with low abundance (&lt;100,000) were filtered out using software tags. On top of this, metrics such as Hotelling’s T</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w:t>
      </w:r>
      <w:r w:rsidR="00A51CF8">
        <w:rPr>
          <w:rFonts w:ascii="Calibri" w:eastAsia="Calibri" w:hAnsi="Calibri" w:cs="Times New Roman"/>
          <w:sz w:val="24"/>
          <w:szCs w:val="24"/>
        </w:rPr>
        <w:t xml:space="preserve"> </w:t>
      </w:r>
      <w:r w:rsidRPr="00CF1D1E">
        <w:rPr>
          <w:rFonts w:ascii="Calibri" w:eastAsia="Calibri" w:hAnsi="Calibri" w:cs="Times New Roman"/>
          <w:sz w:val="24"/>
          <w:szCs w:val="24"/>
        </w:rPr>
        <w:t>Q</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and 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were used to keep an eye on the quality of the data interpretation.</w:t>
      </w:r>
    </w:p>
    <w:p w:rsidR="00CF1D1E" w:rsidRPr="00CF1D1E" w:rsidRDefault="0026006F" w:rsidP="00CF1D1E">
      <w:pPr>
        <w:spacing w:line="360" w:lineRule="auto"/>
        <w:ind w:firstLine="720"/>
        <w:jc w:val="both"/>
        <w:rPr>
          <w:rFonts w:ascii="Calibri" w:eastAsia="Calibri" w:hAnsi="Calibri" w:cs="Times New Roman"/>
          <w:sz w:val="24"/>
          <w:szCs w:val="24"/>
        </w:rPr>
      </w:pPr>
      <w:r w:rsidRPr="0026006F">
        <w:rPr>
          <w:rFonts w:ascii="Calibri" w:eastAsia="Calibri" w:hAnsi="Calibri" w:cs="Times New Roman"/>
          <w:sz w:val="24"/>
          <w:szCs w:val="24"/>
        </w:rPr>
        <w:t xml:space="preserve">The data was assessed in three stages, </w:t>
      </w:r>
      <w:r w:rsidR="00CF1D1E" w:rsidRPr="00CF1D1E">
        <w:rPr>
          <w:rFonts w:ascii="Calibri" w:eastAsia="Calibri" w:hAnsi="Calibri" w:cs="Times New Roman"/>
          <w:sz w:val="24"/>
          <w:szCs w:val="24"/>
        </w:rPr>
        <w:t>building from a simple overview</w:t>
      </w:r>
      <w:r w:rsidR="00F90AEA">
        <w:rPr>
          <w:rFonts w:ascii="Calibri" w:eastAsia="Calibri" w:hAnsi="Calibri" w:cs="Times New Roman"/>
          <w:sz w:val="24"/>
          <w:szCs w:val="24"/>
        </w:rPr>
        <w:t xml:space="preserve"> to a more complex</w:t>
      </w:r>
      <w:r w:rsidR="00CF1D1E" w:rsidRPr="00CF1D1E">
        <w:rPr>
          <w:rFonts w:ascii="Calibri" w:eastAsia="Calibri" w:hAnsi="Calibri" w:cs="Times New Roman"/>
          <w:sz w:val="24"/>
          <w:szCs w:val="24"/>
        </w:rPr>
        <w:t xml:space="preserve"> metabolic fingerprint able to reveal discriminants that can be used as potential </w:t>
      </w:r>
      <w:r w:rsidR="00CF1D1E" w:rsidRPr="00CF1D1E">
        <w:rPr>
          <w:rFonts w:ascii="Calibri" w:eastAsia="Calibri" w:hAnsi="Calibri" w:cs="Times New Roman"/>
          <w:sz w:val="24"/>
          <w:szCs w:val="24"/>
        </w:rPr>
        <w:lastRenderedPageBreak/>
        <w:t>biomarkers. For clarity these will be referred to as stage 1, stage 2 and stage 3 from hereon in.</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Firstly, only the top 7 most abundant polyphenol identifications were used to compare the differences across the 9 teas using simple graphical representations created in Progenesis QI (Stage 1). The identifications were manually checked for confirmation. This began by searching for ions with the correct accurate mass and then involved looking at the MS spectra to compare with published material in order to explain the major fragme</w:t>
      </w:r>
      <w:r w:rsidR="0085046B">
        <w:rPr>
          <w:rFonts w:ascii="Calibri" w:eastAsia="Calibri" w:hAnsi="Calibri" w:cs="Times New Roman"/>
          <w:sz w:val="24"/>
          <w:szCs w:val="24"/>
        </w:rPr>
        <w:t>nts (See Figs.92 to 98). The</w:t>
      </w:r>
      <w:r w:rsidRPr="00CF1D1E">
        <w:rPr>
          <w:rFonts w:ascii="Calibri" w:eastAsia="Calibri" w:hAnsi="Calibri" w:cs="Times New Roman"/>
          <w:sz w:val="24"/>
          <w:szCs w:val="24"/>
        </w:rPr>
        <w:t xml:space="preserve"> 7</w:t>
      </w:r>
      <w:r w:rsidR="0085046B">
        <w:rPr>
          <w:rFonts w:ascii="Calibri" w:eastAsia="Calibri" w:hAnsi="Calibri" w:cs="Times New Roman"/>
          <w:sz w:val="24"/>
          <w:szCs w:val="24"/>
        </w:rPr>
        <w:t xml:space="preserve"> most abundant polyphenols</w:t>
      </w:r>
      <w:r w:rsidRPr="00CF1D1E">
        <w:rPr>
          <w:rFonts w:ascii="Calibri" w:eastAsia="Calibri" w:hAnsi="Calibri" w:cs="Times New Roman"/>
          <w:sz w:val="24"/>
          <w:szCs w:val="24"/>
        </w:rPr>
        <w:t xml:space="preserve"> were EC, EGC, ECG, Rutin, EGCG, TF and Procy B2. It is known from literature that these are indeed the major components expected to be present in teas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{"citationItems":[{"id":"ITEM-1","itemData":{"DOI":"10.1039/b912523j","ISSN":"02650568","abstract":"This review summarises the chemistry of low molecular weight polyphenols isolated and characterised from black tea, discussing both structures identified and mechanisms of their likely formation.","author":[{"dropping-particle":"","family":"Drynan","given":"James Warren","non-dropping-particle":"","parse-names":false,"suffix":""},{"dropping-particle":"","family":"Clifford","given":"Michael N.","non-dropping-particle":"","parse-names":false,"suffix":""},{"dropping-particle":"","family":"Obuchowicz","given":"Jacek","non-dropping-particle":"","parse-names":false,"suffix":""},{"dropping-particle":"","family":"Kuhnert","given":"Nikolai","non-dropping-particle":"","parse-names":false,"suffix":""}],"container-title":"Natural Product Reports","id":"ITEM-1","issue":"3","issued":{"date-parts":[["2010"]]},"page":"417-462","title":"The chemistry of low molecular weight black tea polyphenols","type":"article-journal","volume":"27"},"uris":["http://www.mendeley.com/documents/?uuid=615f3d4e-2e67-4641-9f6c-cdd98adf4906"]},{"id":"ITEM-2","itemData":{"DOI":"10.1016/j.foodres.2013.01.038","ISSN":"09639969","abstract":"Although among the five main types of teas (white, green, oolong, black and pu-erh), black tea is the most consumed worldwide, an impressive number of scientific publications have been focused on green tea and its major compounds, flavan-3-ols (\"catechins\"). However, besides flavan-3-ols, there are other compounds present in tea that could be accounted as potential bioactive compounds. Therefore, the objective of the present review is to provide a new perspective on the health benefits associated with tea consumption by critically analyzing the available literature on the potential tea bioactive compounds and the current level of scientific evidence for these health benefits. Until now the exact mechanisms of action or compounds responsible for the health benefits associated with tea consumption have only been poorly investigated. It is important to consider that tea compounds will be extensively metabolized to different metabolites that will, most likely, be the compounds circulating in blood and potentially reaching the different sites of action. © 2013 Elsevier Ltd.","author":[{"dropping-particle":"","family":"Silva Pinto","given":"Marcia","non-dropping-particle":"Da","parse-names":false,"suffix":""}],"container-title":"Food Research International","id":"ITEM-2","issue":"2","issued":{"date-parts":[["2013"]]},"page":"558-567","title":"Tea: A new perspective on health benefits","type":"article-journal","volume":"53"},"uris":["http://www.mendeley.com/documents/?uuid=a5eb81bc-8247-4e65-82a1-f55172d2a479"]}],"mendeley":{"formattedCitation":"(Da Silva Pinto, 2013; Drynan et al., 2010)","plainTextFormattedCitation":"(Da Silva Pinto, 2013; Drynan et al., 2010)","previouslyFormattedCitation":"(Da Silva Pinto, 2013; Drynan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(Da Silva Pinto, 2013; Drynan </w:t>
      </w:r>
      <w:r w:rsidR="00941740" w:rsidRPr="00746A16">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Secondly, the data relating to these top 7 identifications was processed using MVA in EZ Info to illustrate the comparative differences between these </w:t>
      </w:r>
      <w:proofErr w:type="spellStart"/>
      <w:r w:rsidRPr="00CF1D1E">
        <w:rPr>
          <w:rFonts w:ascii="Calibri" w:eastAsia="Calibri" w:hAnsi="Calibri" w:cs="Times New Roman"/>
          <w:sz w:val="24"/>
          <w:szCs w:val="24"/>
        </w:rPr>
        <w:t>teas</w:t>
      </w:r>
      <w:proofErr w:type="spellEnd"/>
      <w:r w:rsidRPr="00CF1D1E">
        <w:rPr>
          <w:rFonts w:ascii="Calibri" w:eastAsia="Calibri" w:hAnsi="Calibri" w:cs="Times New Roman"/>
          <w:sz w:val="24"/>
          <w:szCs w:val="24"/>
        </w:rPr>
        <w:t xml:space="preserve"> (Stage 2). The third and final interpretation of this data involved the inclusion of the top 100 most abundant compound ions with very low ANOVA (p) and q values.</w:t>
      </w:r>
      <w:r w:rsidR="0085046B">
        <w:rPr>
          <w:rFonts w:ascii="Calibri" w:eastAsia="Calibri" w:hAnsi="Calibri" w:cs="Times New Roman"/>
          <w:sz w:val="24"/>
          <w:szCs w:val="24"/>
        </w:rPr>
        <w:t xml:space="preserve"> </w:t>
      </w:r>
      <w:r w:rsidR="0085046B" w:rsidRPr="0085046B">
        <w:rPr>
          <w:rFonts w:ascii="Calibri" w:eastAsia="Calibri" w:hAnsi="Calibri" w:cs="Times New Roman"/>
          <w:sz w:val="24"/>
          <w:szCs w:val="24"/>
        </w:rPr>
        <w:t>No attempt to identify them was made</w:t>
      </w:r>
      <w:r w:rsidR="0085046B">
        <w:rPr>
          <w:rFonts w:ascii="Calibri" w:eastAsia="Calibri" w:hAnsi="Calibri" w:cs="Times New Roman"/>
          <w:sz w:val="24"/>
          <w:szCs w:val="24"/>
        </w:rPr>
        <w:t>.</w:t>
      </w:r>
      <w:r w:rsidRPr="00CF1D1E">
        <w:rPr>
          <w:rFonts w:ascii="Calibri" w:eastAsia="Calibri" w:hAnsi="Calibri" w:cs="Times New Roman"/>
          <w:sz w:val="24"/>
          <w:szCs w:val="24"/>
        </w:rPr>
        <w:t xml:space="preserve"> Also included were the rest of the TF family (see Tab.32) as well as the TS group o</w:t>
      </w:r>
      <w:r w:rsidR="0085046B">
        <w:rPr>
          <w:rFonts w:ascii="Calibri" w:eastAsia="Calibri" w:hAnsi="Calibri" w:cs="Times New Roman"/>
          <w:sz w:val="24"/>
          <w:szCs w:val="24"/>
        </w:rPr>
        <w:t xml:space="preserve">f compounds (Stage 3). </w:t>
      </w:r>
      <w:r w:rsidR="00746A16">
        <w:rPr>
          <w:rFonts w:ascii="Calibri" w:eastAsia="Calibri" w:hAnsi="Calibri" w:cs="Times New Roman"/>
          <w:sz w:val="24"/>
          <w:szCs w:val="24"/>
        </w:rPr>
        <w:t>Fig.91</w:t>
      </w:r>
      <w:r w:rsidR="0085046B">
        <w:rPr>
          <w:rFonts w:ascii="Calibri" w:eastAsia="Calibri" w:hAnsi="Calibri" w:cs="Times New Roman"/>
          <w:sz w:val="24"/>
          <w:szCs w:val="24"/>
        </w:rPr>
        <w:t xml:space="preserve"> shows</w:t>
      </w:r>
      <w:r w:rsidRPr="00CF1D1E">
        <w:rPr>
          <w:rFonts w:ascii="Calibri" w:eastAsia="Calibri" w:hAnsi="Calibri" w:cs="Times New Roman"/>
          <w:sz w:val="24"/>
          <w:szCs w:val="24"/>
        </w:rPr>
        <w:t xml:space="preserve"> the software filtering tags that were applied </w:t>
      </w:r>
      <w:r w:rsidR="0085046B">
        <w:rPr>
          <w:rFonts w:ascii="Calibri" w:eastAsia="Calibri" w:hAnsi="Calibri" w:cs="Times New Roman"/>
          <w:sz w:val="24"/>
          <w:szCs w:val="24"/>
        </w:rPr>
        <w:t>in the stage 3 analysis</w:t>
      </w:r>
      <w:r w:rsidRPr="00CF1D1E">
        <w:rPr>
          <w:rFonts w:ascii="Calibri" w:eastAsia="Calibri" w:hAnsi="Calibri" w:cs="Times New Roman"/>
          <w:sz w:val="24"/>
          <w:szCs w:val="24"/>
        </w:rPr>
        <w:t>. The TFs and the TSs are</w:t>
      </w:r>
      <w:r w:rsidR="0085046B">
        <w:rPr>
          <w:rFonts w:ascii="Calibri" w:eastAsia="Calibri" w:hAnsi="Calibri" w:cs="Times New Roman"/>
          <w:sz w:val="24"/>
          <w:szCs w:val="24"/>
        </w:rPr>
        <w:t xml:space="preserve"> </w:t>
      </w:r>
      <w:r w:rsidRPr="00CF1D1E">
        <w:rPr>
          <w:rFonts w:ascii="Calibri" w:eastAsia="Calibri" w:hAnsi="Calibri" w:cs="Times New Roman"/>
          <w:sz w:val="24"/>
          <w:szCs w:val="24"/>
        </w:rPr>
        <w:t>the products of oxidation; their addition rationalised in an attempt to improve the illustrations of the differences between samples. As isobaric theaflavin mono-gallates could not be differentiated by this method they are referred to as TF gallate</w:t>
      </w:r>
      <w:r w:rsidR="00B216E3">
        <w:rPr>
          <w:rFonts w:ascii="Calibri" w:eastAsia="Calibri" w:hAnsi="Calibri" w:cs="Times New Roman"/>
          <w:sz w:val="24"/>
          <w:szCs w:val="24"/>
        </w:rPr>
        <w:t xml:space="preserve"> (see Fig. A3-109</w:t>
      </w:r>
      <w:r w:rsidR="00B216E3" w:rsidRPr="00CF1D1E">
        <w:rPr>
          <w:rFonts w:ascii="Calibri" w:eastAsia="Calibri" w:hAnsi="Calibri" w:cs="Times New Roman"/>
          <w:sz w:val="24"/>
          <w:szCs w:val="24"/>
        </w:rPr>
        <w:t>)</w:t>
      </w:r>
      <w:r w:rsidRPr="00CF1D1E">
        <w:rPr>
          <w:rFonts w:ascii="Calibri" w:eastAsia="Calibri" w:hAnsi="Calibri" w:cs="Times New Roman"/>
          <w:sz w:val="24"/>
          <w:szCs w:val="24"/>
        </w:rPr>
        <w:t>. The theasinensins were manually identified as A, B and C through literature searches and inspection of the MS sp</w:t>
      </w:r>
      <w:r w:rsidR="004B59D2">
        <w:rPr>
          <w:rFonts w:ascii="Calibri" w:eastAsia="Calibri" w:hAnsi="Calibri" w:cs="Times New Roman"/>
          <w:sz w:val="24"/>
          <w:szCs w:val="24"/>
        </w:rPr>
        <w:t xml:space="preserve">ectra (see </w:t>
      </w:r>
      <w:r w:rsidR="00B216E3">
        <w:rPr>
          <w:rFonts w:ascii="Calibri" w:eastAsia="Calibri" w:hAnsi="Calibri" w:cs="Times New Roman"/>
          <w:sz w:val="24"/>
          <w:szCs w:val="24"/>
        </w:rPr>
        <w:t xml:space="preserve">Fig.115 and </w:t>
      </w:r>
      <w:r w:rsidR="004B59D2">
        <w:rPr>
          <w:rFonts w:ascii="Calibri" w:eastAsia="Calibri" w:hAnsi="Calibri" w:cs="Times New Roman"/>
          <w:sz w:val="24"/>
          <w:szCs w:val="24"/>
        </w:rPr>
        <w:t>Appendix Fig. A3-1</w:t>
      </w:r>
      <w:r w:rsidR="00B216E3">
        <w:rPr>
          <w:rFonts w:ascii="Calibri" w:eastAsia="Calibri" w:hAnsi="Calibri" w:cs="Times New Roman"/>
          <w:sz w:val="24"/>
          <w:szCs w:val="24"/>
        </w:rPr>
        <w:t>10</w:t>
      </w:r>
      <w:r w:rsidRPr="00CF1D1E">
        <w:rPr>
          <w:rFonts w:ascii="Calibri" w:eastAsia="Calibri" w:hAnsi="Calibri" w:cs="Times New Roman"/>
          <w:sz w:val="24"/>
          <w:szCs w:val="24"/>
        </w:rPr>
        <w:t xml:space="preserve"> to A3-111) although it is a possibility that isobaric atropisomers may exist due to steric hindrance.</w:t>
      </w:r>
    </w:p>
    <w:p w:rsidR="00CF1D1E" w:rsidRPr="00CF1D1E" w:rsidRDefault="00CF1D1E" w:rsidP="00CF1D1E">
      <w:pPr>
        <w:spacing w:line="360" w:lineRule="auto"/>
        <w:ind w:left="2160" w:firstLine="720"/>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w:drawing>
          <wp:inline distT="0" distB="0" distL="0" distR="0" wp14:anchorId="0BA2319B" wp14:editId="6855C7AB">
            <wp:extent cx="2398816" cy="2650043"/>
            <wp:effectExtent l="0" t="0" r="190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TAGS Chapter 3 method 3.png"/>
                    <pic:cNvPicPr/>
                  </pic:nvPicPr>
                  <pic:blipFill>
                    <a:blip r:embed="rId158">
                      <a:extLst>
                        <a:ext uri="{28A0092B-C50C-407E-A947-70E740481C1C}">
                          <a14:useLocalDpi xmlns:a14="http://schemas.microsoft.com/office/drawing/2010/main" val="0"/>
                        </a:ext>
                      </a:extLst>
                    </a:blip>
                    <a:stretch>
                      <a:fillRect/>
                    </a:stretch>
                  </pic:blipFill>
                  <pic:spPr>
                    <a:xfrm>
                      <a:off x="0" y="0"/>
                      <a:ext cx="2484835" cy="2745071"/>
                    </a:xfrm>
                    <a:prstGeom prst="rect">
                      <a:avLst/>
                    </a:prstGeom>
                  </pic:spPr>
                </pic:pic>
              </a:graphicData>
            </a:graphic>
          </wp:inline>
        </w:drawing>
      </w:r>
      <w:r w:rsidRPr="00CF1D1E">
        <w:rPr>
          <w:rFonts w:ascii="Calibri" w:eastAsia="Calibri" w:hAnsi="Calibri" w:cs="Times New Roman"/>
          <w:sz w:val="24"/>
          <w:szCs w:val="24"/>
        </w:rPr>
        <w:t xml:space="preserve">  </w:t>
      </w:r>
    </w:p>
    <w:p w:rsidR="00CF1D1E" w:rsidRPr="00CF1D1E" w:rsidRDefault="00CF1D1E" w:rsidP="00CF1D1E">
      <w:pPr>
        <w:spacing w:line="360" w:lineRule="auto"/>
        <w:ind w:left="2160" w:firstLine="720"/>
        <w:jc w:val="both"/>
        <w:rPr>
          <w:rFonts w:ascii="Calibri" w:eastAsia="Calibri" w:hAnsi="Calibri" w:cs="Times New Roman"/>
          <w:sz w:val="24"/>
          <w:szCs w:val="24"/>
        </w:rPr>
      </w:pPr>
    </w:p>
    <w:p w:rsidR="00CF1D1E" w:rsidRPr="00CF1D1E" w:rsidRDefault="00CF1D1E" w:rsidP="00CF1D1E">
      <w:pPr>
        <w:spacing w:line="360" w:lineRule="auto"/>
        <w:ind w:left="720" w:firstLine="720"/>
        <w:jc w:val="both"/>
        <w:rPr>
          <w:rFonts w:ascii="Calibri" w:eastAsia="Calibri" w:hAnsi="Calibri" w:cs="Times New Roman"/>
          <w:sz w:val="24"/>
          <w:szCs w:val="24"/>
        </w:rPr>
      </w:pPr>
      <w:r w:rsidRPr="00CF1D1E">
        <w:rPr>
          <w:rFonts w:ascii="Calibri" w:eastAsia="Calibri" w:hAnsi="Calibri" w:cs="Times New Roman"/>
          <w:sz w:val="20"/>
          <w:szCs w:val="20"/>
        </w:rPr>
        <w:t>Fi</w:t>
      </w:r>
      <w:r w:rsidR="0085046B">
        <w:rPr>
          <w:rFonts w:ascii="Calibri" w:eastAsia="Calibri" w:hAnsi="Calibri" w:cs="Times New Roman"/>
          <w:sz w:val="20"/>
          <w:szCs w:val="20"/>
        </w:rPr>
        <w:t xml:space="preserve">g.91 </w:t>
      </w:r>
      <w:r w:rsidR="00B415D0">
        <w:rPr>
          <w:rFonts w:ascii="Calibri" w:eastAsia="Calibri" w:hAnsi="Calibri" w:cs="Times New Roman"/>
          <w:sz w:val="20"/>
          <w:szCs w:val="20"/>
        </w:rPr>
        <w:t>Tea extract data filtering - t</w:t>
      </w:r>
      <w:r w:rsidRPr="00CF1D1E">
        <w:rPr>
          <w:rFonts w:ascii="Calibri" w:eastAsia="Calibri" w:hAnsi="Calibri" w:cs="Times New Roman"/>
          <w:sz w:val="20"/>
          <w:szCs w:val="20"/>
        </w:rPr>
        <w:t>ags applied to filter data in stage 3.</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w:t>
      </w:r>
      <w:r w:rsidR="00B415D0">
        <w:rPr>
          <w:rFonts w:ascii="Calibri" w:eastAsia="Calibri" w:hAnsi="Calibri" w:cs="Times New Roman"/>
          <w:sz w:val="24"/>
          <w:szCs w:val="24"/>
        </w:rPr>
        <w:t>Potential n</w:t>
      </w:r>
      <w:r w:rsidRPr="00CF1D1E">
        <w:rPr>
          <w:rFonts w:ascii="Calibri" w:eastAsia="Calibri" w:hAnsi="Calibri" w:cs="Times New Roman"/>
          <w:sz w:val="24"/>
          <w:szCs w:val="24"/>
        </w:rPr>
        <w:t xml:space="preserve">ew biomarkers were identified through the use of S-plots using an Orthogonal Projections to latent structures – discriminant analysis </w:t>
      </w:r>
      <w:r w:rsidRPr="00CF1D1E">
        <w:rPr>
          <w:rFonts w:ascii="Calibri" w:eastAsia="Calibri" w:hAnsi="Calibri" w:cs="Times New Roman"/>
        </w:rPr>
        <w:t>(</w:t>
      </w:r>
      <w:r w:rsidRPr="00CF1D1E">
        <w:rPr>
          <w:rFonts w:ascii="Calibri" w:eastAsia="Calibri" w:hAnsi="Calibri" w:cs="Times New Roman"/>
          <w:sz w:val="24"/>
          <w:szCs w:val="24"/>
        </w:rPr>
        <w:t xml:space="preserve">OPLS-DA) model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{"citationItems":[{"id":"ITEM-1","itemData":{"DOI":"10.1002/cem.695","ISSN":"08869383","abstract":"A generic preprocessing method for multivariate data, called orthogonal projections to latent structures (O-PLS), is described. O-PLS removes variation from X (descriptor variables) that is not correlated to Y (property variables, e.g. yield, cost or toxicity). In mathematical terms this is equivalent to removing systematic variation in X that is orthogonal to Y. In an earlier paper, Wold et al. (Chemometrics Intell. Lab. Syst. 1998; 44: 175-185) described orthogonal signal correction (OSC). In this paper a method with the same objective but with different means is described. The proposed O-PLS method analyzes the variation explained in each PLS component. The non-correlated systematic variation in X is removed, making interpretation of the resulting PLS model easier and with the additional benefit that the non-correlated variation itself can be analyzed further. As an example, near-infrared (NIR) reflectance spectra of wood chips were analyzed. Applying O-PLS resulted in reduced model complexity with preserved prediction ability, effective removal of non-correlated variation in X and, not least, improved interpretational ability of both correlated and non-correlated variation in the NIR spectra. © 2002 John Wiley &amp; Sons, Ltd.","author":[{"dropping-particle":"","family":"Trygg","given":"Johan","non-dropping-particle":"","parse-names":false,"suffix":""},{"dropping-particle":"","family":"Wold","given":"Svante","non-dropping-particle":"","parse-names":false,"suffix":""}],"container-title":"Journal of Chemometrics","id":"ITEM-1","issue":"3","issued":{"date-parts":[["2002"]]},"page":"119-128","title":"Orthogonal projections to latent structures (O-PLS)","type":"article-journal","volume":"16"},"uris":["http://www.mendeley.com/documents/?uuid=c6184c8a-cf14-43ea-a84b-5dff8fc348dd"]}],"mendeley":{"formattedCitation":"(Trygg &amp; Wold, 2002)","plainTextFormattedCitation":"(Trygg &amp; Wold, 2002)","previouslyFormattedCitation":"(Trygg &amp; Wold, 2002)"},"properties":{"noteIndex":0},"schema":"https://github.com/citation-style-language/schema/raw/master/csl-citation.json"}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(Trygg &amp; Wold, 2002)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The aim was to show identified and unidentified ions that provided insight into the sample differences.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initial overview of data in stage 2 and stage 3 of data processing was </w:t>
      </w:r>
      <w:r w:rsidR="00B415D0">
        <w:rPr>
          <w:rFonts w:ascii="Calibri" w:eastAsia="Calibri" w:hAnsi="Calibri" w:cs="Times New Roman"/>
          <w:sz w:val="24"/>
          <w:szCs w:val="24"/>
        </w:rPr>
        <w:t>carried out</w:t>
      </w:r>
      <w:r w:rsidRPr="00CF1D1E">
        <w:rPr>
          <w:rFonts w:ascii="Calibri" w:eastAsia="Calibri" w:hAnsi="Calibri" w:cs="Times New Roman"/>
          <w:sz w:val="24"/>
          <w:szCs w:val="24"/>
        </w:rPr>
        <w:t xml:space="preserve"> using the MVA technique known as principal components analysis (PCA). Principal components are groups of features in the data that contribute the most to explaining the differences between samples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0169-7439(87)80084-9","ISBN":"9781555446437","ISSN":"01697439","PMID":"21674720","author":[{"dropping-particle":"","family":"Wold","given":"Svante","non-dropping-particle":"","parse-names":false,"suffix":""},{"dropping-particle":"","family":"Esbensen","given":"Kim","non-dropping-particle":"","parse-names":false,"suffix":""},{"dropping-particle":"","family":"Geladi","given":"Paul","non-dropping-particle":"","parse-names":false,"suffix":""}],"container-title":"Chemometrics and intelligent laboratory systems","id":"ITEM-1","issue":"June 2001","issued":{"date-parts":[["1987"]]},"page":"37-52","title":"Principal Component Analysis","type":"article-journal","volume":"2"},"uris":["http://www.mendeley.com/documents/?uuid=f3f111d8-ad41-4ab0-8502-6f7f9aa2c648"]}],"mendeley":{"formattedCitation":"(Wold, Esbensen, &amp; Geladi, 1987)","plainTextFormattedCitation":"(Wold, Esbensen, &amp; Geladi, 1987)","previouslyFormattedCitation":"(Wold, Esbensen, &amp; Geladi, 1987)"},"properties":{"noteIndex":0},"schema":"https://github.com/citation-style-language/schema/raw/master/csl-citation.json"}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(Wold, Esbensen, &amp; Geladi, 1987)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36 observations with 1152 variables were included. Pareto scaling was used as the variables </w:t>
      </w:r>
      <w:r w:rsidR="0085046B">
        <w:rPr>
          <w:rFonts w:ascii="Calibri" w:eastAsia="Calibri" w:hAnsi="Calibri" w:cs="Times New Roman"/>
          <w:sz w:val="24"/>
          <w:szCs w:val="24"/>
        </w:rPr>
        <w:t>had different units</w:t>
      </w:r>
      <w:r w:rsidRPr="00CF1D1E">
        <w:rPr>
          <w:rFonts w:ascii="Calibri" w:eastAsia="Calibri" w:hAnsi="Calibri" w:cs="Times New Roman"/>
          <w:sz w:val="24"/>
          <w:szCs w:val="24"/>
        </w:rPr>
        <w:t xml:space="preserve">. Pareto scaling gives each variable a variance numerically equal to its initial standard deviation instead of having a unit variance. Pareto scaling has become the default choice in many omics applications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{"citationItems":[{"id":"ITEM-1","itemData":{"DOI":"10.1007/978-3-319-01517-0_3","ISBN":"9781292021904","abstract":"For over 30 years, Multivariate Data Analysis has provided readers with the information they need to understand and apply multivariate data analysis. Hair et. al provides an applications-oriented introduction to multivariate analysis for the non-statistician. By reducing heavy statistical research into fundamental concepts, the text explains to readers how to understand and make use of the results of specific statistical techniques. In this Seventh Edition, the organization of the chapters has been greatly simplified. New chapters have been added on structural equations modeling, and all sections have been updated to reflect advances in technology, capability, and mathematical techniques.","author":[{"dropping-particle":"","family":"Hair","given":"Joseph F.","non-dropping-particle":"","parse-names":false,"suffix":""}],"container-title":"Exploratory Data Analysis in Business and Economics","edition":"7th","id":"ITEM-1","issued":{"date-parts":[["2014"]]},"number-of-pages":"23-60","publisher":"Pearson","title":"Multivariate Data Analysis","type":"book"},"uris":["http://www.mendeley.com/documents/?uuid=1b405130-eaf0-4d73-b8d0-67500c574b3b"]}],"mendeley":{"formattedCitation":"(Hair, 2014)","plainTextFormattedCitation":"(Hair, 2014)","previouslyFormattedCitation":"(Hair,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(Hair,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and is commonly used to reduce the influence of intense peaks whilst emphasising weaker peaks that may have more biological relevance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{"citationItems":[{"id":"ITEM-1","itemData":{"DOI":"10.2174/2213235X11301010092","ISSN":"2213-235X","PMID":"26078916","abstract":"Metabolomics aims to provide a global snapshot of all small-molecule metabolites in cells and biological fluids, free of observational biases inherent to more focused studies of metabolism. However, the staggeringly high information content of such global analyses introduces a challenge of its own; efficiently forming biologically relevant conclusions from any given metabolomics dataset indeed requires specialized forms of data analysis. One approach to finding meaning in metabolomics datasets involves multivariate analysis (MVA) methods such as principal component analysis (PCA) and partial least squares projection to latent structures (PLS), where spectral features contributing most to variation or separation are identified for further analysis. However, as with any mathematical treatment, these methods are not a panacea; this review discusses the use of multivariate analysis for metabolomics, as well as common pitfalls and misconceptions.","author":[{"dropping-particle":"","family":"Worley","given":"Bradley","non-dropping-particle":"","parse-names":false,"suffix":""},{"dropping-particle":"","family":"Powers","given":"Robert","non-dropping-particle":"","parse-names":false,"suffix":""}],"container-title":"Current Metabolomics","id":"ITEM-1","issue":"1","issued":{"date-parts":[["2015"]]},"page":"92-107","title":"Multivariate Analysis in Metabolomics.","type":"article-journal","volume":"1"},"uris":["http://www.mendeley.com/documents/?uuid=fe8781cb-598e-484e-8c13-1576a32ebd9b"]}],"mendeley":{"formattedCitation":"(Worley &amp; Powers, 2015)","plainTextFormattedCitation":"(Worley &amp; Powers, 2015)","previouslyFormattedCitation":"(Worley &amp; Powers,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(Worley &amp; Powers,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The drill down interpretation (stage 2 and stage 3) was achieved by using an OPLS-DA model</w:t>
      </w:r>
      <w:r w:rsidR="009D6457">
        <w:rPr>
          <w:rFonts w:ascii="Calibri" w:eastAsia="Calibri" w:hAnsi="Calibri" w:cs="Times New Roman"/>
          <w:sz w:val="24"/>
          <w:szCs w:val="24"/>
        </w:rPr>
        <w:t>,</w:t>
      </w:r>
      <w:r w:rsidRPr="00CF1D1E">
        <w:rPr>
          <w:rFonts w:ascii="Calibri" w:eastAsia="Calibri" w:hAnsi="Calibri" w:cs="Times New Roman"/>
          <w:sz w:val="24"/>
          <w:szCs w:val="24"/>
        </w:rPr>
        <w:t xml:space="preserve"> which is useful for determining why two groups differ. This helps to answer the question “Which variables are driving the separation between the two groups?”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{"citationItems":[{"id":"ITEM-1","itemData":{"author":[{"dropping-particle":"","family":"Eriksson","given":"Lennart","non-dropping-particle":"","parse-names":false,"suffix":""}],"container-title":"www","id":"ITEM-1","issued":{"date-parts":[["2017"]]},"title":"Explaining differences or grouping data? When to apply OPLS-DA vs PCA for metabolomics and other-omics data analysis","type":"article-journal"},"uris":["http://www.mendeley.com/documents/?uuid=ee8614e6-ef68-488e-be27-729ec13fa71d"]}],"mendeley":{"formattedCitation":"(Eriksson, 2017)","plainTextFormattedCitation":"(Eriksson, 2017)","previouslyFormattedCitation":"(Eriksson, 2017)"},"properties":{"noteIndex":0},"schema":"https://github.com/citation-style-language/schema/raw/master/csl-citation.json"}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(Eriksson, 2017)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by showing which components have the largest discriminatory power. As opposed to </w:t>
      </w:r>
      <w:r w:rsidRPr="00CF1D1E">
        <w:rPr>
          <w:rFonts w:ascii="Calibri" w:eastAsia="Calibri" w:hAnsi="Calibri" w:cs="Times New Roman"/>
          <w:sz w:val="24"/>
          <w:szCs w:val="24"/>
        </w:rPr>
        <w:lastRenderedPageBreak/>
        <w:t xml:space="preserve">PCA, which is an unsupervised modelling technique (no prior knowledge of the data grouping is available), OPLS-DA is a supervised technique i.e. a model is created that best approximates the relationships between inputs and outputs that are observable in the data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{"citationItems":[{"id":"ITEM-1","itemData":{"DOI":"10.1007/978-3-319-01517-0_3","ISBN":"9781292021904","abstract":"For over 30 years, Multivariate Data Analysis has provided readers with the information they need to understand and apply multivariate data analysis. Hair et. al provides an applications-oriented introduction to multivariate analysis for the non-statistician. By reducing heavy statistical research into fundamental concepts, the text explains to readers how to understand and make use of the results of specific statistical techniques. In this Seventh Edition, the organization of the chapters has been greatly simplified. New chapters have been added on structural equations modeling, and all sections have been updated to reflect advances in technology, capability, and mathematical techniques.","author":[{"dropping-particle":"","family":"Hair","given":"Joseph F.","non-dropping-particle":"","parse-names":false,"suffix":""}],"container-title":"Exploratory Data Analysis in Business and Economics","edition":"7th","id":"ITEM-1","issued":{"date-parts":[["2014"]]},"number-of-pages":"23-60","publisher":"Pearson","title":"Multivariate Data Analysis","type":"book"},"uris":["http://www.mendeley.com/documents/?uuid=1b405130-eaf0-4d73-b8d0-67500c574b3b"]}],"mendeley":{"formattedCitation":"(Hair, 2014)","plainTextFormattedCitation":"(Hair, 2014)","previouslyFormattedCitation":"(Hair,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(Hair,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EZ Info provides these mathematical models but it is </w:t>
      </w:r>
      <w:r w:rsidR="00B415D0">
        <w:rPr>
          <w:rFonts w:ascii="Calibri" w:eastAsia="Calibri" w:hAnsi="Calibri" w:cs="Times New Roman"/>
          <w:sz w:val="24"/>
          <w:szCs w:val="24"/>
        </w:rPr>
        <w:t xml:space="preserve">felt to be </w:t>
      </w:r>
      <w:r w:rsidRPr="00CF1D1E">
        <w:rPr>
          <w:rFonts w:ascii="Calibri" w:eastAsia="Calibri" w:hAnsi="Calibri" w:cs="Times New Roman"/>
          <w:sz w:val="24"/>
          <w:szCs w:val="24"/>
        </w:rPr>
        <w:t>important for the user to have an understanding of the underlying process.</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numPr>
          <w:ilvl w:val="1"/>
          <w:numId w:val="7"/>
        </w:numPr>
        <w:spacing w:line="360" w:lineRule="auto"/>
        <w:contextualSpacing/>
        <w:jc w:val="both"/>
        <w:rPr>
          <w:rFonts w:ascii="Calibri" w:eastAsia="Calibri" w:hAnsi="Calibri" w:cs="Times New Roman"/>
          <w:b/>
          <w:sz w:val="44"/>
          <w:szCs w:val="44"/>
        </w:rPr>
      </w:pPr>
      <w:r w:rsidRPr="00CF1D1E">
        <w:rPr>
          <w:rFonts w:ascii="Calibri" w:eastAsia="Calibri" w:hAnsi="Calibri" w:cs="Times New Roman"/>
          <w:b/>
          <w:sz w:val="44"/>
          <w:szCs w:val="44"/>
        </w:rPr>
        <w:lastRenderedPageBreak/>
        <w:t>Results</w:t>
      </w:r>
    </w:p>
    <w:p w:rsidR="00CF1D1E" w:rsidRPr="00CF1D1E" w:rsidRDefault="00CF1D1E" w:rsidP="00CF1D1E">
      <w:pPr>
        <w:spacing w:line="360" w:lineRule="auto"/>
        <w:jc w:val="both"/>
        <w:rPr>
          <w:rFonts w:ascii="Calibri" w:eastAsia="Calibri" w:hAnsi="Calibri" w:cs="Times New Roman"/>
          <w:b/>
          <w:sz w:val="44"/>
          <w:szCs w:val="4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This results section will show the output of the three stages of data interpretation described in the methods section. Only the most relevant data will be shown here although the full data will be available in the appendi</w:t>
      </w:r>
      <w:r w:rsidR="00B415D0">
        <w:rPr>
          <w:rFonts w:ascii="Calibri" w:eastAsia="Calibri" w:hAnsi="Calibri" w:cs="Times New Roman"/>
          <w:sz w:val="24"/>
          <w:szCs w:val="24"/>
        </w:rPr>
        <w:t>ces</w:t>
      </w:r>
      <w:r w:rsidRPr="00CF1D1E">
        <w:rPr>
          <w:rFonts w:ascii="Calibri" w:eastAsia="Calibri" w:hAnsi="Calibri" w:cs="Times New Roman"/>
          <w:sz w:val="24"/>
          <w:szCs w:val="24"/>
        </w:rPr>
        <w:t xml:space="preserve"> for reference if required.</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initial sequence of images shows the mass spectra for the top 7 identified </w:t>
      </w:r>
      <w:r w:rsidR="009D6457">
        <w:rPr>
          <w:rFonts w:ascii="Calibri" w:eastAsia="Calibri" w:hAnsi="Calibri" w:cs="Times New Roman"/>
          <w:sz w:val="24"/>
          <w:szCs w:val="24"/>
        </w:rPr>
        <w:t xml:space="preserve">polyphenolic </w:t>
      </w:r>
      <w:r w:rsidRPr="00CF1D1E">
        <w:rPr>
          <w:rFonts w:ascii="Calibri" w:eastAsia="Calibri" w:hAnsi="Calibri" w:cs="Times New Roman"/>
          <w:sz w:val="24"/>
          <w:szCs w:val="24"/>
        </w:rPr>
        <w:t>compounds (stage 1) and an illustration of the main matched fragments.</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A502C4" w:rsidP="00CF1D1E">
      <w:pPr>
        <w:spacing w:line="360" w:lineRule="auto"/>
        <w:jc w:val="both"/>
        <w:rPr>
          <w:rFonts w:ascii="Calibri" w:eastAsia="Calibri" w:hAnsi="Calibri" w:cs="Times New Roman"/>
          <w:sz w:val="24"/>
          <w:szCs w:val="24"/>
        </w:rPr>
      </w:pPr>
      <w:r>
        <w:rPr>
          <w:rFonts w:ascii="Calibri" w:eastAsia="Calibri" w:hAnsi="Calibri" w:cs="Times New Roman"/>
          <w:noProof/>
          <w:sz w:val="24"/>
          <w:szCs w:val="24"/>
          <w:lang w:eastAsia="en-GB"/>
        </w:rPr>
        <w:drawing>
          <wp:inline distT="0" distB="0" distL="0" distR="0">
            <wp:extent cx="5736590" cy="2863215"/>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6590" cy="2863215"/>
                    </a:xfrm>
                    <a:prstGeom prst="rect">
                      <a:avLst/>
                    </a:prstGeom>
                    <a:noFill/>
                    <a:ln>
                      <a:noFill/>
                    </a:ln>
                  </pic:spPr>
                </pic:pic>
              </a:graphicData>
            </a:graphic>
          </wp:inline>
        </w:drawing>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Fig.92 Mass spectrum for (-)-Epicatechin showing the matched fragments in red.</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70B7CC66" wp14:editId="56295F43">
            <wp:extent cx="5731510" cy="2837815"/>
            <wp:effectExtent l="0" t="0" r="2540" b="6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ragmentation trace for compound 0.58_306.0741n NEW.png"/>
                    <pic:cNvPicPr/>
                  </pic:nvPicPr>
                  <pic:blipFill>
                    <a:blip r:embed="rId160">
                      <a:extLst>
                        <a:ext uri="{28A0092B-C50C-407E-A947-70E740481C1C}">
                          <a14:useLocalDpi xmlns:a14="http://schemas.microsoft.com/office/drawing/2010/main" val="0"/>
                        </a:ext>
                      </a:extLst>
                    </a:blip>
                    <a:stretch>
                      <a:fillRect/>
                    </a:stretch>
                  </pic:blipFill>
                  <pic:spPr>
                    <a:xfrm>
                      <a:off x="0" y="0"/>
                      <a:ext cx="5731510" cy="2837815"/>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Fig.93 Mass spectrum for (-)-Epigallocatechin showing the matched fragments in red.</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0C387113" wp14:editId="6C56904F">
            <wp:extent cx="5731510" cy="3105150"/>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Fragmentation trace for compound 2.29_610.1540n NEW.png"/>
                    <pic:cNvPicPr/>
                  </pic:nvPicPr>
                  <pic:blipFill>
                    <a:blip r:embed="rId161">
                      <a:extLst>
                        <a:ext uri="{28A0092B-C50C-407E-A947-70E740481C1C}">
                          <a14:useLocalDpi xmlns:a14="http://schemas.microsoft.com/office/drawing/2010/main" val="0"/>
                        </a:ext>
                      </a:extLst>
                    </a:blip>
                    <a:stretch>
                      <a:fillRect/>
                    </a:stretch>
                  </pic:blipFill>
                  <pic:spPr>
                    <a:xfrm>
                      <a:off x="0" y="0"/>
                      <a:ext cx="5731510" cy="3105150"/>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Fig.94 Mass spectrum for Rutin showing the matched fragments in red.</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ind w:left="1440" w:firstLine="720"/>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672576" behindDoc="0" locked="0" layoutInCell="1" allowOverlap="1" wp14:anchorId="4FEB1F8F" wp14:editId="0A268A58">
                <wp:simplePos x="0" y="0"/>
                <wp:positionH relativeFrom="column">
                  <wp:posOffset>4374515</wp:posOffset>
                </wp:positionH>
                <wp:positionV relativeFrom="paragraph">
                  <wp:posOffset>3024505</wp:posOffset>
                </wp:positionV>
                <wp:extent cx="716280" cy="4908550"/>
                <wp:effectExtent l="0" t="0" r="7620" b="6350"/>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4908550"/>
                        </a:xfrm>
                        <a:prstGeom prst="rect">
                          <a:avLst/>
                        </a:prstGeom>
                        <a:solidFill>
                          <a:srgbClr val="FFFFFF"/>
                        </a:solidFill>
                        <a:ln w="9525">
                          <a:noFill/>
                          <a:miter lim="800000"/>
                          <a:headEnd/>
                          <a:tailEnd/>
                        </a:ln>
                      </wps:spPr>
                      <wps:txbx>
                        <w:txbxContent>
                          <w:p w:rsidR="00D842A6" w:rsidRDefault="00D842A6" w:rsidP="00CF1D1E">
                            <w:pPr>
                              <w:spacing w:line="360" w:lineRule="auto"/>
                              <w:jc w:val="both"/>
                              <w:rPr>
                                <w:sz w:val="20"/>
                                <w:szCs w:val="20"/>
                              </w:rPr>
                            </w:pPr>
                            <w:r>
                              <w:rPr>
                                <w:sz w:val="20"/>
                                <w:szCs w:val="20"/>
                              </w:rPr>
                              <w:t>Fig.95 Mass spectrum for (+)-Procyanidin B2 showing the matched fragments in red.</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B1F8F" id="_x0000_s1036" type="#_x0000_t202" style="position:absolute;left:0;text-align:left;margin-left:344.45pt;margin-top:238.15pt;width:56.4pt;height:386.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" stroked="f">
                <v:textbox style="layout-flow:vertical;mso-layout-flow-alt:bottom-to-top">
                  <w:txbxContent>
                    <w:p w:rsidR="00D842A6" w:rsidRDefault="00D842A6" w:rsidP="00CF1D1E">
                      <w:pPr>
                        <w:spacing w:line="360" w:lineRule="auto"/>
                        <w:jc w:val="both"/>
                        <w:rPr>
                          <w:sz w:val="20"/>
                          <w:szCs w:val="20"/>
                        </w:rPr>
                      </w:pPr>
                      <w:r>
                        <w:rPr>
                          <w:sz w:val="20"/>
                          <w:szCs w:val="20"/>
                        </w:rPr>
                        <w:t>Fig.95 Mass spectrum for (+)-Procyanidin B2 showing the matched fragments in red.</w:t>
                      </w:r>
                    </w:p>
                    <w:p w:rsidR="00D842A6" w:rsidRDefault="00D842A6" w:rsidP="00CF1D1E"/>
                  </w:txbxContent>
                </v:textbox>
                <w10:wrap type="square"/>
              </v:shape>
            </w:pict>
          </mc:Fallback>
        </mc:AlternateContent>
      </w:r>
      <w:r w:rsidRPr="00CF1D1E">
        <w:rPr>
          <w:rFonts w:ascii="Calibri" w:eastAsia="Calibri" w:hAnsi="Calibri" w:cs="Times New Roman"/>
          <w:noProof/>
          <w:sz w:val="24"/>
          <w:szCs w:val="24"/>
          <w:lang w:eastAsia="en-GB"/>
        </w:rPr>
        <w:drawing>
          <wp:inline distT="0" distB="0" distL="0" distR="0" wp14:anchorId="0395F9D6" wp14:editId="2B9E2C22">
            <wp:extent cx="8081833" cy="2229533"/>
            <wp:effectExtent l="0" t="7620" r="6985" b="698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Fragmentation trace for compound 0.64_577.1357m_z NEW.png"/>
                    <pic:cNvPicPr/>
                  </pic:nvPicPr>
                  <pic:blipFill>
                    <a:blip r:embed="rId162">
                      <a:extLst>
                        <a:ext uri="{28A0092B-C50C-407E-A947-70E740481C1C}">
                          <a14:useLocalDpi xmlns:a14="http://schemas.microsoft.com/office/drawing/2010/main" val="0"/>
                        </a:ext>
                      </a:extLst>
                    </a:blip>
                    <a:stretch>
                      <a:fillRect/>
                    </a:stretch>
                  </pic:blipFill>
                  <pic:spPr>
                    <a:xfrm rot="16200000">
                      <a:off x="0" y="0"/>
                      <a:ext cx="8097825" cy="2233945"/>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ind w:left="1440" w:firstLine="720"/>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73600" behindDoc="0" locked="0" layoutInCell="1" allowOverlap="1" wp14:anchorId="6E0FE054" wp14:editId="721DD765">
                <wp:simplePos x="0" y="0"/>
                <wp:positionH relativeFrom="margin">
                  <wp:posOffset>4648835</wp:posOffset>
                </wp:positionH>
                <wp:positionV relativeFrom="paragraph">
                  <wp:posOffset>3227705</wp:posOffset>
                </wp:positionV>
                <wp:extent cx="495300" cy="4692650"/>
                <wp:effectExtent l="0" t="0" r="0" b="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4692650"/>
                        </a:xfrm>
                        <a:prstGeom prst="rect">
                          <a:avLst/>
                        </a:prstGeom>
                        <a:solidFill>
                          <a:srgbClr val="FFFFFF"/>
                        </a:solidFill>
                        <a:ln w="9525">
                          <a:noFill/>
                          <a:miter lim="800000"/>
                          <a:headEnd/>
                          <a:tailEnd/>
                        </a:ln>
                      </wps:spPr>
                      <wps:txbx>
                        <w:txbxContent>
                          <w:p w:rsidR="00D842A6" w:rsidRDefault="00D842A6" w:rsidP="00CF1D1E">
                            <w:pPr>
                              <w:spacing w:line="360" w:lineRule="auto"/>
                              <w:jc w:val="both"/>
                              <w:rPr>
                                <w:sz w:val="20"/>
                                <w:szCs w:val="20"/>
                              </w:rPr>
                            </w:pPr>
                            <w:r>
                              <w:rPr>
                                <w:sz w:val="20"/>
                                <w:szCs w:val="20"/>
                              </w:rPr>
                              <w:t>Fig.96 Mass spectrum for Theaflavin showing the matched fragments in red.</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0FE054" id="_x0000_s1037" type="#_x0000_t202" style="position:absolute;left:0;text-align:left;margin-left:366.05pt;margin-top:254.15pt;width:39pt;height:369.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" stroked="f">
                <v:textbox style="layout-flow:vertical;mso-layout-flow-alt:bottom-to-top">
                  <w:txbxContent>
                    <w:p w:rsidR="00D842A6" w:rsidRDefault="00D842A6" w:rsidP="00CF1D1E">
                      <w:pPr>
                        <w:spacing w:line="360" w:lineRule="auto"/>
                        <w:jc w:val="both"/>
                        <w:rPr>
                          <w:sz w:val="20"/>
                          <w:szCs w:val="20"/>
                        </w:rPr>
                      </w:pPr>
                      <w:r>
                        <w:rPr>
                          <w:sz w:val="20"/>
                          <w:szCs w:val="20"/>
                        </w:rPr>
                        <w:t>Fig.96 Mass spectrum for Theaflavin showing the matched fragments in red.</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0"/>
          <w:szCs w:val="20"/>
          <w:lang w:eastAsia="en-GB"/>
        </w:rPr>
        <w:drawing>
          <wp:inline distT="0" distB="0" distL="0" distR="0" wp14:anchorId="7DDD38A5" wp14:editId="2AD314FE">
            <wp:extent cx="8438795" cy="2308374"/>
            <wp:effectExtent l="0" t="1905"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Fragmentation trace for compound 2.52_563.1197m_z NEW.png"/>
                    <pic:cNvPicPr/>
                  </pic:nvPicPr>
                  <pic:blipFill>
                    <a:blip r:embed="rId163">
                      <a:extLst>
                        <a:ext uri="{28A0092B-C50C-407E-A947-70E740481C1C}">
                          <a14:useLocalDpi xmlns:a14="http://schemas.microsoft.com/office/drawing/2010/main" val="0"/>
                        </a:ext>
                      </a:extLst>
                    </a:blip>
                    <a:stretch>
                      <a:fillRect/>
                    </a:stretch>
                  </pic:blipFill>
                  <pic:spPr>
                    <a:xfrm rot="16200000">
                      <a:off x="0" y="0"/>
                      <a:ext cx="8462588" cy="2314882"/>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w:t>
      </w:r>
    </w:p>
    <w:p w:rsidR="00CF1D1E" w:rsidRPr="00CF1D1E" w:rsidRDefault="00CF1D1E" w:rsidP="00CF1D1E">
      <w:pPr>
        <w:spacing w:line="360" w:lineRule="auto"/>
        <w:ind w:left="720" w:firstLine="720"/>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71552" behindDoc="0" locked="0" layoutInCell="1" allowOverlap="1" wp14:anchorId="7ED92245" wp14:editId="6B04B4A3">
                <wp:simplePos x="0" y="0"/>
                <wp:positionH relativeFrom="column">
                  <wp:posOffset>4266565</wp:posOffset>
                </wp:positionH>
                <wp:positionV relativeFrom="paragraph">
                  <wp:posOffset>179070</wp:posOffset>
                </wp:positionV>
                <wp:extent cx="788670" cy="7799070"/>
                <wp:effectExtent l="0" t="0" r="0" b="0"/>
                <wp:wrapSquare wrapText="bothSides"/>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670" cy="7799070"/>
                        </a:xfrm>
                        <a:prstGeom prst="rect">
                          <a:avLst/>
                        </a:prstGeom>
                        <a:solidFill>
                          <a:srgbClr val="FFFFFF"/>
                        </a:solidFill>
                        <a:ln w="9525">
                          <a:noFill/>
                          <a:miter lim="800000"/>
                          <a:headEnd/>
                          <a:tailEnd/>
                        </a:ln>
                      </wps:spPr>
                      <wps:txbx>
                        <w:txbxContent>
                          <w:p w:rsidR="00D842A6" w:rsidRDefault="00D842A6" w:rsidP="00CF1D1E">
                            <w:pPr>
                              <w:spacing w:line="360" w:lineRule="auto"/>
                              <w:jc w:val="both"/>
                              <w:rPr>
                                <w:sz w:val="20"/>
                                <w:szCs w:val="20"/>
                              </w:rPr>
                            </w:pPr>
                            <w:r>
                              <w:rPr>
                                <w:sz w:val="20"/>
                                <w:szCs w:val="20"/>
                              </w:rPr>
                              <w:t>Fig.97 Mass spectrum for (-)-Epicatechin-3-O-gallate showing the matched fragments in red.</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92245" id="_x0000_s1038" type="#_x0000_t202" style="position:absolute;left:0;text-align:left;margin-left:335.95pt;margin-top:14.1pt;width:62.1pt;height:614.1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" stroked="f">
                <v:textbox style="layout-flow:vertical;mso-layout-flow-alt:bottom-to-top">
                  <w:txbxContent>
                    <w:p w:rsidR="00D842A6" w:rsidRDefault="00D842A6" w:rsidP="00CF1D1E">
                      <w:pPr>
                        <w:spacing w:line="360" w:lineRule="auto"/>
                        <w:jc w:val="both"/>
                        <w:rPr>
                          <w:sz w:val="20"/>
                          <w:szCs w:val="20"/>
                        </w:rPr>
                      </w:pPr>
                      <w:r>
                        <w:rPr>
                          <w:sz w:val="20"/>
                          <w:szCs w:val="20"/>
                        </w:rPr>
                        <w:t>Fig.97 Mass spectrum for (-)-Epicatechin-3-O-gallate showing the matched fragments in red.</w:t>
                      </w:r>
                    </w:p>
                    <w:p w:rsidR="00D842A6" w:rsidRDefault="00D842A6" w:rsidP="00CF1D1E"/>
                  </w:txbxContent>
                </v:textbox>
                <w10:wrap type="square"/>
              </v:shape>
            </w:pict>
          </mc:Fallback>
        </mc:AlternateContent>
      </w:r>
      <w:r w:rsidRPr="00CF1D1E">
        <w:rPr>
          <w:rFonts w:ascii="Calibri" w:eastAsia="Calibri" w:hAnsi="Calibri" w:cs="Times New Roman"/>
          <w:noProof/>
          <w:sz w:val="20"/>
          <w:szCs w:val="20"/>
          <w:lang w:eastAsia="en-GB"/>
        </w:rPr>
        <w:drawing>
          <wp:inline distT="0" distB="0" distL="0" distR="0" wp14:anchorId="2E92CFEC" wp14:editId="513F4A34">
            <wp:extent cx="8358587" cy="2266061"/>
            <wp:effectExtent l="0" t="1587" r="2857" b="2858"/>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Fragmentation trace for compound 1.52_442.0904n NEW.png"/>
                    <pic:cNvPicPr/>
                  </pic:nvPicPr>
                  <pic:blipFill>
                    <a:blip r:embed="rId164">
                      <a:extLst>
                        <a:ext uri="{28A0092B-C50C-407E-A947-70E740481C1C}">
                          <a14:useLocalDpi xmlns:a14="http://schemas.microsoft.com/office/drawing/2010/main" val="0"/>
                        </a:ext>
                      </a:extLst>
                    </a:blip>
                    <a:stretch>
                      <a:fillRect/>
                    </a:stretch>
                  </pic:blipFill>
                  <pic:spPr>
                    <a:xfrm rot="16200000">
                      <a:off x="0" y="0"/>
                      <a:ext cx="8465707" cy="2295102"/>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ind w:left="720" w:firstLine="720"/>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70528" behindDoc="0" locked="0" layoutInCell="1" allowOverlap="1" wp14:anchorId="040E92F2" wp14:editId="3E281087">
                <wp:simplePos x="0" y="0"/>
                <wp:positionH relativeFrom="column">
                  <wp:posOffset>4280535</wp:posOffset>
                </wp:positionH>
                <wp:positionV relativeFrom="paragraph">
                  <wp:posOffset>152400</wp:posOffset>
                </wp:positionV>
                <wp:extent cx="526415" cy="8104505"/>
                <wp:effectExtent l="0" t="0" r="6985" b="0"/>
                <wp:wrapSquare wrapText="bothSides"/>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8104505"/>
                        </a:xfrm>
                        <a:prstGeom prst="rect">
                          <a:avLst/>
                        </a:prstGeom>
                        <a:solidFill>
                          <a:srgbClr val="FFFFFF"/>
                        </a:solidFill>
                        <a:ln w="9525">
                          <a:noFill/>
                          <a:miter lim="800000"/>
                          <a:headEnd/>
                          <a:tailEnd/>
                        </a:ln>
                      </wps:spPr>
                      <wps:txbx>
                        <w:txbxContent>
                          <w:p w:rsidR="00D842A6" w:rsidRDefault="00D842A6" w:rsidP="00CF1D1E">
                            <w:pPr>
                              <w:spacing w:line="360" w:lineRule="auto"/>
                              <w:jc w:val="both"/>
                              <w:rPr>
                                <w:sz w:val="20"/>
                                <w:szCs w:val="20"/>
                              </w:rPr>
                            </w:pPr>
                            <w:r>
                              <w:rPr>
                                <w:sz w:val="20"/>
                                <w:szCs w:val="20"/>
                              </w:rPr>
                              <w:t>Fig.98 Mass spectrum for (-)-Epigallocatechin gallate showing the matched fragments in red.</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E92F2" id="_x0000_s1039" type="#_x0000_t202" style="position:absolute;left:0;text-align:left;margin-left:337.05pt;margin-top:12pt;width:41.45pt;height:638.1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" stroked="f">
                <v:textbox style="layout-flow:vertical;mso-layout-flow-alt:bottom-to-top">
                  <w:txbxContent>
                    <w:p w:rsidR="00D842A6" w:rsidRDefault="00D842A6" w:rsidP="00CF1D1E">
                      <w:pPr>
                        <w:spacing w:line="360" w:lineRule="auto"/>
                        <w:jc w:val="both"/>
                        <w:rPr>
                          <w:sz w:val="20"/>
                          <w:szCs w:val="20"/>
                        </w:rPr>
                      </w:pPr>
                      <w:r>
                        <w:rPr>
                          <w:sz w:val="20"/>
                          <w:szCs w:val="20"/>
                        </w:rPr>
                        <w:t>Fig.98 Mass spectrum for (-)-Epigallocatechin gallate showing the matched fragments in red.</w:t>
                      </w:r>
                    </w:p>
                    <w:p w:rsidR="00D842A6" w:rsidRDefault="00D842A6" w:rsidP="00CF1D1E"/>
                  </w:txbxContent>
                </v:textbox>
                <w10:wrap type="square"/>
              </v:shape>
            </w:pict>
          </mc:Fallback>
        </mc:AlternateContent>
      </w:r>
      <w:r w:rsidRPr="00CF1D1E">
        <w:rPr>
          <w:rFonts w:ascii="Calibri" w:eastAsia="Calibri" w:hAnsi="Calibri" w:cs="Times New Roman"/>
          <w:noProof/>
          <w:sz w:val="20"/>
          <w:szCs w:val="20"/>
          <w:lang w:eastAsia="en-GB"/>
        </w:rPr>
        <w:drawing>
          <wp:inline distT="0" distB="0" distL="0" distR="0" wp14:anchorId="220ED0E1" wp14:editId="2D70064E">
            <wp:extent cx="8422147" cy="2318749"/>
            <wp:effectExtent l="3810" t="0" r="1905"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ragmentation trace for compound 1.00_458.0852n NEW.png"/>
                    <pic:cNvPicPr/>
                  </pic:nvPicPr>
                  <pic:blipFill>
                    <a:blip r:embed="rId165">
                      <a:extLst>
                        <a:ext uri="{28A0092B-C50C-407E-A947-70E740481C1C}">
                          <a14:useLocalDpi xmlns:a14="http://schemas.microsoft.com/office/drawing/2010/main" val="0"/>
                        </a:ext>
                      </a:extLst>
                    </a:blip>
                    <a:stretch>
                      <a:fillRect/>
                    </a:stretch>
                  </pic:blipFill>
                  <pic:spPr>
                    <a:xfrm rot="16200000">
                      <a:off x="0" y="0"/>
                      <a:ext cx="8506518" cy="2341978"/>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lastRenderedPageBreak/>
        <w:t>The following graphic shows the output</w:t>
      </w:r>
      <w:r w:rsidR="009D6457">
        <w:rPr>
          <w:rFonts w:ascii="Calibri" w:eastAsia="Calibri" w:hAnsi="Calibri" w:cs="Times New Roman"/>
          <w:sz w:val="24"/>
          <w:szCs w:val="24"/>
        </w:rPr>
        <w:t xml:space="preserve"> table</w:t>
      </w:r>
      <w:r w:rsidRPr="00CF1D1E">
        <w:rPr>
          <w:rFonts w:ascii="Calibri" w:eastAsia="Calibri" w:hAnsi="Calibri" w:cs="Times New Roman"/>
          <w:sz w:val="24"/>
          <w:szCs w:val="24"/>
        </w:rPr>
        <w:t xml:space="preserve"> of Progenesis QI after filtering and compound identification (stage 1). Retention times,</w:t>
      </w:r>
      <w:r w:rsidR="004B59D2">
        <w:rPr>
          <w:rFonts w:ascii="Calibri" w:eastAsia="Calibri" w:hAnsi="Calibri" w:cs="Times New Roman"/>
          <w:sz w:val="24"/>
          <w:szCs w:val="24"/>
        </w:rPr>
        <w:t xml:space="preserve"> accurate m/z values, Anova (p)</w:t>
      </w:r>
      <w:r w:rsidRPr="00CF1D1E">
        <w:rPr>
          <w:rFonts w:ascii="Calibri" w:eastAsia="Calibri" w:hAnsi="Calibri" w:cs="Times New Roman"/>
          <w:sz w:val="24"/>
          <w:szCs w:val="24"/>
        </w:rPr>
        <w:t xml:space="preserve">, q Values and abundance are shown amongst others. </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3DAEAB83" wp14:editId="70F69DDF">
            <wp:extent cx="5959809" cy="1276065"/>
            <wp:effectExtent l="0" t="0" r="3175" b="6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Top 7 in QI.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172439" cy="1321591"/>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Tab.35 Table of qualitative results created in Progenesis QI after manually inspecting spectra and accepting identifications (stage 1).</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The adduct abundance graph below shows that the prominent adducts present were [M-H</w:t>
      </w:r>
      <w:proofErr w:type="gramStart"/>
      <w:r w:rsidRPr="00CF1D1E">
        <w:rPr>
          <w:rFonts w:ascii="Calibri" w:eastAsia="Calibri" w:hAnsi="Calibri" w:cs="Times New Roman"/>
          <w:sz w:val="24"/>
          <w:szCs w:val="24"/>
        </w:rPr>
        <w:t>]</w:t>
      </w:r>
      <w:r w:rsidRPr="00CF1D1E">
        <w:rPr>
          <w:rFonts w:ascii="Calibri" w:eastAsia="Calibri" w:hAnsi="Calibri" w:cs="Times New Roman"/>
          <w:sz w:val="24"/>
          <w:szCs w:val="24"/>
          <w:vertAlign w:val="superscript"/>
        </w:rPr>
        <w:t>-</w:t>
      </w:r>
      <w:proofErr w:type="gramEnd"/>
      <w:r w:rsidRPr="00CF1D1E">
        <w:rPr>
          <w:rFonts w:ascii="Calibri" w:eastAsia="Calibri" w:hAnsi="Calibri" w:cs="Times New Roman"/>
          <w:sz w:val="24"/>
          <w:szCs w:val="24"/>
          <w:vertAlign w:val="superscript"/>
        </w:rPr>
        <w:t xml:space="preserve"> </w:t>
      </w:r>
      <w:r w:rsidRPr="00CF1D1E">
        <w:rPr>
          <w:rFonts w:ascii="Calibri" w:eastAsia="Calibri" w:hAnsi="Calibri" w:cs="Times New Roman"/>
          <w:sz w:val="24"/>
          <w:szCs w:val="24"/>
        </w:rPr>
        <w:t>and [2M-H]</w:t>
      </w:r>
      <w:r w:rsidRPr="00CF1D1E">
        <w:rPr>
          <w:rFonts w:ascii="Calibri" w:eastAsia="Calibri" w:hAnsi="Calibri" w:cs="Times New Roman"/>
          <w:sz w:val="24"/>
          <w:szCs w:val="24"/>
          <w:vertAlign w:val="superscript"/>
        </w:rPr>
        <w:t>-</w:t>
      </w:r>
      <w:r w:rsidRPr="00CF1D1E">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E22DC2" w:rsidP="00CF1D1E">
      <w:pPr>
        <w:spacing w:line="360" w:lineRule="auto"/>
        <w:jc w:val="both"/>
        <w:rPr>
          <w:rFonts w:ascii="Calibri" w:eastAsia="Calibri" w:hAnsi="Calibri" w:cs="Times New Roman"/>
          <w:sz w:val="20"/>
          <w:szCs w:val="20"/>
        </w:rPr>
      </w:pPr>
      <w:r>
        <w:rPr>
          <w:rFonts w:ascii="Calibri" w:eastAsia="Calibri" w:hAnsi="Calibri" w:cs="Times New Roman"/>
          <w:noProof/>
          <w:sz w:val="20"/>
          <w:szCs w:val="20"/>
          <w:lang w:eastAsia="en-GB"/>
        </w:rPr>
        <w:drawing>
          <wp:inline distT="0" distB="0" distL="0" distR="0">
            <wp:extent cx="5731510" cy="2818130"/>
            <wp:effectExtent l="0" t="0" r="254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dduct abundance NEW bigger numbers 030220.png"/>
                    <pic:cNvPicPr/>
                  </pic:nvPicPr>
                  <pic:blipFill>
                    <a:blip r:embed="rId167">
                      <a:extLst>
                        <a:ext uri="{28A0092B-C50C-407E-A947-70E740481C1C}">
                          <a14:useLocalDpi xmlns:a14="http://schemas.microsoft.com/office/drawing/2010/main" val="0"/>
                        </a:ext>
                      </a:extLst>
                    </a:blip>
                    <a:stretch>
                      <a:fillRect/>
                    </a:stretch>
                  </pic:blipFill>
                  <pic:spPr>
                    <a:xfrm>
                      <a:off x="0" y="0"/>
                      <a:ext cx="5731510" cy="2818130"/>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 xml:space="preserve">Fig.99 Adduct abundance graph with legend. </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 xml:space="preserve">Power is defined as the probability of finding a real difference, if it really exists. 0.8 is considered to be an acceptable value for power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{"citationItems":[{"id":"ITEM-1","itemData":{"DOI":"10.1007/978-3-319-01517-0_3","ISBN":"9781292021904","abstract":"For over 30 years, Multivariate Data Analysis has provided readers with the information they need to understand and apply multivariate data analysis. Hair et. al provides an applications-oriented introduction to multivariate analysis for the non-statistician. By reducing heavy statistical research into fundamental concepts, the text explains to readers how to understand and make use of the results of specific statistical techniques. In this Seventh Edition, the organization of the chapters has been greatly simplified. New chapters have been added on structural equations modeling, and all sections have been updated to reflect advances in technology, capability, and mathematical techniques.","author":[{"dropping-particle":"","family":"Hair","given":"Joseph F.","non-dropping-particle":"","parse-names":false,"suffix":""}],"container-title":"Exploratory Data Analysis in Business and Economics","edition":"7th","id":"ITEM-1","issued":{"date-parts":[["2014"]]},"number-of-pages":"23-60","publisher":"Pearson","title":"Multivariate Data Analysis","type":"book"},"uris":["http://www.mendeley.com/documents/?uuid=1b405130-eaf0-4d73-b8d0-67500c574b3b"]}],"mendeley":{"formattedCitation":"(Hair, 2014)","plainTextFormattedCitation":"(Hair, 2014)","previouslyFormattedCitation":"(Hair,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(Hair,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power analysis graph shows </w:t>
      </w:r>
      <w:r w:rsidRPr="00CF1D1E">
        <w:rPr>
          <w:rFonts w:ascii="Calibri" w:eastAsia="Calibri" w:hAnsi="Calibri" w:cs="Times New Roman"/>
          <w:sz w:val="24"/>
          <w:szCs w:val="24"/>
        </w:rPr>
        <w:lastRenderedPageBreak/>
        <w:t>that enough replicates were acquired in order to analyse statistically significant differences. 2 replicates or more was shown to be acceptable. 4 replicates were in fact acquired.</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401379AF" wp14:editId="46300A36">
            <wp:extent cx="5731510" cy="2793365"/>
            <wp:effectExtent l="0" t="0" r="254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ower analysis.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31510" cy="2793365"/>
                    </a:xfrm>
                    <a:prstGeom prst="rect">
                      <a:avLst/>
                    </a:prstGeom>
                  </pic:spPr>
                </pic:pic>
              </a:graphicData>
            </a:graphic>
          </wp:inline>
        </w:drawing>
      </w:r>
      <w:r w:rsidRPr="00CF1D1E">
        <w:rPr>
          <w:rFonts w:ascii="Calibri" w:eastAsia="Calibri" w:hAnsi="Calibri" w:cs="Times New Roman"/>
          <w:sz w:val="20"/>
          <w:szCs w:val="20"/>
        </w:rPr>
        <w:t>Fig.100 Power analysis graph.</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Moving on from this, the graphic below</w:t>
      </w:r>
      <w:r w:rsidR="009D6457">
        <w:rPr>
          <w:rFonts w:ascii="Calibri" w:eastAsia="Calibri" w:hAnsi="Calibri" w:cs="Times New Roman"/>
          <w:sz w:val="24"/>
          <w:szCs w:val="24"/>
        </w:rPr>
        <w:t xml:space="preserve"> (Fig.101)</w:t>
      </w:r>
      <w:r w:rsidRPr="00CF1D1E">
        <w:rPr>
          <w:rFonts w:ascii="Calibri" w:eastAsia="Calibri" w:hAnsi="Calibri" w:cs="Times New Roman"/>
          <w:sz w:val="24"/>
          <w:szCs w:val="24"/>
        </w:rPr>
        <w:t xml:space="preserve"> shows the abundance profiles of the 9 teas analysed and the relative amounts of the 7 compounds present. This shows, for example, that Chomogonday White is high in EGCG and low in TF, whereas ‘Extracts 652’ shows the complete opposite profile. This is to be expected and will be considered in more detail in </w:t>
      </w:r>
      <w:r w:rsidR="009D6457">
        <w:rPr>
          <w:rFonts w:ascii="Calibri" w:eastAsia="Calibri" w:hAnsi="Calibri" w:cs="Times New Roman"/>
          <w:sz w:val="24"/>
          <w:szCs w:val="24"/>
        </w:rPr>
        <w:t xml:space="preserve">the </w:t>
      </w:r>
      <w:r w:rsidRPr="00CF1D1E">
        <w:rPr>
          <w:rFonts w:ascii="Calibri" w:eastAsia="Calibri" w:hAnsi="Calibri" w:cs="Times New Roman"/>
          <w:sz w:val="24"/>
          <w:szCs w:val="24"/>
        </w:rPr>
        <w:t>discussion</w:t>
      </w:r>
      <w:r w:rsidR="009D6457">
        <w:rPr>
          <w:rFonts w:ascii="Calibri" w:eastAsia="Calibri" w:hAnsi="Calibri" w:cs="Times New Roman"/>
          <w:sz w:val="24"/>
          <w:szCs w:val="24"/>
        </w:rPr>
        <w:t xml:space="preserve"> of this chapter</w:t>
      </w:r>
      <w:r w:rsidRPr="00CF1D1E">
        <w:rPr>
          <w:rFonts w:ascii="Calibri" w:eastAsia="Calibri" w:hAnsi="Calibri" w:cs="Times New Roman"/>
          <w:sz w:val="24"/>
          <w:szCs w:val="24"/>
        </w:rPr>
        <w:t>.</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ind w:left="1440" w:firstLine="720"/>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74624" behindDoc="0" locked="0" layoutInCell="1" allowOverlap="1" wp14:anchorId="3C049914" wp14:editId="1771577B">
                <wp:simplePos x="0" y="0"/>
                <wp:positionH relativeFrom="margin">
                  <wp:posOffset>4538345</wp:posOffset>
                </wp:positionH>
                <wp:positionV relativeFrom="paragraph">
                  <wp:posOffset>3690620</wp:posOffset>
                </wp:positionV>
                <wp:extent cx="497205" cy="4563110"/>
                <wp:effectExtent l="0" t="0" r="0" b="889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 cy="4563110"/>
                        </a:xfrm>
                        <a:prstGeom prst="rect">
                          <a:avLst/>
                        </a:prstGeom>
                        <a:solidFill>
                          <a:srgbClr val="FFFFFF"/>
                        </a:solidFill>
                        <a:ln w="9525">
                          <a:noFill/>
                          <a:miter lim="800000"/>
                          <a:headEnd/>
                          <a:tailEnd/>
                        </a:ln>
                      </wps:spPr>
                      <wps:txbx>
                        <w:txbxContent>
                          <w:p w:rsidR="00D842A6" w:rsidRDefault="00D842A6" w:rsidP="00CF1D1E">
                            <w:r>
                              <w:t>Fig.101</w:t>
                            </w:r>
                            <w:r w:rsidRPr="00F4488B">
                              <w:t xml:space="preserve"> Abundance profiles labelled with compound identifications</w:t>
                            </w:r>
                            <w:r>
                              <w:t xml:space="preserve"> (stage 1)</w:t>
                            </w:r>
                            <w:r w:rsidRPr="00F4488B">
                              <w:t>.</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49914" id="_x0000_s1040" type="#_x0000_t202" style="position:absolute;left:0;text-align:left;margin-left:357.35pt;margin-top:290.6pt;width:39.15pt;height:359.3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" stroked="f">
                <v:textbox style="layout-flow:vertical;mso-layout-flow-alt:bottom-to-top">
                  <w:txbxContent>
                    <w:p w:rsidR="00D842A6" w:rsidRDefault="00D842A6" w:rsidP="00CF1D1E">
                      <w:r>
                        <w:t>Fig.101</w:t>
                      </w:r>
                      <w:r w:rsidRPr="00F4488B">
                        <w:t xml:space="preserve"> Abundance profiles labelled with compound identifications</w:t>
                      </w:r>
                      <w:r>
                        <w:t xml:space="preserve"> (stage 1)</w:t>
                      </w:r>
                      <w:r w:rsidRPr="00F4488B">
                        <w:t>.</w:t>
                      </w:r>
                    </w:p>
                  </w:txbxContent>
                </v:textbox>
                <w10:wrap type="square" anchorx="margin"/>
              </v:shape>
            </w:pict>
          </mc:Fallback>
        </mc:AlternateContent>
      </w:r>
      <w:r w:rsidRPr="00CF1D1E">
        <w:rPr>
          <w:rFonts w:ascii="Calibri" w:eastAsia="Calibri" w:hAnsi="Calibri" w:cs="Times New Roman"/>
          <w:noProof/>
          <w:sz w:val="20"/>
          <w:szCs w:val="20"/>
          <w:lang w:eastAsia="en-GB"/>
        </w:rPr>
        <w:drawing>
          <wp:inline distT="0" distB="0" distL="0" distR="0" wp14:anchorId="7235BA89" wp14:editId="12420419">
            <wp:extent cx="8463319" cy="2487612"/>
            <wp:effectExtent l="0" t="2858"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op 7 sorted by Correlation Analysis across 9 teas with IDs NEW.png"/>
                    <pic:cNvPicPr/>
                  </pic:nvPicPr>
                  <pic:blipFill>
                    <a:blip r:embed="rId169">
                      <a:extLst>
                        <a:ext uri="{28A0092B-C50C-407E-A947-70E740481C1C}">
                          <a14:useLocalDpi xmlns:a14="http://schemas.microsoft.com/office/drawing/2010/main" val="0"/>
                        </a:ext>
                      </a:extLst>
                    </a:blip>
                    <a:stretch>
                      <a:fillRect/>
                    </a:stretch>
                  </pic:blipFill>
                  <pic:spPr>
                    <a:xfrm rot="16200000">
                      <a:off x="0" y="0"/>
                      <a:ext cx="8498192" cy="2497862"/>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ind w:left="720" w:firstLine="720"/>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09A3DCF8" wp14:editId="6E60DE2C">
            <wp:extent cx="3681198" cy="1626577"/>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Key.PNG"/>
                    <pic:cNvPicPr/>
                  </pic:nvPicPr>
                  <pic:blipFill>
                    <a:blip r:embed="rId170">
                      <a:extLst>
                        <a:ext uri="{28A0092B-C50C-407E-A947-70E740481C1C}">
                          <a14:useLocalDpi xmlns:a14="http://schemas.microsoft.com/office/drawing/2010/main" val="0"/>
                        </a:ext>
                      </a:extLst>
                    </a:blip>
                    <a:stretch>
                      <a:fillRect/>
                    </a:stretch>
                  </pic:blipFill>
                  <pic:spPr>
                    <a:xfrm>
                      <a:off x="0" y="0"/>
                      <a:ext cx="3815873" cy="1686085"/>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Tab</w:t>
      </w:r>
      <w:r w:rsidR="009D6457">
        <w:rPr>
          <w:rFonts w:ascii="Calibri" w:eastAsia="Calibri" w:hAnsi="Calibri" w:cs="Times New Roman"/>
          <w:sz w:val="20"/>
          <w:szCs w:val="20"/>
        </w:rPr>
        <w:t>.</w:t>
      </w:r>
      <w:r w:rsidRPr="00CF1D1E">
        <w:rPr>
          <w:rFonts w:ascii="Calibri" w:eastAsia="Calibri" w:hAnsi="Calibri" w:cs="Times New Roman"/>
          <w:sz w:val="20"/>
          <w:szCs w:val="20"/>
        </w:rPr>
        <w:t xml:space="preserve"> 36 Colour key to clusters in the abundance profiles shown in Fig.101. This shows very low </w:t>
      </w:r>
      <w:proofErr w:type="gramStart"/>
      <w:r w:rsidRPr="00CF1D1E">
        <w:rPr>
          <w:rFonts w:ascii="Calibri" w:eastAsia="Calibri" w:hAnsi="Calibri" w:cs="Times New Roman"/>
          <w:sz w:val="20"/>
          <w:szCs w:val="20"/>
        </w:rPr>
        <w:t>ANOVA(</w:t>
      </w:r>
      <w:proofErr w:type="gramEnd"/>
      <w:r w:rsidRPr="00CF1D1E">
        <w:rPr>
          <w:rFonts w:ascii="Calibri" w:eastAsia="Calibri" w:hAnsi="Calibri" w:cs="Times New Roman"/>
          <w:sz w:val="20"/>
          <w:szCs w:val="20"/>
        </w:rPr>
        <w:t>p) and q values and also power values that approach 1. Blue = EGCG, ECG, Procy B2, EGC and EC. Green = TF. Gold = Rutin.</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The following graphic (Fig.102) shows the abundance profile specific to theaflavin. This focus was chosen to illustrate the strong differences of this analyte across different teas, highlighting its value in determining level of oxidation and hence quality control</w:t>
      </w:r>
      <w:r w:rsidR="009D6457">
        <w:rPr>
          <w:rFonts w:ascii="Calibri" w:eastAsia="Calibri" w:hAnsi="Calibri" w:cs="Times New Roman"/>
          <w:sz w:val="24"/>
          <w:szCs w:val="24"/>
        </w:rPr>
        <w:t xml:space="preserve"> during the production process</w:t>
      </w:r>
      <w:r w:rsidRPr="00CF1D1E">
        <w:rPr>
          <w:rFonts w:ascii="Calibri" w:eastAsia="Calibri" w:hAnsi="Calibri" w:cs="Times New Roman"/>
          <w:sz w:val="24"/>
          <w:szCs w:val="24"/>
        </w:rPr>
        <w:t>.</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ind w:left="720" w:firstLine="720"/>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675648" behindDoc="0" locked="0" layoutInCell="1" allowOverlap="1" wp14:anchorId="15383426" wp14:editId="28355A84">
                <wp:simplePos x="0" y="0"/>
                <wp:positionH relativeFrom="column">
                  <wp:posOffset>5123180</wp:posOffset>
                </wp:positionH>
                <wp:positionV relativeFrom="paragraph">
                  <wp:posOffset>188595</wp:posOffset>
                </wp:positionV>
                <wp:extent cx="361315" cy="6719570"/>
                <wp:effectExtent l="0" t="0" r="635" b="508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6719570"/>
                        </a:xfrm>
                        <a:prstGeom prst="rect">
                          <a:avLst/>
                        </a:prstGeom>
                        <a:solidFill>
                          <a:srgbClr val="FFFFFF"/>
                        </a:solidFill>
                        <a:ln w="9525">
                          <a:noFill/>
                          <a:miter lim="800000"/>
                          <a:headEnd/>
                          <a:tailEnd/>
                        </a:ln>
                      </wps:spPr>
                      <wps:txbx>
                        <w:txbxContent>
                          <w:p w:rsidR="00D842A6" w:rsidRDefault="00D842A6" w:rsidP="00CF1D1E">
                            <w:pPr>
                              <w:spacing w:line="360" w:lineRule="auto"/>
                              <w:jc w:val="both"/>
                              <w:rPr>
                                <w:sz w:val="20"/>
                                <w:szCs w:val="20"/>
                              </w:rPr>
                            </w:pPr>
                            <w:r>
                              <w:rPr>
                                <w:sz w:val="20"/>
                                <w:szCs w:val="20"/>
                              </w:rPr>
                              <w:t>Fig.102 Theaflavin abundance profile across the 9 teas analysed in this study.</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83426" id="_x0000_s1041" type="#_x0000_t202" style="position:absolute;left:0;text-align:left;margin-left:403.4pt;margin-top:14.85pt;width:28.45pt;height:529.1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" stroked="f">
                <v:textbox style="layout-flow:vertical;mso-layout-flow-alt:bottom-to-top">
                  <w:txbxContent>
                    <w:p w:rsidR="00D842A6" w:rsidRDefault="00D842A6" w:rsidP="00CF1D1E">
                      <w:pPr>
                        <w:spacing w:line="360" w:lineRule="auto"/>
                        <w:jc w:val="both"/>
                        <w:rPr>
                          <w:sz w:val="20"/>
                          <w:szCs w:val="20"/>
                        </w:rPr>
                      </w:pPr>
                      <w:r>
                        <w:rPr>
                          <w:sz w:val="20"/>
                          <w:szCs w:val="20"/>
                        </w:rPr>
                        <w:t>Fig.102 Theaflavin abundance profile across the 9 teas analysed in this study.</w:t>
                      </w:r>
                    </w:p>
                    <w:p w:rsidR="00D842A6" w:rsidRDefault="00D842A6" w:rsidP="00CF1D1E"/>
                  </w:txbxContent>
                </v:textbox>
                <w10:wrap type="square"/>
              </v:shape>
            </w:pict>
          </mc:Fallback>
        </mc:AlternateContent>
      </w:r>
      <w:r w:rsidRPr="00CF1D1E">
        <w:rPr>
          <w:rFonts w:ascii="Calibri" w:eastAsia="Calibri" w:hAnsi="Calibri" w:cs="Times New Roman"/>
          <w:noProof/>
          <w:sz w:val="24"/>
          <w:szCs w:val="24"/>
          <w:lang w:eastAsia="en-GB"/>
        </w:rPr>
        <w:drawing>
          <wp:inline distT="0" distB="0" distL="0" distR="0" wp14:anchorId="21DE4316" wp14:editId="66C06141">
            <wp:extent cx="8308893" cy="3283606"/>
            <wp:effectExtent l="0" t="2223"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Theaflavin Abundance Profile NEW.png"/>
                    <pic:cNvPicPr/>
                  </pic:nvPicPr>
                  <pic:blipFill>
                    <a:blip r:embed="rId171">
                      <a:extLst>
                        <a:ext uri="{28A0092B-C50C-407E-A947-70E740481C1C}">
                          <a14:useLocalDpi xmlns:a14="http://schemas.microsoft.com/office/drawing/2010/main" val="0"/>
                        </a:ext>
                      </a:extLst>
                    </a:blip>
                    <a:stretch>
                      <a:fillRect/>
                    </a:stretch>
                  </pic:blipFill>
                  <pic:spPr>
                    <a:xfrm rot="16200000">
                      <a:off x="0" y="0"/>
                      <a:ext cx="8328241" cy="3291252"/>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lastRenderedPageBreak/>
        <w:t xml:space="preserve">Below is a </w:t>
      </w:r>
      <w:proofErr w:type="spellStart"/>
      <w:r w:rsidRPr="00CF1D1E">
        <w:rPr>
          <w:rFonts w:ascii="Calibri" w:eastAsia="Calibri" w:hAnsi="Calibri" w:cs="Times New Roman"/>
          <w:sz w:val="24"/>
          <w:szCs w:val="24"/>
        </w:rPr>
        <w:t>dendrogram</w:t>
      </w:r>
      <w:proofErr w:type="spellEnd"/>
      <w:r w:rsidRPr="00CF1D1E">
        <w:rPr>
          <w:rFonts w:ascii="Calibri" w:eastAsia="Calibri" w:hAnsi="Calibri" w:cs="Times New Roman"/>
          <w:sz w:val="24"/>
          <w:szCs w:val="24"/>
        </w:rPr>
        <w:t xml:space="preserve"> of the 7 components which are the focus of the stage 1 processing</w:t>
      </w:r>
      <w:r w:rsidR="009831BA">
        <w:rPr>
          <w:rFonts w:ascii="Calibri" w:eastAsia="Calibri" w:hAnsi="Calibri" w:cs="Times New Roman"/>
          <w:sz w:val="24"/>
          <w:szCs w:val="24"/>
        </w:rPr>
        <w:t xml:space="preserve"> (</w:t>
      </w:r>
      <w:r w:rsidR="009831BA" w:rsidRPr="009831BA">
        <w:rPr>
          <w:rFonts w:ascii="Calibri" w:eastAsia="Calibri" w:hAnsi="Calibri" w:cs="Times New Roman"/>
          <w:sz w:val="24"/>
          <w:szCs w:val="24"/>
        </w:rPr>
        <w:t>Fig.103</w:t>
      </w:r>
      <w:r w:rsidR="009831BA">
        <w:rPr>
          <w:rFonts w:ascii="Calibri" w:eastAsia="Calibri" w:hAnsi="Calibri" w:cs="Times New Roman"/>
          <w:sz w:val="24"/>
          <w:szCs w:val="24"/>
        </w:rPr>
        <w:t>)</w:t>
      </w:r>
      <w:r w:rsidRPr="00CF1D1E">
        <w:rPr>
          <w:rFonts w:ascii="Calibri" w:eastAsia="Calibri" w:hAnsi="Calibri" w:cs="Times New Roman"/>
          <w:sz w:val="24"/>
          <w:szCs w:val="24"/>
        </w:rPr>
        <w:t>. This is a visual representation of the correlation between components showing the relationships between EC, EGC, ECG</w:t>
      </w:r>
      <w:proofErr w:type="gramStart"/>
      <w:r w:rsidRPr="00CF1D1E">
        <w:rPr>
          <w:rFonts w:ascii="Calibri" w:eastAsia="Calibri" w:hAnsi="Calibri" w:cs="Times New Roman"/>
          <w:sz w:val="24"/>
          <w:szCs w:val="24"/>
        </w:rPr>
        <w:t>,EGCG</w:t>
      </w:r>
      <w:proofErr w:type="gramEnd"/>
      <w:r w:rsidRPr="00CF1D1E">
        <w:rPr>
          <w:rFonts w:ascii="Calibri" w:eastAsia="Calibri" w:hAnsi="Calibri" w:cs="Times New Roman"/>
          <w:sz w:val="24"/>
          <w:szCs w:val="24"/>
        </w:rPr>
        <w:t xml:space="preserve"> and Procy B2 from one leaf node (blue) to the separate clustering of theaflavin (gold) and Rutin (green). The greater the correlation, the shorter the distance i.e. D= 1-C.</w:t>
      </w:r>
    </w:p>
    <w:p w:rsidR="00CF1D1E" w:rsidRDefault="00CF1D1E" w:rsidP="00CF1D1E">
      <w:pPr>
        <w:spacing w:line="360" w:lineRule="auto"/>
        <w:jc w:val="both"/>
        <w:rPr>
          <w:rFonts w:ascii="Calibri" w:eastAsia="Calibri" w:hAnsi="Calibri" w:cs="Times New Roman"/>
          <w:sz w:val="24"/>
          <w:szCs w:val="24"/>
        </w:rPr>
      </w:pPr>
    </w:p>
    <w:p w:rsidR="00A405F3" w:rsidRPr="00CF1D1E" w:rsidRDefault="00A405F3" w:rsidP="00CF1D1E">
      <w:pPr>
        <w:spacing w:line="360" w:lineRule="auto"/>
        <w:jc w:val="both"/>
        <w:rPr>
          <w:rFonts w:ascii="Calibri" w:eastAsia="Calibri" w:hAnsi="Calibri" w:cs="Times New Roman"/>
          <w:sz w:val="24"/>
          <w:szCs w:val="24"/>
        </w:rPr>
      </w:pPr>
      <w:r w:rsidRPr="00A405F3">
        <w:rPr>
          <w:rFonts w:ascii="Calibri" w:eastAsia="Calibri" w:hAnsi="Calibri" w:cs="Times New Roman"/>
          <w:noProof/>
          <w:sz w:val="24"/>
          <w:szCs w:val="24"/>
          <w:lang w:eastAsia="en-GB"/>
        </w:rPr>
        <w:drawing>
          <wp:inline distT="0" distB="0" distL="0" distR="0" wp14:anchorId="47988C6A" wp14:editId="7E132B91">
            <wp:extent cx="5731510" cy="3109595"/>
            <wp:effectExtent l="0" t="0" r="254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31510" cy="3109595"/>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sz w:val="20"/>
          <w:szCs w:val="20"/>
        </w:rPr>
        <w:t>Fig.103 Dendrogram showing the stages of clustering for the top 7 components focused on in this section.</w:t>
      </w:r>
      <w:r w:rsidR="00FC3066">
        <w:rPr>
          <w:rFonts w:ascii="Calibri" w:eastAsia="Calibri" w:hAnsi="Calibri" w:cs="Times New Roman"/>
          <w:sz w:val="20"/>
          <w:szCs w:val="20"/>
        </w:rPr>
        <w:t xml:space="preserve"> Colour key to nodes shown in Tab.36.</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ind w:firstLine="720"/>
        <w:jc w:val="both"/>
        <w:rPr>
          <w:rFonts w:ascii="Calibri" w:eastAsia="Calibri" w:hAnsi="Calibri" w:cs="Times New Roman"/>
          <w:sz w:val="20"/>
          <w:szCs w:val="20"/>
        </w:rPr>
      </w:pPr>
      <w:r w:rsidRPr="00CF1D1E">
        <w:rPr>
          <w:rFonts w:ascii="Calibri" w:eastAsia="Calibri" w:hAnsi="Calibri" w:cs="Times New Roman"/>
          <w:sz w:val="24"/>
          <w:szCs w:val="24"/>
        </w:rPr>
        <w:t>Following on from this simplified overview of the relationships of key tea components to their respective tea samples, the stage 2 data processing results will show a more detailed view of this fingerprint by the use of PCA to highlight which analytes best show the differences between these teas. A range of the most relevant plots are displayed here. A complete set of plots for all significant analytes are available in the appendi</w:t>
      </w:r>
      <w:r w:rsidR="005E0706">
        <w:rPr>
          <w:rFonts w:ascii="Calibri" w:eastAsia="Calibri" w:hAnsi="Calibri" w:cs="Times New Roman"/>
          <w:sz w:val="24"/>
          <w:szCs w:val="24"/>
        </w:rPr>
        <w:t>ces</w:t>
      </w:r>
      <w:r w:rsidRPr="00CF1D1E">
        <w:rPr>
          <w:rFonts w:ascii="Calibri" w:eastAsia="Calibri" w:hAnsi="Calibri" w:cs="Times New Roman"/>
          <w:sz w:val="24"/>
          <w:szCs w:val="24"/>
        </w:rPr>
        <w:t xml:space="preserve"> of this manuscript. </w:t>
      </w:r>
    </w:p>
    <w:p w:rsidR="00CF1D1E" w:rsidRPr="00CF1D1E" w:rsidRDefault="00CF1D1E" w:rsidP="00CF1D1E">
      <w:pPr>
        <w:spacing w:line="360" w:lineRule="auto"/>
        <w:ind w:firstLine="720"/>
        <w:jc w:val="both"/>
        <w:rPr>
          <w:rFonts w:ascii="Calibri" w:eastAsia="Calibri" w:hAnsi="Calibri" w:cs="Times New Roman"/>
          <w:sz w:val="20"/>
          <w:szCs w:val="20"/>
        </w:rPr>
      </w:pPr>
      <w:r w:rsidRPr="00CF1D1E">
        <w:rPr>
          <w:rFonts w:ascii="Calibri" w:eastAsia="Calibri" w:hAnsi="Calibri" w:cs="Times New Roman"/>
          <w:sz w:val="24"/>
          <w:szCs w:val="24"/>
        </w:rPr>
        <w:t>Th</w:t>
      </w:r>
      <w:r w:rsidR="007A539E">
        <w:rPr>
          <w:rFonts w:ascii="Calibri" w:eastAsia="Calibri" w:hAnsi="Calibri" w:cs="Times New Roman"/>
          <w:sz w:val="24"/>
          <w:szCs w:val="24"/>
        </w:rPr>
        <w:t>e</w:t>
      </w:r>
      <w:r w:rsidRPr="00CF1D1E">
        <w:rPr>
          <w:rFonts w:ascii="Calibri" w:eastAsia="Calibri" w:hAnsi="Calibri" w:cs="Times New Roman"/>
          <w:sz w:val="24"/>
          <w:szCs w:val="24"/>
        </w:rPr>
        <w:t xml:space="preserve"> model</w:t>
      </w:r>
      <w:r w:rsidR="007A539E">
        <w:rPr>
          <w:rFonts w:ascii="Calibri" w:eastAsia="Calibri" w:hAnsi="Calibri" w:cs="Times New Roman"/>
          <w:sz w:val="24"/>
          <w:szCs w:val="24"/>
        </w:rPr>
        <w:t xml:space="preserve"> created for this stage 2 data</w:t>
      </w:r>
      <w:r w:rsidRPr="00CF1D1E">
        <w:rPr>
          <w:rFonts w:ascii="Calibri" w:eastAsia="Calibri" w:hAnsi="Calibri" w:cs="Times New Roman"/>
          <w:sz w:val="24"/>
          <w:szCs w:val="24"/>
        </w:rPr>
        <w:t xml:space="preserve"> was shown to explain 89% of the variance in the reported output from EZInfo. Pareto scaling was used with no data transformations. Data transformations are used </w:t>
      </w:r>
      <w:r w:rsidR="00053E5A">
        <w:rPr>
          <w:rFonts w:ascii="Calibri" w:eastAsia="Calibri" w:hAnsi="Calibri" w:cs="Times New Roman"/>
          <w:sz w:val="24"/>
          <w:szCs w:val="24"/>
        </w:rPr>
        <w:t xml:space="preserve">to </w:t>
      </w:r>
      <w:r w:rsidRPr="00CF1D1E">
        <w:rPr>
          <w:rFonts w:ascii="Calibri" w:eastAsia="Calibri" w:hAnsi="Calibri" w:cs="Times New Roman"/>
          <w:sz w:val="24"/>
          <w:szCs w:val="24"/>
        </w:rPr>
        <w:t xml:space="preserve">remedy non-normality which can detract from its use in MVA. No </w:t>
      </w:r>
      <w:r w:rsidRPr="00CF1D1E">
        <w:rPr>
          <w:rFonts w:ascii="Calibri" w:eastAsia="Calibri" w:hAnsi="Calibri" w:cs="Times New Roman"/>
          <w:sz w:val="24"/>
          <w:szCs w:val="24"/>
        </w:rPr>
        <w:lastRenderedPageBreak/>
        <w:t>missing values were observed. The plot below is a 2D scores plot of the 9 teas based on the top 7 components only. The Hotelling’s T</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ellipse was set at 95% and </w:t>
      </w:r>
      <w:r w:rsidR="009831BA">
        <w:rPr>
          <w:rFonts w:ascii="Calibri" w:eastAsia="Calibri" w:hAnsi="Calibri" w:cs="Times New Roman"/>
          <w:sz w:val="24"/>
          <w:szCs w:val="24"/>
        </w:rPr>
        <w:t>the majority of</w:t>
      </w:r>
      <w:r w:rsidRPr="00CF1D1E">
        <w:rPr>
          <w:rFonts w:ascii="Calibri" w:eastAsia="Calibri" w:hAnsi="Calibri" w:cs="Times New Roman"/>
          <w:sz w:val="24"/>
          <w:szCs w:val="24"/>
        </w:rPr>
        <w:t xml:space="preserve"> samples were shown </w:t>
      </w:r>
      <w:r w:rsidR="005E0706">
        <w:rPr>
          <w:rFonts w:ascii="Calibri" w:eastAsia="Calibri" w:hAnsi="Calibri" w:cs="Times New Roman"/>
          <w:sz w:val="24"/>
          <w:szCs w:val="24"/>
        </w:rPr>
        <w:t xml:space="preserve">to </w:t>
      </w:r>
      <w:r w:rsidR="002F59BC">
        <w:rPr>
          <w:rFonts w:ascii="Calibri" w:eastAsia="Calibri" w:hAnsi="Calibri" w:cs="Times New Roman"/>
          <w:sz w:val="24"/>
          <w:szCs w:val="24"/>
        </w:rPr>
        <w:t>fall</w:t>
      </w:r>
      <w:r w:rsidRPr="00CF1D1E">
        <w:rPr>
          <w:rFonts w:ascii="Calibri" w:eastAsia="Calibri" w:hAnsi="Calibri" w:cs="Times New Roman"/>
          <w:sz w:val="24"/>
          <w:szCs w:val="24"/>
        </w:rPr>
        <w:t xml:space="preserve"> within this region of confidence</w:t>
      </w:r>
      <w:r w:rsidR="002F59BC">
        <w:rPr>
          <w:rFonts w:ascii="Calibri" w:eastAsia="Calibri" w:hAnsi="Calibri" w:cs="Times New Roman"/>
          <w:sz w:val="24"/>
          <w:szCs w:val="24"/>
        </w:rPr>
        <w:t xml:space="preserve"> (Fig.104)</w:t>
      </w:r>
      <w:r w:rsidRPr="00CF1D1E">
        <w:rPr>
          <w:rFonts w:ascii="Calibri" w:eastAsia="Calibri" w:hAnsi="Calibri" w:cs="Times New Roman"/>
          <w:sz w:val="24"/>
          <w:szCs w:val="24"/>
        </w:rPr>
        <w:t xml:space="preserve">. This is the MVA equivalent of the Student’s </w:t>
      </w:r>
      <w:r w:rsidRPr="00CF1D1E">
        <w:rPr>
          <w:rFonts w:ascii="Calibri" w:eastAsia="Calibri" w:hAnsi="Calibri" w:cs="Times New Roman"/>
          <w:i/>
          <w:sz w:val="24"/>
          <w:szCs w:val="24"/>
        </w:rPr>
        <w:t>t</w:t>
      </w:r>
      <w:r w:rsidRPr="00CF1D1E">
        <w:rPr>
          <w:rFonts w:ascii="Calibri" w:eastAsia="Calibri" w:hAnsi="Calibri" w:cs="Times New Roman"/>
          <w:sz w:val="24"/>
          <w:szCs w:val="24"/>
        </w:rPr>
        <w:t xml:space="preserve">-test and is used as a quality control metric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{"citationItems":[{"id":"ITEM-1","itemData":{"DOI":"10.1016/b978-0-08-102939-8.00017-7","author":[{"dropping-particle":"","family":"King","given":"Andrew P.","non-dropping-particle":"","parse-names":false,"suffix":""},{"dropping-particle":"","family":"Eckersley","given":"Robert J.","non-dropping-particle":"","parse-names":false,"suffix":""}],"container-title":"Statistics for Biomedical Engineers and Scientists","id":"ITEM-1","issued":{"date-parts":[["2019"]]},"page":"173-199","title":"Inferential Statistics V: Multiple and Multivariate Hypothesis Testing","type":"article-journal"},"uris":["http://www.mendeley.com/documents/?uuid=ac92c402-6231-44f9-b2b6-0e18987c6f5b"]}],"mendeley":{"formattedCitation":"(King &amp; Eckersley, 2019)","plainTextFormattedCitation":"(King &amp; Eckersley, 2019)","previouslyFormattedCitation":"(King &amp; Eckersley,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(King &amp; Eckersley,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Tight clustering was observed amongst the </w:t>
      </w:r>
      <w:r w:rsidRPr="00CF1D1E">
        <w:rPr>
          <w:rFonts w:ascii="Calibri" w:eastAsia="Calibri" w:hAnsi="Calibri" w:cs="Times New Roman"/>
          <w:i/>
          <w:sz w:val="24"/>
          <w:szCs w:val="24"/>
        </w:rPr>
        <w:t>same</w:t>
      </w:r>
      <w:r w:rsidRPr="00CF1D1E">
        <w:rPr>
          <w:rFonts w:ascii="Calibri" w:eastAsia="Calibri" w:hAnsi="Calibri" w:cs="Times New Roman"/>
          <w:sz w:val="24"/>
          <w:szCs w:val="24"/>
        </w:rPr>
        <w:t xml:space="preserve"> tea type and differences, represented by distance, were evident </w:t>
      </w:r>
      <w:r w:rsidRPr="00CF1D1E">
        <w:rPr>
          <w:rFonts w:ascii="Calibri" w:eastAsia="Calibri" w:hAnsi="Calibri" w:cs="Times New Roman"/>
          <w:i/>
          <w:sz w:val="24"/>
          <w:szCs w:val="24"/>
        </w:rPr>
        <w:t>between</w:t>
      </w:r>
      <w:r w:rsidRPr="00CF1D1E">
        <w:rPr>
          <w:rFonts w:ascii="Calibri" w:eastAsia="Calibri" w:hAnsi="Calibri" w:cs="Times New Roman"/>
          <w:sz w:val="24"/>
          <w:szCs w:val="24"/>
        </w:rPr>
        <w:t xml:space="preserve"> tea types. Following on from this is a 3D scores plot (Fig.105), in which the first three principal components are plotted on the </w:t>
      </w:r>
      <w:r w:rsidRPr="00CF1D1E">
        <w:rPr>
          <w:rFonts w:ascii="Calibri" w:eastAsia="Calibri" w:hAnsi="Calibri" w:cs="Times New Roman"/>
          <w:i/>
          <w:sz w:val="24"/>
          <w:szCs w:val="24"/>
        </w:rPr>
        <w:t>x, y</w:t>
      </w:r>
      <w:r w:rsidRPr="00CF1D1E">
        <w:rPr>
          <w:rFonts w:ascii="Calibri" w:eastAsia="Calibri" w:hAnsi="Calibri" w:cs="Times New Roman"/>
          <w:sz w:val="24"/>
          <w:szCs w:val="24"/>
        </w:rPr>
        <w:t xml:space="preserve"> and </w:t>
      </w:r>
      <w:r w:rsidRPr="00CF1D1E">
        <w:rPr>
          <w:rFonts w:ascii="Calibri" w:eastAsia="Calibri" w:hAnsi="Calibri" w:cs="Times New Roman"/>
          <w:i/>
          <w:sz w:val="24"/>
          <w:szCs w:val="24"/>
        </w:rPr>
        <w:t>z</w:t>
      </w:r>
      <w:r w:rsidRPr="00CF1D1E">
        <w:rPr>
          <w:rFonts w:ascii="Calibri" w:eastAsia="Calibri" w:hAnsi="Calibri" w:cs="Times New Roman"/>
          <w:sz w:val="24"/>
          <w:szCs w:val="24"/>
        </w:rPr>
        <w:t xml:space="preserve"> axes.</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676672" behindDoc="0" locked="0" layoutInCell="1" allowOverlap="1" wp14:anchorId="5B51C937" wp14:editId="6BA133AC">
                <wp:simplePos x="0" y="0"/>
                <wp:positionH relativeFrom="margin">
                  <wp:align>right</wp:align>
                </wp:positionH>
                <wp:positionV relativeFrom="paragraph">
                  <wp:posOffset>182880</wp:posOffset>
                </wp:positionV>
                <wp:extent cx="411480" cy="7056120"/>
                <wp:effectExtent l="0" t="0" r="7620" b="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7056120"/>
                        </a:xfrm>
                        <a:prstGeom prst="rect">
                          <a:avLst/>
                        </a:prstGeom>
                        <a:solidFill>
                          <a:srgbClr val="FFFFFF"/>
                        </a:solidFill>
                        <a:ln w="9525">
                          <a:noFill/>
                          <a:miter lim="800000"/>
                          <a:headEnd/>
                          <a:tailEnd/>
                        </a:ln>
                      </wps:spPr>
                      <wps:txbx>
                        <w:txbxContent>
                          <w:p w:rsidR="00D842A6" w:rsidRDefault="00D842A6" w:rsidP="00CF1D1E">
                            <w:pPr>
                              <w:spacing w:line="360" w:lineRule="auto"/>
                              <w:jc w:val="both"/>
                              <w:rPr>
                                <w:sz w:val="24"/>
                                <w:szCs w:val="24"/>
                              </w:rPr>
                            </w:pPr>
                            <w:r>
                              <w:rPr>
                                <w:sz w:val="20"/>
                                <w:szCs w:val="20"/>
                              </w:rPr>
                              <w:t>Fig.104 2D Scores plot of the 7 top identifications in all 9 teas studied including a colour coded legend.</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1C937" id="_x0000_s1042" type="#_x0000_t202" style="position:absolute;left:0;text-align:left;margin-left:-18.8pt;margin-top:14.4pt;width:32.4pt;height:555.6pt;z-index:251676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" stroked="f">
                <v:textbox style="layout-flow:vertical;mso-layout-flow-alt:bottom-to-top">
                  <w:txbxContent>
                    <w:p w:rsidR="00D842A6" w:rsidRDefault="00D842A6" w:rsidP="00CF1D1E">
                      <w:pPr>
                        <w:spacing w:line="360" w:lineRule="auto"/>
                        <w:jc w:val="both"/>
                        <w:rPr>
                          <w:sz w:val="24"/>
                          <w:szCs w:val="24"/>
                        </w:rPr>
                      </w:pPr>
                      <w:r>
                        <w:rPr>
                          <w:sz w:val="20"/>
                          <w:szCs w:val="20"/>
                        </w:rPr>
                        <w:t>Fig.104 2D Scores plot of the 7 top identifications in all 9 teas studied including a colour coded legend.</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22482E85" wp14:editId="462D607C">
            <wp:extent cx="8459608" cy="4618761"/>
            <wp:effectExtent l="0" t="3493"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cores Plot 9 teas top 7 IDs NEW.png"/>
                    <pic:cNvPicPr/>
                  </pic:nvPicPr>
                  <pic:blipFill>
                    <a:blip r:embed="rId173">
                      <a:extLst>
                        <a:ext uri="{28A0092B-C50C-407E-A947-70E740481C1C}">
                          <a14:useLocalDpi xmlns:a14="http://schemas.microsoft.com/office/drawing/2010/main" val="0"/>
                        </a:ext>
                      </a:extLst>
                    </a:blip>
                    <a:stretch>
                      <a:fillRect/>
                    </a:stretch>
                  </pic:blipFill>
                  <pic:spPr>
                    <a:xfrm rot="16200000">
                      <a:off x="0" y="0"/>
                      <a:ext cx="8497073" cy="4639216"/>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jc w:val="both"/>
        <w:rPr>
          <w:rFonts w:ascii="Calibri" w:eastAsia="Calibri" w:hAnsi="Calibri" w:cs="Times New Roman"/>
          <w:noProof/>
          <w:sz w:val="24"/>
          <w:szCs w:val="24"/>
          <w:lang w:eastAsia="en-GB"/>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55DB496A" wp14:editId="589C5594">
            <wp:extent cx="5731510" cy="4084955"/>
            <wp:effectExtent l="0" t="0" r="254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3D Scores Plot 9 teas top 7 IDs NEW.png"/>
                    <pic:cNvPicPr/>
                  </pic:nvPicPr>
                  <pic:blipFill>
                    <a:blip r:embed="rId174">
                      <a:extLst>
                        <a:ext uri="{28A0092B-C50C-407E-A947-70E740481C1C}">
                          <a14:useLocalDpi xmlns:a14="http://schemas.microsoft.com/office/drawing/2010/main" val="0"/>
                        </a:ext>
                      </a:extLst>
                    </a:blip>
                    <a:stretch>
                      <a:fillRect/>
                    </a:stretch>
                  </pic:blipFill>
                  <pic:spPr>
                    <a:xfrm>
                      <a:off x="0" y="0"/>
                      <a:ext cx="5731510" cy="4084955"/>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9831BA" w:rsidP="00CF1D1E">
      <w:pPr>
        <w:spacing w:line="360" w:lineRule="auto"/>
        <w:jc w:val="both"/>
        <w:rPr>
          <w:rFonts w:ascii="Calibri" w:eastAsia="Calibri" w:hAnsi="Calibri" w:cs="Times New Roman"/>
          <w:sz w:val="20"/>
          <w:szCs w:val="20"/>
        </w:rPr>
      </w:pPr>
      <w:r>
        <w:rPr>
          <w:rFonts w:ascii="Calibri" w:eastAsia="Calibri" w:hAnsi="Calibri" w:cs="Times New Roman"/>
          <w:sz w:val="20"/>
          <w:szCs w:val="20"/>
        </w:rPr>
        <w:t>Fig.</w:t>
      </w:r>
      <w:r w:rsidR="00CF1D1E" w:rsidRPr="00CF1D1E">
        <w:rPr>
          <w:rFonts w:ascii="Calibri" w:eastAsia="Calibri" w:hAnsi="Calibri" w:cs="Times New Roman"/>
          <w:sz w:val="20"/>
          <w:szCs w:val="20"/>
        </w:rPr>
        <w:t>105 3D Scores plot of the 7 top identifications in all 9 teas studied including a colour coded legend.</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Building on this, the next plot is a Loadings Bi-Plot of the same dataset</w:t>
      </w:r>
      <w:r w:rsidR="00A758D4">
        <w:rPr>
          <w:rFonts w:ascii="Calibri" w:eastAsia="Calibri" w:hAnsi="Calibri" w:cs="Times New Roman"/>
          <w:sz w:val="24"/>
          <w:szCs w:val="24"/>
        </w:rPr>
        <w:t xml:space="preserve"> (Fig. 106)</w:t>
      </w:r>
      <w:r w:rsidRPr="00CF1D1E">
        <w:rPr>
          <w:rFonts w:ascii="Calibri" w:eastAsia="Calibri" w:hAnsi="Calibri" w:cs="Times New Roman"/>
          <w:sz w:val="24"/>
          <w:szCs w:val="24"/>
        </w:rPr>
        <w:t xml:space="preserve">. It is a plot of the score values of the observations and the weights of the variables. This </w:t>
      </w:r>
      <w:r w:rsidR="00A758D4" w:rsidRPr="00A758D4">
        <w:rPr>
          <w:rFonts w:ascii="Calibri" w:eastAsia="Calibri" w:hAnsi="Calibri" w:cs="Times New Roman"/>
          <w:sz w:val="24"/>
          <w:szCs w:val="24"/>
        </w:rPr>
        <w:t xml:space="preserve">shows the correlation between variables </w:t>
      </w:r>
      <w:r w:rsidR="00A758D4">
        <w:rPr>
          <w:rFonts w:ascii="Calibri" w:eastAsia="Calibri" w:hAnsi="Calibri" w:cs="Times New Roman"/>
          <w:sz w:val="24"/>
          <w:szCs w:val="24"/>
        </w:rPr>
        <w:t xml:space="preserve">and indicates which variables </w:t>
      </w:r>
      <w:r w:rsidRPr="00CF1D1E">
        <w:rPr>
          <w:rFonts w:ascii="Calibri" w:eastAsia="Calibri" w:hAnsi="Calibri" w:cs="Times New Roman"/>
          <w:sz w:val="24"/>
          <w:szCs w:val="24"/>
        </w:rPr>
        <w:t>are responsible for the observations. In other words, the teas can be visualised in terms of their proximity to the analytes.</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677696" behindDoc="0" locked="0" layoutInCell="1" allowOverlap="1" wp14:anchorId="008BE217" wp14:editId="116D3F3C">
                <wp:simplePos x="0" y="0"/>
                <wp:positionH relativeFrom="margin">
                  <wp:align>right</wp:align>
                </wp:positionH>
                <wp:positionV relativeFrom="paragraph">
                  <wp:posOffset>2527300</wp:posOffset>
                </wp:positionV>
                <wp:extent cx="638175" cy="5727700"/>
                <wp:effectExtent l="0" t="0" r="9525" b="635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727700"/>
                        </a:xfrm>
                        <a:prstGeom prst="rect">
                          <a:avLst/>
                        </a:prstGeom>
                        <a:solidFill>
                          <a:srgbClr val="FFFFFF"/>
                        </a:solidFill>
                        <a:ln w="9525">
                          <a:noFill/>
                          <a:miter lim="800000"/>
                          <a:headEnd/>
                          <a:tailEnd/>
                        </a:ln>
                      </wps:spPr>
                      <wps:txbx>
                        <w:txbxContent>
                          <w:p w:rsidR="00D842A6" w:rsidRDefault="00D842A6" w:rsidP="00CF1D1E">
                            <w:pPr>
                              <w:spacing w:line="360" w:lineRule="auto"/>
                              <w:rPr>
                                <w:sz w:val="20"/>
                                <w:szCs w:val="20"/>
                              </w:rPr>
                            </w:pPr>
                            <w:r>
                              <w:rPr>
                                <w:sz w:val="20"/>
                                <w:szCs w:val="20"/>
                              </w:rPr>
                              <w:t>Fig.106</w:t>
                            </w:r>
                            <w:r w:rsidRPr="009D1DE5">
                              <w:rPr>
                                <w:sz w:val="20"/>
                                <w:szCs w:val="20"/>
                              </w:rPr>
                              <w:t xml:space="preserve"> </w:t>
                            </w:r>
                            <w:r>
                              <w:rPr>
                                <w:sz w:val="20"/>
                                <w:szCs w:val="20"/>
                              </w:rPr>
                              <w:t>Loadings Bi-</w:t>
                            </w:r>
                            <w:r w:rsidRPr="009D1DE5">
                              <w:rPr>
                                <w:sz w:val="20"/>
                                <w:szCs w:val="20"/>
                              </w:rPr>
                              <w:t>plot</w:t>
                            </w:r>
                            <w:r>
                              <w:rPr>
                                <w:sz w:val="20"/>
                                <w:szCs w:val="20"/>
                              </w:rPr>
                              <w:t xml:space="preserve"> </w:t>
                            </w:r>
                            <w:r w:rsidRPr="009D1DE5">
                              <w:rPr>
                                <w:sz w:val="20"/>
                                <w:szCs w:val="20"/>
                              </w:rPr>
                              <w:t>of the 7 top identifications in all 9 teas studied including a colour coded legend.</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BE217" id="_x0000_s1043" type="#_x0000_t202" style="position:absolute;left:0;text-align:left;margin-left:-.95pt;margin-top:199pt;width:50.25pt;height:451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" stroked="f">
                <v:textbox style="layout-flow:vertical;mso-layout-flow-alt:bottom-to-top">
                  <w:txbxContent>
                    <w:p w:rsidR="00D842A6" w:rsidRDefault="00D842A6" w:rsidP="00CF1D1E">
                      <w:pPr>
                        <w:spacing w:line="360" w:lineRule="auto"/>
                        <w:rPr>
                          <w:sz w:val="20"/>
                          <w:szCs w:val="20"/>
                        </w:rPr>
                      </w:pPr>
                      <w:r>
                        <w:rPr>
                          <w:sz w:val="20"/>
                          <w:szCs w:val="20"/>
                        </w:rPr>
                        <w:t>Fig.106</w:t>
                      </w:r>
                      <w:r w:rsidRPr="009D1DE5">
                        <w:rPr>
                          <w:sz w:val="20"/>
                          <w:szCs w:val="20"/>
                        </w:rPr>
                        <w:t xml:space="preserve"> </w:t>
                      </w:r>
                      <w:r>
                        <w:rPr>
                          <w:sz w:val="20"/>
                          <w:szCs w:val="20"/>
                        </w:rPr>
                        <w:t>Loadings Bi-</w:t>
                      </w:r>
                      <w:r w:rsidRPr="009D1DE5">
                        <w:rPr>
                          <w:sz w:val="20"/>
                          <w:szCs w:val="20"/>
                        </w:rPr>
                        <w:t>plot</w:t>
                      </w:r>
                      <w:r>
                        <w:rPr>
                          <w:sz w:val="20"/>
                          <w:szCs w:val="20"/>
                        </w:rPr>
                        <w:t xml:space="preserve"> </w:t>
                      </w:r>
                      <w:r w:rsidRPr="009D1DE5">
                        <w:rPr>
                          <w:sz w:val="20"/>
                          <w:szCs w:val="20"/>
                        </w:rPr>
                        <w:t>of the 7 top identifications in all 9 teas studied including a colour coded legend.</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271FA117" wp14:editId="0373A87E">
            <wp:extent cx="8497140" cy="4634547"/>
            <wp:effectExtent l="7303" t="0" r="6667" b="6668"/>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Loadings Bi Plot 9 teas 7 top IDs NEW.png"/>
                    <pic:cNvPicPr/>
                  </pic:nvPicPr>
                  <pic:blipFill>
                    <a:blip r:embed="rId175">
                      <a:extLst>
                        <a:ext uri="{28A0092B-C50C-407E-A947-70E740481C1C}">
                          <a14:useLocalDpi xmlns:a14="http://schemas.microsoft.com/office/drawing/2010/main" val="0"/>
                        </a:ext>
                      </a:extLst>
                    </a:blip>
                    <a:stretch>
                      <a:fillRect/>
                    </a:stretch>
                  </pic:blipFill>
                  <pic:spPr>
                    <a:xfrm rot="16200000">
                      <a:off x="0" y="0"/>
                      <a:ext cx="8527425" cy="4651065"/>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rPr>
        <w:lastRenderedPageBreak/>
        <w:t>In order to assess the quality of the data, it is advised to monitor 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and Q</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values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{"citationItems":[{"id":"ITEM-1","itemData":{"author":[{"dropping-particle":"","family":"Umetrics","given":"","non-dropping-particle":"","parse-names":false,"suffix":""}],"container-title":"Umetrics Knowledge Base","id":"ITEM-1","issued":{"date-parts":[["2016"]]},"page":"1-9","title":"Analysis, Multivariate Questions, Frequently Asked","type":"article-journal"},"uris":["http://www.mendeley.com/documents/?uuid=b43c5484-8431-4085-86ea-51a2b8463e39"]}],"mendeley":{"formattedCitation":"(Umetrics, 2016)","plainTextFormattedCitation":"(Umetrics, 2016)","previouslyFormattedCitation":"(Umetrics, 2016)"},"properties":{"noteIndex":0},"schema":"https://github.com/citation-style-language/schema/raw/master/csl-citation.json"}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(Umetrics, 2016)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A low 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indicates a large amount of noise or irrelevant information in the data. </w:t>
      </w:r>
      <w:r w:rsidR="00F87CCE" w:rsidRPr="00F87CCE">
        <w:rPr>
          <w:rFonts w:ascii="Calibri" w:eastAsia="Calibri" w:hAnsi="Calibri" w:cs="Times New Roman"/>
          <w:sz w:val="24"/>
          <w:szCs w:val="24"/>
        </w:rPr>
        <w:t>R</w:t>
      </w:r>
      <w:r w:rsidR="00F87CCE" w:rsidRPr="00F87CCE">
        <w:rPr>
          <w:rFonts w:ascii="Calibri" w:eastAsia="Calibri" w:hAnsi="Calibri" w:cs="Times New Roman"/>
          <w:sz w:val="24"/>
          <w:szCs w:val="24"/>
          <w:vertAlign w:val="superscript"/>
        </w:rPr>
        <w:t>2</w:t>
      </w:r>
      <w:r w:rsidR="00F87CCE" w:rsidRPr="00F87CCE">
        <w:rPr>
          <w:rFonts w:ascii="Calibri" w:eastAsia="Calibri" w:hAnsi="Calibri" w:cs="Times New Roman"/>
          <w:sz w:val="24"/>
          <w:szCs w:val="24"/>
        </w:rPr>
        <w:t xml:space="preserve"> and Q</w:t>
      </w:r>
      <w:r w:rsidR="00F87CCE" w:rsidRPr="00F87CCE">
        <w:rPr>
          <w:rFonts w:ascii="Calibri" w:eastAsia="Calibri" w:hAnsi="Calibri" w:cs="Times New Roman"/>
          <w:sz w:val="24"/>
          <w:szCs w:val="24"/>
          <w:vertAlign w:val="superscript"/>
        </w:rPr>
        <w:t>2</w:t>
      </w:r>
      <w:r w:rsidR="00F87CCE" w:rsidRPr="00F87CCE">
        <w:rPr>
          <w:rFonts w:ascii="Calibri" w:eastAsia="Calibri" w:hAnsi="Calibri" w:cs="Times New Roman"/>
          <w:sz w:val="24"/>
          <w:szCs w:val="24"/>
        </w:rPr>
        <w:t xml:space="preserve"> </w:t>
      </w:r>
      <w:r w:rsidR="00F87CCE">
        <w:rPr>
          <w:rFonts w:ascii="Calibri" w:eastAsia="Calibri" w:hAnsi="Calibri" w:cs="Times New Roman"/>
          <w:sz w:val="24"/>
          <w:szCs w:val="24"/>
        </w:rPr>
        <w:t>are both highly application dependent</w:t>
      </w:r>
      <w:r w:rsidRPr="00CF1D1E">
        <w:rPr>
          <w:rFonts w:ascii="Calibri" w:eastAsia="Calibri" w:hAnsi="Calibri" w:cs="Times New Roman"/>
          <w:sz w:val="24"/>
          <w:szCs w:val="24"/>
        </w:rPr>
        <w:t>. A residual is the difference between the predictive model and the original data. This represents the unexplained variation and is used as the basis for the</w:t>
      </w:r>
      <w:r w:rsidR="00F87CCE">
        <w:rPr>
          <w:rFonts w:ascii="Calibri" w:eastAsia="Calibri" w:hAnsi="Calibri" w:cs="Times New Roman"/>
          <w:sz w:val="24"/>
          <w:szCs w:val="24"/>
        </w:rPr>
        <w:t xml:space="preserve"> calculation of</w:t>
      </w:r>
      <w:r w:rsidRPr="00CF1D1E">
        <w:rPr>
          <w:rFonts w:ascii="Calibri" w:eastAsia="Calibri" w:hAnsi="Calibri" w:cs="Times New Roman"/>
          <w:sz w:val="24"/>
          <w:szCs w:val="24"/>
        </w:rPr>
        <w:t xml:space="preserve"> 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{"citationItems":[{"id":"ITEM-1","itemData":{"DOI":"10.1007/978-3-319-01517-0_3","ISBN":"9781292021904","abstract":"For over 30 years, Multivariate Data Analysis has provided readers with the information they need to understand and apply multivariate data analysis. Hair et. al provides an applications-oriented introduction to multivariate analysis for the non-statistician. By reducing heavy statistical research into fundamental concepts, the text explains to readers how to understand and make use of the results of specific statistical techniques. In this Seventh Edition, the organization of the chapters has been greatly simplified. New chapters have been added on structural equations modeling, and all sections have been updated to reflect advances in technology, capability, and mathematical techniques.","author":[{"dropping-particle":"","family":"Hair","given":"Joseph F.","non-dropping-particle":"","parse-names":false,"suffix":""}],"container-title":"Exploratory Data Analysis in Business and Economics","edition":"7th","id":"ITEM-1","issued":{"date-parts":[["2014"]]},"number-of-pages":"23-60","publisher":"Pearson","title":"Multivariate Data Analysis","type":"book"},"uris":["http://www.mendeley.com/documents/?uuid=1b405130-eaf0-4d73-b8d0-67500c574b3b"]}],"mendeley":{"formattedCitation":"(Hair, 2014)","plainTextFormattedCitation":"(Hair, 2014)","previouslyFormattedCitation":"(Hair,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(Hair,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Q</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is an estimate of the predictive ability of the model being used. It is</w:t>
      </w:r>
      <w:r w:rsidR="00F87CCE">
        <w:rPr>
          <w:rFonts w:ascii="Calibri" w:eastAsia="Calibri" w:hAnsi="Calibri" w:cs="Times New Roman"/>
          <w:sz w:val="24"/>
          <w:szCs w:val="24"/>
        </w:rPr>
        <w:t xml:space="preserve"> a cross-validation calculation built into EZ Info where t</w:t>
      </w:r>
      <w:r w:rsidRPr="00CF1D1E">
        <w:rPr>
          <w:rFonts w:ascii="Calibri" w:eastAsia="Calibri" w:hAnsi="Calibri" w:cs="Times New Roman"/>
          <w:sz w:val="24"/>
          <w:szCs w:val="24"/>
        </w:rPr>
        <w:t xml:space="preserve">he data is divided into parts (7 by default), then each 1/7th is removed in turn and then a model is </w:t>
      </w:r>
      <w:r w:rsidR="00F87CCE">
        <w:rPr>
          <w:rFonts w:ascii="Calibri" w:eastAsia="Calibri" w:hAnsi="Calibri" w:cs="Times New Roman"/>
          <w:sz w:val="24"/>
          <w:szCs w:val="24"/>
        </w:rPr>
        <w:t>based</w:t>
      </w:r>
      <w:r w:rsidRPr="00CF1D1E">
        <w:rPr>
          <w:rFonts w:ascii="Calibri" w:eastAsia="Calibri" w:hAnsi="Calibri" w:cs="Times New Roman"/>
          <w:sz w:val="24"/>
          <w:szCs w:val="24"/>
        </w:rPr>
        <w:t xml:space="preserve"> on the 6/7th of the data left in. The</w:t>
      </w:r>
      <w:r w:rsidR="00F87CCE">
        <w:rPr>
          <w:rFonts w:ascii="Calibri" w:eastAsia="Calibri" w:hAnsi="Calibri" w:cs="Times New Roman"/>
          <w:sz w:val="24"/>
          <w:szCs w:val="24"/>
        </w:rPr>
        <w:t xml:space="preserve"> portion</w:t>
      </w:r>
      <w:r w:rsidR="00F87CCE" w:rsidRPr="00CF1D1E">
        <w:rPr>
          <w:rFonts w:ascii="Calibri" w:eastAsia="Calibri" w:hAnsi="Calibri" w:cs="Times New Roman"/>
          <w:sz w:val="24"/>
          <w:szCs w:val="24"/>
        </w:rPr>
        <w:t xml:space="preserve"> </w:t>
      </w:r>
      <w:r w:rsidR="00F87CCE">
        <w:rPr>
          <w:rFonts w:ascii="Calibri" w:eastAsia="Calibri" w:hAnsi="Calibri" w:cs="Times New Roman"/>
          <w:sz w:val="24"/>
          <w:szCs w:val="24"/>
        </w:rPr>
        <w:t xml:space="preserve">of data that was </w:t>
      </w:r>
      <w:r w:rsidRPr="00CF1D1E">
        <w:rPr>
          <w:rFonts w:ascii="Calibri" w:eastAsia="Calibri" w:hAnsi="Calibri" w:cs="Times New Roman"/>
          <w:sz w:val="24"/>
          <w:szCs w:val="24"/>
        </w:rPr>
        <w:t xml:space="preserve">excluded </w:t>
      </w:r>
      <w:r w:rsidR="00F87CCE">
        <w:rPr>
          <w:rFonts w:ascii="Calibri" w:eastAsia="Calibri" w:hAnsi="Calibri" w:cs="Times New Roman"/>
          <w:sz w:val="24"/>
          <w:szCs w:val="24"/>
        </w:rPr>
        <w:t>is then</w:t>
      </w:r>
      <w:r w:rsidRPr="00CF1D1E">
        <w:rPr>
          <w:rFonts w:ascii="Calibri" w:eastAsia="Calibri" w:hAnsi="Calibri" w:cs="Times New Roman"/>
          <w:sz w:val="24"/>
          <w:szCs w:val="24"/>
        </w:rPr>
        <w:t xml:space="preserve"> predicted from the new model. The predicted data </w:t>
      </w:r>
      <w:r w:rsidR="00F87CCE">
        <w:rPr>
          <w:rFonts w:ascii="Calibri" w:eastAsia="Calibri" w:hAnsi="Calibri" w:cs="Times New Roman"/>
          <w:sz w:val="24"/>
          <w:szCs w:val="24"/>
        </w:rPr>
        <w:t>is</w:t>
      </w:r>
      <w:r w:rsidRPr="00CF1D1E">
        <w:rPr>
          <w:rFonts w:ascii="Calibri" w:eastAsia="Calibri" w:hAnsi="Calibri" w:cs="Times New Roman"/>
          <w:sz w:val="24"/>
          <w:szCs w:val="24"/>
        </w:rPr>
        <w:t xml:space="preserve"> then compared with the original data and the sum of squared errors are subsequently calculated for the whole dataset. The following</w:t>
      </w:r>
      <w:r w:rsidRPr="00CF1D1E">
        <w:rPr>
          <w:rFonts w:ascii="Calibri" w:eastAsia="Calibri" w:hAnsi="Calibri" w:cs="Times New Roman"/>
          <w:sz w:val="24"/>
          <w:szCs w:val="24"/>
          <w:lang w:val="en"/>
        </w:rPr>
        <w:t xml:space="preserve"> Goodness of Fit plot (Fig. 107) shows the </w:t>
      </w:r>
      <w:r w:rsidRPr="00CF1D1E">
        <w:rPr>
          <w:rFonts w:ascii="Calibri" w:eastAsia="Calibri" w:hAnsi="Calibri" w:cs="Times New Roman"/>
          <w:sz w:val="24"/>
          <w:szCs w:val="24"/>
        </w:rPr>
        <w:t>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lang w:val="en"/>
        </w:rPr>
        <w:t xml:space="preserve"> and </w:t>
      </w:r>
      <w:r w:rsidRPr="00CF1D1E">
        <w:rPr>
          <w:rFonts w:ascii="Calibri" w:eastAsia="Calibri" w:hAnsi="Calibri" w:cs="Times New Roman"/>
          <w:sz w:val="24"/>
          <w:szCs w:val="24"/>
        </w:rPr>
        <w:t>Q</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lang w:val="en"/>
        </w:rPr>
        <w:t xml:space="preserve"> values relating to this section of data interpretation</w:t>
      </w:r>
      <w:r w:rsidR="00F87CCE">
        <w:rPr>
          <w:rFonts w:ascii="Calibri" w:eastAsia="Calibri" w:hAnsi="Calibri" w:cs="Times New Roman"/>
          <w:sz w:val="24"/>
          <w:szCs w:val="24"/>
          <w:lang w:val="en"/>
        </w:rPr>
        <w:t xml:space="preserve"> (stage 2)</w:t>
      </w:r>
      <w:r w:rsidRPr="00CF1D1E">
        <w:rPr>
          <w:rFonts w:ascii="Calibri" w:eastAsia="Calibri" w:hAnsi="Calibri" w:cs="Times New Roman"/>
          <w:sz w:val="24"/>
          <w:szCs w:val="24"/>
          <w:lang w:val="en"/>
        </w:rPr>
        <w:t>.</w:t>
      </w:r>
    </w:p>
    <w:p w:rsidR="00CF1D1E" w:rsidRPr="00CF1D1E" w:rsidRDefault="00CF1D1E" w:rsidP="00CF1D1E">
      <w:pPr>
        <w:spacing w:line="360" w:lineRule="auto"/>
        <w:ind w:firstLine="720"/>
        <w:jc w:val="both"/>
        <w:rPr>
          <w:rFonts w:ascii="Calibri" w:eastAsia="Calibri" w:hAnsi="Calibri" w:cs="Times New Roman"/>
          <w:sz w:val="24"/>
          <w:szCs w:val="24"/>
          <w:lang w:val="en"/>
        </w:rPr>
      </w:pPr>
    </w:p>
    <w:p w:rsidR="00CF1D1E" w:rsidRPr="00CF1D1E" w:rsidRDefault="00CF1D1E" w:rsidP="00CF1D1E">
      <w:pPr>
        <w:spacing w:line="360" w:lineRule="auto"/>
        <w:ind w:left="720"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678720" behindDoc="0" locked="0" layoutInCell="1" allowOverlap="1" wp14:anchorId="07139D4A" wp14:editId="1685E1DC">
                <wp:simplePos x="0" y="0"/>
                <wp:positionH relativeFrom="margin">
                  <wp:posOffset>5582452</wp:posOffset>
                </wp:positionH>
                <wp:positionV relativeFrom="paragraph">
                  <wp:posOffset>1908609</wp:posOffset>
                </wp:positionV>
                <wp:extent cx="544830" cy="6416675"/>
                <wp:effectExtent l="0" t="0" r="7620" b="3175"/>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6416675"/>
                        </a:xfrm>
                        <a:prstGeom prst="rect">
                          <a:avLst/>
                        </a:prstGeom>
                        <a:solidFill>
                          <a:srgbClr val="FFFFFF"/>
                        </a:solidFill>
                        <a:ln w="9525">
                          <a:noFill/>
                          <a:miter lim="800000"/>
                          <a:headEnd/>
                          <a:tailEnd/>
                        </a:ln>
                      </wps:spPr>
                      <wps:txbx>
                        <w:txbxContent>
                          <w:p w:rsidR="00D842A6" w:rsidRPr="00C679D6" w:rsidRDefault="00D842A6" w:rsidP="00CF1D1E">
                            <w:pPr>
                              <w:spacing w:line="360" w:lineRule="auto"/>
                              <w:rPr>
                                <w:sz w:val="24"/>
                                <w:szCs w:val="24"/>
                                <w:lang w:val="en"/>
                              </w:rPr>
                            </w:pPr>
                            <w:r>
                              <w:rPr>
                                <w:sz w:val="20"/>
                                <w:szCs w:val="20"/>
                                <w:lang w:val="en"/>
                              </w:rPr>
                              <w:t xml:space="preserve">Fig.107 </w:t>
                            </w:r>
                            <w:r w:rsidRPr="00ED7BF0">
                              <w:rPr>
                                <w:sz w:val="20"/>
                                <w:szCs w:val="20"/>
                                <w:lang w:val="en"/>
                              </w:rPr>
                              <w:t>Goodness of fit plot</w:t>
                            </w:r>
                            <w:r>
                              <w:rPr>
                                <w:sz w:val="20"/>
                                <w:szCs w:val="20"/>
                                <w:lang w:val="en"/>
                              </w:rPr>
                              <w:t xml:space="preserve"> showing the first 2 principal components</w:t>
                            </w:r>
                            <w:r w:rsidRPr="00ED7BF0">
                              <w:rPr>
                                <w:sz w:val="20"/>
                                <w:szCs w:val="20"/>
                                <w:lang w:val="en"/>
                              </w:rPr>
                              <w:t>.</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39D4A" id="_x0000_s1044" type="#_x0000_t202" style="position:absolute;left:0;text-align:left;margin-left:439.55pt;margin-top:150.3pt;width:42.9pt;height:505.2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" stroked="f">
                <v:textbox style="layout-flow:vertical;mso-layout-flow-alt:bottom-to-top">
                  <w:txbxContent>
                    <w:p w:rsidR="00D842A6" w:rsidRPr="00C679D6" w:rsidRDefault="00D842A6" w:rsidP="00CF1D1E">
                      <w:pPr>
                        <w:spacing w:line="360" w:lineRule="auto"/>
                        <w:rPr>
                          <w:sz w:val="24"/>
                          <w:szCs w:val="24"/>
                          <w:lang w:val="en"/>
                        </w:rPr>
                      </w:pPr>
                      <w:r>
                        <w:rPr>
                          <w:sz w:val="20"/>
                          <w:szCs w:val="20"/>
                          <w:lang w:val="en"/>
                        </w:rPr>
                        <w:t xml:space="preserve">Fig.107 </w:t>
                      </w:r>
                      <w:r w:rsidRPr="00ED7BF0">
                        <w:rPr>
                          <w:sz w:val="20"/>
                          <w:szCs w:val="20"/>
                          <w:lang w:val="en"/>
                        </w:rPr>
                        <w:t>Goodness of fit plot</w:t>
                      </w:r>
                      <w:r>
                        <w:rPr>
                          <w:sz w:val="20"/>
                          <w:szCs w:val="20"/>
                          <w:lang w:val="en"/>
                        </w:rPr>
                        <w:t xml:space="preserve"> showing the first 2 principal components</w:t>
                      </w:r>
                      <w:r w:rsidRPr="00ED7BF0">
                        <w:rPr>
                          <w:sz w:val="20"/>
                          <w:szCs w:val="20"/>
                          <w:lang w:val="en"/>
                        </w:rPr>
                        <w:t>.</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29367912" wp14:editId="29CF75F4">
            <wp:extent cx="8398479" cy="4383473"/>
            <wp:effectExtent l="6985"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oodness of fit Top 7 components.PNG"/>
                    <pic:cNvPicPr/>
                  </pic:nvPicPr>
                  <pic:blipFill>
                    <a:blip r:embed="rId176">
                      <a:extLst>
                        <a:ext uri="{28A0092B-C50C-407E-A947-70E740481C1C}">
                          <a14:useLocalDpi xmlns:a14="http://schemas.microsoft.com/office/drawing/2010/main" val="0"/>
                        </a:ext>
                      </a:extLst>
                    </a:blip>
                    <a:stretch>
                      <a:fillRect/>
                    </a:stretch>
                  </pic:blipFill>
                  <pic:spPr>
                    <a:xfrm rot="16200000">
                      <a:off x="0" y="0"/>
                      <a:ext cx="8459749" cy="4415452"/>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At this stage a new model was created in EZ Info using OPLS-DA. S-Plots were created for every combination of the 9 teas. This led to the creation of 36 (81-9/2) S-Plots, some examples of which will follow and the remainder will be available in the appendi</w:t>
      </w:r>
      <w:r w:rsidR="00BE4AF6">
        <w:rPr>
          <w:rFonts w:ascii="Calibri" w:eastAsia="Calibri" w:hAnsi="Calibri" w:cs="Times New Roman"/>
          <w:sz w:val="24"/>
          <w:szCs w:val="24"/>
          <w:lang w:val="en"/>
        </w:rPr>
        <w:t>ces</w:t>
      </w:r>
      <w:r w:rsidRPr="00CF1D1E">
        <w:rPr>
          <w:rFonts w:ascii="Calibri" w:eastAsia="Calibri" w:hAnsi="Calibri" w:cs="Times New Roman"/>
          <w:sz w:val="24"/>
          <w:szCs w:val="24"/>
          <w:lang w:val="en"/>
        </w:rPr>
        <w:t xml:space="preserve">. The S-Plots revealed the differences between the compared samples and the responsible discriminant phytochemicals. These were collated in a chart to summarize the findings. Following on from this, plots of Coefficients, Variable Trends and of Variable Importance (VIP) were </w:t>
      </w:r>
      <w:r w:rsidR="009C2B64">
        <w:rPr>
          <w:rFonts w:ascii="Calibri" w:eastAsia="Calibri" w:hAnsi="Calibri" w:cs="Times New Roman"/>
          <w:sz w:val="24"/>
          <w:szCs w:val="24"/>
          <w:lang w:val="en"/>
        </w:rPr>
        <w:t>created</w:t>
      </w:r>
      <w:r w:rsidRPr="00CF1D1E">
        <w:rPr>
          <w:rFonts w:ascii="Calibri" w:eastAsia="Calibri" w:hAnsi="Calibri" w:cs="Times New Roman"/>
          <w:sz w:val="24"/>
          <w:szCs w:val="24"/>
          <w:lang w:val="en"/>
        </w:rPr>
        <w:t>.</w:t>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Examples of S-Plots follow over the coming pages. Initially </w:t>
      </w:r>
      <w:r w:rsidR="008E1390">
        <w:rPr>
          <w:rFonts w:ascii="Calibri" w:eastAsia="Calibri" w:hAnsi="Calibri" w:cs="Times New Roman"/>
          <w:sz w:val="24"/>
          <w:szCs w:val="24"/>
          <w:lang w:val="en"/>
        </w:rPr>
        <w:t>these show</w:t>
      </w:r>
      <w:r w:rsidRPr="00CF1D1E">
        <w:rPr>
          <w:rFonts w:ascii="Calibri" w:eastAsia="Calibri" w:hAnsi="Calibri" w:cs="Times New Roman"/>
          <w:sz w:val="24"/>
          <w:szCs w:val="24"/>
          <w:lang w:val="en"/>
        </w:rPr>
        <w:t xml:space="preserve"> the success of this technique</w:t>
      </w:r>
      <w:r w:rsidR="00BE4AF6">
        <w:rPr>
          <w:rFonts w:ascii="Calibri" w:eastAsia="Calibri" w:hAnsi="Calibri" w:cs="Times New Roman"/>
          <w:sz w:val="24"/>
          <w:szCs w:val="24"/>
          <w:lang w:val="en"/>
        </w:rPr>
        <w:t xml:space="preserve"> where analytes can be established that describe </w:t>
      </w:r>
      <w:r w:rsidR="008E1390">
        <w:rPr>
          <w:rFonts w:ascii="Calibri" w:eastAsia="Calibri" w:hAnsi="Calibri" w:cs="Times New Roman"/>
          <w:sz w:val="24"/>
          <w:szCs w:val="24"/>
          <w:lang w:val="en"/>
        </w:rPr>
        <w:t>separation</w:t>
      </w:r>
      <w:r w:rsidR="00BE4AF6">
        <w:rPr>
          <w:rFonts w:ascii="Calibri" w:eastAsia="Calibri" w:hAnsi="Calibri" w:cs="Times New Roman"/>
          <w:sz w:val="24"/>
          <w:szCs w:val="24"/>
          <w:lang w:val="en"/>
        </w:rPr>
        <w:t xml:space="preserve"> between the </w:t>
      </w:r>
      <w:proofErr w:type="gramStart"/>
      <w:r w:rsidR="00BE4AF6">
        <w:rPr>
          <w:rFonts w:ascii="Calibri" w:eastAsia="Calibri" w:hAnsi="Calibri" w:cs="Times New Roman"/>
          <w:sz w:val="24"/>
          <w:szCs w:val="24"/>
          <w:lang w:val="en"/>
        </w:rPr>
        <w:t>tea</w:t>
      </w:r>
      <w:proofErr w:type="gramEnd"/>
      <w:r w:rsidR="00BE4AF6">
        <w:rPr>
          <w:rFonts w:ascii="Calibri" w:eastAsia="Calibri" w:hAnsi="Calibri" w:cs="Times New Roman"/>
          <w:sz w:val="24"/>
          <w:szCs w:val="24"/>
          <w:lang w:val="en"/>
        </w:rPr>
        <w:t xml:space="preserve"> extracts (</w:t>
      </w:r>
      <w:r w:rsidR="00BE4AF6" w:rsidRPr="00BE4AF6">
        <w:rPr>
          <w:rFonts w:ascii="Calibri" w:eastAsia="Calibri" w:hAnsi="Calibri" w:cs="Times New Roman"/>
          <w:sz w:val="24"/>
          <w:szCs w:val="24"/>
          <w:lang w:val="en"/>
        </w:rPr>
        <w:t>Fig.108</w:t>
      </w:r>
      <w:r w:rsidR="00BE4AF6">
        <w:rPr>
          <w:rFonts w:ascii="Calibri" w:eastAsia="Calibri" w:hAnsi="Calibri" w:cs="Times New Roman"/>
          <w:sz w:val="24"/>
          <w:szCs w:val="24"/>
          <w:lang w:val="en"/>
        </w:rPr>
        <w:t xml:space="preserve"> and Fig.109). This</w:t>
      </w:r>
      <w:r w:rsidRPr="00CF1D1E">
        <w:rPr>
          <w:rFonts w:ascii="Calibri" w:eastAsia="Calibri" w:hAnsi="Calibri" w:cs="Times New Roman"/>
          <w:sz w:val="24"/>
          <w:szCs w:val="24"/>
          <w:lang w:val="en"/>
        </w:rPr>
        <w:t xml:space="preserve"> </w:t>
      </w:r>
      <w:r w:rsidR="008E1390">
        <w:rPr>
          <w:rFonts w:ascii="Calibri" w:eastAsia="Calibri" w:hAnsi="Calibri" w:cs="Times New Roman"/>
          <w:sz w:val="24"/>
          <w:szCs w:val="24"/>
          <w:lang w:val="en"/>
        </w:rPr>
        <w:t xml:space="preserve">is </w:t>
      </w:r>
      <w:r w:rsidRPr="00CF1D1E">
        <w:rPr>
          <w:rFonts w:ascii="Calibri" w:eastAsia="Calibri" w:hAnsi="Calibri" w:cs="Times New Roman"/>
          <w:sz w:val="24"/>
          <w:szCs w:val="24"/>
          <w:lang w:val="en"/>
        </w:rPr>
        <w:t xml:space="preserve">followed by </w:t>
      </w:r>
      <w:r w:rsidR="00182F35">
        <w:rPr>
          <w:rFonts w:ascii="Calibri" w:eastAsia="Calibri" w:hAnsi="Calibri" w:cs="Times New Roman"/>
          <w:sz w:val="24"/>
          <w:szCs w:val="24"/>
          <w:lang w:val="en"/>
        </w:rPr>
        <w:t xml:space="preserve">the </w:t>
      </w:r>
      <w:r w:rsidR="009C2B64">
        <w:rPr>
          <w:rFonts w:ascii="Calibri" w:eastAsia="Calibri" w:hAnsi="Calibri" w:cs="Times New Roman"/>
          <w:sz w:val="24"/>
          <w:szCs w:val="24"/>
          <w:lang w:val="en"/>
        </w:rPr>
        <w:t xml:space="preserve">less conclusive </w:t>
      </w:r>
      <w:r w:rsidR="008E1390">
        <w:rPr>
          <w:rFonts w:ascii="Calibri" w:eastAsia="Calibri" w:hAnsi="Calibri" w:cs="Times New Roman"/>
          <w:sz w:val="24"/>
          <w:szCs w:val="24"/>
          <w:lang w:val="en"/>
        </w:rPr>
        <w:t>S-plots</w:t>
      </w:r>
      <w:r w:rsidR="009C2B64">
        <w:rPr>
          <w:rFonts w:ascii="Calibri" w:eastAsia="Calibri" w:hAnsi="Calibri" w:cs="Times New Roman"/>
          <w:sz w:val="24"/>
          <w:szCs w:val="24"/>
          <w:lang w:val="en"/>
        </w:rPr>
        <w:t xml:space="preserve"> </w:t>
      </w:r>
      <w:r w:rsidR="008E1390">
        <w:rPr>
          <w:rFonts w:ascii="Calibri" w:eastAsia="Calibri" w:hAnsi="Calibri" w:cs="Times New Roman"/>
          <w:sz w:val="24"/>
          <w:szCs w:val="24"/>
          <w:lang w:val="en"/>
        </w:rPr>
        <w:t>u</w:t>
      </w:r>
      <w:r w:rsidR="00182F35">
        <w:rPr>
          <w:rFonts w:ascii="Calibri" w:eastAsia="Calibri" w:hAnsi="Calibri" w:cs="Times New Roman"/>
          <w:sz w:val="24"/>
          <w:szCs w:val="24"/>
          <w:lang w:val="en"/>
        </w:rPr>
        <w:t>sing</w:t>
      </w:r>
      <w:r w:rsidR="009C2B64">
        <w:rPr>
          <w:rFonts w:ascii="Calibri" w:eastAsia="Calibri" w:hAnsi="Calibri" w:cs="Times New Roman"/>
          <w:sz w:val="24"/>
          <w:szCs w:val="24"/>
          <w:lang w:val="en"/>
        </w:rPr>
        <w:t xml:space="preserve"> stage 2</w:t>
      </w:r>
      <w:r w:rsidR="00182F35">
        <w:rPr>
          <w:rFonts w:ascii="Calibri" w:eastAsia="Calibri" w:hAnsi="Calibri" w:cs="Times New Roman"/>
          <w:sz w:val="24"/>
          <w:szCs w:val="24"/>
          <w:lang w:val="en"/>
        </w:rPr>
        <w:t xml:space="preserve"> data</w:t>
      </w:r>
      <w:r w:rsidR="009C2B64">
        <w:rPr>
          <w:rFonts w:ascii="Calibri" w:eastAsia="Calibri" w:hAnsi="Calibri" w:cs="Times New Roman"/>
          <w:sz w:val="24"/>
          <w:szCs w:val="24"/>
          <w:lang w:val="en"/>
        </w:rPr>
        <w:t>,</w:t>
      </w:r>
      <w:r w:rsidR="00BE4AF6">
        <w:rPr>
          <w:rFonts w:ascii="Calibri" w:eastAsia="Calibri" w:hAnsi="Calibri" w:cs="Times New Roman"/>
          <w:sz w:val="24"/>
          <w:szCs w:val="24"/>
          <w:lang w:val="en"/>
        </w:rPr>
        <w:t xml:space="preserve"> </w:t>
      </w:r>
      <w:r w:rsidR="00182F35">
        <w:rPr>
          <w:rFonts w:ascii="Calibri" w:eastAsia="Calibri" w:hAnsi="Calibri" w:cs="Times New Roman"/>
          <w:sz w:val="24"/>
          <w:szCs w:val="24"/>
          <w:lang w:val="en"/>
        </w:rPr>
        <w:t xml:space="preserve">in </w:t>
      </w:r>
      <w:r w:rsidR="00BE4AF6">
        <w:rPr>
          <w:rFonts w:ascii="Calibri" w:eastAsia="Calibri" w:hAnsi="Calibri" w:cs="Times New Roman"/>
          <w:sz w:val="24"/>
          <w:szCs w:val="24"/>
          <w:lang w:val="en"/>
        </w:rPr>
        <w:t xml:space="preserve">which the display of discriminants </w:t>
      </w:r>
      <w:r w:rsidR="00182F35">
        <w:rPr>
          <w:rFonts w:ascii="Calibri" w:eastAsia="Calibri" w:hAnsi="Calibri" w:cs="Times New Roman"/>
          <w:sz w:val="24"/>
          <w:szCs w:val="24"/>
          <w:lang w:val="en"/>
        </w:rPr>
        <w:t xml:space="preserve">is not possible </w:t>
      </w:r>
      <w:r w:rsidR="00BE4AF6">
        <w:rPr>
          <w:rFonts w:ascii="Calibri" w:eastAsia="Calibri" w:hAnsi="Calibri" w:cs="Times New Roman"/>
          <w:sz w:val="24"/>
          <w:szCs w:val="24"/>
          <w:lang w:val="en"/>
        </w:rPr>
        <w:t>(</w:t>
      </w:r>
      <w:r w:rsidR="00BE4AF6" w:rsidRPr="00BE4AF6">
        <w:rPr>
          <w:rFonts w:ascii="Calibri" w:eastAsia="Calibri" w:hAnsi="Calibri" w:cs="Times New Roman"/>
          <w:sz w:val="24"/>
          <w:szCs w:val="24"/>
          <w:lang w:val="en"/>
        </w:rPr>
        <w:t>Fig.1</w:t>
      </w:r>
      <w:r w:rsidR="00BE4AF6">
        <w:rPr>
          <w:rFonts w:ascii="Calibri" w:eastAsia="Calibri" w:hAnsi="Calibri" w:cs="Times New Roman"/>
          <w:sz w:val="24"/>
          <w:szCs w:val="24"/>
          <w:lang w:val="en"/>
        </w:rPr>
        <w:t>10 and Fig.111)</w:t>
      </w:r>
      <w:r w:rsidR="00182F35">
        <w:rPr>
          <w:rFonts w:ascii="Calibri" w:eastAsia="Calibri" w:hAnsi="Calibri" w:cs="Times New Roman"/>
          <w:sz w:val="24"/>
          <w:szCs w:val="24"/>
          <w:lang w:val="en"/>
        </w:rPr>
        <w:t xml:space="preserve">. </w:t>
      </w:r>
      <w:r w:rsidRPr="00CF1D1E">
        <w:rPr>
          <w:rFonts w:ascii="Calibri" w:eastAsia="Calibri" w:hAnsi="Calibri" w:cs="Times New Roman"/>
          <w:sz w:val="24"/>
          <w:szCs w:val="24"/>
          <w:lang w:val="en"/>
        </w:rPr>
        <w:t xml:space="preserve"> </w:t>
      </w:r>
      <w:r w:rsidR="00182F35">
        <w:rPr>
          <w:rFonts w:ascii="Calibri" w:eastAsia="Calibri" w:hAnsi="Calibri" w:cs="Times New Roman"/>
          <w:sz w:val="24"/>
          <w:szCs w:val="24"/>
          <w:lang w:val="en"/>
        </w:rPr>
        <w:t>It was felt that this showed the need to introduce additional data. This le</w:t>
      </w:r>
      <w:r w:rsidR="009C2B64">
        <w:rPr>
          <w:rFonts w:ascii="Calibri" w:eastAsia="Calibri" w:hAnsi="Calibri" w:cs="Times New Roman"/>
          <w:sz w:val="24"/>
          <w:szCs w:val="24"/>
          <w:lang w:val="en"/>
        </w:rPr>
        <w:t xml:space="preserve">d to </w:t>
      </w:r>
      <w:r w:rsidRPr="00CF1D1E">
        <w:rPr>
          <w:rFonts w:ascii="Calibri" w:eastAsia="Calibri" w:hAnsi="Calibri" w:cs="Times New Roman"/>
          <w:sz w:val="24"/>
          <w:szCs w:val="24"/>
          <w:lang w:val="en"/>
        </w:rPr>
        <w:t>the upgraded approach</w:t>
      </w:r>
      <w:r w:rsidR="00182F35">
        <w:rPr>
          <w:rFonts w:ascii="Calibri" w:eastAsia="Calibri" w:hAnsi="Calibri" w:cs="Times New Roman"/>
          <w:sz w:val="24"/>
          <w:szCs w:val="24"/>
          <w:lang w:val="en"/>
        </w:rPr>
        <w:t xml:space="preserve"> shown</w:t>
      </w:r>
      <w:r w:rsidRPr="00CF1D1E">
        <w:rPr>
          <w:rFonts w:ascii="Calibri" w:eastAsia="Calibri" w:hAnsi="Calibri" w:cs="Times New Roman"/>
          <w:sz w:val="24"/>
          <w:szCs w:val="24"/>
          <w:lang w:val="en"/>
        </w:rPr>
        <w:t xml:space="preserve"> in </w:t>
      </w:r>
      <w:r w:rsidR="009C2B64">
        <w:rPr>
          <w:rFonts w:ascii="Calibri" w:eastAsia="Calibri" w:hAnsi="Calibri" w:cs="Times New Roman"/>
          <w:sz w:val="24"/>
          <w:szCs w:val="24"/>
          <w:lang w:val="en"/>
        </w:rPr>
        <w:t>stage 3</w:t>
      </w:r>
      <w:r w:rsidRPr="00CF1D1E">
        <w:rPr>
          <w:rFonts w:ascii="Calibri" w:eastAsia="Calibri" w:hAnsi="Calibri" w:cs="Times New Roman"/>
          <w:sz w:val="24"/>
          <w:szCs w:val="24"/>
          <w:lang w:val="en"/>
        </w:rPr>
        <w:t xml:space="preserve"> data processing.</w:t>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ind w:left="720"/>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w:lastRenderedPageBreak/>
        <mc:AlternateContent>
          <mc:Choice Requires="wps">
            <w:drawing>
              <wp:anchor distT="45720" distB="45720" distL="114300" distR="114300" simplePos="0" relativeHeight="251679744" behindDoc="0" locked="0" layoutInCell="1" allowOverlap="1" wp14:anchorId="16ECDBA3" wp14:editId="17B2AAB6">
                <wp:simplePos x="0" y="0"/>
                <wp:positionH relativeFrom="rightMargin">
                  <wp:posOffset>-431800</wp:posOffset>
                </wp:positionH>
                <wp:positionV relativeFrom="paragraph">
                  <wp:posOffset>3517900</wp:posOffset>
                </wp:positionV>
                <wp:extent cx="330200" cy="4622800"/>
                <wp:effectExtent l="0" t="0" r="0" b="635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622800"/>
                        </a:xfrm>
                        <a:prstGeom prst="rect">
                          <a:avLst/>
                        </a:prstGeom>
                        <a:solidFill>
                          <a:srgbClr val="FFFFFF"/>
                        </a:solidFill>
                        <a:ln w="9525">
                          <a:noFill/>
                          <a:miter lim="800000"/>
                          <a:headEnd/>
                          <a:tailEnd/>
                        </a:ln>
                      </wps:spPr>
                      <wps:txbx>
                        <w:txbxContent>
                          <w:p w:rsidR="00D842A6" w:rsidRDefault="00D842A6" w:rsidP="00CF1D1E">
                            <w:pPr>
                              <w:spacing w:line="360" w:lineRule="auto"/>
                              <w:rPr>
                                <w:sz w:val="20"/>
                                <w:szCs w:val="20"/>
                                <w:lang w:val="en"/>
                              </w:rPr>
                            </w:pPr>
                            <w:r>
                              <w:rPr>
                                <w:sz w:val="20"/>
                                <w:szCs w:val="20"/>
                                <w:lang w:val="en"/>
                              </w:rPr>
                              <w:t>Fig.108 S-Plot of Chomogonday White v Extracts 652 with analytes labelled in green.</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CDBA3" id="_x0000_s1045" type="#_x0000_t202" style="position:absolute;left:0;text-align:left;margin-left:-34pt;margin-top:277pt;width:26pt;height:364pt;z-index:2516797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" stroked="f">
                <v:textbox style="layout-flow:vertical;mso-layout-flow-alt:bottom-to-top">
                  <w:txbxContent>
                    <w:p w:rsidR="00D842A6" w:rsidRDefault="00D842A6" w:rsidP="00CF1D1E">
                      <w:pPr>
                        <w:spacing w:line="360" w:lineRule="auto"/>
                        <w:rPr>
                          <w:sz w:val="20"/>
                          <w:szCs w:val="20"/>
                          <w:lang w:val="en"/>
                        </w:rPr>
                      </w:pPr>
                      <w:r>
                        <w:rPr>
                          <w:sz w:val="20"/>
                          <w:szCs w:val="20"/>
                          <w:lang w:val="en"/>
                        </w:rPr>
                        <w:t>Fig.108 S-Plot of Chomogonday White v Extracts 652 with analytes labelled in green.</w:t>
                      </w:r>
                    </w:p>
                    <w:p w:rsidR="00D842A6" w:rsidRDefault="00D842A6" w:rsidP="00CF1D1E"/>
                  </w:txbxContent>
                </v:textbox>
                <w10:wrap type="square" anchorx="margin"/>
              </v:shape>
            </w:pict>
          </mc:Fallback>
        </mc:AlternateContent>
      </w:r>
      <w:r w:rsidRPr="00CF1D1E">
        <w:rPr>
          <w:rFonts w:ascii="Calibri" w:eastAsia="Calibri" w:hAnsi="Calibri" w:cs="Times New Roman"/>
          <w:b/>
          <w:noProof/>
          <w:sz w:val="44"/>
          <w:szCs w:val="44"/>
          <w:lang w:eastAsia="en-GB"/>
        </w:rPr>
        <w:drawing>
          <wp:inline distT="0" distB="0" distL="0" distR="0" wp14:anchorId="3C4BC393" wp14:editId="419AAA1E">
            <wp:extent cx="8399923" cy="4378643"/>
            <wp:effectExtent l="0" t="8573"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Plot (Chomogonday White = -1, Extracts 652 = 1).png"/>
                    <pic:cNvPicPr/>
                  </pic:nvPicPr>
                  <pic:blipFill>
                    <a:blip r:embed="rId177" cstate="print">
                      <a:extLst>
                        <a:ext uri="{28A0092B-C50C-407E-A947-70E740481C1C}">
                          <a14:useLocalDpi xmlns:a14="http://schemas.microsoft.com/office/drawing/2010/main" val="0"/>
                        </a:ext>
                      </a:extLst>
                    </a:blip>
                    <a:stretch>
                      <a:fillRect/>
                    </a:stretch>
                  </pic:blipFill>
                  <pic:spPr>
                    <a:xfrm rot="16200000">
                      <a:off x="0" y="0"/>
                      <a:ext cx="8423388" cy="4390875"/>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ind w:firstLine="720"/>
        <w:rPr>
          <w:rFonts w:ascii="Calibri" w:eastAsia="Calibri" w:hAnsi="Calibri" w:cs="Times New Roman"/>
          <w:sz w:val="20"/>
          <w:szCs w:val="20"/>
          <w:lang w:val="en"/>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80768" behindDoc="0" locked="0" layoutInCell="1" allowOverlap="1" wp14:anchorId="657D1C9C" wp14:editId="0BBF731A">
                <wp:simplePos x="0" y="0"/>
                <wp:positionH relativeFrom="margin">
                  <wp:posOffset>5426075</wp:posOffset>
                </wp:positionH>
                <wp:positionV relativeFrom="paragraph">
                  <wp:posOffset>2442845</wp:posOffset>
                </wp:positionV>
                <wp:extent cx="448945" cy="5621020"/>
                <wp:effectExtent l="0" t="0" r="8255" b="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945" cy="5621020"/>
                        </a:xfrm>
                        <a:prstGeom prst="rect">
                          <a:avLst/>
                        </a:prstGeom>
                        <a:solidFill>
                          <a:srgbClr val="FFFFFF"/>
                        </a:solidFill>
                        <a:ln w="9525">
                          <a:noFill/>
                          <a:miter lim="800000"/>
                          <a:headEnd/>
                          <a:tailEnd/>
                        </a:ln>
                      </wps:spPr>
                      <wps:txbx>
                        <w:txbxContent>
                          <w:p w:rsidR="00D842A6" w:rsidRDefault="00D842A6" w:rsidP="00CF1D1E">
                            <w:r>
                              <w:rPr>
                                <w:sz w:val="20"/>
                                <w:szCs w:val="20"/>
                                <w:lang w:val="en"/>
                              </w:rPr>
                              <w:t>Fig.109 S-Plot of Chomogonday White v Purple CTC with analytes labelled in green</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D1C9C" id="_x0000_s1046" type="#_x0000_t202" style="position:absolute;left:0;text-align:left;margin-left:427.25pt;margin-top:192.35pt;width:35.35pt;height:442.6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" stroked="f">
                <v:textbox style="layout-flow:vertical;mso-layout-flow-alt:bottom-to-top">
                  <w:txbxContent>
                    <w:p w:rsidR="00D842A6" w:rsidRDefault="00D842A6" w:rsidP="00CF1D1E">
                      <w:r>
                        <w:rPr>
                          <w:sz w:val="20"/>
                          <w:szCs w:val="20"/>
                          <w:lang w:val="en"/>
                        </w:rPr>
                        <w:t>Fig.109 S-Plot of Chomogonday White v Purple CTC with analytes labelled in green</w:t>
                      </w:r>
                    </w:p>
                  </w:txbxContent>
                </v:textbox>
                <w10:wrap type="square" anchorx="margin"/>
              </v:shape>
            </w:pict>
          </mc:Fallback>
        </mc:AlternateContent>
      </w:r>
      <w:r w:rsidRPr="00CF1D1E">
        <w:rPr>
          <w:rFonts w:ascii="Calibri" w:eastAsia="Calibri" w:hAnsi="Calibri" w:cs="Times New Roman"/>
          <w:noProof/>
          <w:sz w:val="20"/>
          <w:szCs w:val="20"/>
          <w:lang w:eastAsia="en-GB"/>
        </w:rPr>
        <w:drawing>
          <wp:inline distT="0" distB="0" distL="0" distR="0" wp14:anchorId="4AAF6B89" wp14:editId="46BD3E5C">
            <wp:extent cx="8311554" cy="4332579"/>
            <wp:effectExtent l="8573" t="0" r="2857" b="2858"/>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Plot (Chomogonday White = -1, Purple CTC = 1).png"/>
                    <pic:cNvPicPr/>
                  </pic:nvPicPr>
                  <pic:blipFill>
                    <a:blip r:embed="rId178" cstate="print">
                      <a:extLst>
                        <a:ext uri="{28A0092B-C50C-407E-A947-70E740481C1C}">
                          <a14:useLocalDpi xmlns:a14="http://schemas.microsoft.com/office/drawing/2010/main" val="0"/>
                        </a:ext>
                      </a:extLst>
                    </a:blip>
                    <a:stretch>
                      <a:fillRect/>
                    </a:stretch>
                  </pic:blipFill>
                  <pic:spPr>
                    <a:xfrm rot="16200000">
                      <a:off x="0" y="0"/>
                      <a:ext cx="8328989" cy="4341667"/>
                    </a:xfrm>
                    <a:prstGeom prst="rect">
                      <a:avLst/>
                    </a:prstGeom>
                  </pic:spPr>
                </pic:pic>
              </a:graphicData>
            </a:graphic>
          </wp:inline>
        </w:drawing>
      </w:r>
    </w:p>
    <w:p w:rsidR="00CF1D1E" w:rsidRPr="00CF1D1E" w:rsidRDefault="00CF1D1E" w:rsidP="00CF1D1E">
      <w:pPr>
        <w:rPr>
          <w:rFonts w:ascii="Calibri" w:eastAsia="Calibri" w:hAnsi="Calibri" w:cs="Times New Roman"/>
          <w:b/>
          <w:sz w:val="44"/>
          <w:szCs w:val="44"/>
          <w:lang w:val="en"/>
        </w:rPr>
      </w:pPr>
      <w:r w:rsidRPr="00CF1D1E">
        <w:rPr>
          <w:rFonts w:ascii="Calibri" w:eastAsia="Calibri" w:hAnsi="Calibri" w:cs="Times New Roman"/>
          <w:b/>
          <w:sz w:val="44"/>
          <w:szCs w:val="44"/>
          <w:lang w:val="en"/>
        </w:rPr>
        <w:br w:type="page"/>
      </w:r>
    </w:p>
    <w:p w:rsidR="00CF1D1E" w:rsidRPr="00CF1D1E" w:rsidRDefault="00CF1D1E" w:rsidP="00CF1D1E">
      <w:pPr>
        <w:spacing w:line="360" w:lineRule="auto"/>
        <w:ind w:firstLine="720"/>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w:lastRenderedPageBreak/>
        <mc:AlternateContent>
          <mc:Choice Requires="wps">
            <w:drawing>
              <wp:anchor distT="45720" distB="45720" distL="114300" distR="114300" simplePos="0" relativeHeight="251681792" behindDoc="0" locked="0" layoutInCell="1" allowOverlap="1" wp14:anchorId="650E3639" wp14:editId="6D430AA3">
                <wp:simplePos x="0" y="0"/>
                <wp:positionH relativeFrom="margin">
                  <wp:align>right</wp:align>
                </wp:positionH>
                <wp:positionV relativeFrom="paragraph">
                  <wp:posOffset>2473200</wp:posOffset>
                </wp:positionV>
                <wp:extent cx="434340" cy="5680710"/>
                <wp:effectExtent l="0" t="0" r="3810" b="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5680710"/>
                        </a:xfrm>
                        <a:prstGeom prst="rect">
                          <a:avLst/>
                        </a:prstGeom>
                        <a:solidFill>
                          <a:srgbClr val="FFFFFF"/>
                        </a:solidFill>
                        <a:ln w="9525">
                          <a:noFill/>
                          <a:miter lim="800000"/>
                          <a:headEnd/>
                          <a:tailEnd/>
                        </a:ln>
                      </wps:spPr>
                      <wps:txbx>
                        <w:txbxContent>
                          <w:p w:rsidR="00D842A6" w:rsidRDefault="00D842A6" w:rsidP="00CF1D1E">
                            <w:r>
                              <w:rPr>
                                <w:sz w:val="20"/>
                                <w:szCs w:val="20"/>
                                <w:lang w:val="en"/>
                              </w:rPr>
                              <w:t>Fig.110 S-Plot of Tiluet HP v Tiluet MTH with analytes labelled in green</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E3639" id="_x0000_s1047" type="#_x0000_t202" style="position:absolute;left:0;text-align:left;margin-left:-17pt;margin-top:194.75pt;width:34.2pt;height:447.3pt;z-index:251681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" stroked="f">
                <v:textbox style="layout-flow:vertical;mso-layout-flow-alt:bottom-to-top">
                  <w:txbxContent>
                    <w:p w:rsidR="00D842A6" w:rsidRDefault="00D842A6" w:rsidP="00CF1D1E">
                      <w:r>
                        <w:rPr>
                          <w:sz w:val="20"/>
                          <w:szCs w:val="20"/>
                          <w:lang w:val="en"/>
                        </w:rPr>
                        <w:t>Fig.110 S-Plot of Tiluet HP v Tiluet MTH with analytes labelled in green</w:t>
                      </w:r>
                    </w:p>
                  </w:txbxContent>
                </v:textbox>
                <w10:wrap type="square" anchorx="margin"/>
              </v:shape>
            </w:pict>
          </mc:Fallback>
        </mc:AlternateContent>
      </w:r>
      <w:r w:rsidRPr="00CF1D1E">
        <w:rPr>
          <w:rFonts w:ascii="Calibri" w:eastAsia="Calibri" w:hAnsi="Calibri" w:cs="Times New Roman"/>
          <w:b/>
          <w:noProof/>
          <w:sz w:val="44"/>
          <w:szCs w:val="44"/>
          <w:lang w:eastAsia="en-GB"/>
        </w:rPr>
        <w:drawing>
          <wp:inline distT="0" distB="0" distL="0" distR="0" wp14:anchorId="3FFBF890" wp14:editId="407B9523">
            <wp:extent cx="8363378" cy="4359594"/>
            <wp:effectExtent l="1587" t="0" r="1588" b="1587"/>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Plot (Tiluet HP = -1, Tiluet MTH = 1).png"/>
                    <pic:cNvPicPr/>
                  </pic:nvPicPr>
                  <pic:blipFill>
                    <a:blip r:embed="rId179" cstate="print">
                      <a:extLst>
                        <a:ext uri="{28A0092B-C50C-407E-A947-70E740481C1C}">
                          <a14:useLocalDpi xmlns:a14="http://schemas.microsoft.com/office/drawing/2010/main" val="0"/>
                        </a:ext>
                      </a:extLst>
                    </a:blip>
                    <a:stretch>
                      <a:fillRect/>
                    </a:stretch>
                  </pic:blipFill>
                  <pic:spPr>
                    <a:xfrm rot="16200000">
                      <a:off x="0" y="0"/>
                      <a:ext cx="8380179" cy="4368352"/>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ind w:firstLine="720"/>
        <w:rPr>
          <w:rFonts w:ascii="Calibri" w:eastAsia="Calibri" w:hAnsi="Calibri" w:cs="Times New Roman"/>
          <w:sz w:val="20"/>
          <w:szCs w:val="20"/>
          <w:lang w:val="en"/>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82816" behindDoc="0" locked="0" layoutInCell="1" allowOverlap="1" wp14:anchorId="60153DF9" wp14:editId="29F766A1">
                <wp:simplePos x="0" y="0"/>
                <wp:positionH relativeFrom="column">
                  <wp:posOffset>5378562</wp:posOffset>
                </wp:positionH>
                <wp:positionV relativeFrom="paragraph">
                  <wp:posOffset>2675666</wp:posOffset>
                </wp:positionV>
                <wp:extent cx="461645" cy="5405120"/>
                <wp:effectExtent l="0" t="0" r="0" b="508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645" cy="5405120"/>
                        </a:xfrm>
                        <a:prstGeom prst="rect">
                          <a:avLst/>
                        </a:prstGeom>
                        <a:solidFill>
                          <a:srgbClr val="FFFFFF"/>
                        </a:solidFill>
                        <a:ln w="9525">
                          <a:noFill/>
                          <a:miter lim="800000"/>
                          <a:headEnd/>
                          <a:tailEnd/>
                        </a:ln>
                      </wps:spPr>
                      <wps:txbx>
                        <w:txbxContent>
                          <w:p w:rsidR="00D842A6" w:rsidRDefault="00D842A6" w:rsidP="00CF1D1E">
                            <w:pPr>
                              <w:spacing w:line="360" w:lineRule="auto"/>
                              <w:rPr>
                                <w:sz w:val="20"/>
                                <w:szCs w:val="20"/>
                                <w:lang w:val="en"/>
                              </w:rPr>
                            </w:pPr>
                            <w:r>
                              <w:rPr>
                                <w:sz w:val="20"/>
                                <w:szCs w:val="20"/>
                                <w:lang w:val="en"/>
                              </w:rPr>
                              <w:t>Fig.111 S-Plot Extracts 652 v Tiluet MTH with analytes labelled in green.</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53DF9" id="_x0000_s1048" type="#_x0000_t202" style="position:absolute;left:0;text-align:left;margin-left:423.5pt;margin-top:210.7pt;width:36.35pt;height:425.6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" stroked="f">
                <v:textbox style="layout-flow:vertical;mso-layout-flow-alt:bottom-to-top">
                  <w:txbxContent>
                    <w:p w:rsidR="00D842A6" w:rsidRDefault="00D842A6" w:rsidP="00CF1D1E">
                      <w:pPr>
                        <w:spacing w:line="360" w:lineRule="auto"/>
                        <w:rPr>
                          <w:sz w:val="20"/>
                          <w:szCs w:val="20"/>
                          <w:lang w:val="en"/>
                        </w:rPr>
                      </w:pPr>
                      <w:r>
                        <w:rPr>
                          <w:sz w:val="20"/>
                          <w:szCs w:val="20"/>
                          <w:lang w:val="en"/>
                        </w:rPr>
                        <w:t>Fig.111 S-Plot Extracts 652 v Tiluet MTH with analytes labelled in green.</w:t>
                      </w:r>
                    </w:p>
                    <w:p w:rsidR="00D842A6" w:rsidRDefault="00D842A6" w:rsidP="00CF1D1E"/>
                  </w:txbxContent>
                </v:textbox>
                <w10:wrap type="square"/>
              </v:shape>
            </w:pict>
          </mc:Fallback>
        </mc:AlternateContent>
      </w:r>
      <w:r w:rsidRPr="00CF1D1E">
        <w:rPr>
          <w:rFonts w:ascii="Calibri" w:eastAsia="Calibri" w:hAnsi="Calibri" w:cs="Times New Roman"/>
          <w:noProof/>
          <w:sz w:val="20"/>
          <w:szCs w:val="20"/>
          <w:lang w:eastAsia="en-GB"/>
        </w:rPr>
        <w:drawing>
          <wp:inline distT="0" distB="0" distL="0" distR="0" wp14:anchorId="1328FAEB" wp14:editId="262EC757">
            <wp:extent cx="8254318" cy="4302744"/>
            <wp:effectExtent l="0" t="5398" r="8573" b="8572"/>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Plot (Extracts 652 = -1, Tiluet MTH = 1).png"/>
                    <pic:cNvPicPr/>
                  </pic:nvPicPr>
                  <pic:blipFill>
                    <a:blip r:embed="rId180" cstate="print">
                      <a:extLst>
                        <a:ext uri="{28A0092B-C50C-407E-A947-70E740481C1C}">
                          <a14:useLocalDpi xmlns:a14="http://schemas.microsoft.com/office/drawing/2010/main" val="0"/>
                        </a:ext>
                      </a:extLst>
                    </a:blip>
                    <a:stretch>
                      <a:fillRect/>
                    </a:stretch>
                  </pic:blipFill>
                  <pic:spPr>
                    <a:xfrm rot="16200000">
                      <a:off x="0" y="0"/>
                      <a:ext cx="8269404" cy="4310608"/>
                    </a:xfrm>
                    <a:prstGeom prst="rect">
                      <a:avLst/>
                    </a:prstGeom>
                  </pic:spPr>
                </pic:pic>
              </a:graphicData>
            </a:graphic>
          </wp:inline>
        </w:drawing>
      </w:r>
    </w:p>
    <w:p w:rsidR="00CF1D1E" w:rsidRPr="00CF1D1E" w:rsidRDefault="00CF1D1E" w:rsidP="00CF1D1E">
      <w:pPr>
        <w:rPr>
          <w:rFonts w:ascii="Calibri" w:eastAsia="Calibri" w:hAnsi="Calibri" w:cs="Times New Roman"/>
          <w:b/>
          <w:sz w:val="44"/>
          <w:szCs w:val="44"/>
          <w:lang w:val="en"/>
        </w:rPr>
      </w:pPr>
      <w:r w:rsidRPr="00CF1D1E">
        <w:rPr>
          <w:rFonts w:ascii="Calibri" w:eastAsia="Calibri" w:hAnsi="Calibri" w:cs="Times New Roman"/>
          <w:b/>
          <w:sz w:val="44"/>
          <w:szCs w:val="44"/>
          <w:lang w:val="en"/>
        </w:rPr>
        <w:br w:type="page"/>
      </w:r>
    </w:p>
    <w:p w:rsidR="00CF1D1E" w:rsidRPr="00CF1D1E" w:rsidRDefault="00CF1D1E" w:rsidP="00CF1D1E">
      <w:pPr>
        <w:rPr>
          <w:rFonts w:ascii="Calibri" w:eastAsia="Calibri" w:hAnsi="Calibri" w:cs="Times New Roman"/>
        </w:rPr>
      </w:pPr>
    </w:p>
    <w:tbl>
      <w:tblPr>
        <w:tblStyle w:val="TableGrid"/>
        <w:tblpPr w:leftFromText="180" w:rightFromText="180" w:vertAnchor="page" w:horzAnchor="margin" w:tblpY="3441"/>
        <w:tblW w:w="0" w:type="auto"/>
        <w:tblLook w:val="04A0" w:firstRow="1" w:lastRow="0" w:firstColumn="1" w:lastColumn="0" w:noHBand="0" w:noVBand="1"/>
      </w:tblPr>
      <w:tblGrid>
        <w:gridCol w:w="2419"/>
        <w:gridCol w:w="727"/>
        <w:gridCol w:w="735"/>
        <w:gridCol w:w="735"/>
        <w:gridCol w:w="735"/>
        <w:gridCol w:w="735"/>
        <w:gridCol w:w="735"/>
        <w:gridCol w:w="735"/>
        <w:gridCol w:w="735"/>
        <w:gridCol w:w="735"/>
      </w:tblGrid>
      <w:tr w:rsidR="00CF1D1E" w:rsidRPr="00CF1D1E" w:rsidTr="00CF1D1E">
        <w:trPr>
          <w:cantSplit/>
          <w:trHeight w:val="1418"/>
        </w:trPr>
        <w:tc>
          <w:tcPr>
            <w:tcW w:w="2419" w:type="dxa"/>
            <w:tcBorders>
              <w:top w:val="nil"/>
              <w:left w:val="nil"/>
              <w:bottom w:val="double" w:sz="4" w:space="0" w:color="auto"/>
              <w:right w:val="double" w:sz="4" w:space="0" w:color="auto"/>
            </w:tcBorders>
          </w:tcPr>
          <w:p w:rsidR="00CF1D1E" w:rsidRPr="00CF1D1E" w:rsidRDefault="00CF1D1E" w:rsidP="00CF1D1E">
            <w:pPr>
              <w:rPr>
                <w:rFonts w:ascii="Calibri" w:eastAsia="Calibri" w:hAnsi="Calibri" w:cs="Times New Roman"/>
                <w:sz w:val="20"/>
                <w:szCs w:val="20"/>
              </w:rPr>
            </w:pPr>
          </w:p>
        </w:tc>
        <w:tc>
          <w:tcPr>
            <w:tcW w:w="727" w:type="dxa"/>
            <w:tcBorders>
              <w:top w:val="nil"/>
              <w:left w:val="double" w:sz="4" w:space="0" w:color="auto"/>
              <w:bottom w:val="double" w:sz="4" w:space="0" w:color="auto"/>
            </w:tcBorders>
            <w:shd w:val="clear" w:color="auto" w:fill="C5E0B3"/>
            <w:textDirection w:val="btLr"/>
            <w:vAlign w:val="center"/>
          </w:tcPr>
          <w:p w:rsidR="00CF1D1E" w:rsidRPr="00CF1D1E" w:rsidRDefault="00CF1D1E" w:rsidP="00CF1D1E">
            <w:pPr>
              <w:ind w:left="113" w:right="113"/>
              <w:rPr>
                <w:rFonts w:ascii="Calibri" w:eastAsia="Calibri" w:hAnsi="Calibri" w:cs="Times New Roman"/>
                <w:i/>
                <w:sz w:val="20"/>
                <w:szCs w:val="20"/>
              </w:rPr>
            </w:pPr>
            <w:r w:rsidRPr="00CF1D1E">
              <w:rPr>
                <w:rFonts w:ascii="Calibri" w:eastAsia="Calibri" w:hAnsi="Calibri" w:cs="Times New Roman"/>
                <w:i/>
                <w:sz w:val="20"/>
                <w:szCs w:val="20"/>
              </w:rPr>
              <w:t>Chomogonday White</w:t>
            </w:r>
          </w:p>
        </w:tc>
        <w:tc>
          <w:tcPr>
            <w:tcW w:w="735" w:type="dxa"/>
            <w:tcBorders>
              <w:top w:val="nil"/>
              <w:bottom w:val="double" w:sz="4" w:space="0" w:color="auto"/>
            </w:tcBorders>
            <w:shd w:val="clear" w:color="auto" w:fill="C5E0B3"/>
            <w:textDirection w:val="btLr"/>
            <w:vAlign w:val="center"/>
          </w:tcPr>
          <w:p w:rsidR="00CF1D1E" w:rsidRPr="00CF1D1E" w:rsidRDefault="00CF1D1E" w:rsidP="00CF1D1E">
            <w:pPr>
              <w:ind w:left="113" w:right="113"/>
              <w:rPr>
                <w:rFonts w:ascii="Calibri" w:eastAsia="Calibri" w:hAnsi="Calibri" w:cs="Times New Roman"/>
                <w:i/>
                <w:sz w:val="20"/>
                <w:szCs w:val="20"/>
              </w:rPr>
            </w:pPr>
            <w:r w:rsidRPr="00CF1D1E">
              <w:rPr>
                <w:rFonts w:ascii="Calibri" w:eastAsia="Calibri" w:hAnsi="Calibri" w:cs="Times New Roman"/>
                <w:i/>
                <w:sz w:val="20"/>
                <w:szCs w:val="20"/>
              </w:rPr>
              <w:t>Waldemar Oolong</w:t>
            </w:r>
          </w:p>
        </w:tc>
        <w:tc>
          <w:tcPr>
            <w:tcW w:w="735" w:type="dxa"/>
            <w:tcBorders>
              <w:top w:val="nil"/>
              <w:bottom w:val="double" w:sz="4" w:space="0" w:color="auto"/>
            </w:tcBorders>
            <w:shd w:val="clear" w:color="auto" w:fill="C5E0B3"/>
            <w:textDirection w:val="btLr"/>
            <w:vAlign w:val="center"/>
          </w:tcPr>
          <w:p w:rsidR="00CF1D1E" w:rsidRPr="00CF1D1E" w:rsidRDefault="00CF1D1E" w:rsidP="00CF1D1E">
            <w:pPr>
              <w:ind w:left="113" w:right="113"/>
              <w:rPr>
                <w:rFonts w:ascii="Calibri" w:eastAsia="Calibri" w:hAnsi="Calibri" w:cs="Times New Roman"/>
                <w:i/>
                <w:sz w:val="20"/>
                <w:szCs w:val="20"/>
              </w:rPr>
            </w:pPr>
            <w:r w:rsidRPr="00CF1D1E">
              <w:rPr>
                <w:rFonts w:ascii="Calibri" w:eastAsia="Calibri" w:hAnsi="Calibri" w:cs="Times New Roman"/>
                <w:i/>
                <w:sz w:val="20"/>
                <w:szCs w:val="20"/>
              </w:rPr>
              <w:t>Newburgh Hyson</w:t>
            </w:r>
          </w:p>
        </w:tc>
        <w:tc>
          <w:tcPr>
            <w:tcW w:w="735" w:type="dxa"/>
            <w:tcBorders>
              <w:top w:val="nil"/>
              <w:bottom w:val="double" w:sz="4" w:space="0" w:color="auto"/>
            </w:tcBorders>
            <w:shd w:val="clear" w:color="auto" w:fill="C5E0B3"/>
            <w:textDirection w:val="btLr"/>
            <w:vAlign w:val="center"/>
          </w:tcPr>
          <w:p w:rsidR="00CF1D1E" w:rsidRPr="00CF1D1E" w:rsidRDefault="00CF1D1E" w:rsidP="00CF1D1E">
            <w:pPr>
              <w:ind w:left="113" w:right="113"/>
              <w:rPr>
                <w:rFonts w:ascii="Calibri" w:eastAsia="Calibri" w:hAnsi="Calibri" w:cs="Times New Roman"/>
                <w:i/>
                <w:sz w:val="20"/>
                <w:szCs w:val="20"/>
              </w:rPr>
            </w:pPr>
            <w:r w:rsidRPr="00CF1D1E">
              <w:rPr>
                <w:rFonts w:ascii="Calibri" w:eastAsia="Calibri" w:hAnsi="Calibri" w:cs="Times New Roman"/>
                <w:i/>
                <w:sz w:val="20"/>
                <w:szCs w:val="20"/>
              </w:rPr>
              <w:t>Extracts 652</w:t>
            </w:r>
          </w:p>
        </w:tc>
        <w:tc>
          <w:tcPr>
            <w:tcW w:w="735" w:type="dxa"/>
            <w:tcBorders>
              <w:top w:val="nil"/>
              <w:bottom w:val="double" w:sz="4" w:space="0" w:color="auto"/>
            </w:tcBorders>
            <w:shd w:val="clear" w:color="auto" w:fill="C5E0B3"/>
            <w:textDirection w:val="btLr"/>
            <w:vAlign w:val="center"/>
          </w:tcPr>
          <w:p w:rsidR="00CF1D1E" w:rsidRPr="00CF1D1E" w:rsidRDefault="00CF1D1E" w:rsidP="00CF1D1E">
            <w:pPr>
              <w:ind w:left="113" w:right="113"/>
              <w:rPr>
                <w:rFonts w:ascii="Calibri" w:eastAsia="Calibri" w:hAnsi="Calibri" w:cs="Times New Roman"/>
                <w:i/>
                <w:sz w:val="20"/>
                <w:szCs w:val="20"/>
              </w:rPr>
            </w:pPr>
            <w:r w:rsidRPr="00CF1D1E">
              <w:rPr>
                <w:rFonts w:ascii="Calibri" w:eastAsia="Calibri" w:hAnsi="Calibri" w:cs="Times New Roman"/>
                <w:i/>
                <w:sz w:val="20"/>
                <w:szCs w:val="20"/>
              </w:rPr>
              <w:t>Tiluet HP</w:t>
            </w:r>
          </w:p>
        </w:tc>
        <w:tc>
          <w:tcPr>
            <w:tcW w:w="735" w:type="dxa"/>
            <w:tcBorders>
              <w:top w:val="nil"/>
              <w:bottom w:val="double" w:sz="4" w:space="0" w:color="auto"/>
            </w:tcBorders>
            <w:shd w:val="clear" w:color="auto" w:fill="C5E0B3"/>
            <w:textDirection w:val="btLr"/>
            <w:vAlign w:val="center"/>
          </w:tcPr>
          <w:p w:rsidR="00CF1D1E" w:rsidRPr="00CF1D1E" w:rsidRDefault="00CF1D1E" w:rsidP="00CF1D1E">
            <w:pPr>
              <w:ind w:left="113" w:right="113"/>
              <w:rPr>
                <w:rFonts w:ascii="Calibri" w:eastAsia="Calibri" w:hAnsi="Calibri" w:cs="Times New Roman"/>
                <w:i/>
                <w:sz w:val="20"/>
                <w:szCs w:val="20"/>
              </w:rPr>
            </w:pPr>
            <w:r w:rsidRPr="00CF1D1E">
              <w:rPr>
                <w:rFonts w:ascii="Calibri" w:eastAsia="Calibri" w:hAnsi="Calibri" w:cs="Times New Roman"/>
                <w:i/>
                <w:sz w:val="20"/>
                <w:szCs w:val="20"/>
              </w:rPr>
              <w:t>Milima GFBOP1</w:t>
            </w:r>
          </w:p>
        </w:tc>
        <w:tc>
          <w:tcPr>
            <w:tcW w:w="735" w:type="dxa"/>
            <w:tcBorders>
              <w:top w:val="nil"/>
              <w:bottom w:val="double" w:sz="4" w:space="0" w:color="auto"/>
            </w:tcBorders>
            <w:shd w:val="clear" w:color="auto" w:fill="C5E0B3"/>
            <w:textDirection w:val="btLr"/>
            <w:vAlign w:val="center"/>
          </w:tcPr>
          <w:p w:rsidR="00CF1D1E" w:rsidRPr="00CF1D1E" w:rsidRDefault="00CF1D1E" w:rsidP="00CF1D1E">
            <w:pPr>
              <w:ind w:left="113" w:right="113"/>
              <w:rPr>
                <w:rFonts w:ascii="Calibri" w:eastAsia="Calibri" w:hAnsi="Calibri" w:cs="Times New Roman"/>
                <w:i/>
                <w:sz w:val="20"/>
                <w:szCs w:val="20"/>
              </w:rPr>
            </w:pPr>
            <w:r w:rsidRPr="00CF1D1E">
              <w:rPr>
                <w:rFonts w:ascii="Calibri" w:eastAsia="Calibri" w:hAnsi="Calibri" w:cs="Times New Roman"/>
                <w:i/>
                <w:sz w:val="20"/>
                <w:szCs w:val="20"/>
              </w:rPr>
              <w:t>Purple CTC</w:t>
            </w:r>
          </w:p>
        </w:tc>
        <w:tc>
          <w:tcPr>
            <w:tcW w:w="735" w:type="dxa"/>
            <w:tcBorders>
              <w:top w:val="nil"/>
              <w:bottom w:val="double" w:sz="4" w:space="0" w:color="auto"/>
            </w:tcBorders>
            <w:shd w:val="clear" w:color="auto" w:fill="C5E0B3"/>
            <w:textDirection w:val="btLr"/>
            <w:vAlign w:val="center"/>
          </w:tcPr>
          <w:p w:rsidR="00CF1D1E" w:rsidRPr="00CF1D1E" w:rsidRDefault="00CF1D1E" w:rsidP="00CF1D1E">
            <w:pPr>
              <w:ind w:left="113" w:right="113"/>
              <w:rPr>
                <w:rFonts w:ascii="Calibri" w:eastAsia="Calibri" w:hAnsi="Calibri" w:cs="Times New Roman"/>
                <w:i/>
                <w:sz w:val="20"/>
                <w:szCs w:val="20"/>
              </w:rPr>
            </w:pPr>
            <w:r w:rsidRPr="00CF1D1E">
              <w:rPr>
                <w:rFonts w:ascii="Calibri" w:eastAsia="Calibri" w:hAnsi="Calibri" w:cs="Times New Roman"/>
                <w:i/>
                <w:sz w:val="20"/>
                <w:szCs w:val="20"/>
              </w:rPr>
              <w:t>Tiluet MTH</w:t>
            </w:r>
          </w:p>
        </w:tc>
        <w:tc>
          <w:tcPr>
            <w:tcW w:w="735" w:type="dxa"/>
            <w:tcBorders>
              <w:top w:val="nil"/>
              <w:bottom w:val="double" w:sz="4" w:space="0" w:color="auto"/>
              <w:right w:val="nil"/>
            </w:tcBorders>
            <w:shd w:val="clear" w:color="auto" w:fill="C5E0B3"/>
            <w:textDirection w:val="btLr"/>
            <w:vAlign w:val="center"/>
          </w:tcPr>
          <w:p w:rsidR="00CF1D1E" w:rsidRPr="00CF1D1E" w:rsidRDefault="00CF1D1E" w:rsidP="00CF1D1E">
            <w:pPr>
              <w:ind w:left="113" w:right="113"/>
              <w:rPr>
                <w:rFonts w:ascii="Calibri" w:eastAsia="Calibri" w:hAnsi="Calibri" w:cs="Times New Roman"/>
                <w:i/>
                <w:sz w:val="20"/>
                <w:szCs w:val="20"/>
              </w:rPr>
            </w:pPr>
            <w:r w:rsidRPr="00CF1D1E">
              <w:rPr>
                <w:rFonts w:ascii="Calibri" w:eastAsia="Calibri" w:hAnsi="Calibri" w:cs="Times New Roman"/>
                <w:i/>
                <w:sz w:val="20"/>
                <w:szCs w:val="20"/>
              </w:rPr>
              <w:t>Kijani DM</w:t>
            </w:r>
          </w:p>
        </w:tc>
      </w:tr>
      <w:tr w:rsidR="00CF1D1E" w:rsidRPr="00CF1D1E" w:rsidTr="00CF1D1E">
        <w:trPr>
          <w:trHeight w:val="567"/>
        </w:trPr>
        <w:tc>
          <w:tcPr>
            <w:tcW w:w="2419" w:type="dxa"/>
            <w:tcBorders>
              <w:top w:val="double" w:sz="4" w:space="0" w:color="auto"/>
              <w:left w:val="nil"/>
              <w:right w:val="double" w:sz="4" w:space="0" w:color="auto"/>
            </w:tcBorders>
            <w:shd w:val="clear" w:color="auto" w:fill="BDD6EE"/>
            <w:vAlign w:val="center"/>
          </w:tcPr>
          <w:p w:rsidR="00CF1D1E" w:rsidRPr="00CF1D1E" w:rsidRDefault="00CF1D1E" w:rsidP="00CF1D1E">
            <w:pPr>
              <w:rPr>
                <w:rFonts w:ascii="Calibri" w:eastAsia="Calibri" w:hAnsi="Calibri" w:cs="Times New Roman"/>
                <w:sz w:val="28"/>
                <w:szCs w:val="28"/>
              </w:rPr>
            </w:pPr>
            <w:r w:rsidRPr="00CF1D1E">
              <w:rPr>
                <w:rFonts w:ascii="Calibri" w:eastAsia="Calibri" w:hAnsi="Calibri" w:cs="Times New Roman"/>
                <w:sz w:val="28"/>
                <w:szCs w:val="28"/>
              </w:rPr>
              <w:t>Chomogonday White</w:t>
            </w:r>
          </w:p>
        </w:tc>
        <w:tc>
          <w:tcPr>
            <w:tcW w:w="727" w:type="dxa"/>
            <w:tcBorders>
              <w:top w:val="double" w:sz="4" w:space="0" w:color="auto"/>
              <w:left w:val="double" w:sz="4" w:space="0" w:color="auto"/>
            </w:tcBorders>
            <w:shd w:val="clear" w:color="auto" w:fill="AEAAAA"/>
            <w:vAlign w:val="center"/>
          </w:tcPr>
          <w:p w:rsidR="00CF1D1E" w:rsidRPr="00CF1D1E" w:rsidRDefault="00CF1D1E" w:rsidP="00CF1D1E">
            <w:pPr>
              <w:rPr>
                <w:rFonts w:ascii="Calibri" w:eastAsia="Calibri" w:hAnsi="Calibri" w:cs="Times New Roman"/>
                <w:sz w:val="16"/>
                <w:szCs w:val="16"/>
              </w:rPr>
            </w:pPr>
          </w:p>
        </w:tc>
        <w:tc>
          <w:tcPr>
            <w:tcW w:w="735" w:type="dxa"/>
            <w:tcBorders>
              <w:top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tcBorders>
              <w:top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tcBorders>
              <w:top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tcBorders>
              <w:top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tcBorders>
              <w:top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tcBorders>
              <w:top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tcBorders>
              <w:top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tcBorders>
              <w:top w:val="double" w:sz="4" w:space="0" w:color="auto"/>
              <w:right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r>
      <w:tr w:rsidR="00CF1D1E" w:rsidRPr="00CF1D1E" w:rsidTr="00CF1D1E">
        <w:trPr>
          <w:trHeight w:val="567"/>
        </w:trPr>
        <w:tc>
          <w:tcPr>
            <w:tcW w:w="2419" w:type="dxa"/>
            <w:tcBorders>
              <w:left w:val="nil"/>
              <w:right w:val="double" w:sz="4" w:space="0" w:color="auto"/>
            </w:tcBorders>
            <w:shd w:val="clear" w:color="auto" w:fill="BDD6EE"/>
            <w:vAlign w:val="center"/>
          </w:tcPr>
          <w:p w:rsidR="00CF1D1E" w:rsidRPr="00CF1D1E" w:rsidRDefault="00CF1D1E" w:rsidP="00CF1D1E">
            <w:pPr>
              <w:rPr>
                <w:rFonts w:ascii="Calibri" w:eastAsia="Calibri" w:hAnsi="Calibri" w:cs="Times New Roman"/>
                <w:sz w:val="28"/>
                <w:szCs w:val="28"/>
              </w:rPr>
            </w:pPr>
            <w:r w:rsidRPr="00CF1D1E">
              <w:rPr>
                <w:rFonts w:ascii="Calibri" w:eastAsia="Calibri" w:hAnsi="Calibri" w:cs="Times New Roman"/>
                <w:sz w:val="28"/>
                <w:szCs w:val="28"/>
              </w:rPr>
              <w:t>Waldemar Oolong</w:t>
            </w:r>
          </w:p>
        </w:tc>
        <w:tc>
          <w:tcPr>
            <w:tcW w:w="727" w:type="dxa"/>
            <w:tcBorders>
              <w:left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tc>
        <w:tc>
          <w:tcPr>
            <w:tcW w:w="735" w:type="dxa"/>
            <w:shd w:val="clear" w:color="auto" w:fill="AEAAAA"/>
            <w:vAlign w:val="center"/>
          </w:tcPr>
          <w:p w:rsidR="00CF1D1E" w:rsidRPr="00CF1D1E" w:rsidRDefault="00CF1D1E" w:rsidP="00CF1D1E">
            <w:pPr>
              <w:rPr>
                <w:rFonts w:ascii="Calibri" w:eastAsia="Calibri" w:hAnsi="Calibri" w:cs="Times New Roman"/>
                <w:sz w:val="16"/>
                <w:szCs w:val="16"/>
              </w:rPr>
            </w:pP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tcBorders>
              <w:right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r>
      <w:tr w:rsidR="00CF1D1E" w:rsidRPr="00CF1D1E" w:rsidTr="00CF1D1E">
        <w:trPr>
          <w:trHeight w:val="567"/>
        </w:trPr>
        <w:tc>
          <w:tcPr>
            <w:tcW w:w="2419" w:type="dxa"/>
            <w:tcBorders>
              <w:left w:val="nil"/>
              <w:right w:val="double" w:sz="4" w:space="0" w:color="auto"/>
            </w:tcBorders>
            <w:shd w:val="clear" w:color="auto" w:fill="BDD6EE"/>
            <w:vAlign w:val="center"/>
          </w:tcPr>
          <w:p w:rsidR="00CF1D1E" w:rsidRPr="00CF1D1E" w:rsidRDefault="00CF1D1E" w:rsidP="00CF1D1E">
            <w:pPr>
              <w:rPr>
                <w:rFonts w:ascii="Calibri" w:eastAsia="Calibri" w:hAnsi="Calibri" w:cs="Times New Roman"/>
                <w:sz w:val="28"/>
                <w:szCs w:val="28"/>
              </w:rPr>
            </w:pPr>
            <w:r w:rsidRPr="00CF1D1E">
              <w:rPr>
                <w:rFonts w:ascii="Calibri" w:eastAsia="Calibri" w:hAnsi="Calibri" w:cs="Times New Roman"/>
                <w:sz w:val="28"/>
                <w:szCs w:val="28"/>
              </w:rPr>
              <w:t>Newburgh Hyson</w:t>
            </w:r>
          </w:p>
        </w:tc>
        <w:tc>
          <w:tcPr>
            <w:tcW w:w="727" w:type="dxa"/>
            <w:tcBorders>
              <w:left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shd w:val="clear" w:color="auto" w:fill="AEAAAA"/>
            <w:vAlign w:val="center"/>
          </w:tcPr>
          <w:p w:rsidR="00CF1D1E" w:rsidRPr="00CF1D1E" w:rsidRDefault="00CF1D1E" w:rsidP="00CF1D1E">
            <w:pPr>
              <w:rPr>
                <w:rFonts w:ascii="Calibri" w:eastAsia="Calibri" w:hAnsi="Calibri" w:cs="Times New Roman"/>
                <w:sz w:val="16"/>
                <w:szCs w:val="16"/>
              </w:rPr>
            </w:pP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tcBorders>
              <w:right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tc>
      </w:tr>
      <w:tr w:rsidR="00CF1D1E" w:rsidRPr="00CF1D1E" w:rsidTr="00CF1D1E">
        <w:trPr>
          <w:trHeight w:val="567"/>
        </w:trPr>
        <w:tc>
          <w:tcPr>
            <w:tcW w:w="2419" w:type="dxa"/>
            <w:tcBorders>
              <w:left w:val="nil"/>
              <w:right w:val="double" w:sz="4" w:space="0" w:color="auto"/>
            </w:tcBorders>
            <w:shd w:val="clear" w:color="auto" w:fill="BDD6EE"/>
            <w:vAlign w:val="center"/>
          </w:tcPr>
          <w:p w:rsidR="00CF1D1E" w:rsidRPr="00CF1D1E" w:rsidRDefault="00CF1D1E" w:rsidP="00CF1D1E">
            <w:pPr>
              <w:rPr>
                <w:rFonts w:ascii="Calibri" w:eastAsia="Calibri" w:hAnsi="Calibri" w:cs="Times New Roman"/>
                <w:sz w:val="28"/>
                <w:szCs w:val="28"/>
              </w:rPr>
            </w:pPr>
            <w:r w:rsidRPr="00CF1D1E">
              <w:rPr>
                <w:rFonts w:ascii="Calibri" w:eastAsia="Calibri" w:hAnsi="Calibri" w:cs="Times New Roman"/>
                <w:sz w:val="28"/>
                <w:szCs w:val="28"/>
              </w:rPr>
              <w:t>Extracts 652</w:t>
            </w:r>
          </w:p>
        </w:tc>
        <w:tc>
          <w:tcPr>
            <w:tcW w:w="727" w:type="dxa"/>
            <w:tcBorders>
              <w:left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Procy B2</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AEAAAA"/>
            <w:vAlign w:val="center"/>
          </w:tcPr>
          <w:p w:rsidR="00CF1D1E" w:rsidRPr="00CF1D1E" w:rsidRDefault="00CF1D1E" w:rsidP="00CF1D1E">
            <w:pPr>
              <w:rPr>
                <w:rFonts w:ascii="Calibri" w:eastAsia="Calibri" w:hAnsi="Calibri" w:cs="Times New Roman"/>
                <w:sz w:val="16"/>
                <w:szCs w:val="16"/>
              </w:rPr>
            </w:pP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tc>
        <w:tc>
          <w:tcPr>
            <w:tcW w:w="735" w:type="dxa"/>
            <w:tcBorders>
              <w:right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r>
      <w:tr w:rsidR="00CF1D1E" w:rsidRPr="00CF1D1E" w:rsidTr="00CF1D1E">
        <w:trPr>
          <w:trHeight w:val="567"/>
        </w:trPr>
        <w:tc>
          <w:tcPr>
            <w:tcW w:w="2419" w:type="dxa"/>
            <w:tcBorders>
              <w:left w:val="nil"/>
              <w:right w:val="double" w:sz="4" w:space="0" w:color="auto"/>
            </w:tcBorders>
            <w:shd w:val="clear" w:color="auto" w:fill="BDD6EE"/>
            <w:vAlign w:val="center"/>
          </w:tcPr>
          <w:p w:rsidR="00CF1D1E" w:rsidRPr="00CF1D1E" w:rsidRDefault="00CF1D1E" w:rsidP="00CF1D1E">
            <w:pPr>
              <w:rPr>
                <w:rFonts w:ascii="Calibri" w:eastAsia="Calibri" w:hAnsi="Calibri" w:cs="Times New Roman"/>
                <w:sz w:val="28"/>
                <w:szCs w:val="28"/>
              </w:rPr>
            </w:pPr>
            <w:r w:rsidRPr="00CF1D1E">
              <w:rPr>
                <w:rFonts w:ascii="Calibri" w:eastAsia="Calibri" w:hAnsi="Calibri" w:cs="Times New Roman"/>
                <w:sz w:val="28"/>
                <w:szCs w:val="28"/>
              </w:rPr>
              <w:t>Tiluet HP</w:t>
            </w:r>
          </w:p>
        </w:tc>
        <w:tc>
          <w:tcPr>
            <w:tcW w:w="727" w:type="dxa"/>
            <w:tcBorders>
              <w:left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N/A</w:t>
            </w:r>
          </w:p>
        </w:tc>
        <w:tc>
          <w:tcPr>
            <w:tcW w:w="735" w:type="dxa"/>
            <w:shd w:val="clear" w:color="auto" w:fill="AEAAAA"/>
            <w:vAlign w:val="center"/>
          </w:tcPr>
          <w:p w:rsidR="00CF1D1E" w:rsidRPr="00CF1D1E" w:rsidRDefault="00CF1D1E" w:rsidP="00CF1D1E">
            <w:pPr>
              <w:rPr>
                <w:rFonts w:ascii="Calibri" w:eastAsia="Calibri" w:hAnsi="Calibri" w:cs="Times New Roman"/>
                <w:sz w:val="16"/>
                <w:szCs w:val="16"/>
              </w:rPr>
            </w:pP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N/A</w:t>
            </w:r>
          </w:p>
        </w:tc>
        <w:tc>
          <w:tcPr>
            <w:tcW w:w="735" w:type="dxa"/>
            <w:tcBorders>
              <w:right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r>
      <w:tr w:rsidR="00CF1D1E" w:rsidRPr="00CF1D1E" w:rsidTr="00CF1D1E">
        <w:trPr>
          <w:trHeight w:val="567"/>
        </w:trPr>
        <w:tc>
          <w:tcPr>
            <w:tcW w:w="2419" w:type="dxa"/>
            <w:tcBorders>
              <w:left w:val="nil"/>
              <w:right w:val="double" w:sz="4" w:space="0" w:color="auto"/>
            </w:tcBorders>
            <w:shd w:val="clear" w:color="auto" w:fill="BDD6EE"/>
            <w:vAlign w:val="center"/>
          </w:tcPr>
          <w:p w:rsidR="00CF1D1E" w:rsidRPr="00CF1D1E" w:rsidRDefault="00CF1D1E" w:rsidP="00CF1D1E">
            <w:pPr>
              <w:rPr>
                <w:rFonts w:ascii="Calibri" w:eastAsia="Calibri" w:hAnsi="Calibri" w:cs="Times New Roman"/>
                <w:sz w:val="28"/>
                <w:szCs w:val="28"/>
              </w:rPr>
            </w:pPr>
            <w:r w:rsidRPr="00CF1D1E">
              <w:rPr>
                <w:rFonts w:ascii="Calibri" w:eastAsia="Calibri" w:hAnsi="Calibri" w:cs="Times New Roman"/>
                <w:sz w:val="28"/>
                <w:szCs w:val="28"/>
              </w:rPr>
              <w:t>Milima GFBOP1</w:t>
            </w:r>
          </w:p>
        </w:tc>
        <w:tc>
          <w:tcPr>
            <w:tcW w:w="727" w:type="dxa"/>
            <w:tcBorders>
              <w:left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tc>
        <w:tc>
          <w:tcPr>
            <w:tcW w:w="735" w:type="dxa"/>
            <w:shd w:val="clear" w:color="auto" w:fill="AEAAAA"/>
            <w:vAlign w:val="center"/>
          </w:tcPr>
          <w:p w:rsidR="00CF1D1E" w:rsidRPr="00CF1D1E" w:rsidRDefault="00CF1D1E" w:rsidP="00CF1D1E">
            <w:pPr>
              <w:rPr>
                <w:rFonts w:ascii="Calibri" w:eastAsia="Calibri" w:hAnsi="Calibri" w:cs="Times New Roman"/>
                <w:sz w:val="16"/>
                <w:szCs w:val="16"/>
              </w:rPr>
            </w:pP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tcBorders>
              <w:right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r>
      <w:tr w:rsidR="00CF1D1E" w:rsidRPr="00CF1D1E" w:rsidTr="00CF1D1E">
        <w:trPr>
          <w:trHeight w:val="567"/>
        </w:trPr>
        <w:tc>
          <w:tcPr>
            <w:tcW w:w="2419" w:type="dxa"/>
            <w:tcBorders>
              <w:left w:val="nil"/>
              <w:right w:val="double" w:sz="4" w:space="0" w:color="auto"/>
            </w:tcBorders>
            <w:shd w:val="clear" w:color="auto" w:fill="BDD6EE"/>
            <w:vAlign w:val="center"/>
          </w:tcPr>
          <w:p w:rsidR="00CF1D1E" w:rsidRPr="00CF1D1E" w:rsidRDefault="00CF1D1E" w:rsidP="00CF1D1E">
            <w:pPr>
              <w:rPr>
                <w:rFonts w:ascii="Calibri" w:eastAsia="Calibri" w:hAnsi="Calibri" w:cs="Times New Roman"/>
                <w:sz w:val="28"/>
                <w:szCs w:val="28"/>
              </w:rPr>
            </w:pPr>
            <w:r w:rsidRPr="00CF1D1E">
              <w:rPr>
                <w:rFonts w:ascii="Calibri" w:eastAsia="Calibri" w:hAnsi="Calibri" w:cs="Times New Roman"/>
                <w:sz w:val="28"/>
                <w:szCs w:val="28"/>
              </w:rPr>
              <w:t>Purple CTC</w:t>
            </w:r>
          </w:p>
        </w:tc>
        <w:tc>
          <w:tcPr>
            <w:tcW w:w="727" w:type="dxa"/>
            <w:tcBorders>
              <w:left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shd w:val="clear" w:color="auto" w:fill="AEAAAA"/>
            <w:vAlign w:val="center"/>
          </w:tcPr>
          <w:p w:rsidR="00CF1D1E" w:rsidRPr="00CF1D1E" w:rsidRDefault="00CF1D1E" w:rsidP="00CF1D1E">
            <w:pPr>
              <w:rPr>
                <w:rFonts w:ascii="Calibri" w:eastAsia="Calibri" w:hAnsi="Calibri" w:cs="Times New Roman"/>
                <w:sz w:val="16"/>
                <w:szCs w:val="16"/>
              </w:rPr>
            </w:pP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tc>
        <w:tc>
          <w:tcPr>
            <w:tcW w:w="735" w:type="dxa"/>
            <w:tcBorders>
              <w:right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tc>
      </w:tr>
      <w:tr w:rsidR="00CF1D1E" w:rsidRPr="00CF1D1E" w:rsidTr="00CF1D1E">
        <w:trPr>
          <w:trHeight w:val="567"/>
        </w:trPr>
        <w:tc>
          <w:tcPr>
            <w:tcW w:w="2419" w:type="dxa"/>
            <w:tcBorders>
              <w:left w:val="nil"/>
              <w:right w:val="double" w:sz="4" w:space="0" w:color="auto"/>
            </w:tcBorders>
            <w:shd w:val="clear" w:color="auto" w:fill="BDD6EE"/>
            <w:vAlign w:val="center"/>
          </w:tcPr>
          <w:p w:rsidR="00CF1D1E" w:rsidRPr="00CF1D1E" w:rsidRDefault="00CF1D1E" w:rsidP="00CF1D1E">
            <w:pPr>
              <w:rPr>
                <w:rFonts w:ascii="Calibri" w:eastAsia="Calibri" w:hAnsi="Calibri" w:cs="Times New Roman"/>
                <w:sz w:val="28"/>
                <w:szCs w:val="28"/>
              </w:rPr>
            </w:pPr>
            <w:r w:rsidRPr="00CF1D1E">
              <w:rPr>
                <w:rFonts w:ascii="Calibri" w:eastAsia="Calibri" w:hAnsi="Calibri" w:cs="Times New Roman"/>
                <w:sz w:val="28"/>
                <w:szCs w:val="28"/>
              </w:rPr>
              <w:t>Tiluet MTH</w:t>
            </w:r>
          </w:p>
        </w:tc>
        <w:tc>
          <w:tcPr>
            <w:tcW w:w="727" w:type="dxa"/>
            <w:tcBorders>
              <w:left w:val="double" w:sz="4" w:space="0" w:color="auto"/>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N/A</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c>
          <w:tcPr>
            <w:tcW w:w="735" w:type="dxa"/>
            <w:shd w:val="clear" w:color="auto" w:fill="AEAAAA"/>
            <w:vAlign w:val="center"/>
          </w:tcPr>
          <w:p w:rsidR="00CF1D1E" w:rsidRPr="00CF1D1E" w:rsidRDefault="00CF1D1E" w:rsidP="00CF1D1E">
            <w:pPr>
              <w:rPr>
                <w:rFonts w:ascii="Calibri" w:eastAsia="Calibri" w:hAnsi="Calibri" w:cs="Times New Roman"/>
                <w:sz w:val="16"/>
                <w:szCs w:val="16"/>
              </w:rPr>
            </w:pPr>
          </w:p>
        </w:tc>
        <w:tc>
          <w:tcPr>
            <w:tcW w:w="735" w:type="dxa"/>
            <w:tcBorders>
              <w:right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TF</w:t>
            </w:r>
          </w:p>
        </w:tc>
      </w:tr>
      <w:tr w:rsidR="00CF1D1E" w:rsidRPr="00CF1D1E" w:rsidTr="00CF1D1E">
        <w:trPr>
          <w:trHeight w:val="567"/>
        </w:trPr>
        <w:tc>
          <w:tcPr>
            <w:tcW w:w="2419" w:type="dxa"/>
            <w:tcBorders>
              <w:left w:val="nil"/>
              <w:bottom w:val="nil"/>
              <w:right w:val="double" w:sz="4" w:space="0" w:color="auto"/>
            </w:tcBorders>
            <w:shd w:val="clear" w:color="auto" w:fill="BDD6EE"/>
            <w:vAlign w:val="center"/>
          </w:tcPr>
          <w:p w:rsidR="00CF1D1E" w:rsidRPr="00CF1D1E" w:rsidRDefault="00CF1D1E" w:rsidP="00CF1D1E">
            <w:pPr>
              <w:rPr>
                <w:rFonts w:ascii="Calibri" w:eastAsia="Calibri" w:hAnsi="Calibri" w:cs="Times New Roman"/>
                <w:sz w:val="28"/>
                <w:szCs w:val="28"/>
              </w:rPr>
            </w:pPr>
            <w:r w:rsidRPr="00CF1D1E">
              <w:rPr>
                <w:rFonts w:ascii="Calibri" w:eastAsia="Calibri" w:hAnsi="Calibri" w:cs="Times New Roman"/>
                <w:sz w:val="28"/>
                <w:szCs w:val="28"/>
              </w:rPr>
              <w:t>Kijani DM</w:t>
            </w:r>
          </w:p>
        </w:tc>
        <w:tc>
          <w:tcPr>
            <w:tcW w:w="727" w:type="dxa"/>
            <w:tcBorders>
              <w:left w:val="double" w:sz="4" w:space="0" w:color="auto"/>
              <w:bottom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Rutin</w:t>
            </w:r>
          </w:p>
        </w:tc>
        <w:tc>
          <w:tcPr>
            <w:tcW w:w="735" w:type="dxa"/>
            <w:tcBorders>
              <w:bottom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tc>
        <w:tc>
          <w:tcPr>
            <w:tcW w:w="735" w:type="dxa"/>
            <w:tcBorders>
              <w:bottom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Procy B2</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tcBorders>
              <w:bottom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tc>
        <w:tc>
          <w:tcPr>
            <w:tcW w:w="735" w:type="dxa"/>
            <w:tcBorders>
              <w:bottom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tc>
        <w:tc>
          <w:tcPr>
            <w:tcW w:w="735" w:type="dxa"/>
            <w:tcBorders>
              <w:bottom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EC</w:t>
            </w:r>
          </w:p>
        </w:tc>
        <w:tc>
          <w:tcPr>
            <w:tcW w:w="735" w:type="dxa"/>
            <w:tcBorders>
              <w:bottom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tc>
        <w:tc>
          <w:tcPr>
            <w:tcW w:w="735" w:type="dxa"/>
            <w:tcBorders>
              <w:bottom w:val="nil"/>
            </w:tcBorders>
            <w:shd w:val="clear" w:color="auto" w:fill="DEEAF6"/>
            <w:vAlign w:val="center"/>
          </w:tcPr>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EGCG</w:t>
            </w:r>
          </w:p>
          <w:p w:rsidR="00CF1D1E" w:rsidRPr="00CF1D1E" w:rsidRDefault="00CF1D1E" w:rsidP="00CF1D1E">
            <w:pPr>
              <w:rPr>
                <w:rFonts w:ascii="Calibri" w:eastAsia="Calibri" w:hAnsi="Calibri" w:cs="Times New Roman"/>
                <w:sz w:val="16"/>
                <w:szCs w:val="16"/>
              </w:rPr>
            </w:pPr>
            <w:r w:rsidRPr="00CF1D1E">
              <w:rPr>
                <w:rFonts w:ascii="Calibri" w:eastAsia="Calibri" w:hAnsi="Calibri" w:cs="Times New Roman"/>
                <w:sz w:val="16"/>
                <w:szCs w:val="16"/>
              </w:rPr>
              <w:t>EGC</w:t>
            </w:r>
          </w:p>
        </w:tc>
        <w:tc>
          <w:tcPr>
            <w:tcW w:w="735" w:type="dxa"/>
            <w:tcBorders>
              <w:bottom w:val="nil"/>
              <w:right w:val="nil"/>
            </w:tcBorders>
            <w:shd w:val="clear" w:color="auto" w:fill="AEAAAA"/>
            <w:vAlign w:val="center"/>
          </w:tcPr>
          <w:p w:rsidR="00CF1D1E" w:rsidRPr="00CF1D1E" w:rsidRDefault="00CF1D1E" w:rsidP="00CF1D1E">
            <w:pPr>
              <w:rPr>
                <w:rFonts w:ascii="Calibri" w:eastAsia="Calibri" w:hAnsi="Calibri" w:cs="Times New Roman"/>
                <w:sz w:val="16"/>
                <w:szCs w:val="16"/>
              </w:rPr>
            </w:pPr>
          </w:p>
        </w:tc>
      </w:tr>
    </w:tbl>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Tab</w:t>
      </w:r>
      <w:r w:rsidR="00565C2A">
        <w:rPr>
          <w:rFonts w:ascii="Calibri" w:eastAsia="Calibri" w:hAnsi="Calibri" w:cs="Times New Roman"/>
          <w:sz w:val="20"/>
          <w:szCs w:val="20"/>
        </w:rPr>
        <w:t xml:space="preserve">.37 </w:t>
      </w:r>
      <w:r w:rsidRPr="00CF1D1E">
        <w:rPr>
          <w:rFonts w:ascii="Calibri" w:eastAsia="Calibri" w:hAnsi="Calibri" w:cs="Times New Roman"/>
          <w:sz w:val="20"/>
          <w:szCs w:val="20"/>
        </w:rPr>
        <w:t xml:space="preserve">Table comparing the key features which discriminate between the 9 types of tea based on 7 components acquired in negative mode (stage 2 interpretation). </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83840" behindDoc="0" locked="0" layoutInCell="1" allowOverlap="1" wp14:anchorId="6BA21065" wp14:editId="435BF0F2">
                <wp:simplePos x="0" y="0"/>
                <wp:positionH relativeFrom="margin">
                  <wp:posOffset>5399405</wp:posOffset>
                </wp:positionH>
                <wp:positionV relativeFrom="paragraph">
                  <wp:posOffset>179705</wp:posOffset>
                </wp:positionV>
                <wp:extent cx="532130" cy="8085455"/>
                <wp:effectExtent l="0" t="0" r="1270" b="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8085455"/>
                        </a:xfrm>
                        <a:prstGeom prst="rect">
                          <a:avLst/>
                        </a:prstGeom>
                        <a:solidFill>
                          <a:srgbClr val="FFFFFF"/>
                        </a:solidFill>
                        <a:ln w="9525">
                          <a:noFill/>
                          <a:miter lim="800000"/>
                          <a:headEnd/>
                          <a:tailEnd/>
                        </a:ln>
                      </wps:spPr>
                      <wps:txbx>
                        <w:txbxContent>
                          <w:p w:rsidR="00D842A6" w:rsidRDefault="00D842A6" w:rsidP="00CF1D1E">
                            <w:pPr>
                              <w:rPr>
                                <w:sz w:val="20"/>
                                <w:szCs w:val="20"/>
                              </w:rPr>
                            </w:pPr>
                            <w:r>
                              <w:rPr>
                                <w:sz w:val="20"/>
                                <w:szCs w:val="20"/>
                              </w:rPr>
                              <w:t>Fig.112 Coefficients plot of Chomogonday White and Extract 652. This plot illustrates the discriminants and their influence.</w:t>
                            </w:r>
                            <w:r w:rsidRPr="002B677E">
                              <w:rPr>
                                <w:sz w:val="20"/>
                                <w:szCs w:val="20"/>
                              </w:rPr>
                              <w:t xml:space="preserve"> </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21065" id="_x0000_s1049" type="#_x0000_t202" style="position:absolute;margin-left:425.15pt;margin-top:14.15pt;width:41.9pt;height:636.6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" stroked="f">
                <v:textbox style="layout-flow:vertical;mso-layout-flow-alt:bottom-to-top">
                  <w:txbxContent>
                    <w:p w:rsidR="00D842A6" w:rsidRDefault="00D842A6" w:rsidP="00CF1D1E">
                      <w:pPr>
                        <w:rPr>
                          <w:sz w:val="20"/>
                          <w:szCs w:val="20"/>
                        </w:rPr>
                      </w:pPr>
                      <w:r>
                        <w:rPr>
                          <w:sz w:val="20"/>
                          <w:szCs w:val="20"/>
                        </w:rPr>
                        <w:t>Fig.112 Coefficients plot of Chomogonday White and Extract 652. This plot illustrates the discriminants and their influence.</w:t>
                      </w:r>
                      <w:r w:rsidRPr="002B677E">
                        <w:rPr>
                          <w:sz w:val="20"/>
                          <w:szCs w:val="20"/>
                        </w:rPr>
                        <w:t xml:space="preserve"> </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0"/>
          <w:szCs w:val="20"/>
          <w:lang w:eastAsia="en-GB"/>
        </w:rPr>
        <w:drawing>
          <wp:inline distT="0" distB="0" distL="0" distR="0" wp14:anchorId="3937504D" wp14:editId="1A107264">
            <wp:extent cx="8502246" cy="4431982"/>
            <wp:effectExtent l="0" t="3175"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Coefficients for Chomogonday White (Chomogonday White = -1, Extracts 652 = 1).png"/>
                    <pic:cNvPicPr/>
                  </pic:nvPicPr>
                  <pic:blipFill>
                    <a:blip r:embed="rId181" cstate="print">
                      <a:extLst>
                        <a:ext uri="{28A0092B-C50C-407E-A947-70E740481C1C}">
                          <a14:useLocalDpi xmlns:a14="http://schemas.microsoft.com/office/drawing/2010/main" val="0"/>
                        </a:ext>
                      </a:extLst>
                    </a:blip>
                    <a:stretch>
                      <a:fillRect/>
                    </a:stretch>
                  </pic:blipFill>
                  <pic:spPr>
                    <a:xfrm rot="16200000">
                      <a:off x="0" y="0"/>
                      <a:ext cx="8533407" cy="4448225"/>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ind w:firstLine="720"/>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84864" behindDoc="0" locked="0" layoutInCell="1" allowOverlap="1" wp14:anchorId="040126B2" wp14:editId="3B362F44">
                <wp:simplePos x="0" y="0"/>
                <wp:positionH relativeFrom="margin">
                  <wp:posOffset>5292090</wp:posOffset>
                </wp:positionH>
                <wp:positionV relativeFrom="paragraph">
                  <wp:posOffset>179705</wp:posOffset>
                </wp:positionV>
                <wp:extent cx="442595" cy="8007350"/>
                <wp:effectExtent l="0" t="0" r="0" b="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8007350"/>
                        </a:xfrm>
                        <a:prstGeom prst="rect">
                          <a:avLst/>
                        </a:prstGeom>
                        <a:solidFill>
                          <a:srgbClr val="FFFFFF"/>
                        </a:solidFill>
                        <a:ln w="9525">
                          <a:noFill/>
                          <a:miter lim="800000"/>
                          <a:headEnd/>
                          <a:tailEnd/>
                        </a:ln>
                      </wps:spPr>
                      <wps:txbx>
                        <w:txbxContent>
                          <w:p w:rsidR="00D842A6" w:rsidRDefault="00D842A6" w:rsidP="00CF1D1E">
                            <w:pPr>
                              <w:rPr>
                                <w:sz w:val="20"/>
                                <w:szCs w:val="20"/>
                              </w:rPr>
                            </w:pPr>
                            <w:r>
                              <w:rPr>
                                <w:sz w:val="20"/>
                                <w:szCs w:val="20"/>
                              </w:rPr>
                              <w:t xml:space="preserve">Fig.113 </w:t>
                            </w:r>
                            <w:r w:rsidRPr="00A47EF6">
                              <w:rPr>
                                <w:sz w:val="20"/>
                                <w:szCs w:val="20"/>
                              </w:rPr>
                              <w:t>Variable trends</w:t>
                            </w:r>
                            <w:r>
                              <w:rPr>
                                <w:sz w:val="20"/>
                                <w:szCs w:val="20"/>
                              </w:rPr>
                              <w:t xml:space="preserve"> plot of Chomogonday White</w:t>
                            </w:r>
                            <w:r w:rsidRPr="00A47EF6">
                              <w:rPr>
                                <w:sz w:val="20"/>
                                <w:szCs w:val="20"/>
                              </w:rPr>
                              <w:t xml:space="preserve"> compared to Extracts 652</w:t>
                            </w:r>
                            <w:r>
                              <w:rPr>
                                <w:sz w:val="20"/>
                                <w:szCs w:val="20"/>
                              </w:rPr>
                              <w:t xml:space="preserve"> after S-plot. </w:t>
                            </w:r>
                            <w:r w:rsidRPr="00A47EF6">
                              <w:rPr>
                                <w:sz w:val="20"/>
                                <w:szCs w:val="20"/>
                              </w:rPr>
                              <w:t>Showing EC, EGC, E</w:t>
                            </w:r>
                            <w:r>
                              <w:rPr>
                                <w:sz w:val="20"/>
                                <w:szCs w:val="20"/>
                              </w:rPr>
                              <w:t xml:space="preserve">GCG, ECG and Procyanidin B2. </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126B2" id="_x0000_s1050" type="#_x0000_t202" style="position:absolute;left:0;text-align:left;margin-left:416.7pt;margin-top:14.15pt;width:34.85pt;height:630.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" stroked="f">
                <v:textbox style="layout-flow:vertical;mso-layout-flow-alt:bottom-to-top">
                  <w:txbxContent>
                    <w:p w:rsidR="00D842A6" w:rsidRDefault="00D842A6" w:rsidP="00CF1D1E">
                      <w:pPr>
                        <w:rPr>
                          <w:sz w:val="20"/>
                          <w:szCs w:val="20"/>
                        </w:rPr>
                      </w:pPr>
                      <w:r>
                        <w:rPr>
                          <w:sz w:val="20"/>
                          <w:szCs w:val="20"/>
                        </w:rPr>
                        <w:t xml:space="preserve">Fig.113 </w:t>
                      </w:r>
                      <w:r w:rsidRPr="00A47EF6">
                        <w:rPr>
                          <w:sz w:val="20"/>
                          <w:szCs w:val="20"/>
                        </w:rPr>
                        <w:t>Variable trends</w:t>
                      </w:r>
                      <w:r>
                        <w:rPr>
                          <w:sz w:val="20"/>
                          <w:szCs w:val="20"/>
                        </w:rPr>
                        <w:t xml:space="preserve"> plot of Chomogonday White</w:t>
                      </w:r>
                      <w:r w:rsidRPr="00A47EF6">
                        <w:rPr>
                          <w:sz w:val="20"/>
                          <w:szCs w:val="20"/>
                        </w:rPr>
                        <w:t xml:space="preserve"> compared to Extracts 652</w:t>
                      </w:r>
                      <w:r>
                        <w:rPr>
                          <w:sz w:val="20"/>
                          <w:szCs w:val="20"/>
                        </w:rPr>
                        <w:t xml:space="preserve"> after S-plot. </w:t>
                      </w:r>
                      <w:r w:rsidRPr="00A47EF6">
                        <w:rPr>
                          <w:sz w:val="20"/>
                          <w:szCs w:val="20"/>
                        </w:rPr>
                        <w:t>Showing EC, EGC, E</w:t>
                      </w:r>
                      <w:r>
                        <w:rPr>
                          <w:sz w:val="20"/>
                          <w:szCs w:val="20"/>
                        </w:rPr>
                        <w:t xml:space="preserve">GCG, ECG and Procyanidin B2. </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0"/>
          <w:szCs w:val="20"/>
          <w:lang w:eastAsia="en-GB"/>
        </w:rPr>
        <w:drawing>
          <wp:inline distT="0" distB="0" distL="0" distR="0" wp14:anchorId="28C00AD0" wp14:editId="6A6B8F7F">
            <wp:extent cx="8545211" cy="4534334"/>
            <wp:effectExtent l="5398"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Variable trends CW compared to Extracts 652 Showing EC, EGC, EGCG, ECG and Procyanidin B2 only after S-plot NEW.png"/>
                    <pic:cNvPicPr/>
                  </pic:nvPicPr>
                  <pic:blipFill>
                    <a:blip r:embed="rId182">
                      <a:extLst>
                        <a:ext uri="{28A0092B-C50C-407E-A947-70E740481C1C}">
                          <a14:useLocalDpi xmlns:a14="http://schemas.microsoft.com/office/drawing/2010/main" val="0"/>
                        </a:ext>
                      </a:extLst>
                    </a:blip>
                    <a:stretch>
                      <a:fillRect/>
                    </a:stretch>
                  </pic:blipFill>
                  <pic:spPr>
                    <a:xfrm rot="16200000">
                      <a:off x="0" y="0"/>
                      <a:ext cx="8606318" cy="4566759"/>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lastRenderedPageBreak/>
        <w:t>The following VIP plot shows, from the most to the least influential, the relative influence that the X-variables have on the combined responses.</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spacing w:line="360" w:lineRule="auto"/>
        <w:ind w:left="720" w:firstLine="720"/>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mc:AlternateContent>
          <mc:Choice Requires="wps">
            <w:drawing>
              <wp:anchor distT="45720" distB="45720" distL="114300" distR="114300" simplePos="0" relativeHeight="251685888" behindDoc="0" locked="0" layoutInCell="1" allowOverlap="1" wp14:anchorId="3B6CF558" wp14:editId="5E0D149F">
                <wp:simplePos x="0" y="0"/>
                <wp:positionH relativeFrom="column">
                  <wp:posOffset>5694680</wp:posOffset>
                </wp:positionH>
                <wp:positionV relativeFrom="paragraph">
                  <wp:posOffset>181610</wp:posOffset>
                </wp:positionV>
                <wp:extent cx="406400" cy="7006590"/>
                <wp:effectExtent l="0" t="0" r="0" b="381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7006590"/>
                        </a:xfrm>
                        <a:prstGeom prst="rect">
                          <a:avLst/>
                        </a:prstGeom>
                        <a:solidFill>
                          <a:srgbClr val="FFFFFF"/>
                        </a:solidFill>
                        <a:ln w="9525">
                          <a:noFill/>
                          <a:miter lim="800000"/>
                          <a:headEnd/>
                          <a:tailEnd/>
                        </a:ln>
                      </wps:spPr>
                      <wps:txbx>
                        <w:txbxContent>
                          <w:p w:rsidR="00D842A6" w:rsidRDefault="00D842A6" w:rsidP="00CF1D1E">
                            <w:pPr>
                              <w:spacing w:line="360" w:lineRule="auto"/>
                              <w:rPr>
                                <w:sz w:val="20"/>
                                <w:szCs w:val="20"/>
                                <w:lang w:val="en"/>
                              </w:rPr>
                            </w:pPr>
                            <w:r>
                              <w:rPr>
                                <w:sz w:val="20"/>
                                <w:szCs w:val="20"/>
                                <w:lang w:val="en"/>
                              </w:rPr>
                              <w:t>Fig.114 A variable importance plot (VIP) of Newburgh Hyson and Milima GFBOP1.</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CF558" id="_x0000_s1051" type="#_x0000_t202" style="position:absolute;left:0;text-align:left;margin-left:448.4pt;margin-top:14.3pt;width:32pt;height:551.7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" stroked="f">
                <v:textbox style="layout-flow:vertical;mso-layout-flow-alt:bottom-to-top">
                  <w:txbxContent>
                    <w:p w:rsidR="00D842A6" w:rsidRDefault="00D842A6" w:rsidP="00CF1D1E">
                      <w:pPr>
                        <w:spacing w:line="360" w:lineRule="auto"/>
                        <w:rPr>
                          <w:sz w:val="20"/>
                          <w:szCs w:val="20"/>
                          <w:lang w:val="en"/>
                        </w:rPr>
                      </w:pPr>
                      <w:r>
                        <w:rPr>
                          <w:sz w:val="20"/>
                          <w:szCs w:val="20"/>
                          <w:lang w:val="en"/>
                        </w:rPr>
                        <w:t>Fig.114 A variable importance plot (VIP) of Newburgh Hyson and Milima GFBOP1.</w:t>
                      </w:r>
                    </w:p>
                    <w:p w:rsidR="00D842A6" w:rsidRDefault="00D842A6" w:rsidP="00CF1D1E"/>
                  </w:txbxContent>
                </v:textbox>
                <w10:wrap type="square"/>
              </v:shape>
            </w:pict>
          </mc:Fallback>
        </mc:AlternateContent>
      </w:r>
      <w:r w:rsidRPr="00CF1D1E">
        <w:rPr>
          <w:rFonts w:ascii="Calibri" w:eastAsia="Calibri" w:hAnsi="Calibri" w:cs="Times New Roman"/>
          <w:b/>
          <w:noProof/>
          <w:sz w:val="44"/>
          <w:szCs w:val="44"/>
          <w:lang w:eastAsia="en-GB"/>
        </w:rPr>
        <w:drawing>
          <wp:inline distT="0" distB="0" distL="0" distR="0" wp14:anchorId="36DD07EE" wp14:editId="58860C14">
            <wp:extent cx="7328845" cy="3820320"/>
            <wp:effectExtent l="1588" t="0" r="7302" b="7303"/>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VIP Newburgh Hyson v Milima GFBOP1.png"/>
                    <pic:cNvPicPr/>
                  </pic:nvPicPr>
                  <pic:blipFill>
                    <a:blip r:embed="rId183">
                      <a:extLst>
                        <a:ext uri="{28A0092B-C50C-407E-A947-70E740481C1C}">
                          <a14:useLocalDpi xmlns:a14="http://schemas.microsoft.com/office/drawing/2010/main" val="0"/>
                        </a:ext>
                      </a:extLst>
                    </a:blip>
                    <a:stretch>
                      <a:fillRect/>
                    </a:stretch>
                  </pic:blipFill>
                  <pic:spPr>
                    <a:xfrm rot="16200000">
                      <a:off x="0" y="0"/>
                      <a:ext cx="7371922" cy="3842775"/>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 xml:space="preserve">Focusing on only 7 components successfully discriminated most of the teas but was lacking in a few situations (stage 2). In order to build on the positive outcomes of the previous approach and to also reduce the negative aspects, it was decided to widen the scope by including more data into this metabolomic fingerprinting workflow (stage 3). It was felt that this would increase the possibility to explain the differences between the 9 teas. This data set included the top 7 identifications referred to in the previous round of data processing plus the top 100 most abundant ions. A strict ANOVA p-value of =&lt; 0.0001 was chosen as a filter. Additionally,  manual identification of 3 TFs and also 3 TSs was undertaken and added to the dataset to be exported to EZ Info (see Fig.91 for tags used as filters). The addition of the TFs and TSs would aid in providing more discriminants as these are an indication of the degree of oxidation of the tea during processing. </w:t>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The next series of images show selected spectra from the manual identification of additional compounds plus selected graphs to illustrate the improved output observed with this round of MVA using EZ Info. All other spectra and graphs not shown he</w:t>
      </w:r>
      <w:r w:rsidR="005E0706">
        <w:rPr>
          <w:rFonts w:ascii="Calibri" w:eastAsia="Calibri" w:hAnsi="Calibri" w:cs="Times New Roman"/>
          <w:sz w:val="24"/>
          <w:szCs w:val="24"/>
          <w:lang w:val="en"/>
        </w:rPr>
        <w:t>re are available in the appendices</w:t>
      </w:r>
      <w:r w:rsidRPr="00CF1D1E">
        <w:rPr>
          <w:rFonts w:ascii="Calibri" w:eastAsia="Calibri" w:hAnsi="Calibri" w:cs="Times New Roman"/>
          <w:sz w:val="24"/>
          <w:szCs w:val="24"/>
          <w:lang w:val="en"/>
        </w:rPr>
        <w:t>.</w:t>
      </w: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Fig.115 shows an MS spectrum of Theasinensin A at a retention time of 1.03min and 456.0679 m/z. 169.0142 m/z is explained by the loss of a gallate unit and 125.0244 by subsequent loss of CO</w:t>
      </w:r>
      <w:r w:rsidRPr="00CF1D1E">
        <w:rPr>
          <w:rFonts w:ascii="Calibri" w:eastAsia="Calibri" w:hAnsi="Calibri" w:cs="Times New Roman"/>
          <w:sz w:val="24"/>
          <w:szCs w:val="24"/>
          <w:vertAlign w:val="subscript"/>
          <w:lang w:val="en"/>
        </w:rPr>
        <w:t>2</w:t>
      </w:r>
      <w:r w:rsidRPr="00CF1D1E">
        <w:rPr>
          <w:rFonts w:ascii="Calibri" w:eastAsia="Calibri" w:hAnsi="Calibri" w:cs="Times New Roman"/>
          <w:sz w:val="24"/>
          <w:szCs w:val="24"/>
          <w:lang w:val="en"/>
        </w:rPr>
        <w:t xml:space="preserve"> from gallate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{"citationItems":[{"id":"ITEM-1","itemData":{"DOI":"10.1021/jf035427e","ISSN":"00218561","abstract":"Black tea contains two major groups of pigments, theaflavins (TFs) and thearubigins (TRs). TFs contain a bis-flavan substituted 1,2-dihydroxy-3,4-benzotropolone moiety. Unlike the TFs, TRs have not yet been characterized. The chemical structure of the TRs remains a mystery. The present paper reports our effort to study the structure of TFs and TRs using delayed pulsed ion extraction of ions generated via the matrix-assisted laser desorption ionization (MALDI) technique, on line with a Linear time-of-flight (TOF) mass spectrometer. Spectra of standard TFs show not only pseudomolecular ions but also ions resulting from fragmentation. The analysis of MALDI-TOF spectra of black tea fractions shows the structure of some TRs, which are similar to those of TFs because the same loss of mass is observed.","author":[{"dropping-particle":"","family":"Menet","given":"Marie Claude","non-dropping-particle":"","parse-names":false,"suffix":""},{"dropping-particle":"","family":"Sang","given":"Shengmin","non-dropping-particle":"","parse-names":false,"suffix":""},{"dropping-particle":"","family":"Yang","given":"Chung S.","non-dropping-particle":"","parse-names":false,"suffix":""},{"dropping-particle":"","family":"Ho","given":"Chi Tano","non-dropping-particle":"","parse-names":false,"suffix":""},{"dropping-particle":"","family":"Rosen","given":"Robert T.","non-dropping-particle":"","parse-names":false,"suffix":""}],"container-title":"Journal of Agricultural and Food Chemistry","id":"ITEM-1","issue":"9","issued":{"date-parts":[["2004"]]},"page":"2455-2461","title":"Analysis of Theaflavins and Thearubigins from Black Tea Extract by MALDI-TOF Mass Spectrometry","type":"article-journal","volume":"52"},"uris":["http://www.mendeley.com/documents/?uuid=511a24a9-8ad4-46d8-9107-428ac061cf47"]}],"mendeley":{"formattedCitation":"(Menet et al., 2004)","plainTextFormattedCitation":"(Menet et al., 2004)","previouslyFormattedCitation":"(Menet et al., 2004)"},"properties":{"noteIndex":0},"schema":"https://github.com/citation-style-language/schema/raw/master/csl-citation.json"}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 xml:space="preserve">(Menet </w:t>
      </w:r>
      <w:r w:rsidR="00941740" w:rsidRPr="004B59D2">
        <w:rPr>
          <w:rFonts w:ascii="Calibri" w:eastAsia="Calibri" w:hAnsi="Calibri" w:cs="Times New Roman"/>
          <w:i/>
          <w:noProof/>
          <w:sz w:val="24"/>
          <w:szCs w:val="24"/>
          <w:lang w:val="en"/>
        </w:rPr>
        <w:t>et al</w:t>
      </w:r>
      <w:r w:rsidR="00941740" w:rsidRPr="00941740">
        <w:rPr>
          <w:rFonts w:ascii="Calibri" w:eastAsia="Calibri" w:hAnsi="Calibri" w:cs="Times New Roman"/>
          <w:noProof/>
          <w:sz w:val="24"/>
          <w:szCs w:val="24"/>
          <w:lang w:val="en"/>
        </w:rPr>
        <w:t>., 2004)</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 xml:space="preserve">. 457.0778 m/z is explained by the cleavage of the parent ion with a double negative charge (456.0670 m/z in </w:t>
      </w:r>
      <w:r w:rsidRPr="00CF1D1E">
        <w:rPr>
          <w:rFonts w:ascii="Calibri" w:eastAsia="Calibri" w:hAnsi="Calibri" w:cs="Times New Roman"/>
          <w:color w:val="FF0000"/>
          <w:sz w:val="24"/>
          <w:szCs w:val="24"/>
          <w:lang w:val="en"/>
        </w:rPr>
        <w:t>red</w:t>
      </w:r>
      <w:r w:rsidRPr="00CF1D1E">
        <w:rPr>
          <w:rFonts w:ascii="Calibri" w:eastAsia="Calibri" w:hAnsi="Calibri" w:cs="Times New Roman"/>
          <w:sz w:val="24"/>
          <w:szCs w:val="24"/>
          <w:lang w:val="en"/>
        </w:rPr>
        <w:t>).</w:t>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ind w:left="1440" w:firstLine="720"/>
        <w:jc w:val="both"/>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686912" behindDoc="0" locked="0" layoutInCell="1" allowOverlap="1" wp14:anchorId="298A3435" wp14:editId="3601A009">
                <wp:simplePos x="0" y="0"/>
                <wp:positionH relativeFrom="column">
                  <wp:posOffset>4718304</wp:posOffset>
                </wp:positionH>
                <wp:positionV relativeFrom="paragraph">
                  <wp:posOffset>1840992</wp:posOffset>
                </wp:positionV>
                <wp:extent cx="547370" cy="6376035"/>
                <wp:effectExtent l="0" t="0" r="5080" b="5715"/>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 cy="6376035"/>
                        </a:xfrm>
                        <a:prstGeom prst="rect">
                          <a:avLst/>
                        </a:prstGeom>
                        <a:solidFill>
                          <a:srgbClr val="FFFFFF"/>
                        </a:solidFill>
                        <a:ln w="9525">
                          <a:noFill/>
                          <a:miter lim="800000"/>
                          <a:headEnd/>
                          <a:tailEnd/>
                        </a:ln>
                      </wps:spPr>
                      <wps:txbx>
                        <w:txbxContent>
                          <w:p w:rsidR="00D842A6" w:rsidRPr="009A3FF0" w:rsidRDefault="00D842A6" w:rsidP="00CF1D1E">
                            <w:pPr>
                              <w:spacing w:line="360" w:lineRule="auto"/>
                              <w:rPr>
                                <w:sz w:val="20"/>
                                <w:szCs w:val="20"/>
                                <w:lang w:val="en"/>
                              </w:rPr>
                            </w:pPr>
                            <w:r>
                              <w:rPr>
                                <w:sz w:val="20"/>
                                <w:szCs w:val="20"/>
                                <w:lang w:val="en"/>
                              </w:rPr>
                              <w:t xml:space="preserve">Fig.115 </w:t>
                            </w:r>
                            <w:r w:rsidRPr="009A3FF0">
                              <w:rPr>
                                <w:sz w:val="20"/>
                                <w:szCs w:val="20"/>
                                <w:lang w:val="en"/>
                              </w:rPr>
                              <w:t>MS spectrum of Theasinensin A</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A3435" id="_x0000_s1052" type="#_x0000_t202" style="position:absolute;left:0;text-align:left;margin-left:371.5pt;margin-top:144.95pt;width:43.1pt;height:502.0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" stroked="f">
                <v:textbox style="layout-flow:vertical;mso-layout-flow-alt:bottom-to-top">
                  <w:txbxContent>
                    <w:p w:rsidR="00D842A6" w:rsidRPr="009A3FF0" w:rsidRDefault="00D842A6" w:rsidP="00CF1D1E">
                      <w:pPr>
                        <w:spacing w:line="360" w:lineRule="auto"/>
                        <w:rPr>
                          <w:sz w:val="20"/>
                          <w:szCs w:val="20"/>
                          <w:lang w:val="en"/>
                        </w:rPr>
                      </w:pPr>
                      <w:r>
                        <w:rPr>
                          <w:sz w:val="20"/>
                          <w:szCs w:val="20"/>
                          <w:lang w:val="en"/>
                        </w:rPr>
                        <w:t xml:space="preserve">Fig.115 </w:t>
                      </w:r>
                      <w:r w:rsidRPr="009A3FF0">
                        <w:rPr>
                          <w:sz w:val="20"/>
                          <w:szCs w:val="20"/>
                          <w:lang w:val="en"/>
                        </w:rPr>
                        <w:t>MS spectrum of Theasinensin A</w:t>
                      </w:r>
                    </w:p>
                    <w:p w:rsidR="00D842A6" w:rsidRDefault="00D842A6" w:rsidP="00CF1D1E"/>
                  </w:txbxContent>
                </v:textbox>
                <w10:wrap type="square"/>
              </v:shape>
            </w:pict>
          </mc:Fallback>
        </mc:AlternateContent>
      </w:r>
      <w:r w:rsidRPr="00CF1D1E">
        <w:rPr>
          <w:rFonts w:ascii="Calibri" w:eastAsia="Calibri" w:hAnsi="Calibri" w:cs="Times New Roman"/>
          <w:noProof/>
          <w:sz w:val="24"/>
          <w:szCs w:val="24"/>
          <w:lang w:eastAsia="en-GB"/>
        </w:rPr>
        <w:drawing>
          <wp:inline distT="0" distB="0" distL="0" distR="0" wp14:anchorId="77653762" wp14:editId="010A9AB3">
            <wp:extent cx="8285550" cy="2206787"/>
            <wp:effectExtent l="0" t="8573"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Fragmentation trace for Theasinensin A 1.03_456.0679m_z PLUS labels.png"/>
                    <pic:cNvPicPr/>
                  </pic:nvPicPr>
                  <pic:blipFill>
                    <a:blip r:embed="rId184">
                      <a:extLst>
                        <a:ext uri="{28A0092B-C50C-407E-A947-70E740481C1C}">
                          <a14:useLocalDpi xmlns:a14="http://schemas.microsoft.com/office/drawing/2010/main" val="0"/>
                        </a:ext>
                      </a:extLst>
                    </a:blip>
                    <a:stretch>
                      <a:fillRect/>
                    </a:stretch>
                  </pic:blipFill>
                  <pic:spPr>
                    <a:xfrm rot="16200000">
                      <a:off x="0" y="0"/>
                      <a:ext cx="8343979" cy="2222349"/>
                    </a:xfrm>
                    <a:prstGeom prst="rect">
                      <a:avLst/>
                    </a:prstGeom>
                  </pic:spPr>
                </pic:pic>
              </a:graphicData>
            </a:graphic>
          </wp:inline>
        </w:drawing>
      </w:r>
    </w:p>
    <w:p w:rsidR="00CF1D1E" w:rsidRPr="00CF1D1E" w:rsidRDefault="00CF1D1E" w:rsidP="00CF1D1E">
      <w:pPr>
        <w:rPr>
          <w:rFonts w:ascii="Calibri" w:eastAsia="Calibri" w:hAnsi="Calibri" w:cs="Times New Roman"/>
          <w:b/>
          <w:sz w:val="44"/>
          <w:szCs w:val="44"/>
          <w:lang w:val="en"/>
        </w:rPr>
      </w:pPr>
      <w:r w:rsidRPr="00CF1D1E">
        <w:rPr>
          <w:rFonts w:ascii="Calibri" w:eastAsia="Calibri" w:hAnsi="Calibri" w:cs="Times New Roman"/>
          <w:b/>
          <w:sz w:val="44"/>
          <w:szCs w:val="44"/>
          <w:lang w:val="en"/>
        </w:rPr>
        <w:br w:type="page"/>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Following on from this is an MS spectrum of Theaflavin-3</w:t>
      </w:r>
      <w:proofErr w:type="gramStart"/>
      <w:r w:rsidRPr="00CF1D1E">
        <w:rPr>
          <w:rFonts w:ascii="Calibri" w:eastAsia="Calibri" w:hAnsi="Calibri" w:cs="Times New Roman"/>
          <w:sz w:val="24"/>
          <w:szCs w:val="24"/>
          <w:lang w:val="en"/>
        </w:rPr>
        <w:t>,3’</w:t>
      </w:r>
      <w:proofErr w:type="gramEnd"/>
      <w:r w:rsidRPr="00CF1D1E">
        <w:rPr>
          <w:rFonts w:ascii="Calibri" w:eastAsia="Calibri" w:hAnsi="Calibri" w:cs="Times New Roman"/>
          <w:sz w:val="24"/>
          <w:szCs w:val="24"/>
          <w:lang w:val="en"/>
        </w:rPr>
        <w:t>- digallate at a retention time of 3.37min and 867.1423 m/z (Fig.116). 169.0142 m/z and 125.0244 m/z are also explained by the loss of a gallate unit and then a further loss of CO</w:t>
      </w:r>
      <w:r w:rsidRPr="00CF1D1E">
        <w:rPr>
          <w:rFonts w:ascii="Calibri" w:eastAsia="Calibri" w:hAnsi="Calibri" w:cs="Times New Roman"/>
          <w:sz w:val="24"/>
          <w:szCs w:val="24"/>
          <w:vertAlign w:val="subscript"/>
          <w:lang w:val="en"/>
        </w:rPr>
        <w:t>2</w:t>
      </w:r>
      <w:r w:rsidRPr="00CF1D1E">
        <w:rPr>
          <w:rFonts w:ascii="Calibri" w:eastAsia="Calibri" w:hAnsi="Calibri" w:cs="Times New Roman"/>
          <w:sz w:val="24"/>
          <w:szCs w:val="24"/>
          <w:lang w:val="en"/>
        </w:rPr>
        <w:t xml:space="preserve">. m/z 389.0665, 407.0794, 527.0969, 545.1096, 697.1204 and 715.1359 are all explained by published mechanisms </w:t>
      </w:r>
      <w:r w:rsidRPr="00CF1D1E">
        <w:rPr>
          <w:rFonts w:ascii="Calibri" w:eastAsia="Calibri" w:hAnsi="Calibri" w:cs="Times New Roman"/>
          <w:sz w:val="24"/>
          <w:szCs w:val="24"/>
          <w:lang w:val="en"/>
        </w:rPr>
        <w:fldChar w:fldCharType="begin" w:fldLock="1"/>
      </w:r>
      <w:r w:rsidR="00595237">
        <w:rPr>
          <w:rFonts w:ascii="Calibri" w:eastAsia="Calibri" w:hAnsi="Calibri" w:cs="Times New Roman"/>
          <w:sz w:val="24"/>
          <w:szCs w:val="24"/>
          <w:lang w:val="en"/>
        </w:rPr>
        <w:instrText>ADDIN CSL_CITATION {"citationItems":[{"id":"ITEM-1","itemData":{"DOI":"10.1007/s00217-018-3201-6","ISBN":"0123456789","ISSN":"14382385","author":[{"dropping-particle":"","family":"Lee","given":"Min Ki","non-dropping-particle":"","parse-names":false,"suffix":""},{"dropping-particle":"","family":"Kim","given":"Heon Woong","non-dropping-particle":"","parse-names":false,"suffix":""},{"dropping-particle":"","family":"Lee","given":"Seon Hye","non-dropping-particle":"","parse-names":false,"suffix":""},{"dropping-particle":"","family":"Kim","given":"Young Jin","non-dropping-particle":"","parse-names":false,"suffix":""},{"dropping-particle":"","family":"Asamenew","given":"Gelila","non-dropping-particle":"","parse-names":false,"suffix":""},{"dropping-particle":"","family":"Choi","given":"Jeong","non-dropping-particle":"","parse-names":false,"suffix":""},{"dropping-particle":"","family":"Lee","given":"Jin Woo","non-dropping-particle":"","parse-names":false,"suffix":""},{"dropping-particle":"","family":"Jung","given":"Hyun Ah","non-dropping-particle":"","parse-names":false,"suffix":""},{"dropping-particle":"","family":"Yoo","given":"Seon Mi","non-dropping-particle":"","parse-names":false,"suffix":""},{"dropping-particle":"","family":"Kim","given":"Jung Bong","non-dropping-particle":"","parse-names":false,"suffix":""}],"container-title":"European Food Research and Technology","id":"ITEM-1","issue":"5","issued":{"date-parts":[["2019"]]},"page":"997-1010","publisher":"Springer Berlin Heidelberg","title":"Characterization of catechins, theaflavins, and flavonols by leaf processing step in green and black teas (Camellia sinensis) using UPLC-DAD-QToF/MS","type":"article-journal","volume":"245"},"uris":["http://www.mendeley.com/documents/?uuid=5ad15ace-ed94-425b-b709-191c5320c2df"]}],"mendeley":{"formattedCitation":"(M. K. Lee et al., 2019)","plainTextFormattedCitation":"(M. K. Lee et al., 2019)","previouslyFormattedCitation":"(M. K. Lee et al., 2019)"},"properties":{"noteIndex":0},"schema":"https://github.com/citation-style-language/schema/raw/master/csl-citation.json"}</w:instrText>
      </w:r>
      <w:r w:rsidRPr="00CF1D1E">
        <w:rPr>
          <w:rFonts w:ascii="Calibri" w:eastAsia="Calibri" w:hAnsi="Calibri" w:cs="Times New Roman"/>
          <w:sz w:val="24"/>
          <w:szCs w:val="24"/>
          <w:lang w:val="en"/>
        </w:rPr>
        <w:fldChar w:fldCharType="separate"/>
      </w:r>
      <w:r w:rsidR="00941740" w:rsidRPr="00941740">
        <w:rPr>
          <w:rFonts w:ascii="Calibri" w:eastAsia="Calibri" w:hAnsi="Calibri" w:cs="Times New Roman"/>
          <w:noProof/>
          <w:sz w:val="24"/>
          <w:szCs w:val="24"/>
          <w:lang w:val="en"/>
        </w:rPr>
        <w:t xml:space="preserve">(M. K. Lee </w:t>
      </w:r>
      <w:r w:rsidR="00941740" w:rsidRPr="005E0706">
        <w:rPr>
          <w:rFonts w:ascii="Calibri" w:eastAsia="Calibri" w:hAnsi="Calibri" w:cs="Times New Roman"/>
          <w:i/>
          <w:noProof/>
          <w:sz w:val="24"/>
          <w:szCs w:val="24"/>
          <w:lang w:val="en"/>
        </w:rPr>
        <w:t>et al., 2019)</w:t>
      </w:r>
      <w:r w:rsidRPr="00CF1D1E">
        <w:rPr>
          <w:rFonts w:ascii="Calibri" w:eastAsia="Calibri" w:hAnsi="Calibri" w:cs="Times New Roman"/>
          <w:sz w:val="24"/>
          <w:szCs w:val="24"/>
          <w:lang w:val="en"/>
        </w:rPr>
        <w:fldChar w:fldCharType="end"/>
      </w:r>
      <w:r w:rsidRPr="00CF1D1E">
        <w:rPr>
          <w:rFonts w:ascii="Calibri" w:eastAsia="Calibri" w:hAnsi="Calibri" w:cs="Times New Roman"/>
          <w:sz w:val="24"/>
          <w:szCs w:val="24"/>
          <w:lang w:val="en"/>
        </w:rPr>
        <w:t>.</w:t>
      </w:r>
    </w:p>
    <w:p w:rsidR="00CF1D1E" w:rsidRPr="00CF1D1E" w:rsidRDefault="00CF1D1E" w:rsidP="00CF1D1E">
      <w:pPr>
        <w:spacing w:line="360" w:lineRule="auto"/>
        <w:ind w:left="1440" w:firstLine="720"/>
        <w:jc w:val="both"/>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mc:AlternateContent>
          <mc:Choice Requires="wps">
            <w:drawing>
              <wp:anchor distT="45720" distB="45720" distL="114300" distR="114300" simplePos="0" relativeHeight="251687936" behindDoc="0" locked="0" layoutInCell="1" allowOverlap="1" wp14:anchorId="0EDD6E51" wp14:editId="5FDDD01F">
                <wp:simplePos x="0" y="0"/>
                <wp:positionH relativeFrom="margin">
                  <wp:posOffset>4131310</wp:posOffset>
                </wp:positionH>
                <wp:positionV relativeFrom="paragraph">
                  <wp:posOffset>3570605</wp:posOffset>
                </wp:positionV>
                <wp:extent cx="558800" cy="3314700"/>
                <wp:effectExtent l="0" t="0" r="0"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3314700"/>
                        </a:xfrm>
                        <a:prstGeom prst="rect">
                          <a:avLst/>
                        </a:prstGeom>
                        <a:solidFill>
                          <a:srgbClr val="FFFFFF"/>
                        </a:solidFill>
                        <a:ln w="9525">
                          <a:noFill/>
                          <a:miter lim="800000"/>
                          <a:headEnd/>
                          <a:tailEnd/>
                        </a:ln>
                      </wps:spPr>
                      <wps:txbx>
                        <w:txbxContent>
                          <w:p w:rsidR="00D842A6" w:rsidRDefault="00D842A6" w:rsidP="00CF1D1E">
                            <w:r>
                              <w:rPr>
                                <w:sz w:val="20"/>
                                <w:szCs w:val="20"/>
                                <w:lang w:val="en"/>
                              </w:rPr>
                              <w:t xml:space="preserve">Fig.116 </w:t>
                            </w:r>
                            <w:r w:rsidRPr="009A3FF0">
                              <w:rPr>
                                <w:sz w:val="20"/>
                                <w:szCs w:val="20"/>
                                <w:lang w:val="en"/>
                              </w:rPr>
                              <w:t>MS spectrum of</w:t>
                            </w:r>
                            <w:r>
                              <w:rPr>
                                <w:sz w:val="20"/>
                                <w:szCs w:val="20"/>
                                <w:lang w:val="en"/>
                              </w:rPr>
                              <w:t xml:space="preserve"> Theaflavin-3</w:t>
                            </w:r>
                            <w:proofErr w:type="gramStart"/>
                            <w:r>
                              <w:rPr>
                                <w:sz w:val="20"/>
                                <w:szCs w:val="20"/>
                                <w:lang w:val="en"/>
                              </w:rPr>
                              <w:t>,3</w:t>
                            </w:r>
                            <w:proofErr w:type="gramEnd"/>
                            <w:r w:rsidRPr="009A3FF0">
                              <w:rPr>
                                <w:sz w:val="20"/>
                                <w:szCs w:val="20"/>
                                <w:lang w:val="en"/>
                              </w:rPr>
                              <w:t>- digallate</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D6E51" id="_x0000_s1053" type="#_x0000_t202" style="position:absolute;left:0;text-align:left;margin-left:325.3pt;margin-top:281.15pt;width:44pt;height:261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" stroked="f">
                <v:textbox style="layout-flow:vertical;mso-layout-flow-alt:bottom-to-top">
                  <w:txbxContent>
                    <w:p w:rsidR="00D842A6" w:rsidRDefault="00D842A6" w:rsidP="00CF1D1E">
                      <w:r>
                        <w:rPr>
                          <w:sz w:val="20"/>
                          <w:szCs w:val="20"/>
                          <w:lang w:val="en"/>
                        </w:rPr>
                        <w:t xml:space="preserve">Fig.116 </w:t>
                      </w:r>
                      <w:r w:rsidRPr="009A3FF0">
                        <w:rPr>
                          <w:sz w:val="20"/>
                          <w:szCs w:val="20"/>
                          <w:lang w:val="en"/>
                        </w:rPr>
                        <w:t>MS spectrum of</w:t>
                      </w:r>
                      <w:r>
                        <w:rPr>
                          <w:sz w:val="20"/>
                          <w:szCs w:val="20"/>
                          <w:lang w:val="en"/>
                        </w:rPr>
                        <w:t xml:space="preserve"> Theaflavin-3</w:t>
                      </w:r>
                      <w:proofErr w:type="gramStart"/>
                      <w:r>
                        <w:rPr>
                          <w:sz w:val="20"/>
                          <w:szCs w:val="20"/>
                          <w:lang w:val="en"/>
                        </w:rPr>
                        <w:t>,3</w:t>
                      </w:r>
                      <w:proofErr w:type="gramEnd"/>
                      <w:r w:rsidRPr="009A3FF0">
                        <w:rPr>
                          <w:sz w:val="20"/>
                          <w:szCs w:val="20"/>
                          <w:lang w:val="en"/>
                        </w:rPr>
                        <w:t>- digallate</w:t>
                      </w:r>
                    </w:p>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5B863187" wp14:editId="4626FEBB">
            <wp:extent cx="6911667" cy="1840865"/>
            <wp:effectExtent l="1587" t="0" r="5398" b="5397"/>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Fragmentation trace for Theaflavin digallate 3.37_867.1423m_z PLUS labels.png"/>
                    <pic:cNvPicPr/>
                  </pic:nvPicPr>
                  <pic:blipFill>
                    <a:blip r:embed="rId185">
                      <a:extLst>
                        <a:ext uri="{28A0092B-C50C-407E-A947-70E740481C1C}">
                          <a14:useLocalDpi xmlns:a14="http://schemas.microsoft.com/office/drawing/2010/main" val="0"/>
                        </a:ext>
                      </a:extLst>
                    </a:blip>
                    <a:stretch>
                      <a:fillRect/>
                    </a:stretch>
                  </pic:blipFill>
                  <pic:spPr>
                    <a:xfrm rot="16200000">
                      <a:off x="0" y="0"/>
                      <a:ext cx="6915566" cy="1841904"/>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lastRenderedPageBreak/>
        <w:t>The improved model was able to explain 97% of the variance. Pareto scaling was used once again and no transformations. No missing values were observed. The plot below is a 2D scores plot of the 9 teas based on the top 7 compound</w:t>
      </w:r>
      <w:r w:rsidR="0096201A">
        <w:rPr>
          <w:rFonts w:ascii="Calibri" w:eastAsia="Calibri" w:hAnsi="Calibri" w:cs="Times New Roman"/>
          <w:sz w:val="24"/>
          <w:szCs w:val="24"/>
        </w:rPr>
        <w:t xml:space="preserve">s </w:t>
      </w:r>
      <w:r w:rsidRPr="00CF1D1E">
        <w:rPr>
          <w:rFonts w:ascii="Calibri" w:eastAsia="Calibri" w:hAnsi="Calibri" w:cs="Times New Roman"/>
          <w:sz w:val="24"/>
          <w:szCs w:val="24"/>
          <w:lang w:val="en"/>
        </w:rPr>
        <w:t>plus the top 100 most abundant ions and the TFs and TSs</w:t>
      </w:r>
      <w:r w:rsidRPr="00CF1D1E">
        <w:rPr>
          <w:rFonts w:ascii="Calibri" w:eastAsia="Calibri" w:hAnsi="Calibri" w:cs="Times New Roman"/>
          <w:sz w:val="24"/>
          <w:szCs w:val="24"/>
        </w:rPr>
        <w:t xml:space="preserve"> . The Hotelling’s T</w:t>
      </w:r>
      <w:r w:rsidRPr="0096201A">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ellipse was set at 95%. Tight clustering was once again observed amongst the same tea type and differences were evident between tea types. Following on from this is a 3D scores plot, in which the first three principal components are plotted on the </w:t>
      </w:r>
      <w:r w:rsidRPr="00CF1D1E">
        <w:rPr>
          <w:rFonts w:ascii="Calibri" w:eastAsia="Calibri" w:hAnsi="Calibri" w:cs="Times New Roman"/>
          <w:i/>
          <w:sz w:val="24"/>
          <w:szCs w:val="24"/>
        </w:rPr>
        <w:t>x, y</w:t>
      </w:r>
      <w:r w:rsidRPr="00CF1D1E">
        <w:rPr>
          <w:rFonts w:ascii="Calibri" w:eastAsia="Calibri" w:hAnsi="Calibri" w:cs="Times New Roman"/>
          <w:sz w:val="24"/>
          <w:szCs w:val="24"/>
        </w:rPr>
        <w:t xml:space="preserve"> and </w:t>
      </w:r>
      <w:r w:rsidRPr="00CF1D1E">
        <w:rPr>
          <w:rFonts w:ascii="Calibri" w:eastAsia="Calibri" w:hAnsi="Calibri" w:cs="Times New Roman"/>
          <w:i/>
          <w:sz w:val="24"/>
          <w:szCs w:val="24"/>
        </w:rPr>
        <w:t>z</w:t>
      </w:r>
      <w:r w:rsidRPr="00CF1D1E">
        <w:rPr>
          <w:rFonts w:ascii="Calibri" w:eastAsia="Calibri" w:hAnsi="Calibri" w:cs="Times New Roman"/>
          <w:sz w:val="24"/>
          <w:szCs w:val="24"/>
        </w:rPr>
        <w:t xml:space="preserve"> axes.</w:t>
      </w:r>
    </w:p>
    <w:p w:rsidR="00CF1D1E" w:rsidRPr="00CF1D1E" w:rsidRDefault="00CF1D1E" w:rsidP="00CF1D1E">
      <w:pPr>
        <w:spacing w:line="360" w:lineRule="auto"/>
        <w:ind w:firstLine="720"/>
        <w:jc w:val="both"/>
        <w:rPr>
          <w:rFonts w:ascii="Calibri" w:eastAsia="Calibri" w:hAnsi="Calibri" w:cs="Times New Roman"/>
          <w:sz w:val="20"/>
          <w:szCs w:val="20"/>
          <w:lang w:val="en"/>
        </w:rPr>
      </w:pP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rPr>
          <w:rFonts w:ascii="Calibri" w:eastAsia="Calibri" w:hAnsi="Calibri" w:cs="Times New Roman"/>
          <w:sz w:val="20"/>
          <w:szCs w:val="20"/>
          <w:lang w:val="en"/>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88960" behindDoc="0" locked="0" layoutInCell="1" allowOverlap="1" wp14:anchorId="61071AFB" wp14:editId="68A30139">
                <wp:simplePos x="0" y="0"/>
                <wp:positionH relativeFrom="margin">
                  <wp:align>right</wp:align>
                </wp:positionH>
                <wp:positionV relativeFrom="paragraph">
                  <wp:posOffset>2716007</wp:posOffset>
                </wp:positionV>
                <wp:extent cx="657860" cy="5553075"/>
                <wp:effectExtent l="0" t="0" r="8890" b="952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 cy="5553075"/>
                        </a:xfrm>
                        <a:prstGeom prst="rect">
                          <a:avLst/>
                        </a:prstGeom>
                        <a:solidFill>
                          <a:srgbClr val="FFFFFF"/>
                        </a:solidFill>
                        <a:ln w="9525">
                          <a:noFill/>
                          <a:miter lim="800000"/>
                          <a:headEnd/>
                          <a:tailEnd/>
                        </a:ln>
                      </wps:spPr>
                      <wps:txbx>
                        <w:txbxContent>
                          <w:p w:rsidR="00D842A6" w:rsidRDefault="00D842A6" w:rsidP="00CF1D1E">
                            <w:pPr>
                              <w:spacing w:line="360" w:lineRule="auto"/>
                              <w:rPr>
                                <w:sz w:val="20"/>
                                <w:szCs w:val="20"/>
                                <w:lang w:val="en"/>
                              </w:rPr>
                            </w:pPr>
                            <w:r>
                              <w:rPr>
                                <w:sz w:val="20"/>
                                <w:szCs w:val="20"/>
                                <w:lang w:val="en"/>
                              </w:rPr>
                              <w:t>Fig.117 2D scores plot of 9 teas using the extended data which includes the addition of the top 100 most abundant ions and the TFs and TSs. Tea types are referred to by a colour coded legend.</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71AFB" id="_x0000_s1054" type="#_x0000_t202" style="position:absolute;margin-left:.6pt;margin-top:213.85pt;width:51.8pt;height:437.25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" stroked="f">
                <v:textbox style="layout-flow:vertical;mso-layout-flow-alt:bottom-to-top">
                  <w:txbxContent>
                    <w:p w:rsidR="00D842A6" w:rsidRDefault="00D842A6" w:rsidP="00CF1D1E">
                      <w:pPr>
                        <w:spacing w:line="360" w:lineRule="auto"/>
                        <w:rPr>
                          <w:sz w:val="20"/>
                          <w:szCs w:val="20"/>
                          <w:lang w:val="en"/>
                        </w:rPr>
                      </w:pPr>
                      <w:r>
                        <w:rPr>
                          <w:sz w:val="20"/>
                          <w:szCs w:val="20"/>
                          <w:lang w:val="en"/>
                        </w:rPr>
                        <w:t>Fig.117 2D scores plot of 9 teas using the extended data which includes the addition of the top 100 most abundant ions and the TFs and TSs. Tea types are referred to by a colour coded legend.</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0"/>
          <w:szCs w:val="20"/>
          <w:lang w:eastAsia="en-GB"/>
        </w:rPr>
        <w:drawing>
          <wp:inline distT="0" distB="0" distL="0" distR="0" wp14:anchorId="5072D314" wp14:editId="60188B44">
            <wp:extent cx="8511421" cy="4436764"/>
            <wp:effectExtent l="0" t="1270" r="3175" b="31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cores plot of top 100 ab, Top 7 IDs, TFs and TSs LEGEND.PNG"/>
                    <pic:cNvPicPr/>
                  </pic:nvPicPr>
                  <pic:blipFill>
                    <a:blip r:embed="rId186">
                      <a:extLst>
                        <a:ext uri="{28A0092B-C50C-407E-A947-70E740481C1C}">
                          <a14:useLocalDpi xmlns:a14="http://schemas.microsoft.com/office/drawing/2010/main" val="0"/>
                        </a:ext>
                      </a:extLst>
                    </a:blip>
                    <a:stretch>
                      <a:fillRect/>
                    </a:stretch>
                  </pic:blipFill>
                  <pic:spPr>
                    <a:xfrm rot="16200000">
                      <a:off x="0" y="0"/>
                      <a:ext cx="8582324" cy="4473724"/>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28A3AA36" wp14:editId="29C5B2C9">
            <wp:extent cx="5731510" cy="4747895"/>
            <wp:effectExtent l="0" t="0" r="254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3D Scores plot 2 of top 100 ab, Top 7 IDs, TFs and TSs DETAIL Gimp NEW.PNG"/>
                    <pic:cNvPicPr/>
                  </pic:nvPicPr>
                  <pic:blipFill>
                    <a:blip r:embed="rId187">
                      <a:extLst>
                        <a:ext uri="{28A0092B-C50C-407E-A947-70E740481C1C}">
                          <a14:useLocalDpi xmlns:a14="http://schemas.microsoft.com/office/drawing/2010/main" val="0"/>
                        </a:ext>
                      </a:extLst>
                    </a:blip>
                    <a:stretch>
                      <a:fillRect/>
                    </a:stretch>
                  </pic:blipFill>
                  <pic:spPr>
                    <a:xfrm>
                      <a:off x="0" y="0"/>
                      <a:ext cx="5731510" cy="4747895"/>
                    </a:xfrm>
                    <a:prstGeom prst="rect">
                      <a:avLst/>
                    </a:prstGeom>
                  </pic:spPr>
                </pic:pic>
              </a:graphicData>
            </a:graphic>
          </wp:inline>
        </w:drawing>
      </w:r>
    </w:p>
    <w:p w:rsidR="00CF1D1E" w:rsidRPr="00CF1D1E" w:rsidRDefault="00565C2A" w:rsidP="00CF1D1E">
      <w:pPr>
        <w:spacing w:line="360" w:lineRule="auto"/>
        <w:jc w:val="both"/>
        <w:rPr>
          <w:rFonts w:ascii="Calibri" w:eastAsia="Calibri" w:hAnsi="Calibri" w:cs="Times New Roman"/>
          <w:sz w:val="20"/>
          <w:szCs w:val="20"/>
        </w:rPr>
      </w:pPr>
      <w:r>
        <w:rPr>
          <w:rFonts w:ascii="Calibri" w:eastAsia="Calibri" w:hAnsi="Calibri" w:cs="Times New Roman"/>
          <w:sz w:val="20"/>
          <w:szCs w:val="20"/>
        </w:rPr>
        <w:t xml:space="preserve">Fig.118 </w:t>
      </w:r>
      <w:r w:rsidR="00CF1D1E" w:rsidRPr="00CF1D1E">
        <w:rPr>
          <w:rFonts w:ascii="Calibri" w:eastAsia="Calibri" w:hAnsi="Calibri" w:cs="Times New Roman"/>
          <w:sz w:val="20"/>
          <w:szCs w:val="20"/>
        </w:rPr>
        <w:t xml:space="preserve">3D Scores plot of the </w:t>
      </w:r>
      <w:r w:rsidR="00CF1D1E" w:rsidRPr="00CF1D1E">
        <w:rPr>
          <w:rFonts w:ascii="Calibri" w:eastAsia="Calibri" w:hAnsi="Calibri" w:cs="Times New Roman"/>
          <w:sz w:val="20"/>
          <w:szCs w:val="20"/>
          <w:lang w:val="en"/>
        </w:rPr>
        <w:t xml:space="preserve">9 teas using the extended data which includes the addition of the top 100 most abundant ions and the TFs and TSs </w:t>
      </w:r>
      <w:r w:rsidR="00CF1D1E" w:rsidRPr="00CF1D1E">
        <w:rPr>
          <w:rFonts w:ascii="Calibri" w:eastAsia="Calibri" w:hAnsi="Calibri" w:cs="Times New Roman"/>
          <w:sz w:val="20"/>
          <w:szCs w:val="20"/>
        </w:rPr>
        <w:t>including a colour coded legend.</w:t>
      </w:r>
    </w:p>
    <w:p w:rsidR="00CF1D1E" w:rsidRPr="00CF1D1E" w:rsidRDefault="00CF1D1E" w:rsidP="00CF1D1E">
      <w:pPr>
        <w:spacing w:line="360" w:lineRule="auto"/>
        <w:rPr>
          <w:rFonts w:ascii="Calibri" w:eastAsia="Calibri" w:hAnsi="Calibri" w:cs="Times New Roman"/>
          <w:sz w:val="20"/>
          <w:szCs w:val="20"/>
          <w:lang w:val="en"/>
        </w:rPr>
      </w:pPr>
    </w:p>
    <w:p w:rsidR="00CF1D1E" w:rsidRPr="00CF1D1E" w:rsidRDefault="00CF1D1E" w:rsidP="00CF1D1E">
      <w:pPr>
        <w:spacing w:line="360" w:lineRule="auto"/>
        <w:rPr>
          <w:rFonts w:ascii="Calibri" w:eastAsia="Calibri" w:hAnsi="Calibri" w:cs="Times New Roman"/>
          <w:sz w:val="20"/>
          <w:szCs w:val="20"/>
          <w:lang w:val="en"/>
        </w:rPr>
      </w:pP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Once again, to build on this, the next plot is a Loadings Bi-Plot of the same data. It is a plot of the score values of the observations and the weights of the variables, so that the teas can be visualised in terms of their proximity to the analytes.</w:t>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rPr>
          <w:rFonts w:ascii="Calibri" w:eastAsia="Calibri" w:hAnsi="Calibri" w:cs="Times New Roman"/>
          <w:sz w:val="20"/>
          <w:szCs w:val="20"/>
          <w:lang w:val="en"/>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89984" behindDoc="0" locked="0" layoutInCell="1" allowOverlap="1" wp14:anchorId="20688258" wp14:editId="645D1BB8">
                <wp:simplePos x="0" y="0"/>
                <wp:positionH relativeFrom="margin">
                  <wp:align>right</wp:align>
                </wp:positionH>
                <wp:positionV relativeFrom="paragraph">
                  <wp:posOffset>671830</wp:posOffset>
                </wp:positionV>
                <wp:extent cx="671830" cy="7557135"/>
                <wp:effectExtent l="0" t="0" r="0" b="5715"/>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7557135"/>
                        </a:xfrm>
                        <a:prstGeom prst="rect">
                          <a:avLst/>
                        </a:prstGeom>
                        <a:solidFill>
                          <a:srgbClr val="FFFFFF"/>
                        </a:solidFill>
                        <a:ln w="9525">
                          <a:noFill/>
                          <a:miter lim="800000"/>
                          <a:headEnd/>
                          <a:tailEnd/>
                        </a:ln>
                      </wps:spPr>
                      <wps:txbx>
                        <w:txbxContent>
                          <w:p w:rsidR="00D842A6" w:rsidRDefault="00D842A6" w:rsidP="00CF1D1E">
                            <w:pPr>
                              <w:spacing w:line="360" w:lineRule="auto"/>
                              <w:jc w:val="both"/>
                              <w:rPr>
                                <w:sz w:val="20"/>
                                <w:szCs w:val="20"/>
                              </w:rPr>
                            </w:pPr>
                            <w:r>
                              <w:rPr>
                                <w:sz w:val="20"/>
                                <w:szCs w:val="20"/>
                              </w:rPr>
                              <w:t>Fig.</w:t>
                            </w:r>
                            <w:r w:rsidRPr="009D1DE5">
                              <w:rPr>
                                <w:sz w:val="20"/>
                                <w:szCs w:val="20"/>
                              </w:rPr>
                              <w:t>1</w:t>
                            </w:r>
                            <w:r>
                              <w:rPr>
                                <w:sz w:val="20"/>
                                <w:szCs w:val="20"/>
                              </w:rPr>
                              <w:t>19 Loadings Bi-</w:t>
                            </w:r>
                            <w:r w:rsidRPr="009D1DE5">
                              <w:rPr>
                                <w:sz w:val="20"/>
                                <w:szCs w:val="20"/>
                              </w:rPr>
                              <w:t xml:space="preserve">plot of the </w:t>
                            </w:r>
                            <w:r>
                              <w:rPr>
                                <w:sz w:val="20"/>
                                <w:szCs w:val="20"/>
                                <w:lang w:val="en"/>
                              </w:rPr>
                              <w:t xml:space="preserve">9 teas using the extended data which includes the addition of the top 100 most abundant ions and the TFs and TSs </w:t>
                            </w:r>
                            <w:r w:rsidRPr="009D1DE5">
                              <w:rPr>
                                <w:sz w:val="20"/>
                                <w:szCs w:val="20"/>
                              </w:rPr>
                              <w:t>including a colour coded legend.</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88258" id="_x0000_s1055" type="#_x0000_t202" style="position:absolute;margin-left:1.7pt;margin-top:52.9pt;width:52.9pt;height:595.05pt;z-index:251689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" stroked="f">
                <v:textbox style="layout-flow:vertical;mso-layout-flow-alt:bottom-to-top">
                  <w:txbxContent>
                    <w:p w:rsidR="00D842A6" w:rsidRDefault="00D842A6" w:rsidP="00CF1D1E">
                      <w:pPr>
                        <w:spacing w:line="360" w:lineRule="auto"/>
                        <w:jc w:val="both"/>
                        <w:rPr>
                          <w:sz w:val="20"/>
                          <w:szCs w:val="20"/>
                        </w:rPr>
                      </w:pPr>
                      <w:r>
                        <w:rPr>
                          <w:sz w:val="20"/>
                          <w:szCs w:val="20"/>
                        </w:rPr>
                        <w:t>Fig.</w:t>
                      </w:r>
                      <w:r w:rsidRPr="009D1DE5">
                        <w:rPr>
                          <w:sz w:val="20"/>
                          <w:szCs w:val="20"/>
                        </w:rPr>
                        <w:t>1</w:t>
                      </w:r>
                      <w:r>
                        <w:rPr>
                          <w:sz w:val="20"/>
                          <w:szCs w:val="20"/>
                        </w:rPr>
                        <w:t>19 Loadings Bi-</w:t>
                      </w:r>
                      <w:r w:rsidRPr="009D1DE5">
                        <w:rPr>
                          <w:sz w:val="20"/>
                          <w:szCs w:val="20"/>
                        </w:rPr>
                        <w:t xml:space="preserve">plot of the </w:t>
                      </w:r>
                      <w:r>
                        <w:rPr>
                          <w:sz w:val="20"/>
                          <w:szCs w:val="20"/>
                          <w:lang w:val="en"/>
                        </w:rPr>
                        <w:t xml:space="preserve">9 teas using the extended data which includes the addition of the top 100 most abundant ions and the TFs and TSs </w:t>
                      </w:r>
                      <w:r w:rsidRPr="009D1DE5">
                        <w:rPr>
                          <w:sz w:val="20"/>
                          <w:szCs w:val="20"/>
                        </w:rPr>
                        <w:t>including a colour coded legend.</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0"/>
          <w:szCs w:val="20"/>
          <w:lang w:eastAsia="en-GB"/>
        </w:rPr>
        <w:drawing>
          <wp:inline distT="0" distB="0" distL="0" distR="0" wp14:anchorId="62FD530F" wp14:editId="2B6851E6">
            <wp:extent cx="8439187" cy="4339272"/>
            <wp:effectExtent l="0" t="7303"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Loadings Bi-plot of top 100 ab, Top 7 IDs, TFs and TSs.PNG"/>
                    <pic:cNvPicPr/>
                  </pic:nvPicPr>
                  <pic:blipFill>
                    <a:blip r:embed="rId188">
                      <a:extLst>
                        <a:ext uri="{28A0092B-C50C-407E-A947-70E740481C1C}">
                          <a14:useLocalDpi xmlns:a14="http://schemas.microsoft.com/office/drawing/2010/main" val="0"/>
                        </a:ext>
                      </a:extLst>
                    </a:blip>
                    <a:stretch>
                      <a:fillRect/>
                    </a:stretch>
                  </pic:blipFill>
                  <pic:spPr>
                    <a:xfrm rot="16200000">
                      <a:off x="0" y="0"/>
                      <a:ext cx="8479386" cy="4359942"/>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rPr>
          <w:rFonts w:ascii="Calibri" w:eastAsia="Calibri" w:hAnsi="Calibri" w:cs="Times New Roman"/>
          <w:sz w:val="20"/>
          <w:szCs w:val="20"/>
          <w:lang w:val="en"/>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The following Goodness of Fit plot serves as a quality control check as to how well the predictive model is performing. 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and Q</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values are provided on the </w:t>
      </w:r>
      <w:r w:rsidRPr="00CF1D1E">
        <w:rPr>
          <w:rFonts w:ascii="Calibri" w:eastAsia="Calibri" w:hAnsi="Calibri" w:cs="Times New Roman"/>
          <w:i/>
          <w:sz w:val="24"/>
          <w:szCs w:val="24"/>
        </w:rPr>
        <w:t>y</w:t>
      </w:r>
      <w:r w:rsidRPr="00CF1D1E">
        <w:rPr>
          <w:rFonts w:ascii="Calibri" w:eastAsia="Calibri" w:hAnsi="Calibri" w:cs="Times New Roman"/>
          <w:sz w:val="24"/>
          <w:szCs w:val="24"/>
        </w:rPr>
        <w:t>-axis for the first 8 principal components.</w:t>
      </w:r>
    </w:p>
    <w:p w:rsidR="00CF1D1E" w:rsidRPr="00CF1D1E" w:rsidRDefault="00CF1D1E" w:rsidP="00CF1D1E">
      <w:pPr>
        <w:spacing w:line="360" w:lineRule="auto"/>
        <w:jc w:val="both"/>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5C1AAA29" wp14:editId="05FEDD49">
            <wp:extent cx="5731510" cy="2978785"/>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oodness of fit with R2 and Q2 plot of top 100 ab, Top 7 IDs, TFs and TSs.PNG"/>
                    <pic:cNvPicPr/>
                  </pic:nvPicPr>
                  <pic:blipFill>
                    <a:blip r:embed="rId189">
                      <a:extLst>
                        <a:ext uri="{28A0092B-C50C-407E-A947-70E740481C1C}">
                          <a14:useLocalDpi xmlns:a14="http://schemas.microsoft.com/office/drawing/2010/main" val="0"/>
                        </a:ext>
                      </a:extLst>
                    </a:blip>
                    <a:stretch>
                      <a:fillRect/>
                    </a:stretch>
                  </pic:blipFill>
                  <pic:spPr>
                    <a:xfrm>
                      <a:off x="0" y="0"/>
                      <a:ext cx="5731510" cy="2978785"/>
                    </a:xfrm>
                    <a:prstGeom prst="rect">
                      <a:avLst/>
                    </a:prstGeom>
                  </pic:spPr>
                </pic:pic>
              </a:graphicData>
            </a:graphic>
          </wp:inline>
        </w:drawing>
      </w:r>
    </w:p>
    <w:p w:rsidR="00CF1D1E" w:rsidRPr="00CF1D1E" w:rsidRDefault="00565C2A" w:rsidP="00CF1D1E">
      <w:pPr>
        <w:spacing w:line="360" w:lineRule="auto"/>
        <w:jc w:val="both"/>
        <w:rPr>
          <w:rFonts w:ascii="Calibri" w:eastAsia="Calibri" w:hAnsi="Calibri" w:cs="Times New Roman"/>
          <w:sz w:val="20"/>
          <w:szCs w:val="20"/>
        </w:rPr>
      </w:pPr>
      <w:r>
        <w:rPr>
          <w:rFonts w:ascii="Calibri" w:eastAsia="Calibri" w:hAnsi="Calibri" w:cs="Times New Roman"/>
          <w:sz w:val="20"/>
          <w:szCs w:val="20"/>
        </w:rPr>
        <w:t xml:space="preserve">Fig.120 </w:t>
      </w:r>
      <w:r w:rsidR="00CF1D1E" w:rsidRPr="00CF1D1E">
        <w:rPr>
          <w:rFonts w:ascii="Calibri" w:eastAsia="Calibri" w:hAnsi="Calibri" w:cs="Times New Roman"/>
          <w:sz w:val="20"/>
          <w:szCs w:val="20"/>
        </w:rPr>
        <w:t xml:space="preserve">Goodness of fit plot of the </w:t>
      </w:r>
      <w:r w:rsidR="00CF1D1E" w:rsidRPr="00CF1D1E">
        <w:rPr>
          <w:rFonts w:ascii="Calibri" w:eastAsia="Calibri" w:hAnsi="Calibri" w:cs="Times New Roman"/>
          <w:sz w:val="20"/>
          <w:szCs w:val="20"/>
          <w:lang w:val="en"/>
        </w:rPr>
        <w:t xml:space="preserve">9 teas using the extended data which includes the addition of the top 100 most abundant ions and the TFs and TSs </w:t>
      </w:r>
      <w:r w:rsidR="00CF1D1E" w:rsidRPr="00CF1D1E">
        <w:rPr>
          <w:rFonts w:ascii="Calibri" w:eastAsia="Calibri" w:hAnsi="Calibri" w:cs="Times New Roman"/>
          <w:sz w:val="20"/>
          <w:szCs w:val="20"/>
        </w:rPr>
        <w:t>including a colour coded legend for R</w:t>
      </w:r>
      <w:r w:rsidR="00CF1D1E" w:rsidRPr="00E4015C">
        <w:rPr>
          <w:rFonts w:ascii="Calibri" w:eastAsia="Calibri" w:hAnsi="Calibri" w:cs="Times New Roman"/>
          <w:sz w:val="20"/>
          <w:szCs w:val="20"/>
          <w:vertAlign w:val="superscript"/>
        </w:rPr>
        <w:t>2</w:t>
      </w:r>
      <w:r w:rsidR="00CF1D1E" w:rsidRPr="00CF1D1E">
        <w:rPr>
          <w:rFonts w:ascii="Calibri" w:eastAsia="Calibri" w:hAnsi="Calibri" w:cs="Times New Roman"/>
          <w:sz w:val="20"/>
          <w:szCs w:val="20"/>
        </w:rPr>
        <w:t xml:space="preserve"> and Q</w:t>
      </w:r>
      <w:r w:rsidR="00CF1D1E" w:rsidRPr="00E4015C">
        <w:rPr>
          <w:rFonts w:ascii="Calibri" w:eastAsia="Calibri" w:hAnsi="Calibri" w:cs="Times New Roman"/>
          <w:sz w:val="20"/>
          <w:szCs w:val="20"/>
          <w:vertAlign w:val="superscript"/>
        </w:rPr>
        <w:t>2</w:t>
      </w:r>
      <w:r w:rsidR="00CF1D1E" w:rsidRPr="00CF1D1E">
        <w:rPr>
          <w:rFonts w:ascii="Calibri" w:eastAsia="Calibri" w:hAnsi="Calibri" w:cs="Times New Roman"/>
          <w:sz w:val="20"/>
          <w:szCs w:val="20"/>
        </w:rPr>
        <w:t>.</w:t>
      </w:r>
    </w:p>
    <w:p w:rsidR="00CF1D1E" w:rsidRPr="00CF1D1E" w:rsidRDefault="00CF1D1E" w:rsidP="00CF1D1E">
      <w:pPr>
        <w:spacing w:line="360" w:lineRule="auto"/>
        <w:jc w:val="both"/>
        <w:rPr>
          <w:rFonts w:ascii="Calibri" w:eastAsia="Calibri" w:hAnsi="Calibri" w:cs="Times New Roman"/>
          <w:sz w:val="20"/>
          <w:szCs w:val="20"/>
        </w:rPr>
      </w:pPr>
    </w:p>
    <w:p w:rsidR="00CF1D1E" w:rsidRPr="00CF1D1E" w:rsidRDefault="00CF1D1E" w:rsidP="00CF1D1E">
      <w:pPr>
        <w:spacing w:line="360" w:lineRule="auto"/>
        <w:ind w:firstLine="720"/>
        <w:jc w:val="both"/>
        <w:rPr>
          <w:rFonts w:ascii="Calibri" w:eastAsia="Calibri" w:hAnsi="Calibri" w:cs="Times New Roman"/>
          <w:sz w:val="24"/>
          <w:szCs w:val="24"/>
          <w:lang w:val="en"/>
        </w:rPr>
      </w:pPr>
      <w:r w:rsidRPr="00CF1D1E">
        <w:rPr>
          <w:rFonts w:ascii="Calibri" w:eastAsia="Calibri" w:hAnsi="Calibri" w:cs="Times New Roman"/>
          <w:sz w:val="24"/>
          <w:szCs w:val="24"/>
          <w:lang w:val="en"/>
        </w:rPr>
        <w:t>At this stage a new model was created in EZ Info using OPLS-DA. S-Plots were created for some of the more important combinations of the 9 teas in order to show the improvement in predictive ability of the new model based on the stage 3 data over the previous model (stage 2) and to also reveal new biomarkers. The following S-plot (Fig.121) shows a large increase in data points compared to Fig.108 and how the added components facilitate the discrimination between the 2 tea types. Also, yet to be identified potential biomarkers are evident at the extremes of the plot i.e. the top right (Chomogonday White) and lower left (Extracts 652). These features will be illustrated in more detail focusing on 3 separate ions, highlighted by a red square, and variable trend plots to show their relevance.</w:t>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jc w:val="both"/>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w:lastRenderedPageBreak/>
        <mc:AlternateContent>
          <mc:Choice Requires="wps">
            <w:drawing>
              <wp:anchor distT="45720" distB="45720" distL="114300" distR="114300" simplePos="0" relativeHeight="251691008" behindDoc="0" locked="0" layoutInCell="1" allowOverlap="1" wp14:anchorId="1D7BECB3" wp14:editId="363444D4">
                <wp:simplePos x="0" y="0"/>
                <wp:positionH relativeFrom="margin">
                  <wp:posOffset>5153561</wp:posOffset>
                </wp:positionH>
                <wp:positionV relativeFrom="paragraph">
                  <wp:posOffset>3443704</wp:posOffset>
                </wp:positionV>
                <wp:extent cx="391160" cy="4749800"/>
                <wp:effectExtent l="0" t="0" r="8890" b="0"/>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4749800"/>
                        </a:xfrm>
                        <a:prstGeom prst="rect">
                          <a:avLst/>
                        </a:prstGeom>
                        <a:solidFill>
                          <a:srgbClr val="FFFFFF"/>
                        </a:solidFill>
                        <a:ln w="9525">
                          <a:noFill/>
                          <a:miter lim="800000"/>
                          <a:headEnd/>
                          <a:tailEnd/>
                        </a:ln>
                      </wps:spPr>
                      <wps:txbx>
                        <w:txbxContent>
                          <w:p w:rsidR="00D842A6" w:rsidRDefault="00D842A6" w:rsidP="00CF1D1E">
                            <w:pPr>
                              <w:spacing w:line="360" w:lineRule="auto"/>
                              <w:jc w:val="both"/>
                              <w:rPr>
                                <w:sz w:val="20"/>
                                <w:szCs w:val="20"/>
                                <w:lang w:val="en"/>
                              </w:rPr>
                            </w:pPr>
                            <w:r>
                              <w:rPr>
                                <w:sz w:val="20"/>
                                <w:szCs w:val="20"/>
                                <w:lang w:val="en"/>
                              </w:rPr>
                              <w:t>Fig.121 S-Plot of Extracts 652 v Chomogonday White with analytes labelled in green.</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BECB3" id="_x0000_s1056" type="#_x0000_t202" style="position:absolute;left:0;text-align:left;margin-left:405.8pt;margin-top:271.15pt;width:30.8pt;height:374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" stroked="f">
                <v:textbox style="layout-flow:vertical;mso-layout-flow-alt:bottom-to-top">
                  <w:txbxContent>
                    <w:p w:rsidR="00D842A6" w:rsidRDefault="00D842A6" w:rsidP="00CF1D1E">
                      <w:pPr>
                        <w:spacing w:line="360" w:lineRule="auto"/>
                        <w:jc w:val="both"/>
                        <w:rPr>
                          <w:sz w:val="20"/>
                          <w:szCs w:val="20"/>
                          <w:lang w:val="en"/>
                        </w:rPr>
                      </w:pPr>
                      <w:r>
                        <w:rPr>
                          <w:sz w:val="20"/>
                          <w:szCs w:val="20"/>
                          <w:lang w:val="en"/>
                        </w:rPr>
                        <w:t>Fig.121 S-Plot of Extracts 652 v Chomogonday White with analytes labelled in green.</w:t>
                      </w:r>
                    </w:p>
                    <w:p w:rsidR="00D842A6" w:rsidRDefault="00D842A6" w:rsidP="00CF1D1E"/>
                  </w:txbxContent>
                </v:textbox>
                <w10:wrap type="square" anchorx="margin"/>
              </v:shape>
            </w:pict>
          </mc:Fallback>
        </mc:AlternateContent>
      </w:r>
      <w:r w:rsidRPr="00CF1D1E">
        <w:rPr>
          <w:rFonts w:ascii="Calibri" w:eastAsia="Calibri" w:hAnsi="Calibri" w:cs="Times New Roman"/>
          <w:b/>
          <w:noProof/>
          <w:sz w:val="44"/>
          <w:szCs w:val="44"/>
          <w:lang w:eastAsia="en-GB"/>
        </w:rPr>
        <w:drawing>
          <wp:inline distT="0" distB="0" distL="0" distR="0" wp14:anchorId="0E413C88" wp14:editId="77BBD3C4">
            <wp:extent cx="8405748" cy="4381680"/>
            <wp:effectExtent l="0" t="7302" r="7302" b="7303"/>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Plot with top100 with top7 TFs and TSs Extracts 652 v CW.png"/>
                    <pic:cNvPicPr/>
                  </pic:nvPicPr>
                  <pic:blipFill>
                    <a:blip r:embed="rId190">
                      <a:extLst>
                        <a:ext uri="{28A0092B-C50C-407E-A947-70E740481C1C}">
                          <a14:useLocalDpi xmlns:a14="http://schemas.microsoft.com/office/drawing/2010/main" val="0"/>
                        </a:ext>
                      </a:extLst>
                    </a:blip>
                    <a:stretch>
                      <a:fillRect/>
                    </a:stretch>
                  </pic:blipFill>
                  <pic:spPr>
                    <a:xfrm rot="16200000">
                      <a:off x="0" y="0"/>
                      <a:ext cx="8434627" cy="4396734"/>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w:lastRenderedPageBreak/>
        <mc:AlternateContent>
          <mc:Choice Requires="wps">
            <w:drawing>
              <wp:anchor distT="45720" distB="45720" distL="114300" distR="114300" simplePos="0" relativeHeight="251692032" behindDoc="0" locked="0" layoutInCell="1" allowOverlap="1" wp14:anchorId="7BB80667" wp14:editId="5DDA9587">
                <wp:simplePos x="0" y="0"/>
                <wp:positionH relativeFrom="margin">
                  <wp:posOffset>4879340</wp:posOffset>
                </wp:positionH>
                <wp:positionV relativeFrom="paragraph">
                  <wp:posOffset>1221740</wp:posOffset>
                </wp:positionV>
                <wp:extent cx="554990" cy="7097395"/>
                <wp:effectExtent l="0" t="0" r="0" b="8255"/>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7097395"/>
                        </a:xfrm>
                        <a:prstGeom prst="rect">
                          <a:avLst/>
                        </a:prstGeom>
                        <a:solidFill>
                          <a:srgbClr val="FFFFFF"/>
                        </a:solidFill>
                        <a:ln w="9525">
                          <a:noFill/>
                          <a:miter lim="800000"/>
                          <a:headEnd/>
                          <a:tailEnd/>
                        </a:ln>
                      </wps:spPr>
                      <wps:txbx>
                        <w:txbxContent>
                          <w:p w:rsidR="00D842A6" w:rsidRDefault="00D842A6" w:rsidP="00CF1D1E">
                            <w:r>
                              <w:rPr>
                                <w:sz w:val="20"/>
                                <w:szCs w:val="20"/>
                                <w:lang w:val="en"/>
                              </w:rPr>
                              <w:t>Fig.122 S-Plot highlighting 210.0740 m/z (red square) for Extracts 652 v Chomogonday White including a variable trend plot.</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80667" id="_x0000_s1057" type="#_x0000_t202" style="position:absolute;margin-left:384.2pt;margin-top:96.2pt;width:43.7pt;height:558.8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" stroked="f">
                <v:textbox style="layout-flow:vertical;mso-layout-flow-alt:bottom-to-top">
                  <w:txbxContent>
                    <w:p w:rsidR="00D842A6" w:rsidRDefault="00D842A6" w:rsidP="00CF1D1E">
                      <w:r>
                        <w:rPr>
                          <w:sz w:val="20"/>
                          <w:szCs w:val="20"/>
                          <w:lang w:val="en"/>
                        </w:rPr>
                        <w:t>Fig.122 S-Plot highlighting 210.0740 m/z (red square) for Extracts 652 v Chomogonday White including a variable trend plot.</w:t>
                      </w:r>
                    </w:p>
                  </w:txbxContent>
                </v:textbox>
                <w10:wrap type="square" anchorx="margin"/>
              </v:shape>
            </w:pict>
          </mc:Fallback>
        </mc:AlternateContent>
      </w:r>
      <w:r w:rsidRPr="00CF1D1E">
        <w:rPr>
          <w:rFonts w:ascii="Calibri" w:eastAsia="Calibri" w:hAnsi="Calibri" w:cs="Times New Roman"/>
          <w:b/>
          <w:noProof/>
          <w:sz w:val="44"/>
          <w:szCs w:val="44"/>
          <w:lang w:eastAsia="en-GB"/>
        </w:rPr>
        <w:drawing>
          <wp:inline distT="0" distB="0" distL="0" distR="0" wp14:anchorId="25A73C7A" wp14:editId="1BC7E565">
            <wp:extent cx="8308570" cy="4349434"/>
            <wp:effectExtent l="0" t="1588"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Plot and VT 0.42_210.0740n with top100 with top7 TFs and TSs Extracts 652 v CW.png"/>
                    <pic:cNvPicPr/>
                  </pic:nvPicPr>
                  <pic:blipFill>
                    <a:blip r:embed="rId191">
                      <a:extLst>
                        <a:ext uri="{28A0092B-C50C-407E-A947-70E740481C1C}">
                          <a14:useLocalDpi xmlns:a14="http://schemas.microsoft.com/office/drawing/2010/main" val="0"/>
                        </a:ext>
                      </a:extLst>
                    </a:blip>
                    <a:stretch>
                      <a:fillRect/>
                    </a:stretch>
                  </pic:blipFill>
                  <pic:spPr>
                    <a:xfrm rot="16200000">
                      <a:off x="0" y="0"/>
                      <a:ext cx="8322965" cy="4356970"/>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jc w:val="both"/>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w:lastRenderedPageBreak/>
        <mc:AlternateContent>
          <mc:Choice Requires="wps">
            <w:drawing>
              <wp:anchor distT="45720" distB="45720" distL="114300" distR="114300" simplePos="0" relativeHeight="251693056" behindDoc="0" locked="0" layoutInCell="1" allowOverlap="1" wp14:anchorId="5EB81BB2" wp14:editId="580B6ADB">
                <wp:simplePos x="0" y="0"/>
                <wp:positionH relativeFrom="rightMargin">
                  <wp:posOffset>-623943</wp:posOffset>
                </wp:positionH>
                <wp:positionV relativeFrom="paragraph">
                  <wp:posOffset>1441264</wp:posOffset>
                </wp:positionV>
                <wp:extent cx="472440" cy="6884670"/>
                <wp:effectExtent l="0" t="0" r="3810" b="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6884670"/>
                        </a:xfrm>
                        <a:prstGeom prst="rect">
                          <a:avLst/>
                        </a:prstGeom>
                        <a:solidFill>
                          <a:srgbClr val="FFFFFF"/>
                        </a:solidFill>
                        <a:ln w="9525">
                          <a:noFill/>
                          <a:miter lim="800000"/>
                          <a:headEnd/>
                          <a:tailEnd/>
                        </a:ln>
                      </wps:spPr>
                      <wps:txbx>
                        <w:txbxContent>
                          <w:p w:rsidR="00D842A6" w:rsidRPr="003A34F6" w:rsidRDefault="00D842A6" w:rsidP="00CF1D1E">
                            <w:pPr>
                              <w:rPr>
                                <w:sz w:val="20"/>
                                <w:szCs w:val="20"/>
                              </w:rPr>
                            </w:pPr>
                            <w:r>
                              <w:rPr>
                                <w:sz w:val="20"/>
                                <w:szCs w:val="20"/>
                              </w:rPr>
                              <w:t xml:space="preserve">Fig.123 </w:t>
                            </w:r>
                            <w:r w:rsidRPr="003A34F6">
                              <w:rPr>
                                <w:sz w:val="20"/>
                                <w:szCs w:val="20"/>
                              </w:rPr>
                              <w:t>S-Plot highlighting 192.0269 m/z (red square) for Extracts 652 v Chomogonday White including a variable trend plot.</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81BB2" id="_x0000_s1058" type="#_x0000_t202" style="position:absolute;left:0;text-align:left;margin-left:-49.15pt;margin-top:113.5pt;width:37.2pt;height:542.1pt;z-index:25169305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" stroked="f">
                <v:textbox style="layout-flow:vertical;mso-layout-flow-alt:bottom-to-top">
                  <w:txbxContent>
                    <w:p w:rsidR="00D842A6" w:rsidRPr="003A34F6" w:rsidRDefault="00D842A6" w:rsidP="00CF1D1E">
                      <w:pPr>
                        <w:rPr>
                          <w:sz w:val="20"/>
                          <w:szCs w:val="20"/>
                        </w:rPr>
                      </w:pPr>
                      <w:r>
                        <w:rPr>
                          <w:sz w:val="20"/>
                          <w:szCs w:val="20"/>
                        </w:rPr>
                        <w:t xml:space="preserve">Fig.123 </w:t>
                      </w:r>
                      <w:r w:rsidRPr="003A34F6">
                        <w:rPr>
                          <w:sz w:val="20"/>
                          <w:szCs w:val="20"/>
                        </w:rPr>
                        <w:t>S-Plot highlighting 192.0269 m/z (red square) for Extracts 652 v Chomogonday White including a variable trend plot.</w:t>
                      </w:r>
                    </w:p>
                  </w:txbxContent>
                </v:textbox>
                <w10:wrap type="square" anchorx="margin"/>
              </v:shape>
            </w:pict>
          </mc:Fallback>
        </mc:AlternateContent>
      </w:r>
      <w:r w:rsidRPr="00CF1D1E">
        <w:rPr>
          <w:rFonts w:ascii="Calibri" w:eastAsia="Calibri" w:hAnsi="Calibri" w:cs="Times New Roman"/>
          <w:noProof/>
          <w:sz w:val="20"/>
          <w:szCs w:val="20"/>
          <w:lang w:eastAsia="en-GB"/>
        </w:rPr>
        <w:drawing>
          <wp:inline distT="0" distB="0" distL="0" distR="0" wp14:anchorId="490F42AD" wp14:editId="697DCEFF">
            <wp:extent cx="8336716" cy="4362450"/>
            <wp:effectExtent l="5715" t="0" r="0" b="0"/>
            <wp:docPr id="164" name="Picture 164" descr="C:\Users\chsa10\Documents\James Finlay Ltd\NEW 150819\Part 3\EZ Info data\S-Plot and VT 0.48_192.0269n with top100 with top7 TFs and TSs Extracts 652 v C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sa10\Documents\James Finlay Ltd\NEW 150819\Part 3\EZ Info data\S-Plot and VT 0.48_192.0269n with top100 with top7 TFs and TSs Extracts 652 v CW.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16200000">
                      <a:off x="0" y="0"/>
                      <a:ext cx="8360420" cy="4374854"/>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b/>
          <w:sz w:val="44"/>
          <w:szCs w:val="44"/>
          <w:lang w:val="en"/>
        </w:rPr>
      </w:pPr>
      <w:r w:rsidRPr="00CF1D1E">
        <w:rPr>
          <w:rFonts w:ascii="Calibri" w:eastAsia="Calibri" w:hAnsi="Calibri" w:cs="Times New Roman"/>
          <w:b/>
          <w:sz w:val="44"/>
          <w:szCs w:val="44"/>
          <w:lang w:val="en"/>
        </w:rPr>
        <w:br w:type="page"/>
      </w:r>
    </w:p>
    <w:p w:rsidR="00CF1D1E" w:rsidRPr="00CF1D1E" w:rsidRDefault="00CF1D1E" w:rsidP="00CF1D1E">
      <w:pPr>
        <w:spacing w:line="360" w:lineRule="auto"/>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w:lastRenderedPageBreak/>
        <mc:AlternateContent>
          <mc:Choice Requires="wps">
            <w:drawing>
              <wp:anchor distT="45720" distB="45720" distL="114300" distR="114300" simplePos="0" relativeHeight="251694080" behindDoc="0" locked="0" layoutInCell="1" allowOverlap="1" wp14:anchorId="1A7AF8E9" wp14:editId="7AABC82D">
                <wp:simplePos x="0" y="0"/>
                <wp:positionH relativeFrom="margin">
                  <wp:align>right</wp:align>
                </wp:positionH>
                <wp:positionV relativeFrom="paragraph">
                  <wp:posOffset>2002790</wp:posOffset>
                </wp:positionV>
                <wp:extent cx="511175" cy="6203950"/>
                <wp:effectExtent l="0" t="0" r="3175" b="635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6203950"/>
                        </a:xfrm>
                        <a:prstGeom prst="rect">
                          <a:avLst/>
                        </a:prstGeom>
                        <a:solidFill>
                          <a:srgbClr val="FFFFFF"/>
                        </a:solidFill>
                        <a:ln w="9525">
                          <a:noFill/>
                          <a:miter lim="800000"/>
                          <a:headEnd/>
                          <a:tailEnd/>
                        </a:ln>
                      </wps:spPr>
                      <wps:txbx>
                        <w:txbxContent>
                          <w:p w:rsidR="00D842A6" w:rsidRPr="00B35276" w:rsidRDefault="00D842A6" w:rsidP="00CF1D1E">
                            <w:pPr>
                              <w:spacing w:line="360" w:lineRule="auto"/>
                              <w:jc w:val="both"/>
                              <w:rPr>
                                <w:sz w:val="20"/>
                                <w:szCs w:val="20"/>
                                <w:lang w:val="en"/>
                              </w:rPr>
                            </w:pPr>
                            <w:r>
                              <w:rPr>
                                <w:sz w:val="20"/>
                                <w:szCs w:val="20"/>
                                <w:lang w:val="en"/>
                              </w:rPr>
                              <w:t>Fig.124 S-Plot highlighting 344.0744 m/z for Extracts 652 v Chomogonday White including a variable trend plot.</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AF8E9" id="_x0000_s1059" type="#_x0000_t202" style="position:absolute;margin-left:-10.95pt;margin-top:157.7pt;width:40.25pt;height:488.5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" stroked="f">
                <v:textbox style="layout-flow:vertical;mso-layout-flow-alt:bottom-to-top">
                  <w:txbxContent>
                    <w:p w:rsidR="00D842A6" w:rsidRPr="00B35276" w:rsidRDefault="00D842A6" w:rsidP="00CF1D1E">
                      <w:pPr>
                        <w:spacing w:line="360" w:lineRule="auto"/>
                        <w:jc w:val="both"/>
                        <w:rPr>
                          <w:sz w:val="20"/>
                          <w:szCs w:val="20"/>
                          <w:lang w:val="en"/>
                        </w:rPr>
                      </w:pPr>
                      <w:r>
                        <w:rPr>
                          <w:sz w:val="20"/>
                          <w:szCs w:val="20"/>
                          <w:lang w:val="en"/>
                        </w:rPr>
                        <w:t>Fig.124 S-Plot highlighting 344.0744 m/z for Extracts 652 v Chomogonday White including a variable trend plot.</w:t>
                      </w:r>
                    </w:p>
                  </w:txbxContent>
                </v:textbox>
                <w10:wrap type="square" anchorx="margin"/>
              </v:shape>
            </w:pict>
          </mc:Fallback>
        </mc:AlternateContent>
      </w:r>
      <w:r w:rsidRPr="00CF1D1E">
        <w:rPr>
          <w:rFonts w:ascii="Calibri" w:eastAsia="Calibri" w:hAnsi="Calibri" w:cs="Times New Roman"/>
          <w:b/>
          <w:noProof/>
          <w:sz w:val="44"/>
          <w:szCs w:val="44"/>
          <w:lang w:eastAsia="en-GB"/>
        </w:rPr>
        <w:drawing>
          <wp:inline distT="0" distB="0" distL="0" distR="0" wp14:anchorId="2B2B55C5" wp14:editId="38861DF0">
            <wp:extent cx="8312025" cy="4348480"/>
            <wp:effectExtent l="318"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Plot and VT 0.48_344.0744n with top100 with top7 TFs and TSs Extracts 652 v CW.png"/>
                    <pic:cNvPicPr/>
                  </pic:nvPicPr>
                  <pic:blipFill>
                    <a:blip r:embed="rId193">
                      <a:extLst>
                        <a:ext uri="{28A0092B-C50C-407E-A947-70E740481C1C}">
                          <a14:useLocalDpi xmlns:a14="http://schemas.microsoft.com/office/drawing/2010/main" val="0"/>
                        </a:ext>
                      </a:extLst>
                    </a:blip>
                    <a:stretch>
                      <a:fillRect/>
                    </a:stretch>
                  </pic:blipFill>
                  <pic:spPr>
                    <a:xfrm rot="16200000">
                      <a:off x="0" y="0"/>
                      <a:ext cx="8357518" cy="4372280"/>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jc w:val="both"/>
        <w:rPr>
          <w:rFonts w:ascii="Calibri" w:eastAsia="Calibri" w:hAnsi="Calibri" w:cs="Times New Roman"/>
          <w:sz w:val="20"/>
          <w:szCs w:val="20"/>
          <w:lang w:val="en"/>
        </w:rPr>
      </w:pPr>
    </w:p>
    <w:p w:rsidR="00CF1D1E" w:rsidRPr="00CF1D1E" w:rsidRDefault="00CF1D1E" w:rsidP="00CF1D1E">
      <w:pPr>
        <w:spacing w:line="360" w:lineRule="auto"/>
        <w:jc w:val="both"/>
        <w:rPr>
          <w:rFonts w:ascii="Calibri" w:eastAsia="Calibri" w:hAnsi="Calibri" w:cs="Times New Roman"/>
          <w:sz w:val="20"/>
          <w:szCs w:val="20"/>
          <w:lang w:val="en"/>
        </w:rPr>
      </w:pPr>
      <w:r w:rsidRPr="00CF1D1E">
        <w:rPr>
          <w:rFonts w:ascii="Calibri" w:eastAsia="Calibri" w:hAnsi="Calibri" w:cs="Times New Roman"/>
          <w:noProof/>
          <w:sz w:val="20"/>
          <w:szCs w:val="20"/>
          <w:lang w:eastAsia="en-GB"/>
        </w:rPr>
        <w:drawing>
          <wp:inline distT="0" distB="0" distL="0" distR="0" wp14:anchorId="0C3762F2" wp14:editId="43DBA0D3">
            <wp:extent cx="6058450" cy="1705856"/>
            <wp:effectExtent l="0" t="0" r="0" b="8890"/>
            <wp:docPr id="166" name="Picture 166" descr="C:\Users\chsa10\Documents\James Finlay Ltd\NEW 150819\Part 3\Progenesis QI data\Theogallin spectra 0.48 min 344.0744n with loss of galloy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hsa10\Documents\James Finlay Ltd\NEW 150819\Part 3\Progenesis QI data\Theogallin spectra 0.48 min 344.0744n with loss of galloyl.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10467" cy="1720502"/>
                    </a:xfrm>
                    <a:prstGeom prst="rect">
                      <a:avLst/>
                    </a:prstGeom>
                    <a:noFill/>
                    <a:ln>
                      <a:noFill/>
                    </a:ln>
                  </pic:spPr>
                </pic:pic>
              </a:graphicData>
            </a:graphic>
          </wp:inline>
        </w:drawing>
      </w:r>
    </w:p>
    <w:p w:rsidR="00CF1D1E" w:rsidRPr="00CF1D1E" w:rsidRDefault="00F87D49" w:rsidP="00CF1D1E">
      <w:pPr>
        <w:spacing w:line="360" w:lineRule="auto"/>
        <w:jc w:val="both"/>
        <w:rPr>
          <w:rFonts w:ascii="Calibri" w:eastAsia="Calibri" w:hAnsi="Calibri" w:cs="Times New Roman"/>
          <w:sz w:val="20"/>
          <w:szCs w:val="20"/>
          <w:lang w:val="en"/>
        </w:rPr>
      </w:pPr>
      <w:r>
        <w:rPr>
          <w:rFonts w:ascii="Calibri" w:eastAsia="Calibri" w:hAnsi="Calibri" w:cs="Times New Roman"/>
          <w:sz w:val="20"/>
          <w:szCs w:val="20"/>
          <w:lang w:val="en"/>
        </w:rPr>
        <w:t>Fig.125</w:t>
      </w:r>
      <w:r w:rsidR="00CF1D1E" w:rsidRPr="00CF1D1E">
        <w:rPr>
          <w:rFonts w:ascii="Calibri" w:eastAsia="Calibri" w:hAnsi="Calibri" w:cs="Times New Roman"/>
          <w:sz w:val="20"/>
          <w:szCs w:val="20"/>
          <w:lang w:val="en"/>
        </w:rPr>
        <w:t xml:space="preserve"> Mass spectrum of 344.0744 m/z, tentatively identified as Theogallin showing the [M-H</w:t>
      </w:r>
      <w:proofErr w:type="gramStart"/>
      <w:r w:rsidR="00CF1D1E" w:rsidRPr="00CF1D1E">
        <w:rPr>
          <w:rFonts w:ascii="Calibri" w:eastAsia="Calibri" w:hAnsi="Calibri" w:cs="Times New Roman"/>
          <w:sz w:val="20"/>
          <w:szCs w:val="20"/>
          <w:lang w:val="en"/>
        </w:rPr>
        <w:t>]</w:t>
      </w:r>
      <w:r w:rsidR="00CF1D1E" w:rsidRPr="00CF1D1E">
        <w:rPr>
          <w:rFonts w:ascii="Calibri" w:eastAsia="Calibri" w:hAnsi="Calibri" w:cs="Times New Roman"/>
          <w:sz w:val="20"/>
          <w:szCs w:val="20"/>
          <w:vertAlign w:val="superscript"/>
          <w:lang w:val="en"/>
        </w:rPr>
        <w:t>-</w:t>
      </w:r>
      <w:proofErr w:type="gramEnd"/>
      <w:r w:rsidR="00CF1D1E" w:rsidRPr="00CF1D1E">
        <w:rPr>
          <w:rFonts w:ascii="Calibri" w:eastAsia="Calibri" w:hAnsi="Calibri" w:cs="Times New Roman"/>
          <w:sz w:val="20"/>
          <w:szCs w:val="20"/>
          <w:lang w:val="en"/>
        </w:rPr>
        <w:t xml:space="preserve"> ion at 343.0669 m/z and the loss of the galloyl moiety resulting 191.0561 m/z.</w:t>
      </w:r>
    </w:p>
    <w:p w:rsidR="00CF1D1E" w:rsidRPr="00CF1D1E" w:rsidRDefault="00CF1D1E" w:rsidP="00CF1D1E">
      <w:pPr>
        <w:spacing w:line="360" w:lineRule="auto"/>
        <w:jc w:val="both"/>
        <w:rPr>
          <w:rFonts w:ascii="Calibri" w:eastAsia="Calibri" w:hAnsi="Calibri" w:cs="Times New Roman"/>
          <w:sz w:val="20"/>
          <w:szCs w:val="20"/>
          <w:lang w:val="en"/>
        </w:rPr>
      </w:pPr>
    </w:p>
    <w:p w:rsidR="00CF1D1E" w:rsidRPr="00CF1D1E" w:rsidRDefault="00CF1D1E" w:rsidP="00CF1D1E">
      <w:pPr>
        <w:spacing w:line="360" w:lineRule="auto"/>
        <w:jc w:val="both"/>
        <w:rPr>
          <w:rFonts w:ascii="Calibri" w:eastAsia="Calibri" w:hAnsi="Calibri" w:cs="Times New Roman"/>
          <w:sz w:val="20"/>
          <w:szCs w:val="20"/>
          <w:lang w:val="en"/>
        </w:rPr>
      </w:pPr>
    </w:p>
    <w:p w:rsidR="00CF1D1E" w:rsidRPr="00CF1D1E" w:rsidRDefault="00CF1D1E" w:rsidP="00CF1D1E">
      <w:pPr>
        <w:spacing w:line="360" w:lineRule="auto"/>
        <w:ind w:left="720" w:firstLine="720"/>
        <w:jc w:val="both"/>
        <w:rPr>
          <w:rFonts w:ascii="Calibri" w:eastAsia="Calibri" w:hAnsi="Calibri" w:cs="Times New Roman"/>
          <w:sz w:val="20"/>
          <w:szCs w:val="20"/>
          <w:lang w:val="en"/>
        </w:rPr>
      </w:pPr>
      <w:r w:rsidRPr="00CF1D1E">
        <w:rPr>
          <w:rFonts w:ascii="Calibri" w:eastAsia="Calibri" w:hAnsi="Calibri" w:cs="Times New Roman"/>
        </w:rPr>
        <w:object w:dxaOrig="5707" w:dyaOrig="3458">
          <v:shape id="_x0000_i1034" type="#_x0000_t75" style="width:201.6pt;height:121.35pt" o:ole="">
            <v:imagedata r:id="rId195" o:title=""/>
          </v:shape>
          <o:OLEObject Type="Embed" ProgID="ChemDraw.Document.6.0" ShapeID="_x0000_i1034" DrawAspect="Content" ObjectID="_1658825300" r:id="rId196"/>
        </w:object>
      </w:r>
      <w:r w:rsidRPr="00CF1D1E">
        <w:rPr>
          <w:rFonts w:ascii="Calibri" w:eastAsia="Calibri" w:hAnsi="Calibri" w:cs="Times New Roman"/>
        </w:rPr>
        <w:tab/>
      </w:r>
      <w:r w:rsidRPr="00CF1D1E">
        <w:rPr>
          <w:rFonts w:ascii="Calibri" w:eastAsia="Calibri" w:hAnsi="Calibri" w:cs="Times New Roman"/>
        </w:rPr>
        <w:tab/>
      </w:r>
      <w:r w:rsidRPr="00CF1D1E">
        <w:rPr>
          <w:rFonts w:ascii="Calibri" w:eastAsia="Calibri" w:hAnsi="Calibri" w:cs="Times New Roman"/>
          <w:sz w:val="20"/>
          <w:szCs w:val="20"/>
          <w:lang w:val="en"/>
        </w:rPr>
        <w:t xml:space="preserve"> </w:t>
      </w:r>
    </w:p>
    <w:p w:rsidR="00CF1D1E" w:rsidRPr="00CF1D1E" w:rsidRDefault="00CF1D1E" w:rsidP="00CF1D1E">
      <w:pPr>
        <w:spacing w:line="360" w:lineRule="auto"/>
        <w:jc w:val="both"/>
        <w:rPr>
          <w:rFonts w:ascii="Calibri" w:eastAsia="Calibri" w:hAnsi="Calibri" w:cs="Times New Roman"/>
          <w:sz w:val="20"/>
          <w:szCs w:val="20"/>
          <w:lang w:val="en"/>
        </w:rPr>
      </w:pPr>
    </w:p>
    <w:p w:rsidR="00CF1D1E" w:rsidRPr="00CF1D1E" w:rsidRDefault="00565C2A" w:rsidP="00CF1D1E">
      <w:pPr>
        <w:spacing w:line="360" w:lineRule="auto"/>
        <w:jc w:val="both"/>
        <w:rPr>
          <w:rFonts w:ascii="Calibri" w:eastAsia="Calibri" w:hAnsi="Calibri" w:cs="Times New Roman"/>
          <w:b/>
          <w:sz w:val="44"/>
          <w:szCs w:val="44"/>
          <w:lang w:val="en"/>
        </w:rPr>
      </w:pPr>
      <w:r>
        <w:rPr>
          <w:rFonts w:ascii="Calibri" w:eastAsia="Calibri" w:hAnsi="Calibri" w:cs="Times New Roman"/>
          <w:sz w:val="20"/>
          <w:szCs w:val="20"/>
          <w:lang w:val="en"/>
        </w:rPr>
        <w:t xml:space="preserve">Fig.126 </w:t>
      </w:r>
      <w:r w:rsidR="00CF1D1E" w:rsidRPr="00CF1D1E">
        <w:rPr>
          <w:rFonts w:ascii="Calibri" w:eastAsia="Calibri" w:hAnsi="Calibri" w:cs="Times New Roman"/>
          <w:sz w:val="20"/>
          <w:szCs w:val="20"/>
          <w:lang w:val="en"/>
        </w:rPr>
        <w:t>Molecular structure of Theogallin</w:t>
      </w:r>
    </w:p>
    <w:p w:rsidR="00CF1D1E" w:rsidRPr="00CF1D1E" w:rsidRDefault="00CF1D1E" w:rsidP="00CF1D1E">
      <w:pPr>
        <w:rPr>
          <w:rFonts w:ascii="Calibri" w:eastAsia="Calibri" w:hAnsi="Calibri" w:cs="Times New Roman"/>
          <w:b/>
          <w:sz w:val="44"/>
          <w:szCs w:val="44"/>
          <w:lang w:val="en"/>
        </w:rPr>
      </w:pPr>
      <w:r w:rsidRPr="00CF1D1E">
        <w:rPr>
          <w:rFonts w:ascii="Calibri" w:eastAsia="Calibri" w:hAnsi="Calibri" w:cs="Times New Roman"/>
          <w:b/>
          <w:sz w:val="44"/>
          <w:szCs w:val="44"/>
          <w:lang w:val="en"/>
        </w:rPr>
        <w:br w:type="page"/>
      </w:r>
    </w:p>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695104" behindDoc="0" locked="0" layoutInCell="1" allowOverlap="1" wp14:anchorId="5BB5A05C" wp14:editId="61D5BDDD">
                <wp:simplePos x="0" y="0"/>
                <wp:positionH relativeFrom="column">
                  <wp:posOffset>5290947</wp:posOffset>
                </wp:positionH>
                <wp:positionV relativeFrom="paragraph">
                  <wp:posOffset>2438146</wp:posOffset>
                </wp:positionV>
                <wp:extent cx="964565" cy="5949315"/>
                <wp:effectExtent l="0" t="0" r="0" b="0"/>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565" cy="5949315"/>
                        </a:xfrm>
                        <a:prstGeom prst="rect">
                          <a:avLst/>
                        </a:prstGeom>
                        <a:solidFill>
                          <a:srgbClr val="FFFFFF"/>
                        </a:solidFill>
                        <a:ln w="9525">
                          <a:noFill/>
                          <a:miter lim="800000"/>
                          <a:headEnd/>
                          <a:tailEnd/>
                        </a:ln>
                      </wps:spPr>
                      <wps:txbx>
                        <w:txbxContent>
                          <w:p w:rsidR="00D842A6" w:rsidRDefault="00D842A6" w:rsidP="00CF1D1E">
                            <w:r>
                              <w:t xml:space="preserve">Fig.127 </w:t>
                            </w:r>
                            <w:r w:rsidRPr="00236276">
                              <w:t>S-Plot highlighting 344.0744 m/z for Kijani DM v Purple CTC including a variable trend plot.</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BB5A05C" id="_x0000_s1060" type="#_x0000_t202" style="position:absolute;margin-left:416.6pt;margin-top:192pt;width:75.95pt;height:468.4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" stroked="f">
                <v:textbox style="layout-flow:vertical;mso-layout-flow-alt:bottom-to-top;mso-fit-shape-to-text:t">
                  <w:txbxContent>
                    <w:p w:rsidR="00D842A6" w:rsidRDefault="00D842A6" w:rsidP="00CF1D1E">
                      <w:r>
                        <w:t xml:space="preserve">Fig.127 </w:t>
                      </w:r>
                      <w:r w:rsidRPr="00236276">
                        <w:t>S-Plot highlighting 344.0744 m/z for Kijani DM v Purple CTC including a variable trend plot.</w:t>
                      </w:r>
                    </w:p>
                  </w:txbxContent>
                </v:textbox>
                <w10:wrap type="square"/>
              </v:shape>
            </w:pict>
          </mc:Fallback>
        </mc:AlternateContent>
      </w:r>
      <w:r w:rsidRPr="00CF1D1E">
        <w:rPr>
          <w:rFonts w:ascii="Calibri" w:eastAsia="Calibri" w:hAnsi="Calibri" w:cs="Times New Roman"/>
          <w:noProof/>
          <w:sz w:val="24"/>
          <w:szCs w:val="24"/>
          <w:lang w:eastAsia="en-GB"/>
        </w:rPr>
        <w:drawing>
          <wp:inline distT="0" distB="0" distL="0" distR="0" wp14:anchorId="5FE1BC52" wp14:editId="72028B59">
            <wp:extent cx="8424956" cy="4415028"/>
            <wp:effectExtent l="4763" t="0" r="317" b="318"/>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Plot and VT 0.48_344.0744n with top100 with top7 TFs and TSs Kijani v Purple CTC.png"/>
                    <pic:cNvPicPr/>
                  </pic:nvPicPr>
                  <pic:blipFill>
                    <a:blip r:embed="rId197">
                      <a:extLst>
                        <a:ext uri="{28A0092B-C50C-407E-A947-70E740481C1C}">
                          <a14:useLocalDpi xmlns:a14="http://schemas.microsoft.com/office/drawing/2010/main" val="0"/>
                        </a:ext>
                      </a:extLst>
                    </a:blip>
                    <a:stretch>
                      <a:fillRect/>
                    </a:stretch>
                  </pic:blipFill>
                  <pic:spPr>
                    <a:xfrm rot="16200000">
                      <a:off x="0" y="0"/>
                      <a:ext cx="8450963" cy="4428657"/>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Further similar graphics of other potential biomarkers are available in Appendix III.</w:t>
      </w:r>
    </w:p>
    <w:p w:rsidR="00CF1D1E" w:rsidRPr="00CF1D1E" w:rsidRDefault="00F87D49"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t>Fig.128</w:t>
      </w:r>
      <w:r>
        <w:rPr>
          <w:rFonts w:ascii="Calibri" w:eastAsia="Calibri" w:hAnsi="Calibri" w:cs="Times New Roman"/>
          <w:sz w:val="24"/>
          <w:szCs w:val="24"/>
          <w:lang w:val="en"/>
        </w:rPr>
        <w:t xml:space="preserve"> shows </w:t>
      </w:r>
      <w:r w:rsidR="00CF1D1E" w:rsidRPr="00CF1D1E">
        <w:rPr>
          <w:rFonts w:ascii="Calibri" w:eastAsia="Calibri" w:hAnsi="Calibri" w:cs="Times New Roman"/>
          <w:sz w:val="24"/>
          <w:szCs w:val="24"/>
          <w:lang w:val="en"/>
        </w:rPr>
        <w:t xml:space="preserve">an example of two teas, Kijani DM and Purple </w:t>
      </w:r>
      <w:proofErr w:type="gramStart"/>
      <w:r w:rsidR="00CF1D1E" w:rsidRPr="00CF1D1E">
        <w:rPr>
          <w:rFonts w:ascii="Calibri" w:eastAsia="Calibri" w:hAnsi="Calibri" w:cs="Times New Roman"/>
          <w:sz w:val="24"/>
          <w:szCs w:val="24"/>
          <w:lang w:val="en"/>
        </w:rPr>
        <w:t>CTC</w:t>
      </w:r>
      <w:r>
        <w:rPr>
          <w:rFonts w:ascii="Calibri" w:eastAsia="Calibri" w:hAnsi="Calibri" w:cs="Times New Roman"/>
          <w:sz w:val="24"/>
          <w:szCs w:val="24"/>
          <w:lang w:val="en"/>
        </w:rPr>
        <w:t>,</w:t>
      </w:r>
      <w:r w:rsidR="00356EA5">
        <w:rPr>
          <w:rFonts w:ascii="Calibri" w:eastAsia="Calibri" w:hAnsi="Calibri" w:cs="Times New Roman"/>
          <w:sz w:val="24"/>
          <w:szCs w:val="24"/>
          <w:lang w:val="en"/>
        </w:rPr>
        <w:t xml:space="preserve"> </w:t>
      </w:r>
      <w:r w:rsidR="00CF1D1E" w:rsidRPr="00CF1D1E">
        <w:rPr>
          <w:rFonts w:ascii="Calibri" w:eastAsia="Calibri" w:hAnsi="Calibri" w:cs="Times New Roman"/>
          <w:sz w:val="24"/>
          <w:szCs w:val="24"/>
          <w:lang w:val="en"/>
        </w:rPr>
        <w:t>that</w:t>
      </w:r>
      <w:proofErr w:type="gramEnd"/>
      <w:r w:rsidR="00CF1D1E" w:rsidRPr="00CF1D1E">
        <w:rPr>
          <w:rFonts w:ascii="Calibri" w:eastAsia="Calibri" w:hAnsi="Calibri" w:cs="Times New Roman"/>
          <w:sz w:val="24"/>
          <w:szCs w:val="24"/>
          <w:lang w:val="en"/>
        </w:rPr>
        <w:t xml:space="preserve"> have little distance </w:t>
      </w:r>
      <w:r w:rsidR="00396CBF">
        <w:rPr>
          <w:rFonts w:ascii="Calibri" w:eastAsia="Calibri" w:hAnsi="Calibri" w:cs="Times New Roman"/>
          <w:sz w:val="24"/>
          <w:szCs w:val="24"/>
          <w:lang w:val="en"/>
        </w:rPr>
        <w:t xml:space="preserve">between them on the scores plot </w:t>
      </w:r>
      <w:r w:rsidR="00CF1D1E" w:rsidRPr="00CF1D1E">
        <w:rPr>
          <w:rFonts w:ascii="Calibri" w:eastAsia="Calibri" w:hAnsi="Calibri" w:cs="Times New Roman"/>
          <w:sz w:val="24"/>
          <w:szCs w:val="24"/>
          <w:lang w:val="en"/>
        </w:rPr>
        <w:t>(F</w:t>
      </w:r>
      <w:r w:rsidR="00396CBF">
        <w:rPr>
          <w:rFonts w:ascii="Calibri" w:eastAsia="Calibri" w:hAnsi="Calibri" w:cs="Times New Roman"/>
          <w:sz w:val="24"/>
          <w:szCs w:val="24"/>
          <w:lang w:val="en"/>
        </w:rPr>
        <w:t>ig.117</w:t>
      </w:r>
      <w:r w:rsidR="00CF1D1E" w:rsidRPr="00CF1D1E">
        <w:rPr>
          <w:rFonts w:ascii="Calibri" w:eastAsia="Calibri" w:hAnsi="Calibri" w:cs="Times New Roman"/>
          <w:sz w:val="24"/>
          <w:szCs w:val="24"/>
          <w:lang w:val="en"/>
        </w:rPr>
        <w:t>) but are easily distinguished on the S-plot below due to the addition of the extra identified compounds i.e. TFs and TSs.</w:t>
      </w:r>
    </w:p>
    <w:p w:rsidR="00CF1D1E" w:rsidRPr="00CF1D1E" w:rsidRDefault="00CF1D1E" w:rsidP="00CF1D1E">
      <w:pPr>
        <w:spacing w:line="360" w:lineRule="auto"/>
        <w:ind w:left="720"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mc:AlternateContent>
          <mc:Choice Requires="wps">
            <w:drawing>
              <wp:anchor distT="45720" distB="45720" distL="114300" distR="114300" simplePos="0" relativeHeight="251696128" behindDoc="0" locked="0" layoutInCell="1" allowOverlap="1" wp14:anchorId="66A8D54F" wp14:editId="760C1AD4">
                <wp:simplePos x="0" y="0"/>
                <wp:positionH relativeFrom="margin">
                  <wp:posOffset>5065858</wp:posOffset>
                </wp:positionH>
                <wp:positionV relativeFrom="paragraph">
                  <wp:posOffset>2733092</wp:posOffset>
                </wp:positionV>
                <wp:extent cx="419735" cy="4175760"/>
                <wp:effectExtent l="0" t="0" r="0" b="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 cy="4175760"/>
                        </a:xfrm>
                        <a:prstGeom prst="rect">
                          <a:avLst/>
                        </a:prstGeom>
                        <a:solidFill>
                          <a:srgbClr val="FFFFFF"/>
                        </a:solidFill>
                        <a:ln w="9525">
                          <a:noFill/>
                          <a:miter lim="800000"/>
                          <a:headEnd/>
                          <a:tailEnd/>
                        </a:ln>
                      </wps:spPr>
                      <wps:txbx>
                        <w:txbxContent>
                          <w:p w:rsidR="00D842A6" w:rsidRPr="00D87775" w:rsidRDefault="00D842A6" w:rsidP="00CF1D1E">
                            <w:pPr>
                              <w:spacing w:line="360" w:lineRule="auto"/>
                              <w:rPr>
                                <w:sz w:val="20"/>
                                <w:szCs w:val="20"/>
                                <w:lang w:val="en"/>
                              </w:rPr>
                            </w:pPr>
                            <w:r>
                              <w:rPr>
                                <w:sz w:val="20"/>
                                <w:szCs w:val="20"/>
                                <w:lang w:val="en"/>
                              </w:rPr>
                              <w:t>Fig.128 S-Plot of Kijani DM v Purple CTC with analytes labelled in green.</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8D54F" id="_x0000_s1061" type="#_x0000_t202" style="position:absolute;left:0;text-align:left;margin-left:398.9pt;margin-top:215.2pt;width:33.05pt;height:328.8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" stroked="f">
                <v:textbox style="layout-flow:vertical;mso-layout-flow-alt:bottom-to-top">
                  <w:txbxContent>
                    <w:p w:rsidR="00D842A6" w:rsidRPr="00D87775" w:rsidRDefault="00D842A6" w:rsidP="00CF1D1E">
                      <w:pPr>
                        <w:spacing w:line="360" w:lineRule="auto"/>
                        <w:rPr>
                          <w:sz w:val="20"/>
                          <w:szCs w:val="20"/>
                          <w:lang w:val="en"/>
                        </w:rPr>
                      </w:pPr>
                      <w:r>
                        <w:rPr>
                          <w:sz w:val="20"/>
                          <w:szCs w:val="20"/>
                          <w:lang w:val="en"/>
                        </w:rPr>
                        <w:t>Fig.128 S-Plot of Kijani DM v Purple CTC with analytes labelled in green.</w:t>
                      </w:r>
                    </w:p>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496E1CC5" wp14:editId="20527ED2">
            <wp:extent cx="7087188" cy="3694352"/>
            <wp:effectExtent l="952" t="0" r="953" b="952"/>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Plot with top100 with top7 TFs and TSs Kijani v Purple CTC.png"/>
                    <pic:cNvPicPr/>
                  </pic:nvPicPr>
                  <pic:blipFill>
                    <a:blip r:embed="rId198">
                      <a:extLst>
                        <a:ext uri="{28A0092B-C50C-407E-A947-70E740481C1C}">
                          <a14:useLocalDpi xmlns:a14="http://schemas.microsoft.com/office/drawing/2010/main" val="0"/>
                        </a:ext>
                      </a:extLst>
                    </a:blip>
                    <a:stretch>
                      <a:fillRect/>
                    </a:stretch>
                  </pic:blipFill>
                  <pic:spPr>
                    <a:xfrm rot="16200000">
                      <a:off x="0" y="0"/>
                      <a:ext cx="7104034" cy="3703133"/>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Following on from this are further illustrations of samples that were difficult to discriminate between prior to the addition of extra ions and identifications to the dataset (See Tab.37). It can be seen below that Tiluet HP and Extract 652 show clear discriminants</w:t>
      </w:r>
      <w:r w:rsidR="00E664CB">
        <w:rPr>
          <w:rFonts w:ascii="Calibri" w:eastAsia="Calibri" w:hAnsi="Calibri" w:cs="Times New Roman"/>
          <w:sz w:val="24"/>
          <w:szCs w:val="24"/>
          <w:lang w:val="en"/>
        </w:rPr>
        <w:t xml:space="preserve">. </w:t>
      </w:r>
      <w:r w:rsidRPr="00CF1D1E">
        <w:rPr>
          <w:rFonts w:ascii="Calibri" w:eastAsia="Calibri" w:hAnsi="Calibri" w:cs="Times New Roman"/>
          <w:sz w:val="24"/>
          <w:szCs w:val="24"/>
          <w:lang w:val="en"/>
        </w:rPr>
        <w:t xml:space="preserve">Fig. 130 </w:t>
      </w:r>
      <w:r w:rsidR="00E664CB">
        <w:rPr>
          <w:rFonts w:ascii="Calibri" w:eastAsia="Calibri" w:hAnsi="Calibri" w:cs="Times New Roman"/>
          <w:sz w:val="24"/>
          <w:szCs w:val="24"/>
          <w:lang w:val="en"/>
        </w:rPr>
        <w:t>shows</w:t>
      </w:r>
      <w:r w:rsidRPr="00CF1D1E">
        <w:rPr>
          <w:rFonts w:ascii="Calibri" w:eastAsia="Calibri" w:hAnsi="Calibri" w:cs="Times New Roman"/>
          <w:sz w:val="24"/>
          <w:szCs w:val="24"/>
          <w:lang w:val="en"/>
        </w:rPr>
        <w:t xml:space="preserve"> an S-plot displaying the many other available discriminants.</w:t>
      </w:r>
    </w:p>
    <w:p w:rsidR="00CF1D1E" w:rsidRPr="00CF1D1E" w:rsidRDefault="00CF1D1E" w:rsidP="00CF1D1E">
      <w:pPr>
        <w:spacing w:line="360" w:lineRule="auto"/>
        <w:ind w:left="720"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mc:AlternateContent>
          <mc:Choice Requires="wps">
            <w:drawing>
              <wp:anchor distT="45720" distB="45720" distL="114300" distR="114300" simplePos="0" relativeHeight="251697152" behindDoc="0" locked="0" layoutInCell="1" allowOverlap="1" wp14:anchorId="17D7FC2F" wp14:editId="53F24BE6">
                <wp:simplePos x="0" y="0"/>
                <wp:positionH relativeFrom="margin">
                  <wp:posOffset>5120640</wp:posOffset>
                </wp:positionH>
                <wp:positionV relativeFrom="paragraph">
                  <wp:posOffset>2890520</wp:posOffset>
                </wp:positionV>
                <wp:extent cx="598170" cy="4327525"/>
                <wp:effectExtent l="0" t="0" r="7620" b="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 cy="4327525"/>
                        </a:xfrm>
                        <a:prstGeom prst="rect">
                          <a:avLst/>
                        </a:prstGeom>
                        <a:solidFill>
                          <a:srgbClr val="FFFFFF"/>
                        </a:solidFill>
                        <a:ln w="9525">
                          <a:noFill/>
                          <a:miter lim="800000"/>
                          <a:headEnd/>
                          <a:tailEnd/>
                        </a:ln>
                      </wps:spPr>
                      <wps:txbx>
                        <w:txbxContent>
                          <w:p w:rsidR="00D842A6" w:rsidRPr="00D87775" w:rsidRDefault="00D842A6" w:rsidP="00CF1D1E">
                            <w:pPr>
                              <w:spacing w:line="360" w:lineRule="auto"/>
                              <w:rPr>
                                <w:sz w:val="20"/>
                                <w:szCs w:val="20"/>
                                <w:lang w:val="en"/>
                              </w:rPr>
                            </w:pPr>
                            <w:r>
                              <w:rPr>
                                <w:sz w:val="20"/>
                                <w:szCs w:val="20"/>
                                <w:lang w:val="en"/>
                              </w:rPr>
                              <w:t>Fig.129 S-Plot of Tiluet HP v Extracts 652 with analytes labelled in green.</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7D7FC2F" id="_x0000_s1062" type="#_x0000_t202" style="position:absolute;left:0;text-align:left;margin-left:403.2pt;margin-top:227.6pt;width:47.1pt;height:340.7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" stroked="f">
                <v:textbox style="layout-flow:vertical;mso-layout-flow-alt:bottom-to-top;mso-fit-shape-to-text:t">
                  <w:txbxContent>
                    <w:p w:rsidR="00D842A6" w:rsidRPr="00D87775" w:rsidRDefault="00D842A6" w:rsidP="00CF1D1E">
                      <w:pPr>
                        <w:spacing w:line="360" w:lineRule="auto"/>
                        <w:rPr>
                          <w:sz w:val="20"/>
                          <w:szCs w:val="20"/>
                          <w:lang w:val="en"/>
                        </w:rPr>
                      </w:pPr>
                      <w:r>
                        <w:rPr>
                          <w:sz w:val="20"/>
                          <w:szCs w:val="20"/>
                          <w:lang w:val="en"/>
                        </w:rPr>
                        <w:t>Fig.129 S-Plot of Tiluet HP v Extracts 652 with analytes labelled in green.</w:t>
                      </w:r>
                    </w:p>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11569292" wp14:editId="4141A09D">
            <wp:extent cx="7215658" cy="3769314"/>
            <wp:effectExtent l="889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Plot with top100 with top7 TFs and TSs Tiluet HP v Extracts 652.png"/>
                    <pic:cNvPicPr/>
                  </pic:nvPicPr>
                  <pic:blipFill>
                    <a:blip r:embed="rId199">
                      <a:extLst>
                        <a:ext uri="{28A0092B-C50C-407E-A947-70E740481C1C}">
                          <a14:useLocalDpi xmlns:a14="http://schemas.microsoft.com/office/drawing/2010/main" val="0"/>
                        </a:ext>
                      </a:extLst>
                    </a:blip>
                    <a:stretch>
                      <a:fillRect/>
                    </a:stretch>
                  </pic:blipFill>
                  <pic:spPr>
                    <a:xfrm rot="16200000">
                      <a:off x="0" y="0"/>
                      <a:ext cx="7244260" cy="3784255"/>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ind w:firstLine="720"/>
        <w:rPr>
          <w:rFonts w:ascii="Calibri" w:eastAsia="Calibri" w:hAnsi="Calibri" w:cs="Times New Roman"/>
          <w:sz w:val="20"/>
          <w:szCs w:val="20"/>
          <w:lang w:val="en"/>
        </w:rPr>
      </w:pPr>
      <w:r w:rsidRPr="00CF1D1E">
        <w:rPr>
          <w:rFonts w:ascii="Calibri" w:eastAsia="Calibri" w:hAnsi="Calibri" w:cs="Times New Roman"/>
          <w:noProof/>
          <w:sz w:val="20"/>
          <w:szCs w:val="20"/>
          <w:lang w:eastAsia="en-GB"/>
        </w:rPr>
        <w:lastRenderedPageBreak/>
        <mc:AlternateContent>
          <mc:Choice Requires="wps">
            <w:drawing>
              <wp:anchor distT="45720" distB="45720" distL="114300" distR="114300" simplePos="0" relativeHeight="251698176" behindDoc="0" locked="0" layoutInCell="1" allowOverlap="1" wp14:anchorId="0DBB7C02" wp14:editId="6C910B73">
                <wp:simplePos x="0" y="0"/>
                <wp:positionH relativeFrom="margin">
                  <wp:posOffset>5141595</wp:posOffset>
                </wp:positionH>
                <wp:positionV relativeFrom="paragraph">
                  <wp:posOffset>2683510</wp:posOffset>
                </wp:positionV>
                <wp:extent cx="690245" cy="5651500"/>
                <wp:effectExtent l="0" t="0" r="0" b="635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5651500"/>
                        </a:xfrm>
                        <a:prstGeom prst="rect">
                          <a:avLst/>
                        </a:prstGeom>
                        <a:solidFill>
                          <a:srgbClr val="FFFFFF"/>
                        </a:solidFill>
                        <a:ln w="9525">
                          <a:noFill/>
                          <a:miter lim="800000"/>
                          <a:headEnd/>
                          <a:tailEnd/>
                        </a:ln>
                      </wps:spPr>
                      <wps:txbx>
                        <w:txbxContent>
                          <w:p w:rsidR="00D842A6" w:rsidRDefault="00D842A6" w:rsidP="00CF1D1E">
                            <w:r>
                              <w:rPr>
                                <w:sz w:val="20"/>
                                <w:szCs w:val="20"/>
                                <w:lang w:val="en"/>
                              </w:rPr>
                              <w:t>Fig.130 S-Plot of Tiluet HP v Extracts 652 showing all the ions and their potential to describe the differences between these two tea samples</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B7C02" id="_x0000_s1063" type="#_x0000_t202" style="position:absolute;left:0;text-align:left;margin-left:404.85pt;margin-top:211.3pt;width:54.35pt;height:44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" stroked="f">
                <v:textbox style="layout-flow:vertical;mso-layout-flow-alt:bottom-to-top">
                  <w:txbxContent>
                    <w:p w:rsidR="00D842A6" w:rsidRDefault="00D842A6" w:rsidP="00CF1D1E">
                      <w:r>
                        <w:rPr>
                          <w:sz w:val="20"/>
                          <w:szCs w:val="20"/>
                          <w:lang w:val="en"/>
                        </w:rPr>
                        <w:t>Fig.130 S-Plot of Tiluet HP v Extracts 652 showing all the ions and their potential to describe the differences between these two tea samples</w:t>
                      </w:r>
                    </w:p>
                  </w:txbxContent>
                </v:textbox>
                <w10:wrap type="square" anchorx="margin"/>
              </v:shape>
            </w:pict>
          </mc:Fallback>
        </mc:AlternateContent>
      </w:r>
      <w:r w:rsidRPr="00CF1D1E">
        <w:rPr>
          <w:rFonts w:ascii="Calibri" w:eastAsia="Calibri" w:hAnsi="Calibri" w:cs="Times New Roman"/>
          <w:noProof/>
          <w:sz w:val="20"/>
          <w:szCs w:val="20"/>
          <w:lang w:eastAsia="en-GB"/>
        </w:rPr>
        <w:drawing>
          <wp:inline distT="0" distB="0" distL="0" distR="0" wp14:anchorId="137139DC" wp14:editId="79C562CB">
            <wp:extent cx="8318490" cy="4314998"/>
            <wp:effectExtent l="1270" t="0" r="8255" b="825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Plot with mz showing biomarkers Tiluet HP v Extracts 652.png"/>
                    <pic:cNvPicPr/>
                  </pic:nvPicPr>
                  <pic:blipFill>
                    <a:blip r:embed="rId200">
                      <a:extLst>
                        <a:ext uri="{28A0092B-C50C-407E-A947-70E740481C1C}">
                          <a14:useLocalDpi xmlns:a14="http://schemas.microsoft.com/office/drawing/2010/main" val="0"/>
                        </a:ext>
                      </a:extLst>
                    </a:blip>
                    <a:stretch>
                      <a:fillRect/>
                    </a:stretch>
                  </pic:blipFill>
                  <pic:spPr>
                    <a:xfrm rot="16200000">
                      <a:off x="0" y="0"/>
                      <a:ext cx="8339677" cy="4325988"/>
                    </a:xfrm>
                    <a:prstGeom prst="rect">
                      <a:avLst/>
                    </a:prstGeom>
                  </pic:spPr>
                </pic:pic>
              </a:graphicData>
            </a:graphic>
          </wp:inline>
        </w:drawing>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A similar illustration of the improved discrimination is available in the next two plots between Tiluet MTH and Extracts 652. This is made possible by the addition of the top 100 most abundant ions and the TFs and TSs data.</w:t>
      </w:r>
    </w:p>
    <w:p w:rsidR="00CF1D1E" w:rsidRPr="00CF1D1E" w:rsidRDefault="00CF1D1E" w:rsidP="00CF1D1E">
      <w:pPr>
        <w:spacing w:line="360" w:lineRule="auto"/>
        <w:ind w:left="720"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mc:AlternateContent>
          <mc:Choice Requires="wps">
            <w:drawing>
              <wp:anchor distT="45720" distB="45720" distL="114300" distR="114300" simplePos="0" relativeHeight="251699200" behindDoc="0" locked="0" layoutInCell="1" allowOverlap="1" wp14:anchorId="246BF697" wp14:editId="5CDFC79C">
                <wp:simplePos x="0" y="0"/>
                <wp:positionH relativeFrom="margin">
                  <wp:align>right</wp:align>
                </wp:positionH>
                <wp:positionV relativeFrom="paragraph">
                  <wp:posOffset>2063647</wp:posOffset>
                </wp:positionV>
                <wp:extent cx="505460" cy="5473700"/>
                <wp:effectExtent l="0" t="0" r="8890" b="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460" cy="5473700"/>
                        </a:xfrm>
                        <a:prstGeom prst="rect">
                          <a:avLst/>
                        </a:prstGeom>
                        <a:solidFill>
                          <a:srgbClr val="FFFFFF"/>
                        </a:solidFill>
                        <a:ln w="9525">
                          <a:noFill/>
                          <a:miter lim="800000"/>
                          <a:headEnd/>
                          <a:tailEnd/>
                        </a:ln>
                      </wps:spPr>
                      <wps:txbx>
                        <w:txbxContent>
                          <w:p w:rsidR="00D842A6" w:rsidRDefault="00D842A6" w:rsidP="00CF1D1E">
                            <w:r>
                              <w:rPr>
                                <w:sz w:val="20"/>
                                <w:szCs w:val="20"/>
                                <w:lang w:val="en"/>
                              </w:rPr>
                              <w:t>Fig.131</w:t>
                            </w:r>
                            <w:r w:rsidRPr="00C854FB">
                              <w:rPr>
                                <w:sz w:val="20"/>
                                <w:szCs w:val="20"/>
                                <w:lang w:val="en"/>
                              </w:rPr>
                              <w:t xml:space="preserve"> </w:t>
                            </w:r>
                            <w:r>
                              <w:rPr>
                                <w:sz w:val="20"/>
                                <w:szCs w:val="20"/>
                                <w:lang w:val="en"/>
                              </w:rPr>
                              <w:t>S-Plot of Tiluet MTH v Extracts 652 with analytes labelled in green</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6BF697" id="_x0000_s1064" type="#_x0000_t202" style="position:absolute;left:0;text-align:left;margin-left:-11.4pt;margin-top:162.5pt;width:39.8pt;height:431pt;z-index:251699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" stroked="f">
                <v:textbox style="layout-flow:vertical;mso-layout-flow-alt:bottom-to-top">
                  <w:txbxContent>
                    <w:p w:rsidR="00D842A6" w:rsidRDefault="00D842A6" w:rsidP="00CF1D1E">
                      <w:r>
                        <w:rPr>
                          <w:sz w:val="20"/>
                          <w:szCs w:val="20"/>
                          <w:lang w:val="en"/>
                        </w:rPr>
                        <w:t>Fig.131</w:t>
                      </w:r>
                      <w:r w:rsidRPr="00C854FB">
                        <w:rPr>
                          <w:sz w:val="20"/>
                          <w:szCs w:val="20"/>
                          <w:lang w:val="en"/>
                        </w:rPr>
                        <w:t xml:space="preserve"> </w:t>
                      </w:r>
                      <w:r>
                        <w:rPr>
                          <w:sz w:val="20"/>
                          <w:szCs w:val="20"/>
                          <w:lang w:val="en"/>
                        </w:rPr>
                        <w:t>S-Plot of Tiluet MTH v Extracts 652 with analytes labelled in green</w:t>
                      </w:r>
                    </w:p>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0FF993D3" wp14:editId="74A8CB8F">
            <wp:extent cx="7551528" cy="3924686"/>
            <wp:effectExtent l="381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Plot with top100 with top7 TFs and TSs Tiluet MTH v Extracts 652.png"/>
                    <pic:cNvPicPr/>
                  </pic:nvPicPr>
                  <pic:blipFill>
                    <a:blip r:embed="rId201">
                      <a:extLst>
                        <a:ext uri="{28A0092B-C50C-407E-A947-70E740481C1C}">
                          <a14:useLocalDpi xmlns:a14="http://schemas.microsoft.com/office/drawing/2010/main" val="0"/>
                        </a:ext>
                      </a:extLst>
                    </a:blip>
                    <a:stretch>
                      <a:fillRect/>
                    </a:stretch>
                  </pic:blipFill>
                  <pic:spPr>
                    <a:xfrm rot="16200000">
                      <a:off x="0" y="0"/>
                      <a:ext cx="7577521" cy="3938195"/>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ind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700224" behindDoc="0" locked="0" layoutInCell="1" allowOverlap="1" wp14:anchorId="0A9618D9" wp14:editId="3B4405E3">
                <wp:simplePos x="0" y="0"/>
                <wp:positionH relativeFrom="margin">
                  <wp:align>right</wp:align>
                </wp:positionH>
                <wp:positionV relativeFrom="paragraph">
                  <wp:posOffset>2730277</wp:posOffset>
                </wp:positionV>
                <wp:extent cx="431165" cy="5572760"/>
                <wp:effectExtent l="0" t="0" r="6985" b="889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5572760"/>
                        </a:xfrm>
                        <a:prstGeom prst="rect">
                          <a:avLst/>
                        </a:prstGeom>
                        <a:solidFill>
                          <a:srgbClr val="FFFFFF"/>
                        </a:solidFill>
                        <a:ln w="9525">
                          <a:noFill/>
                          <a:miter lim="800000"/>
                          <a:headEnd/>
                          <a:tailEnd/>
                        </a:ln>
                      </wps:spPr>
                      <wps:txbx>
                        <w:txbxContent>
                          <w:p w:rsidR="00D842A6" w:rsidRPr="00304723" w:rsidRDefault="00D842A6" w:rsidP="00CF1D1E">
                            <w:pPr>
                              <w:spacing w:line="360" w:lineRule="auto"/>
                              <w:rPr>
                                <w:sz w:val="24"/>
                                <w:szCs w:val="24"/>
                                <w:lang w:val="en"/>
                              </w:rPr>
                            </w:pPr>
                            <w:r>
                              <w:rPr>
                                <w:sz w:val="20"/>
                                <w:szCs w:val="20"/>
                                <w:lang w:val="en"/>
                              </w:rPr>
                              <w:t>Fig.132</w:t>
                            </w:r>
                            <w:r w:rsidRPr="00C854FB">
                              <w:rPr>
                                <w:sz w:val="20"/>
                                <w:szCs w:val="20"/>
                                <w:lang w:val="en"/>
                              </w:rPr>
                              <w:t xml:space="preserve"> </w:t>
                            </w:r>
                            <w:r>
                              <w:rPr>
                                <w:sz w:val="20"/>
                                <w:szCs w:val="20"/>
                                <w:lang w:val="en"/>
                              </w:rPr>
                              <w:t>S-Plot of Tiluet MTH v Extracts 652 showing all the ions and their potential to describe the differences between these two tea samples.</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9618D9" id="_x0000_s1065" type="#_x0000_t202" style="position:absolute;left:0;text-align:left;margin-left:-17.25pt;margin-top:215pt;width:33.95pt;height:438.8pt;z-index:251700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" stroked="f">
                <v:textbox style="layout-flow:vertical;mso-layout-flow-alt:bottom-to-top">
                  <w:txbxContent>
                    <w:p w:rsidR="00D842A6" w:rsidRPr="00304723" w:rsidRDefault="00D842A6" w:rsidP="00CF1D1E">
                      <w:pPr>
                        <w:spacing w:line="360" w:lineRule="auto"/>
                        <w:rPr>
                          <w:sz w:val="24"/>
                          <w:szCs w:val="24"/>
                          <w:lang w:val="en"/>
                        </w:rPr>
                      </w:pPr>
                      <w:r>
                        <w:rPr>
                          <w:sz w:val="20"/>
                          <w:szCs w:val="20"/>
                          <w:lang w:val="en"/>
                        </w:rPr>
                        <w:t>Fig.132</w:t>
                      </w:r>
                      <w:r w:rsidRPr="00C854FB">
                        <w:rPr>
                          <w:sz w:val="20"/>
                          <w:szCs w:val="20"/>
                          <w:lang w:val="en"/>
                        </w:rPr>
                        <w:t xml:space="preserve"> </w:t>
                      </w:r>
                      <w:r>
                        <w:rPr>
                          <w:sz w:val="20"/>
                          <w:szCs w:val="20"/>
                          <w:lang w:val="en"/>
                        </w:rPr>
                        <w:t>S-Plot of Tiluet MTH v Extracts 652 showing all the ions and their potential to describe the differences between these two tea samples.</w:t>
                      </w:r>
                    </w:p>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3BA2B320" wp14:editId="6BBEAE69">
            <wp:extent cx="8347065" cy="4364037"/>
            <wp:effectExtent l="0" t="8890" r="762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Plot with mz showing biomarkers Tiluet MTH v Extracts 652.png"/>
                    <pic:cNvPicPr/>
                  </pic:nvPicPr>
                  <pic:blipFill>
                    <a:blip r:embed="rId202">
                      <a:extLst>
                        <a:ext uri="{28A0092B-C50C-407E-A947-70E740481C1C}">
                          <a14:useLocalDpi xmlns:a14="http://schemas.microsoft.com/office/drawing/2010/main" val="0"/>
                        </a:ext>
                      </a:extLst>
                    </a:blip>
                    <a:stretch>
                      <a:fillRect/>
                    </a:stretch>
                  </pic:blipFill>
                  <pic:spPr>
                    <a:xfrm rot="16200000">
                      <a:off x="0" y="0"/>
                      <a:ext cx="8376946" cy="4379660"/>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 xml:space="preserve">The biggest challenge was posed by </w:t>
      </w:r>
      <w:r w:rsidR="00E664CB" w:rsidRPr="00E664CB">
        <w:rPr>
          <w:rFonts w:ascii="Calibri" w:eastAsia="Calibri" w:hAnsi="Calibri" w:cs="Times New Roman"/>
          <w:sz w:val="24"/>
          <w:szCs w:val="24"/>
          <w:lang w:val="en"/>
        </w:rPr>
        <w:t xml:space="preserve">discriminating between </w:t>
      </w:r>
      <w:r w:rsidRPr="00CF1D1E">
        <w:rPr>
          <w:rFonts w:ascii="Calibri" w:eastAsia="Calibri" w:hAnsi="Calibri" w:cs="Times New Roman"/>
          <w:sz w:val="24"/>
          <w:szCs w:val="24"/>
          <w:lang w:val="en"/>
        </w:rPr>
        <w:t>Tiluet HP and Tiluet MTH, which are</w:t>
      </w:r>
      <w:r w:rsidR="0073723A">
        <w:rPr>
          <w:rFonts w:ascii="Calibri" w:eastAsia="Calibri" w:hAnsi="Calibri" w:cs="Times New Roman"/>
          <w:sz w:val="24"/>
          <w:szCs w:val="24"/>
          <w:lang w:val="en"/>
        </w:rPr>
        <w:t xml:space="preserve"> </w:t>
      </w:r>
      <w:r w:rsidRPr="00CF1D1E">
        <w:rPr>
          <w:rFonts w:ascii="Calibri" w:eastAsia="Calibri" w:hAnsi="Calibri" w:cs="Times New Roman"/>
          <w:sz w:val="24"/>
          <w:szCs w:val="24"/>
          <w:lang w:val="en"/>
        </w:rPr>
        <w:t>grown on the same plantation but harvested in a different manner. The following 3 plots illustrates how the inclusion of the additional compounds, in stage 3, allows their differences to be shown.</w:t>
      </w:r>
    </w:p>
    <w:p w:rsidR="00CF1D1E" w:rsidRPr="00CF1D1E" w:rsidRDefault="00CF1D1E" w:rsidP="00CF1D1E">
      <w:pPr>
        <w:spacing w:line="360" w:lineRule="auto"/>
        <w:ind w:left="720" w:firstLine="720"/>
        <w:rPr>
          <w:rFonts w:ascii="Calibri" w:eastAsia="Calibri" w:hAnsi="Calibri" w:cs="Times New Roman"/>
          <w:b/>
          <w:noProof/>
          <w:sz w:val="44"/>
          <w:szCs w:val="44"/>
          <w:lang w:eastAsia="en-GB"/>
        </w:rPr>
      </w:pPr>
      <w:r w:rsidRPr="00CF1D1E">
        <w:rPr>
          <w:rFonts w:ascii="Calibri" w:eastAsia="Calibri" w:hAnsi="Calibri" w:cs="Times New Roman"/>
          <w:b/>
          <w:noProof/>
          <w:sz w:val="44"/>
          <w:szCs w:val="44"/>
          <w:lang w:eastAsia="en-GB"/>
        </w:rPr>
        <mc:AlternateContent>
          <mc:Choice Requires="wps">
            <w:drawing>
              <wp:anchor distT="45720" distB="45720" distL="114300" distR="114300" simplePos="0" relativeHeight="251701248" behindDoc="0" locked="0" layoutInCell="1" allowOverlap="1" wp14:anchorId="0D35DF8B" wp14:editId="66CD9276">
                <wp:simplePos x="0" y="0"/>
                <wp:positionH relativeFrom="margin">
                  <wp:posOffset>5434058</wp:posOffset>
                </wp:positionH>
                <wp:positionV relativeFrom="paragraph">
                  <wp:posOffset>2170339</wp:posOffset>
                </wp:positionV>
                <wp:extent cx="495935" cy="5250815"/>
                <wp:effectExtent l="0" t="0" r="0" b="6985"/>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935" cy="5250815"/>
                        </a:xfrm>
                        <a:prstGeom prst="rect">
                          <a:avLst/>
                        </a:prstGeom>
                        <a:solidFill>
                          <a:srgbClr val="FFFFFF"/>
                        </a:solidFill>
                        <a:ln w="9525">
                          <a:noFill/>
                          <a:miter lim="800000"/>
                          <a:headEnd/>
                          <a:tailEnd/>
                        </a:ln>
                      </wps:spPr>
                      <wps:txbx>
                        <w:txbxContent>
                          <w:p w:rsidR="00D842A6" w:rsidRPr="00EE6D2F" w:rsidRDefault="00D842A6" w:rsidP="00CF1D1E">
                            <w:pPr>
                              <w:spacing w:line="360" w:lineRule="auto"/>
                              <w:rPr>
                                <w:sz w:val="20"/>
                                <w:szCs w:val="20"/>
                                <w:lang w:val="en"/>
                              </w:rPr>
                            </w:pPr>
                            <w:r>
                              <w:rPr>
                                <w:sz w:val="20"/>
                                <w:szCs w:val="20"/>
                                <w:lang w:val="en"/>
                              </w:rPr>
                              <w:t>Fig.133 S-Plot of Tiluet HP v Tiluet MTH with analytes labelled in green showing clear distinction.</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5DF8B" id="_x0000_s1066" type="#_x0000_t202" style="position:absolute;left:0;text-align:left;margin-left:427.9pt;margin-top:170.9pt;width:39.05pt;height:413.4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" stroked="f">
                <v:textbox style="layout-flow:vertical;mso-layout-flow-alt:bottom-to-top">
                  <w:txbxContent>
                    <w:p w:rsidR="00D842A6" w:rsidRPr="00EE6D2F" w:rsidRDefault="00D842A6" w:rsidP="00CF1D1E">
                      <w:pPr>
                        <w:spacing w:line="360" w:lineRule="auto"/>
                        <w:rPr>
                          <w:sz w:val="20"/>
                          <w:szCs w:val="20"/>
                          <w:lang w:val="en"/>
                        </w:rPr>
                      </w:pPr>
                      <w:r>
                        <w:rPr>
                          <w:sz w:val="20"/>
                          <w:szCs w:val="20"/>
                          <w:lang w:val="en"/>
                        </w:rPr>
                        <w:t>Fig.133 S-Plot of Tiluet HP v Tiluet MTH with analytes labelled in green showing clear distinction.</w:t>
                      </w:r>
                    </w:p>
                  </w:txbxContent>
                </v:textbox>
                <w10:wrap type="square" anchorx="margin"/>
              </v:shape>
            </w:pict>
          </mc:Fallback>
        </mc:AlternateContent>
      </w:r>
      <w:r w:rsidRPr="00CF1D1E">
        <w:rPr>
          <w:rFonts w:ascii="Calibri" w:eastAsia="Calibri" w:hAnsi="Calibri" w:cs="Times New Roman"/>
          <w:b/>
          <w:noProof/>
          <w:sz w:val="44"/>
          <w:szCs w:val="44"/>
          <w:lang w:eastAsia="en-GB"/>
        </w:rPr>
        <w:drawing>
          <wp:inline distT="0" distB="0" distL="0" distR="0" wp14:anchorId="7778B731" wp14:editId="6D18DC71">
            <wp:extent cx="7424848" cy="3853090"/>
            <wp:effectExtent l="0" t="4763" r="318" b="317"/>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S-Plot with top100 with top7 TFs and TSs Tiluet HP v Tiluet MTH.png"/>
                    <pic:cNvPicPr/>
                  </pic:nvPicPr>
                  <pic:blipFill>
                    <a:blip r:embed="rId203">
                      <a:extLst>
                        <a:ext uri="{28A0092B-C50C-407E-A947-70E740481C1C}">
                          <a14:useLocalDpi xmlns:a14="http://schemas.microsoft.com/office/drawing/2010/main" val="0"/>
                        </a:ext>
                      </a:extLst>
                    </a:blip>
                    <a:stretch>
                      <a:fillRect/>
                    </a:stretch>
                  </pic:blipFill>
                  <pic:spPr>
                    <a:xfrm rot="16200000">
                      <a:off x="0" y="0"/>
                      <a:ext cx="7446322" cy="3864234"/>
                    </a:xfrm>
                    <a:prstGeom prst="rect">
                      <a:avLst/>
                    </a:prstGeom>
                  </pic:spPr>
                </pic:pic>
              </a:graphicData>
            </a:graphic>
          </wp:inline>
        </w:drawing>
      </w:r>
    </w:p>
    <w:p w:rsidR="00CF1D1E" w:rsidRPr="00CF1D1E" w:rsidRDefault="00CF1D1E" w:rsidP="00CF1D1E">
      <w:pPr>
        <w:spacing w:line="360" w:lineRule="auto"/>
        <w:ind w:firstLine="720"/>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w:lastRenderedPageBreak/>
        <mc:AlternateContent>
          <mc:Choice Requires="wps">
            <w:drawing>
              <wp:anchor distT="45720" distB="45720" distL="114300" distR="114300" simplePos="0" relativeHeight="251702272" behindDoc="0" locked="0" layoutInCell="1" allowOverlap="1" wp14:anchorId="6DCDCED0" wp14:editId="0B83F3D5">
                <wp:simplePos x="0" y="0"/>
                <wp:positionH relativeFrom="margin">
                  <wp:posOffset>5290185</wp:posOffset>
                </wp:positionH>
                <wp:positionV relativeFrom="paragraph">
                  <wp:posOffset>182880</wp:posOffset>
                </wp:positionV>
                <wp:extent cx="704850" cy="7994015"/>
                <wp:effectExtent l="0" t="0" r="0" b="6985"/>
                <wp:wrapSquare wrapText="bothSides"/>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7994015"/>
                        </a:xfrm>
                        <a:prstGeom prst="rect">
                          <a:avLst/>
                        </a:prstGeom>
                        <a:solidFill>
                          <a:srgbClr val="FFFFFF"/>
                        </a:solidFill>
                        <a:ln w="9525">
                          <a:noFill/>
                          <a:miter lim="800000"/>
                          <a:headEnd/>
                          <a:tailEnd/>
                        </a:ln>
                      </wps:spPr>
                      <wps:txbx>
                        <w:txbxContent>
                          <w:p w:rsidR="00D842A6" w:rsidRPr="0051702E" w:rsidRDefault="00D842A6" w:rsidP="00CF1D1E">
                            <w:pPr>
                              <w:spacing w:line="360" w:lineRule="auto"/>
                              <w:rPr>
                                <w:sz w:val="24"/>
                                <w:szCs w:val="24"/>
                                <w:lang w:val="en"/>
                              </w:rPr>
                            </w:pPr>
                            <w:r>
                              <w:rPr>
                                <w:sz w:val="20"/>
                                <w:szCs w:val="20"/>
                                <w:lang w:val="en"/>
                              </w:rPr>
                              <w:t>Fig.134</w:t>
                            </w:r>
                            <w:r w:rsidRPr="00C854FB">
                              <w:rPr>
                                <w:sz w:val="20"/>
                                <w:szCs w:val="20"/>
                                <w:lang w:val="en"/>
                              </w:rPr>
                              <w:t xml:space="preserve"> </w:t>
                            </w:r>
                            <w:r>
                              <w:rPr>
                                <w:sz w:val="20"/>
                                <w:szCs w:val="20"/>
                                <w:lang w:val="en"/>
                              </w:rPr>
                              <w:t>S-Plot of Tiluet HP v Tiluet MTH showing all the ions and their potential to describe the differences between these two tea samples. The blue highlighted region will be shown in the next image.</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CDCED0" id="_x0000_s1067" type="#_x0000_t202" style="position:absolute;left:0;text-align:left;margin-left:416.55pt;margin-top:14.4pt;width:55.5pt;height:629.4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" stroked="f">
                <v:textbox style="layout-flow:vertical;mso-layout-flow-alt:bottom-to-top">
                  <w:txbxContent>
                    <w:p w:rsidR="00D842A6" w:rsidRPr="0051702E" w:rsidRDefault="00D842A6" w:rsidP="00CF1D1E">
                      <w:pPr>
                        <w:spacing w:line="360" w:lineRule="auto"/>
                        <w:rPr>
                          <w:sz w:val="24"/>
                          <w:szCs w:val="24"/>
                          <w:lang w:val="en"/>
                        </w:rPr>
                      </w:pPr>
                      <w:r>
                        <w:rPr>
                          <w:sz w:val="20"/>
                          <w:szCs w:val="20"/>
                          <w:lang w:val="en"/>
                        </w:rPr>
                        <w:t>Fig.134</w:t>
                      </w:r>
                      <w:r w:rsidRPr="00C854FB">
                        <w:rPr>
                          <w:sz w:val="20"/>
                          <w:szCs w:val="20"/>
                          <w:lang w:val="en"/>
                        </w:rPr>
                        <w:t xml:space="preserve"> </w:t>
                      </w:r>
                      <w:r>
                        <w:rPr>
                          <w:sz w:val="20"/>
                          <w:szCs w:val="20"/>
                          <w:lang w:val="en"/>
                        </w:rPr>
                        <w:t>S-Plot of Tiluet HP v Tiluet MTH showing all the ions and their potential to describe the differences between these two tea samples. The blue highlighted region will be shown in the next image.</w:t>
                      </w:r>
                    </w:p>
                  </w:txbxContent>
                </v:textbox>
                <w10:wrap type="square" anchorx="margin"/>
              </v:shape>
            </w:pict>
          </mc:Fallback>
        </mc:AlternateContent>
      </w:r>
      <w:r w:rsidRPr="00CF1D1E">
        <w:rPr>
          <w:rFonts w:ascii="Calibri" w:eastAsia="Calibri" w:hAnsi="Calibri" w:cs="Times New Roman"/>
          <w:b/>
          <w:noProof/>
          <w:sz w:val="44"/>
          <w:szCs w:val="44"/>
          <w:lang w:eastAsia="en-GB"/>
        </w:rPr>
        <w:drawing>
          <wp:inline distT="0" distB="0" distL="0" distR="0" wp14:anchorId="602DE601" wp14:editId="5BDD93F8">
            <wp:extent cx="8415961" cy="4301222"/>
            <wp:effectExtent l="0" t="0" r="4445"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Plot ZOOM with top100 with top7 TFs and TSs Tiluet HP v Tiluet MTH EDIT.png"/>
                    <pic:cNvPicPr/>
                  </pic:nvPicPr>
                  <pic:blipFill>
                    <a:blip r:embed="rId204">
                      <a:extLst>
                        <a:ext uri="{28A0092B-C50C-407E-A947-70E740481C1C}">
                          <a14:useLocalDpi xmlns:a14="http://schemas.microsoft.com/office/drawing/2010/main" val="0"/>
                        </a:ext>
                      </a:extLst>
                    </a:blip>
                    <a:stretch>
                      <a:fillRect/>
                    </a:stretch>
                  </pic:blipFill>
                  <pic:spPr>
                    <a:xfrm rot="16200000">
                      <a:off x="0" y="0"/>
                      <a:ext cx="8456980" cy="4322186"/>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ind w:firstLine="720"/>
        <w:rPr>
          <w:rFonts w:ascii="Calibri" w:eastAsia="Calibri" w:hAnsi="Calibri" w:cs="Times New Roman"/>
          <w:b/>
          <w:sz w:val="44"/>
          <w:szCs w:val="44"/>
          <w:lang w:val="en"/>
        </w:rPr>
      </w:pPr>
      <w:r w:rsidRPr="00CF1D1E">
        <w:rPr>
          <w:rFonts w:ascii="Calibri" w:eastAsia="Calibri" w:hAnsi="Calibri" w:cs="Times New Roman"/>
          <w:b/>
          <w:noProof/>
          <w:sz w:val="44"/>
          <w:szCs w:val="44"/>
          <w:lang w:eastAsia="en-GB"/>
        </w:rPr>
        <w:lastRenderedPageBreak/>
        <mc:AlternateContent>
          <mc:Choice Requires="wps">
            <w:drawing>
              <wp:anchor distT="45720" distB="45720" distL="114300" distR="114300" simplePos="0" relativeHeight="251703296" behindDoc="0" locked="0" layoutInCell="1" allowOverlap="1" wp14:anchorId="5E82889A" wp14:editId="50BF7148">
                <wp:simplePos x="0" y="0"/>
                <wp:positionH relativeFrom="margin">
                  <wp:posOffset>5077838</wp:posOffset>
                </wp:positionH>
                <wp:positionV relativeFrom="paragraph">
                  <wp:posOffset>108</wp:posOffset>
                </wp:positionV>
                <wp:extent cx="652780" cy="8256838"/>
                <wp:effectExtent l="0" t="0" r="0" b="0"/>
                <wp:wrapSquare wrapText="bothSides"/>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 cy="8256838"/>
                        </a:xfrm>
                        <a:prstGeom prst="rect">
                          <a:avLst/>
                        </a:prstGeom>
                        <a:solidFill>
                          <a:srgbClr val="FFFFFF"/>
                        </a:solidFill>
                        <a:ln w="9525">
                          <a:noFill/>
                          <a:miter lim="800000"/>
                          <a:headEnd/>
                          <a:tailEnd/>
                        </a:ln>
                      </wps:spPr>
                      <wps:txbx>
                        <w:txbxContent>
                          <w:p w:rsidR="00D842A6" w:rsidRPr="0051702E" w:rsidRDefault="00D842A6" w:rsidP="00CF1D1E">
                            <w:pPr>
                              <w:spacing w:line="360" w:lineRule="auto"/>
                              <w:rPr>
                                <w:sz w:val="20"/>
                                <w:szCs w:val="20"/>
                                <w:lang w:val="en"/>
                              </w:rPr>
                            </w:pPr>
                            <w:r>
                              <w:rPr>
                                <w:sz w:val="20"/>
                                <w:szCs w:val="20"/>
                                <w:lang w:val="en"/>
                              </w:rPr>
                              <w:t>Fig.135</w:t>
                            </w:r>
                            <w:r w:rsidRPr="00C854FB">
                              <w:rPr>
                                <w:sz w:val="20"/>
                                <w:szCs w:val="20"/>
                                <w:lang w:val="en"/>
                              </w:rPr>
                              <w:t xml:space="preserve"> </w:t>
                            </w:r>
                            <w:r>
                              <w:rPr>
                                <w:sz w:val="20"/>
                                <w:szCs w:val="20"/>
                                <w:lang w:val="en"/>
                              </w:rPr>
                              <w:t>Enlargement of highlighted region from previous S-Plot</w:t>
                            </w:r>
                            <w:r w:rsidRPr="00E07C7B">
                              <w:t xml:space="preserve"> </w:t>
                            </w:r>
                            <w:r>
                              <w:t>(</w:t>
                            </w:r>
                            <w:r>
                              <w:rPr>
                                <w:sz w:val="20"/>
                                <w:szCs w:val="20"/>
                                <w:lang w:val="en"/>
                              </w:rPr>
                              <w:t>Fig.134) of Tiluet HP v Tiluet MTH. This shows potential new biomarkers specific to Tiluet HP.</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2889A" id="_x0000_s1068" type="#_x0000_t202" style="position:absolute;left:0;text-align:left;margin-left:399.85pt;margin-top:0;width:51.4pt;height:650.1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" stroked="f">
                <v:textbox style="layout-flow:vertical;mso-layout-flow-alt:bottom-to-top">
                  <w:txbxContent>
                    <w:p w:rsidR="00D842A6" w:rsidRPr="0051702E" w:rsidRDefault="00D842A6" w:rsidP="00CF1D1E">
                      <w:pPr>
                        <w:spacing w:line="360" w:lineRule="auto"/>
                        <w:rPr>
                          <w:sz w:val="20"/>
                          <w:szCs w:val="20"/>
                          <w:lang w:val="en"/>
                        </w:rPr>
                      </w:pPr>
                      <w:r>
                        <w:rPr>
                          <w:sz w:val="20"/>
                          <w:szCs w:val="20"/>
                          <w:lang w:val="en"/>
                        </w:rPr>
                        <w:t>Fig.135</w:t>
                      </w:r>
                      <w:r w:rsidRPr="00C854FB">
                        <w:rPr>
                          <w:sz w:val="20"/>
                          <w:szCs w:val="20"/>
                          <w:lang w:val="en"/>
                        </w:rPr>
                        <w:t xml:space="preserve"> </w:t>
                      </w:r>
                      <w:r>
                        <w:rPr>
                          <w:sz w:val="20"/>
                          <w:szCs w:val="20"/>
                          <w:lang w:val="en"/>
                        </w:rPr>
                        <w:t>Enlargement of highlighted region from previous S-Plot</w:t>
                      </w:r>
                      <w:r w:rsidRPr="00E07C7B">
                        <w:t xml:space="preserve"> </w:t>
                      </w:r>
                      <w:r>
                        <w:t>(</w:t>
                      </w:r>
                      <w:r>
                        <w:rPr>
                          <w:sz w:val="20"/>
                          <w:szCs w:val="20"/>
                          <w:lang w:val="en"/>
                        </w:rPr>
                        <w:t>Fig.134) of Tiluet HP v Tiluet MTH. This shows potential new biomarkers specific to Tiluet HP.</w:t>
                      </w:r>
                    </w:p>
                  </w:txbxContent>
                </v:textbox>
                <w10:wrap type="square" anchorx="margin"/>
              </v:shape>
            </w:pict>
          </mc:Fallback>
        </mc:AlternateContent>
      </w:r>
      <w:r w:rsidRPr="00CF1D1E">
        <w:rPr>
          <w:rFonts w:ascii="Calibri" w:eastAsia="Calibri" w:hAnsi="Calibri" w:cs="Times New Roman"/>
          <w:b/>
          <w:noProof/>
          <w:sz w:val="44"/>
          <w:szCs w:val="44"/>
          <w:lang w:eastAsia="en-GB"/>
        </w:rPr>
        <w:drawing>
          <wp:inline distT="0" distB="0" distL="0" distR="0" wp14:anchorId="5B69C23A" wp14:editId="034D1A91">
            <wp:extent cx="8375621" cy="4281533"/>
            <wp:effectExtent l="8573"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Plot ZOOM showing potential THP markers Tiluet HP v Tiluet MTH EDIT.png"/>
                    <pic:cNvPicPr/>
                  </pic:nvPicPr>
                  <pic:blipFill>
                    <a:blip r:embed="rId205">
                      <a:extLst>
                        <a:ext uri="{28A0092B-C50C-407E-A947-70E740481C1C}">
                          <a14:useLocalDpi xmlns:a14="http://schemas.microsoft.com/office/drawing/2010/main" val="0"/>
                        </a:ext>
                      </a:extLst>
                    </a:blip>
                    <a:stretch>
                      <a:fillRect/>
                    </a:stretch>
                  </pic:blipFill>
                  <pic:spPr>
                    <a:xfrm rot="16200000">
                      <a:off x="0" y="0"/>
                      <a:ext cx="8400103" cy="4294048"/>
                    </a:xfrm>
                    <a:prstGeom prst="rect">
                      <a:avLst/>
                    </a:prstGeom>
                  </pic:spPr>
                </pic:pic>
              </a:graphicData>
            </a:graphic>
          </wp:inline>
        </w:drawing>
      </w:r>
    </w:p>
    <w:p w:rsidR="00CF1D1E" w:rsidRPr="00CF1D1E" w:rsidRDefault="00CF1D1E" w:rsidP="00E07C7B">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jc w:val="both"/>
        <w:rPr>
          <w:rFonts w:ascii="Calibri" w:eastAsia="Calibri" w:hAnsi="Calibri" w:cs="Times New Roman"/>
          <w:sz w:val="24"/>
          <w:szCs w:val="24"/>
          <w:lang w:val="en"/>
        </w:rPr>
      </w:pPr>
      <w:r w:rsidRPr="00CF1D1E">
        <w:rPr>
          <w:rFonts w:ascii="Calibri" w:eastAsia="Calibri" w:hAnsi="Calibri" w:cs="Times New Roman"/>
          <w:sz w:val="24"/>
          <w:szCs w:val="24"/>
          <w:lang w:val="en"/>
        </w:rPr>
        <w:lastRenderedPageBreak/>
        <w:t>Th</w:t>
      </w:r>
      <w:r w:rsidR="00E07C7B">
        <w:rPr>
          <w:rFonts w:ascii="Calibri" w:eastAsia="Calibri" w:hAnsi="Calibri" w:cs="Times New Roman"/>
          <w:sz w:val="24"/>
          <w:szCs w:val="24"/>
          <w:lang w:val="en"/>
        </w:rPr>
        <w:t>e three following</w:t>
      </w:r>
      <w:r w:rsidRPr="00CF1D1E">
        <w:rPr>
          <w:rFonts w:ascii="Calibri" w:eastAsia="Calibri" w:hAnsi="Calibri" w:cs="Times New Roman"/>
          <w:sz w:val="24"/>
          <w:szCs w:val="24"/>
          <w:lang w:val="en"/>
        </w:rPr>
        <w:t xml:space="preserve"> plots </w:t>
      </w:r>
      <w:r w:rsidR="00E07C7B">
        <w:rPr>
          <w:rFonts w:ascii="Calibri" w:eastAsia="Calibri" w:hAnsi="Calibri" w:cs="Times New Roman"/>
          <w:sz w:val="24"/>
          <w:szCs w:val="24"/>
          <w:lang w:val="en"/>
        </w:rPr>
        <w:t>display</w:t>
      </w:r>
      <w:r w:rsidRPr="00CF1D1E">
        <w:rPr>
          <w:rFonts w:ascii="Calibri" w:eastAsia="Calibri" w:hAnsi="Calibri" w:cs="Times New Roman"/>
          <w:sz w:val="24"/>
          <w:szCs w:val="24"/>
          <w:lang w:val="en"/>
        </w:rPr>
        <w:t xml:space="preserve"> variable trends to illustrate their potential for selectivity between teas. Chomogonday Whit</w:t>
      </w:r>
      <w:r w:rsidR="00E07C7B">
        <w:rPr>
          <w:rFonts w:ascii="Calibri" w:eastAsia="Calibri" w:hAnsi="Calibri" w:cs="Times New Roman"/>
          <w:sz w:val="24"/>
          <w:szCs w:val="24"/>
          <w:lang w:val="en"/>
        </w:rPr>
        <w:t>e and Extracts 652 were chosen as an example pairing</w:t>
      </w:r>
    </w:p>
    <w:p w:rsidR="00CF1D1E" w:rsidRPr="00CF1D1E" w:rsidRDefault="00CF1D1E" w:rsidP="00CF1D1E">
      <w:pPr>
        <w:spacing w:line="360" w:lineRule="auto"/>
        <w:ind w:left="720" w:firstLine="720"/>
        <w:jc w:val="both"/>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mc:AlternateContent>
          <mc:Choice Requires="wps">
            <w:drawing>
              <wp:anchor distT="45720" distB="45720" distL="114300" distR="114300" simplePos="0" relativeHeight="251704320" behindDoc="0" locked="0" layoutInCell="1" allowOverlap="1" wp14:anchorId="4000EAF1" wp14:editId="7E41F737">
                <wp:simplePos x="0" y="0"/>
                <wp:positionH relativeFrom="margin">
                  <wp:align>right</wp:align>
                </wp:positionH>
                <wp:positionV relativeFrom="paragraph">
                  <wp:posOffset>771525</wp:posOffset>
                </wp:positionV>
                <wp:extent cx="749300" cy="6451600"/>
                <wp:effectExtent l="0" t="0" r="0" b="6350"/>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6451600"/>
                        </a:xfrm>
                        <a:prstGeom prst="rect">
                          <a:avLst/>
                        </a:prstGeom>
                        <a:solidFill>
                          <a:srgbClr val="FFFFFF"/>
                        </a:solidFill>
                        <a:ln w="9525">
                          <a:noFill/>
                          <a:miter lim="800000"/>
                          <a:headEnd/>
                          <a:tailEnd/>
                        </a:ln>
                      </wps:spPr>
                      <wps:txbx>
                        <w:txbxContent>
                          <w:p w:rsidR="00D842A6" w:rsidRDefault="00D842A6" w:rsidP="00CF1D1E">
                            <w:pPr>
                              <w:spacing w:line="360" w:lineRule="auto"/>
                              <w:rPr>
                                <w:sz w:val="20"/>
                                <w:szCs w:val="20"/>
                                <w:lang w:val="en"/>
                              </w:rPr>
                            </w:pPr>
                            <w:r>
                              <w:rPr>
                                <w:sz w:val="20"/>
                                <w:szCs w:val="20"/>
                                <w:lang w:val="en"/>
                              </w:rPr>
                              <w:t>Fig.136</w:t>
                            </w:r>
                            <w:r w:rsidRPr="00C854FB">
                              <w:rPr>
                                <w:sz w:val="20"/>
                                <w:szCs w:val="20"/>
                                <w:lang w:val="en"/>
                              </w:rPr>
                              <w:t xml:space="preserve"> </w:t>
                            </w:r>
                            <w:r>
                              <w:rPr>
                                <w:sz w:val="20"/>
                                <w:szCs w:val="20"/>
                                <w:lang w:val="en"/>
                              </w:rPr>
                              <w:t xml:space="preserve">Variable trend plot showing EGCG, ECG, EGC, EC and Procyanidin B2 with abundance on the </w:t>
                            </w:r>
                            <w:r w:rsidRPr="00AC185E">
                              <w:rPr>
                                <w:i/>
                                <w:sz w:val="20"/>
                                <w:szCs w:val="20"/>
                                <w:lang w:val="en"/>
                              </w:rPr>
                              <w:t>y</w:t>
                            </w:r>
                            <w:r>
                              <w:rPr>
                                <w:sz w:val="20"/>
                                <w:szCs w:val="20"/>
                                <w:lang w:val="en"/>
                              </w:rPr>
                              <w:t xml:space="preserve">-axis and </w:t>
                            </w:r>
                            <w:r w:rsidRPr="001311FA">
                              <w:rPr>
                                <w:sz w:val="20"/>
                                <w:szCs w:val="20"/>
                                <w:lang w:val="en"/>
                              </w:rPr>
                              <w:t>Chomogonday White and Extracts 652</w:t>
                            </w:r>
                            <w:r>
                              <w:rPr>
                                <w:sz w:val="20"/>
                                <w:szCs w:val="20"/>
                                <w:lang w:val="en"/>
                              </w:rPr>
                              <w:t xml:space="preserve"> on the </w:t>
                            </w:r>
                            <w:r w:rsidRPr="00AC185E">
                              <w:rPr>
                                <w:i/>
                                <w:sz w:val="20"/>
                                <w:szCs w:val="20"/>
                                <w:lang w:val="en"/>
                              </w:rPr>
                              <w:t>x</w:t>
                            </w:r>
                            <w:r>
                              <w:rPr>
                                <w:sz w:val="20"/>
                                <w:szCs w:val="20"/>
                                <w:lang w:val="en"/>
                              </w:rPr>
                              <w:t>-axis.</w:t>
                            </w:r>
                          </w:p>
                          <w:p w:rsidR="00D842A6" w:rsidRDefault="00D842A6" w:rsidP="00CF1D1E"/>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00EAF1" id="_x0000_s1069" type="#_x0000_t202" style="position:absolute;left:0;text-align:left;margin-left:7.8pt;margin-top:60.75pt;width:59pt;height:508pt;z-index:251704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" stroked="f">
                <v:textbox style="layout-flow:vertical;mso-layout-flow-alt:bottom-to-top">
                  <w:txbxContent>
                    <w:p w:rsidR="00D842A6" w:rsidRDefault="00D842A6" w:rsidP="00CF1D1E">
                      <w:pPr>
                        <w:spacing w:line="360" w:lineRule="auto"/>
                        <w:rPr>
                          <w:sz w:val="20"/>
                          <w:szCs w:val="20"/>
                          <w:lang w:val="en"/>
                        </w:rPr>
                      </w:pPr>
                      <w:r>
                        <w:rPr>
                          <w:sz w:val="20"/>
                          <w:szCs w:val="20"/>
                          <w:lang w:val="en"/>
                        </w:rPr>
                        <w:t>Fig.136</w:t>
                      </w:r>
                      <w:r w:rsidRPr="00C854FB">
                        <w:rPr>
                          <w:sz w:val="20"/>
                          <w:szCs w:val="20"/>
                          <w:lang w:val="en"/>
                        </w:rPr>
                        <w:t xml:space="preserve"> </w:t>
                      </w:r>
                      <w:r>
                        <w:rPr>
                          <w:sz w:val="20"/>
                          <w:szCs w:val="20"/>
                          <w:lang w:val="en"/>
                        </w:rPr>
                        <w:t xml:space="preserve">Variable trend plot showing EGCG, ECG, EGC, EC and Procyanidin B2 with abundance on the </w:t>
                      </w:r>
                      <w:r w:rsidRPr="00AC185E">
                        <w:rPr>
                          <w:i/>
                          <w:sz w:val="20"/>
                          <w:szCs w:val="20"/>
                          <w:lang w:val="en"/>
                        </w:rPr>
                        <w:t>y</w:t>
                      </w:r>
                      <w:r>
                        <w:rPr>
                          <w:sz w:val="20"/>
                          <w:szCs w:val="20"/>
                          <w:lang w:val="en"/>
                        </w:rPr>
                        <w:t xml:space="preserve">-axis and </w:t>
                      </w:r>
                      <w:r w:rsidRPr="001311FA">
                        <w:rPr>
                          <w:sz w:val="20"/>
                          <w:szCs w:val="20"/>
                          <w:lang w:val="en"/>
                        </w:rPr>
                        <w:t>Chomogonday White and Extracts 652</w:t>
                      </w:r>
                      <w:r>
                        <w:rPr>
                          <w:sz w:val="20"/>
                          <w:szCs w:val="20"/>
                          <w:lang w:val="en"/>
                        </w:rPr>
                        <w:t xml:space="preserve"> on the </w:t>
                      </w:r>
                      <w:r w:rsidRPr="00AC185E">
                        <w:rPr>
                          <w:i/>
                          <w:sz w:val="20"/>
                          <w:szCs w:val="20"/>
                          <w:lang w:val="en"/>
                        </w:rPr>
                        <w:t>x</w:t>
                      </w:r>
                      <w:r>
                        <w:rPr>
                          <w:sz w:val="20"/>
                          <w:szCs w:val="20"/>
                          <w:lang w:val="en"/>
                        </w:rPr>
                        <w:t>-axis.</w:t>
                      </w:r>
                    </w:p>
                    <w:p w:rsidR="00D842A6" w:rsidRDefault="00D842A6" w:rsidP="00CF1D1E"/>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43B5FDC1" wp14:editId="37D4A9DC">
            <wp:extent cx="7436484" cy="3718242"/>
            <wp:effectExtent l="0" t="7938" r="4763" b="4762"/>
            <wp:docPr id="178" name="Picture 178" descr="C:\Users\chsa10\Documents\James Finlay Ltd\NEW 150819\Part 3\EZ Info data\Variable trends CW compared to Extracts 652 Showing EC, EGC, EGCG, ECG and Procyanidin B2 only after S-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hsa10\Documents\James Finlay Ltd\NEW 150819\Part 3\EZ Info data\Variable trends CW compared to Extracts 652 Showing EC, EGC, EGCG, ECG and Procyanidin B2 only after S-plot.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rot="16200000">
                      <a:off x="0" y="0"/>
                      <a:ext cx="7453794" cy="3726897"/>
                    </a:xfrm>
                    <a:prstGeom prst="rect">
                      <a:avLst/>
                    </a:prstGeom>
                    <a:noFill/>
                    <a:ln>
                      <a:noFill/>
                    </a:ln>
                  </pic:spPr>
                </pic:pic>
              </a:graphicData>
            </a:graphic>
          </wp:inline>
        </w:drawing>
      </w:r>
    </w:p>
    <w:p w:rsidR="00CF1D1E" w:rsidRPr="00CF1D1E" w:rsidRDefault="00E07C7B" w:rsidP="00CF1D1E">
      <w:pPr>
        <w:rPr>
          <w:rFonts w:ascii="Calibri" w:eastAsia="Calibri" w:hAnsi="Calibri" w:cs="Times New Roman"/>
          <w:sz w:val="20"/>
          <w:szCs w:val="20"/>
          <w:lang w:val="en"/>
        </w:rPr>
      </w:pPr>
      <w:r>
        <w:rPr>
          <w:rFonts w:ascii="Calibri" w:eastAsia="Calibri" w:hAnsi="Calibri" w:cs="Times New Roman"/>
          <w:sz w:val="20"/>
          <w:szCs w:val="20"/>
          <w:lang w:val="en"/>
        </w:rPr>
        <w:br w:type="page"/>
      </w:r>
    </w:p>
    <w:p w:rsidR="00CF1D1E" w:rsidRPr="00CF1D1E" w:rsidRDefault="00CF1D1E" w:rsidP="00CF1D1E">
      <w:pPr>
        <w:spacing w:line="360" w:lineRule="auto"/>
        <w:ind w:left="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705344" behindDoc="0" locked="0" layoutInCell="1" allowOverlap="1" wp14:anchorId="7485211B" wp14:editId="3253EDE3">
                <wp:simplePos x="0" y="0"/>
                <wp:positionH relativeFrom="margin">
                  <wp:posOffset>5130800</wp:posOffset>
                </wp:positionH>
                <wp:positionV relativeFrom="paragraph">
                  <wp:posOffset>2527300</wp:posOffset>
                </wp:positionV>
                <wp:extent cx="596900" cy="5575300"/>
                <wp:effectExtent l="0" t="0" r="0" b="635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5575300"/>
                        </a:xfrm>
                        <a:prstGeom prst="rect">
                          <a:avLst/>
                        </a:prstGeom>
                        <a:solidFill>
                          <a:srgbClr val="FFFFFF"/>
                        </a:solidFill>
                        <a:ln w="9525">
                          <a:noFill/>
                          <a:miter lim="800000"/>
                          <a:headEnd/>
                          <a:tailEnd/>
                        </a:ln>
                      </wps:spPr>
                      <wps:txbx>
                        <w:txbxContent>
                          <w:p w:rsidR="00D842A6" w:rsidRPr="000B33B9" w:rsidRDefault="00D842A6" w:rsidP="00CF1D1E">
                            <w:pPr>
                              <w:spacing w:line="360" w:lineRule="auto"/>
                              <w:rPr>
                                <w:sz w:val="20"/>
                                <w:szCs w:val="20"/>
                                <w:lang w:val="en"/>
                              </w:rPr>
                            </w:pPr>
                            <w:r>
                              <w:rPr>
                                <w:sz w:val="20"/>
                                <w:szCs w:val="20"/>
                                <w:lang w:val="en"/>
                              </w:rPr>
                              <w:t xml:space="preserve">Fig.137 Variable trend plot showing TF digallate, TF and TF monogallate with abundance on the </w:t>
                            </w:r>
                            <w:r w:rsidRPr="00AC185E">
                              <w:rPr>
                                <w:i/>
                                <w:sz w:val="20"/>
                                <w:szCs w:val="20"/>
                                <w:lang w:val="en"/>
                              </w:rPr>
                              <w:t>y</w:t>
                            </w:r>
                            <w:r>
                              <w:rPr>
                                <w:sz w:val="20"/>
                                <w:szCs w:val="20"/>
                                <w:lang w:val="en"/>
                              </w:rPr>
                              <w:t xml:space="preserve">-axis and </w:t>
                            </w:r>
                            <w:r w:rsidRPr="001311FA">
                              <w:rPr>
                                <w:sz w:val="20"/>
                                <w:szCs w:val="20"/>
                                <w:lang w:val="en"/>
                              </w:rPr>
                              <w:t>Chomogonday White and Extracts 652</w:t>
                            </w:r>
                            <w:r>
                              <w:rPr>
                                <w:sz w:val="20"/>
                                <w:szCs w:val="20"/>
                                <w:lang w:val="en"/>
                              </w:rPr>
                              <w:t xml:space="preserve"> on the </w:t>
                            </w:r>
                            <w:r w:rsidRPr="00AC185E">
                              <w:rPr>
                                <w:i/>
                                <w:sz w:val="20"/>
                                <w:szCs w:val="20"/>
                                <w:lang w:val="en"/>
                              </w:rPr>
                              <w:t>x</w:t>
                            </w:r>
                            <w:r>
                              <w:rPr>
                                <w:sz w:val="20"/>
                                <w:szCs w:val="20"/>
                                <w:lang w:val="en"/>
                              </w:rPr>
                              <w:t>-axis.</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5211B" id="_x0000_s1070" type="#_x0000_t202" style="position:absolute;left:0;text-align:left;margin-left:404pt;margin-top:199pt;width:47pt;height:439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" stroked="f">
                <v:textbox style="layout-flow:vertical;mso-layout-flow-alt:bottom-to-top">
                  <w:txbxContent>
                    <w:p w:rsidR="00D842A6" w:rsidRPr="000B33B9" w:rsidRDefault="00D842A6" w:rsidP="00CF1D1E">
                      <w:pPr>
                        <w:spacing w:line="360" w:lineRule="auto"/>
                        <w:rPr>
                          <w:sz w:val="20"/>
                          <w:szCs w:val="20"/>
                          <w:lang w:val="en"/>
                        </w:rPr>
                      </w:pPr>
                      <w:r>
                        <w:rPr>
                          <w:sz w:val="20"/>
                          <w:szCs w:val="20"/>
                          <w:lang w:val="en"/>
                        </w:rPr>
                        <w:t xml:space="preserve">Fig.137 Variable trend plot showing TF digallate, TF and TF monogallate with abundance on the </w:t>
                      </w:r>
                      <w:r w:rsidRPr="00AC185E">
                        <w:rPr>
                          <w:i/>
                          <w:sz w:val="20"/>
                          <w:szCs w:val="20"/>
                          <w:lang w:val="en"/>
                        </w:rPr>
                        <w:t>y</w:t>
                      </w:r>
                      <w:r>
                        <w:rPr>
                          <w:sz w:val="20"/>
                          <w:szCs w:val="20"/>
                          <w:lang w:val="en"/>
                        </w:rPr>
                        <w:t xml:space="preserve">-axis and </w:t>
                      </w:r>
                      <w:r w:rsidRPr="001311FA">
                        <w:rPr>
                          <w:sz w:val="20"/>
                          <w:szCs w:val="20"/>
                          <w:lang w:val="en"/>
                        </w:rPr>
                        <w:t>Chomogonday White and Extracts 652</w:t>
                      </w:r>
                      <w:r>
                        <w:rPr>
                          <w:sz w:val="20"/>
                          <w:szCs w:val="20"/>
                          <w:lang w:val="en"/>
                        </w:rPr>
                        <w:t xml:space="preserve"> on the </w:t>
                      </w:r>
                      <w:r w:rsidRPr="00AC185E">
                        <w:rPr>
                          <w:i/>
                          <w:sz w:val="20"/>
                          <w:szCs w:val="20"/>
                          <w:lang w:val="en"/>
                        </w:rPr>
                        <w:t>x</w:t>
                      </w:r>
                      <w:r>
                        <w:rPr>
                          <w:sz w:val="20"/>
                          <w:szCs w:val="20"/>
                          <w:lang w:val="en"/>
                        </w:rPr>
                        <w:t>-axis.</w:t>
                      </w:r>
                    </w:p>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58D9F8A7" wp14:editId="3D24FAAE">
            <wp:extent cx="8373737" cy="4199857"/>
            <wp:effectExtent l="0" t="8573" r="318" b="317"/>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Variable trends CW compared to Extracts 652 TFs only after S-plot.png"/>
                    <pic:cNvPicPr/>
                  </pic:nvPicPr>
                  <pic:blipFill>
                    <a:blip r:embed="rId207">
                      <a:extLst>
                        <a:ext uri="{28A0092B-C50C-407E-A947-70E740481C1C}">
                          <a14:useLocalDpi xmlns:a14="http://schemas.microsoft.com/office/drawing/2010/main" val="0"/>
                        </a:ext>
                      </a:extLst>
                    </a:blip>
                    <a:stretch>
                      <a:fillRect/>
                    </a:stretch>
                  </pic:blipFill>
                  <pic:spPr>
                    <a:xfrm rot="16200000">
                      <a:off x="0" y="0"/>
                      <a:ext cx="8423071" cy="4224601"/>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ind w:firstLine="720"/>
        <w:rPr>
          <w:rFonts w:ascii="Calibri" w:eastAsia="Calibri" w:hAnsi="Calibri" w:cs="Times New Roman"/>
          <w:sz w:val="24"/>
          <w:szCs w:val="24"/>
          <w:lang w:val="en"/>
        </w:rPr>
      </w:pPr>
      <w:r w:rsidRPr="00CF1D1E">
        <w:rPr>
          <w:rFonts w:ascii="Calibri" w:eastAsia="Calibri" w:hAnsi="Calibri" w:cs="Times New Roman"/>
          <w:noProof/>
          <w:sz w:val="24"/>
          <w:szCs w:val="24"/>
          <w:lang w:eastAsia="en-GB"/>
        </w:rPr>
        <w:lastRenderedPageBreak/>
        <mc:AlternateContent>
          <mc:Choice Requires="wps">
            <w:drawing>
              <wp:anchor distT="45720" distB="45720" distL="114300" distR="114300" simplePos="0" relativeHeight="251706368" behindDoc="0" locked="0" layoutInCell="1" allowOverlap="1" wp14:anchorId="4EB1C126" wp14:editId="144BA3C7">
                <wp:simplePos x="0" y="0"/>
                <wp:positionH relativeFrom="margin">
                  <wp:posOffset>5092700</wp:posOffset>
                </wp:positionH>
                <wp:positionV relativeFrom="paragraph">
                  <wp:posOffset>2222500</wp:posOffset>
                </wp:positionV>
                <wp:extent cx="643255" cy="6108700"/>
                <wp:effectExtent l="0" t="0" r="4445" b="635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6108700"/>
                        </a:xfrm>
                        <a:prstGeom prst="rect">
                          <a:avLst/>
                        </a:prstGeom>
                        <a:solidFill>
                          <a:srgbClr val="FFFFFF"/>
                        </a:solidFill>
                        <a:ln w="9525">
                          <a:noFill/>
                          <a:miter lim="800000"/>
                          <a:headEnd/>
                          <a:tailEnd/>
                        </a:ln>
                      </wps:spPr>
                      <wps:txbx>
                        <w:txbxContent>
                          <w:p w:rsidR="00D842A6" w:rsidRPr="00580A4D" w:rsidRDefault="00D842A6" w:rsidP="00CF1D1E">
                            <w:pPr>
                              <w:spacing w:line="360" w:lineRule="auto"/>
                              <w:rPr>
                                <w:sz w:val="20"/>
                                <w:szCs w:val="20"/>
                                <w:lang w:val="en"/>
                              </w:rPr>
                            </w:pPr>
                            <w:r>
                              <w:rPr>
                                <w:sz w:val="20"/>
                                <w:szCs w:val="20"/>
                                <w:lang w:val="en"/>
                              </w:rPr>
                              <w:t xml:space="preserve">Fig.138 Variable trend plot showing TS B, TS C and TS A with abundance on the </w:t>
                            </w:r>
                            <w:r w:rsidRPr="00AC185E">
                              <w:rPr>
                                <w:i/>
                                <w:sz w:val="20"/>
                                <w:szCs w:val="20"/>
                                <w:lang w:val="en"/>
                              </w:rPr>
                              <w:t>y</w:t>
                            </w:r>
                            <w:r>
                              <w:rPr>
                                <w:sz w:val="20"/>
                                <w:szCs w:val="20"/>
                                <w:lang w:val="en"/>
                              </w:rPr>
                              <w:t xml:space="preserve">-axis and </w:t>
                            </w:r>
                            <w:r w:rsidRPr="001311FA">
                              <w:rPr>
                                <w:sz w:val="20"/>
                                <w:szCs w:val="20"/>
                                <w:lang w:val="en"/>
                              </w:rPr>
                              <w:t>Chomogonday White and Extracts 652</w:t>
                            </w:r>
                            <w:r>
                              <w:rPr>
                                <w:sz w:val="20"/>
                                <w:szCs w:val="20"/>
                                <w:lang w:val="en"/>
                              </w:rPr>
                              <w:t xml:space="preserve"> on the </w:t>
                            </w:r>
                            <w:r w:rsidRPr="00AC185E">
                              <w:rPr>
                                <w:i/>
                                <w:sz w:val="20"/>
                                <w:szCs w:val="20"/>
                                <w:lang w:val="en"/>
                              </w:rPr>
                              <w:t>x</w:t>
                            </w:r>
                            <w:r>
                              <w:rPr>
                                <w:sz w:val="20"/>
                                <w:szCs w:val="20"/>
                                <w:lang w:val="en"/>
                              </w:rPr>
                              <w:t>-axis.</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1C126" id="_x0000_s1071" type="#_x0000_t202" style="position:absolute;left:0;text-align:left;margin-left:401pt;margin-top:175pt;width:50.65pt;height:481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" stroked="f">
                <v:textbox style="layout-flow:vertical;mso-layout-flow-alt:bottom-to-top">
                  <w:txbxContent>
                    <w:p w:rsidR="00D842A6" w:rsidRPr="00580A4D" w:rsidRDefault="00D842A6" w:rsidP="00CF1D1E">
                      <w:pPr>
                        <w:spacing w:line="360" w:lineRule="auto"/>
                        <w:rPr>
                          <w:sz w:val="20"/>
                          <w:szCs w:val="20"/>
                          <w:lang w:val="en"/>
                        </w:rPr>
                      </w:pPr>
                      <w:r>
                        <w:rPr>
                          <w:sz w:val="20"/>
                          <w:szCs w:val="20"/>
                          <w:lang w:val="en"/>
                        </w:rPr>
                        <w:t xml:space="preserve">Fig.138 Variable trend plot showing TS B, TS C and TS A with abundance on the </w:t>
                      </w:r>
                      <w:r w:rsidRPr="00AC185E">
                        <w:rPr>
                          <w:i/>
                          <w:sz w:val="20"/>
                          <w:szCs w:val="20"/>
                          <w:lang w:val="en"/>
                        </w:rPr>
                        <w:t>y</w:t>
                      </w:r>
                      <w:r>
                        <w:rPr>
                          <w:sz w:val="20"/>
                          <w:szCs w:val="20"/>
                          <w:lang w:val="en"/>
                        </w:rPr>
                        <w:t xml:space="preserve">-axis and </w:t>
                      </w:r>
                      <w:r w:rsidRPr="001311FA">
                        <w:rPr>
                          <w:sz w:val="20"/>
                          <w:szCs w:val="20"/>
                          <w:lang w:val="en"/>
                        </w:rPr>
                        <w:t>Chomogonday White and Extracts 652</w:t>
                      </w:r>
                      <w:r>
                        <w:rPr>
                          <w:sz w:val="20"/>
                          <w:szCs w:val="20"/>
                          <w:lang w:val="en"/>
                        </w:rPr>
                        <w:t xml:space="preserve"> on the </w:t>
                      </w:r>
                      <w:r w:rsidRPr="00AC185E">
                        <w:rPr>
                          <w:i/>
                          <w:sz w:val="20"/>
                          <w:szCs w:val="20"/>
                          <w:lang w:val="en"/>
                        </w:rPr>
                        <w:t>x</w:t>
                      </w:r>
                      <w:r>
                        <w:rPr>
                          <w:sz w:val="20"/>
                          <w:szCs w:val="20"/>
                          <w:lang w:val="en"/>
                        </w:rPr>
                        <w:t>-axis.</w:t>
                      </w:r>
                    </w:p>
                  </w:txbxContent>
                </v:textbox>
                <w10:wrap type="square" anchorx="margin"/>
              </v:shape>
            </w:pict>
          </mc:Fallback>
        </mc:AlternateContent>
      </w:r>
      <w:r w:rsidRPr="00CF1D1E">
        <w:rPr>
          <w:rFonts w:ascii="Calibri" w:eastAsia="Calibri" w:hAnsi="Calibri" w:cs="Times New Roman"/>
          <w:noProof/>
          <w:sz w:val="24"/>
          <w:szCs w:val="24"/>
          <w:lang w:eastAsia="en-GB"/>
        </w:rPr>
        <w:drawing>
          <wp:inline distT="0" distB="0" distL="0" distR="0" wp14:anchorId="34D6BC05" wp14:editId="2CF7E488">
            <wp:extent cx="8433211" cy="4165600"/>
            <wp:effectExtent l="0" t="0" r="6350" b="6350"/>
            <wp:docPr id="180" name="Picture 180" descr="C:\Users\chsa10\Documents\James Finlay Ltd\NEW 150819\Part 3\EZ Info data\Variable trends CW compared to Extracts 652 TSs only after S-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hsa10\Documents\James Finlay Ltd\NEW 150819\Part 3\EZ Info data\Variable trends CW compared to Extracts 652 TSs only after S-plot.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rot="16200000">
                      <a:off x="0" y="0"/>
                      <a:ext cx="8449344" cy="4173569"/>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br w:type="page"/>
      </w:r>
    </w:p>
    <w:p w:rsidR="00CF1D1E" w:rsidRPr="00CF1D1E" w:rsidRDefault="00CF1D1E" w:rsidP="00CF1D1E">
      <w:pPr>
        <w:spacing w:line="360" w:lineRule="auto"/>
        <w:jc w:val="both"/>
        <w:rPr>
          <w:rFonts w:ascii="Calibri" w:eastAsia="Calibri" w:hAnsi="Calibri" w:cs="Times New Roman"/>
          <w:sz w:val="20"/>
          <w:szCs w:val="20"/>
          <w:lang w:val="en"/>
        </w:rPr>
      </w:pPr>
      <w:r w:rsidRPr="00CF1D1E">
        <w:rPr>
          <w:rFonts w:ascii="Calibri" w:eastAsia="Calibri" w:hAnsi="Calibri" w:cs="Times New Roman"/>
          <w:sz w:val="24"/>
          <w:szCs w:val="24"/>
          <w:lang w:val="en"/>
        </w:rPr>
        <w:lastRenderedPageBreak/>
        <w:t xml:space="preserve">In order to finally conclude this result section, one mass spectrum and one abundance profile is taken from </w:t>
      </w:r>
      <w:r w:rsidR="00E07C7B">
        <w:rPr>
          <w:rFonts w:ascii="Calibri" w:eastAsia="Calibri" w:hAnsi="Calibri" w:cs="Times New Roman"/>
          <w:sz w:val="24"/>
          <w:szCs w:val="24"/>
          <w:lang w:val="en"/>
        </w:rPr>
        <w:t xml:space="preserve">data acquired in </w:t>
      </w:r>
      <w:r w:rsidRPr="00CF1D1E">
        <w:rPr>
          <w:rFonts w:ascii="Calibri" w:eastAsia="Calibri" w:hAnsi="Calibri" w:cs="Times New Roman"/>
          <w:sz w:val="24"/>
          <w:szCs w:val="24"/>
          <w:lang w:val="en"/>
        </w:rPr>
        <w:t xml:space="preserve">positive mode. </w:t>
      </w:r>
      <w:r w:rsidR="00E168C3">
        <w:rPr>
          <w:rFonts w:ascii="Calibri" w:eastAsia="Calibri" w:hAnsi="Calibri" w:cs="Times New Roman"/>
          <w:sz w:val="24"/>
          <w:szCs w:val="24"/>
          <w:lang w:val="en"/>
        </w:rPr>
        <w:t>A</w:t>
      </w:r>
      <w:r w:rsidRPr="00CF1D1E">
        <w:rPr>
          <w:rFonts w:ascii="Calibri" w:eastAsia="Calibri" w:hAnsi="Calibri" w:cs="Times New Roman"/>
          <w:sz w:val="24"/>
          <w:szCs w:val="24"/>
          <w:lang w:val="en"/>
        </w:rPr>
        <w:t xml:space="preserve">nthocyanidins and anthocyanins </w:t>
      </w:r>
      <w:r w:rsidR="00E168C3" w:rsidRPr="00CF1D1E">
        <w:rPr>
          <w:rFonts w:ascii="Calibri" w:eastAsia="Calibri" w:hAnsi="Calibri" w:cs="Times New Roman"/>
          <w:sz w:val="24"/>
          <w:szCs w:val="24"/>
          <w:lang w:val="en"/>
        </w:rPr>
        <w:t>form distinctive positive ions</w:t>
      </w:r>
      <w:r w:rsidR="00E168C3">
        <w:rPr>
          <w:rFonts w:ascii="Calibri" w:eastAsia="Calibri" w:hAnsi="Calibri" w:cs="Times New Roman"/>
          <w:sz w:val="24"/>
          <w:szCs w:val="24"/>
          <w:lang w:val="en"/>
        </w:rPr>
        <w:t>.</w:t>
      </w:r>
      <w:r w:rsidR="00E168C3" w:rsidRPr="00CF1D1E">
        <w:rPr>
          <w:rFonts w:ascii="Calibri" w:eastAsia="Calibri" w:hAnsi="Calibri" w:cs="Times New Roman"/>
          <w:sz w:val="24"/>
          <w:szCs w:val="24"/>
          <w:lang w:val="en"/>
        </w:rPr>
        <w:t xml:space="preserve"> </w:t>
      </w:r>
      <w:r w:rsidR="00E168C3">
        <w:rPr>
          <w:rFonts w:ascii="Calibri" w:eastAsia="Calibri" w:hAnsi="Calibri" w:cs="Times New Roman"/>
          <w:sz w:val="24"/>
          <w:szCs w:val="24"/>
          <w:lang w:val="en"/>
        </w:rPr>
        <w:t>These</w:t>
      </w:r>
      <w:r w:rsidRPr="00CF1D1E">
        <w:rPr>
          <w:rFonts w:ascii="Calibri" w:eastAsia="Calibri" w:hAnsi="Calibri" w:cs="Times New Roman"/>
          <w:sz w:val="24"/>
          <w:szCs w:val="24"/>
          <w:lang w:val="en"/>
        </w:rPr>
        <w:t xml:space="preserve"> are the additional class of phytochemicals that have been introduced to the purple tea cultivar. </w:t>
      </w:r>
      <w:r w:rsidR="00E168C3">
        <w:rPr>
          <w:rFonts w:ascii="Calibri" w:eastAsia="Calibri" w:hAnsi="Calibri" w:cs="Times New Roman"/>
          <w:sz w:val="24"/>
          <w:szCs w:val="24"/>
          <w:lang w:val="en"/>
        </w:rPr>
        <w:t>The positively charged Cyanidin ion (</w:t>
      </w:r>
      <w:r w:rsidR="00E168C3" w:rsidRPr="00E168C3">
        <w:rPr>
          <w:rFonts w:ascii="Calibri" w:eastAsia="Calibri" w:hAnsi="Calibri" w:cs="Times New Roman"/>
          <w:sz w:val="24"/>
          <w:szCs w:val="24"/>
          <w:lang w:val="en"/>
        </w:rPr>
        <w:t>Fig.84</w:t>
      </w:r>
      <w:r w:rsidR="00E168C3">
        <w:rPr>
          <w:rFonts w:ascii="Calibri" w:eastAsia="Calibri" w:hAnsi="Calibri" w:cs="Times New Roman"/>
          <w:sz w:val="24"/>
          <w:szCs w:val="24"/>
          <w:lang w:val="en"/>
        </w:rPr>
        <w:t xml:space="preserve">) has a monoisotopic mass of 287.055023m/z (ChemSpider). The mass spectrum below (Fig.139) shows a parent ion of 287.0554m/z </w:t>
      </w:r>
      <w:r w:rsidR="007F2908">
        <w:rPr>
          <w:rFonts w:ascii="Calibri" w:eastAsia="Calibri" w:hAnsi="Calibri" w:cs="Times New Roman"/>
          <w:sz w:val="24"/>
          <w:szCs w:val="24"/>
          <w:lang w:val="en"/>
        </w:rPr>
        <w:t>which a mass error of 1.3ppm. Also</w:t>
      </w:r>
      <w:r w:rsidR="00E168C3">
        <w:rPr>
          <w:rFonts w:ascii="Calibri" w:eastAsia="Calibri" w:hAnsi="Calibri" w:cs="Times New Roman"/>
          <w:sz w:val="24"/>
          <w:szCs w:val="24"/>
          <w:lang w:val="en"/>
        </w:rPr>
        <w:t xml:space="preserve"> 245.0446m/z</w:t>
      </w:r>
      <w:r w:rsidR="007F2908">
        <w:rPr>
          <w:rFonts w:ascii="Calibri" w:eastAsia="Calibri" w:hAnsi="Calibri" w:cs="Times New Roman"/>
          <w:sz w:val="24"/>
          <w:szCs w:val="24"/>
          <w:lang w:val="en"/>
        </w:rPr>
        <w:t xml:space="preserve"> is observed</w:t>
      </w:r>
      <w:r w:rsidR="00FA77A4">
        <w:rPr>
          <w:rFonts w:ascii="Calibri" w:eastAsia="Calibri" w:hAnsi="Calibri" w:cs="Times New Roman"/>
          <w:sz w:val="24"/>
          <w:szCs w:val="24"/>
          <w:lang w:val="en"/>
        </w:rPr>
        <w:t xml:space="preserve"> which is a major fragment</w:t>
      </w:r>
      <w:r w:rsidR="008F1D65">
        <w:rPr>
          <w:rFonts w:ascii="Calibri" w:eastAsia="Calibri" w:hAnsi="Calibri" w:cs="Times New Roman"/>
          <w:sz w:val="24"/>
          <w:szCs w:val="24"/>
          <w:lang w:val="en"/>
        </w:rPr>
        <w:t xml:space="preserve"> often seen in</w:t>
      </w:r>
      <w:r w:rsidR="00411C25">
        <w:rPr>
          <w:rFonts w:ascii="Calibri" w:eastAsia="Calibri" w:hAnsi="Calibri" w:cs="Times New Roman"/>
          <w:sz w:val="24"/>
          <w:szCs w:val="24"/>
          <w:lang w:val="en"/>
        </w:rPr>
        <w:t xml:space="preserve"> </w:t>
      </w:r>
      <w:r w:rsidR="00B274F2">
        <w:rPr>
          <w:rFonts w:ascii="Calibri" w:eastAsia="Calibri" w:hAnsi="Calibri" w:cs="Times New Roman"/>
          <w:sz w:val="24"/>
          <w:szCs w:val="24"/>
          <w:lang w:val="en"/>
        </w:rPr>
        <w:t>polyphenol</w:t>
      </w:r>
      <w:r w:rsidR="008F1D65">
        <w:rPr>
          <w:rFonts w:ascii="Calibri" w:eastAsia="Calibri" w:hAnsi="Calibri" w:cs="Times New Roman"/>
          <w:sz w:val="24"/>
          <w:szCs w:val="24"/>
          <w:lang w:val="en"/>
        </w:rPr>
        <w:t xml:space="preserve"> analysis</w:t>
      </w:r>
      <w:r w:rsidR="00411C25">
        <w:rPr>
          <w:rFonts w:ascii="Calibri" w:eastAsia="Calibri" w:hAnsi="Calibri" w:cs="Times New Roman"/>
          <w:sz w:val="24"/>
          <w:szCs w:val="24"/>
          <w:lang w:val="en"/>
        </w:rPr>
        <w:t xml:space="preserve"> (</w:t>
      </w:r>
      <w:r w:rsidR="002F04D6">
        <w:rPr>
          <w:rFonts w:ascii="Calibri" w:eastAsia="Calibri" w:hAnsi="Calibri" w:cs="Times New Roman"/>
          <w:sz w:val="24"/>
          <w:szCs w:val="24"/>
          <w:lang w:val="en"/>
        </w:rPr>
        <w:t>see p</w:t>
      </w:r>
      <w:r w:rsidR="00411C25">
        <w:rPr>
          <w:rFonts w:ascii="Calibri" w:eastAsia="Calibri" w:hAnsi="Calibri" w:cs="Times New Roman"/>
          <w:sz w:val="24"/>
          <w:szCs w:val="24"/>
          <w:lang w:val="en"/>
        </w:rPr>
        <w:t xml:space="preserve">age 16) </w:t>
      </w:r>
      <w:r w:rsidR="00411C25">
        <w:rPr>
          <w:rFonts w:ascii="Calibri" w:eastAsia="Calibri" w:hAnsi="Calibri" w:cs="Times New Roman"/>
          <w:sz w:val="24"/>
          <w:szCs w:val="24"/>
          <w:lang w:val="en"/>
        </w:rPr>
        <w:fldChar w:fldCharType="begin" w:fldLock="1"/>
      </w:r>
      <w:r w:rsidR="00820C01">
        <w:rPr>
          <w:rFonts w:ascii="Calibri" w:eastAsia="Calibri" w:hAnsi="Calibri" w:cs="Times New Roman"/>
          <w:sz w:val="24"/>
          <w:szCs w:val="24"/>
          <w:lang w:val="en"/>
        </w:rPr>
        <w:instrText>ADDIN CSL_CITATION {"citationItems":[{"id":"ITEM-1","itemData":{"DOI":"10.1002/jssc.201400853","ISSN":"16159314","PMID":"25280343","abstract":"A rapid and sensitive ultra high performance liquid chromatography electrospray ionization tandem mass spectrometry method was developed and validated for the simultaneous determination of 13 flavonoids in leaf, stem, and fruit extracts of male and female trees of Ginkgo biloba to investigate gender- and age-related variations of flavonoids content. Chromatographic separation was accomplished on an Acquity UPLC BEH C18 column (50 mm × 2.1 mm id, 1.7 μm) in 5 min. Quantitation was performed using negative electrospray ionization mass spectrometry in multiple reaction monitoring mode. The calibration curves of all analytes showed a good linear relationship (r(2) ≥ 0.9977) over the concentration range of 1-1000 ng/mL. The precision evaluated by an intra- and interday study showed RSD ≤ 1.98% and good accuracy with overall recovery in the range from 97.90 to 101.09% (RSD ≤ 1.67%) for all analytes. The method sensitivity expressed as the limit of quantitation was typically 0.25-3.57 ng/mL. The results showed that the total content of 13 flavonoids was higher in the leaf extract of an old male Ginkgo tree compared to young female Ginkgo trees.","author":[{"dropping-particle":"","family":"Pandey","given":"Renu","non-dropping-particle":"","parse-names":false,"suffix":""},{"dropping-particle":"","family":"Chandra","given":"Preeti","non-dropping-particle":"","parse-names":false,"suffix":""},{"dropping-particle":"","family":"Arya","given":"Kamal Ram","non-dropping-particle":"","parse-names":false,"suffix":""},{"dropping-particle":"","family":"Kumar","given":"Brijesh","non-dropping-particle":"","parse-names":false,"suffix":""}],"container-title":"Journal of Separation Science","id":"ITEM-1","issue":"24","issued":{"date-parts":[["2014"]]},"page":"3610-3618","title":"Development and validation of an ultra high performance liquid chromatography electrospray ionization tandem mass spectrometry method for the simultaneous determination of selected flavonoids in Ginkgo biloba","type":"article-journal","volume":"37"},"uris":["http://www.mendeley.com/documents/?uuid=630c9e52-66c6-4f9b-9edb-395d77befaa6"]}],"mendeley":{"formattedCitation":"(Pandey et al., 2014)","plainTextFormattedCitation":"(Pandey et al., 2014)","previouslyFormattedCitation":"(Pandey et al., 2014)"},"properties":{"noteIndex":0},"schema":"https://github.com/citation-style-language/schema/raw/master/csl-citation.json"}</w:instrText>
      </w:r>
      <w:r w:rsidR="00411C25">
        <w:rPr>
          <w:rFonts w:ascii="Calibri" w:eastAsia="Calibri" w:hAnsi="Calibri" w:cs="Times New Roman"/>
          <w:sz w:val="24"/>
          <w:szCs w:val="24"/>
          <w:lang w:val="en"/>
        </w:rPr>
        <w:fldChar w:fldCharType="separate"/>
      </w:r>
      <w:r w:rsidR="00411C25" w:rsidRPr="00411C25">
        <w:rPr>
          <w:rFonts w:ascii="Calibri" w:eastAsia="Calibri" w:hAnsi="Calibri" w:cs="Times New Roman"/>
          <w:noProof/>
          <w:sz w:val="24"/>
          <w:szCs w:val="24"/>
          <w:lang w:val="en"/>
        </w:rPr>
        <w:t xml:space="preserve">(Pandey </w:t>
      </w:r>
      <w:r w:rsidR="00411C25" w:rsidRPr="00411C25">
        <w:rPr>
          <w:rFonts w:ascii="Calibri" w:eastAsia="Calibri" w:hAnsi="Calibri" w:cs="Times New Roman"/>
          <w:i/>
          <w:noProof/>
          <w:sz w:val="24"/>
          <w:szCs w:val="24"/>
          <w:lang w:val="en"/>
        </w:rPr>
        <w:t>et al</w:t>
      </w:r>
      <w:r w:rsidR="00411C25" w:rsidRPr="00411C25">
        <w:rPr>
          <w:rFonts w:ascii="Calibri" w:eastAsia="Calibri" w:hAnsi="Calibri" w:cs="Times New Roman"/>
          <w:noProof/>
          <w:sz w:val="24"/>
          <w:szCs w:val="24"/>
          <w:lang w:val="en"/>
        </w:rPr>
        <w:t>., 2014)</w:t>
      </w:r>
      <w:r w:rsidR="00411C25">
        <w:rPr>
          <w:rFonts w:ascii="Calibri" w:eastAsia="Calibri" w:hAnsi="Calibri" w:cs="Times New Roman"/>
          <w:sz w:val="24"/>
          <w:szCs w:val="24"/>
          <w:lang w:val="en"/>
        </w:rPr>
        <w:fldChar w:fldCharType="end"/>
      </w:r>
      <w:r w:rsidR="002F04D6">
        <w:rPr>
          <w:rFonts w:ascii="Calibri" w:eastAsia="Calibri" w:hAnsi="Calibri" w:cs="Times New Roman"/>
          <w:sz w:val="24"/>
          <w:szCs w:val="24"/>
          <w:lang w:val="en"/>
        </w:rPr>
        <w:t>.</w:t>
      </w:r>
    </w:p>
    <w:p w:rsidR="00CF1D1E" w:rsidRPr="00CF1D1E" w:rsidRDefault="00CF1D1E" w:rsidP="00CF1D1E">
      <w:pPr>
        <w:spacing w:line="360" w:lineRule="auto"/>
        <w:rPr>
          <w:rFonts w:ascii="Calibri" w:eastAsia="Calibri" w:hAnsi="Calibri" w:cs="Times New Roman"/>
          <w:sz w:val="20"/>
          <w:szCs w:val="20"/>
          <w:lang w:val="en"/>
        </w:rPr>
      </w:pPr>
    </w:p>
    <w:p w:rsidR="00CF1D1E" w:rsidRPr="00CF1D1E" w:rsidRDefault="00CF1D1E" w:rsidP="00CF1D1E">
      <w:pPr>
        <w:spacing w:line="360" w:lineRule="auto"/>
        <w:rPr>
          <w:rFonts w:ascii="Calibri" w:eastAsia="Calibri" w:hAnsi="Calibri" w:cs="Times New Roman"/>
          <w:sz w:val="20"/>
          <w:szCs w:val="20"/>
          <w:lang w:val="en"/>
        </w:rPr>
      </w:pPr>
      <w:r w:rsidRPr="00CF1D1E">
        <w:rPr>
          <w:rFonts w:ascii="Calibri" w:eastAsia="Calibri" w:hAnsi="Calibri" w:cs="Times New Roman"/>
          <w:noProof/>
          <w:sz w:val="20"/>
          <w:szCs w:val="20"/>
          <w:lang w:eastAsia="en-GB"/>
        </w:rPr>
        <w:drawing>
          <wp:inline distT="0" distB="0" distL="0" distR="0" wp14:anchorId="3D0711A5" wp14:editId="533CB16B">
            <wp:extent cx="6202623" cy="1733460"/>
            <wp:effectExtent l="0" t="0" r="0" b="635"/>
            <wp:docPr id="174" name="Picture 174" descr="C:\Users\chsa10\Documents\James Finlay Ltd\NEW 150819\POSITIVE\POS Anthocyanidins\Cyanidin 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chsa10\Documents\James Finlay Ltd\NEW 150819\POSITIVE\POS Anthocyanidins\Cyanidin Spectrum.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231787" cy="1741611"/>
                    </a:xfrm>
                    <a:prstGeom prst="rect">
                      <a:avLst/>
                    </a:prstGeom>
                    <a:noFill/>
                    <a:ln>
                      <a:noFill/>
                    </a:ln>
                  </pic:spPr>
                </pic:pic>
              </a:graphicData>
            </a:graphic>
          </wp:inline>
        </w:drawing>
      </w:r>
    </w:p>
    <w:p w:rsidR="00CF1D1E" w:rsidRPr="00CF1D1E" w:rsidRDefault="00CF1D1E" w:rsidP="00CF1D1E">
      <w:pPr>
        <w:spacing w:line="360" w:lineRule="auto"/>
        <w:rPr>
          <w:rFonts w:ascii="Calibri" w:eastAsia="Calibri" w:hAnsi="Calibri" w:cs="Times New Roman"/>
          <w:sz w:val="20"/>
          <w:szCs w:val="20"/>
          <w:lang w:val="en"/>
        </w:rPr>
      </w:pPr>
      <w:r w:rsidRPr="00CF1D1E">
        <w:rPr>
          <w:rFonts w:ascii="Calibri" w:eastAsia="Calibri" w:hAnsi="Calibri" w:cs="Times New Roman"/>
          <w:sz w:val="20"/>
          <w:szCs w:val="20"/>
          <w:lang w:val="en"/>
        </w:rPr>
        <w:t>F</w:t>
      </w:r>
      <w:r w:rsidR="007712B7">
        <w:rPr>
          <w:rFonts w:ascii="Calibri" w:eastAsia="Calibri" w:hAnsi="Calibri" w:cs="Times New Roman"/>
          <w:sz w:val="20"/>
          <w:szCs w:val="20"/>
          <w:lang w:val="en"/>
        </w:rPr>
        <w:t>ig.139</w:t>
      </w:r>
      <w:r w:rsidRPr="00CF1D1E">
        <w:rPr>
          <w:rFonts w:ascii="Calibri" w:eastAsia="Calibri" w:hAnsi="Calibri" w:cs="Times New Roman"/>
          <w:sz w:val="20"/>
          <w:szCs w:val="20"/>
          <w:lang w:val="en"/>
        </w:rPr>
        <w:t xml:space="preserve"> Mass spectrum of the positive cyanidin ion.</w:t>
      </w:r>
    </w:p>
    <w:p w:rsidR="00CF1D1E" w:rsidRPr="00CF1D1E" w:rsidRDefault="00CF1D1E" w:rsidP="00CF1D1E">
      <w:pPr>
        <w:spacing w:line="360" w:lineRule="auto"/>
        <w:rPr>
          <w:rFonts w:ascii="Calibri" w:eastAsia="Calibri" w:hAnsi="Calibri" w:cs="Times New Roman"/>
          <w:sz w:val="20"/>
          <w:szCs w:val="20"/>
          <w:lang w:val="en"/>
        </w:rPr>
      </w:pPr>
    </w:p>
    <w:p w:rsidR="00CF1D1E" w:rsidRPr="00CF1D1E" w:rsidRDefault="00CF1D1E" w:rsidP="00CF1D1E">
      <w:pPr>
        <w:spacing w:line="360" w:lineRule="auto"/>
        <w:rPr>
          <w:rFonts w:ascii="Calibri" w:eastAsia="Calibri" w:hAnsi="Calibri" w:cs="Times New Roman"/>
          <w:sz w:val="20"/>
          <w:szCs w:val="20"/>
          <w:lang w:val="en"/>
        </w:rPr>
      </w:pPr>
    </w:p>
    <w:p w:rsidR="00CF1D1E" w:rsidRPr="00CF1D1E" w:rsidRDefault="00CF1D1E" w:rsidP="00CF1D1E">
      <w:pPr>
        <w:rPr>
          <w:rFonts w:ascii="Calibri" w:eastAsia="Calibri" w:hAnsi="Calibri" w:cs="Times New Roman"/>
          <w:lang w:val="en"/>
        </w:rPr>
      </w:pPr>
      <w:r w:rsidRPr="00CF1D1E">
        <w:rPr>
          <w:rFonts w:ascii="Calibri" w:eastAsia="Calibri" w:hAnsi="Calibri" w:cs="Times New Roman"/>
          <w:noProof/>
          <w:lang w:eastAsia="en-GB"/>
        </w:rPr>
        <w:drawing>
          <wp:inline distT="0" distB="0" distL="0" distR="0" wp14:anchorId="5A6F44D7" wp14:editId="79B0C651">
            <wp:extent cx="5731510" cy="1790065"/>
            <wp:effectExtent l="0" t="0" r="254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NEW Cyanidin Abundance Profile from POS data Cropped.png"/>
                    <pic:cNvPicPr/>
                  </pic:nvPicPr>
                  <pic:blipFill>
                    <a:blip r:embed="rId210">
                      <a:extLst>
                        <a:ext uri="{28A0092B-C50C-407E-A947-70E740481C1C}">
                          <a14:useLocalDpi xmlns:a14="http://schemas.microsoft.com/office/drawing/2010/main" val="0"/>
                        </a:ext>
                      </a:extLst>
                    </a:blip>
                    <a:stretch>
                      <a:fillRect/>
                    </a:stretch>
                  </pic:blipFill>
                  <pic:spPr>
                    <a:xfrm>
                      <a:off x="0" y="0"/>
                      <a:ext cx="5731510" cy="1790065"/>
                    </a:xfrm>
                    <a:prstGeom prst="rect">
                      <a:avLst/>
                    </a:prstGeom>
                  </pic:spPr>
                </pic:pic>
              </a:graphicData>
            </a:graphic>
          </wp:inline>
        </w:drawing>
      </w:r>
    </w:p>
    <w:p w:rsidR="00CF1D1E" w:rsidRPr="00CF1D1E" w:rsidRDefault="00CF1D1E" w:rsidP="00CF1D1E">
      <w:pPr>
        <w:spacing w:line="360" w:lineRule="auto"/>
        <w:rPr>
          <w:rFonts w:ascii="Calibri" w:eastAsia="Calibri" w:hAnsi="Calibri" w:cs="Times New Roman"/>
          <w:sz w:val="20"/>
          <w:szCs w:val="20"/>
          <w:lang w:val="en"/>
        </w:rPr>
      </w:pPr>
    </w:p>
    <w:p w:rsidR="00CF1D1E" w:rsidRPr="00CF1D1E" w:rsidRDefault="007712B7" w:rsidP="00CF1D1E">
      <w:pPr>
        <w:spacing w:line="360" w:lineRule="auto"/>
        <w:rPr>
          <w:rFonts w:ascii="Calibri" w:eastAsia="Calibri" w:hAnsi="Calibri" w:cs="Times New Roman"/>
          <w:sz w:val="20"/>
          <w:szCs w:val="20"/>
          <w:lang w:val="en"/>
        </w:rPr>
      </w:pPr>
      <w:r>
        <w:rPr>
          <w:rFonts w:ascii="Calibri" w:eastAsia="Calibri" w:hAnsi="Calibri" w:cs="Times New Roman"/>
          <w:sz w:val="20"/>
          <w:szCs w:val="20"/>
          <w:lang w:val="en"/>
        </w:rPr>
        <w:t xml:space="preserve">Fig.140 </w:t>
      </w:r>
      <w:r w:rsidR="00CF1D1E" w:rsidRPr="00CF1D1E">
        <w:rPr>
          <w:rFonts w:ascii="Calibri" w:eastAsia="Calibri" w:hAnsi="Calibri" w:cs="Times New Roman"/>
          <w:sz w:val="20"/>
          <w:szCs w:val="20"/>
          <w:lang w:val="en"/>
        </w:rPr>
        <w:t xml:space="preserve">Abundance profile of the positively charged cyanidin ion across the 9 tea samples. This red pigment </w:t>
      </w:r>
      <w:r w:rsidR="00CF1D1E" w:rsidRPr="00CF1D1E">
        <w:rPr>
          <w:rFonts w:ascii="Calibri" w:eastAsia="Calibri" w:hAnsi="Calibri" w:cs="Times New Roman"/>
          <w:sz w:val="20"/>
          <w:szCs w:val="20"/>
          <w:lang w:val="en"/>
        </w:rPr>
        <w:fldChar w:fldCharType="begin" w:fldLock="1"/>
      </w:r>
      <w:r w:rsidR="00595237">
        <w:rPr>
          <w:rFonts w:ascii="Calibri" w:eastAsia="Calibri" w:hAnsi="Calibri" w:cs="Times New Roman"/>
          <w:sz w:val="20"/>
          <w:szCs w:val="20"/>
          <w:lang w:val="en"/>
        </w:rPr>
        <w:instrText>ADDIN CSL_CITATION {"citationItems":[{"id":"ITEM-1","itemData":{"URL":"http://www.food-info.net/uk/e/e163.htm","accessed":{"date-parts":[["2019","9","21"]]},"author":[{"dropping-particle":"","family":"Food-Info.net","given":"","non-dropping-particle":"","parse-names":false,"suffix":""}],"container-title":"www","id":"ITEM-1","issued":{"date-parts":[["2019"]]},"title":"Food-Info.net : E-numbers : E163 Anthocyan(in)s","type":"webpage"},"uris":["http://www.mendeley.com/documents/?uuid=279892f1-5667-34ae-9ff3-e095d96de2f7"]}],"mendeley":{"formattedCitation":"(Food-Info.net, 2019)","plainTextFormattedCitation":"(Food-Info.net, 2019)","previouslyFormattedCitation":"(Food-Info.net, 2019)"},"properties":{"noteIndex":0},"schema":"https://github.com/citation-style-language/schema/raw/master/csl-citation.json"}</w:instrText>
      </w:r>
      <w:r w:rsidR="00CF1D1E" w:rsidRPr="00CF1D1E">
        <w:rPr>
          <w:rFonts w:ascii="Calibri" w:eastAsia="Calibri" w:hAnsi="Calibri" w:cs="Times New Roman"/>
          <w:sz w:val="20"/>
          <w:szCs w:val="20"/>
          <w:lang w:val="en"/>
        </w:rPr>
        <w:fldChar w:fldCharType="separate"/>
      </w:r>
      <w:r w:rsidR="00941740" w:rsidRPr="00941740">
        <w:rPr>
          <w:rFonts w:ascii="Calibri" w:eastAsia="Calibri" w:hAnsi="Calibri" w:cs="Times New Roman"/>
          <w:noProof/>
          <w:sz w:val="20"/>
          <w:szCs w:val="20"/>
          <w:lang w:val="en"/>
        </w:rPr>
        <w:t>(Food-Info.net, 2019)</w:t>
      </w:r>
      <w:r w:rsidR="00CF1D1E" w:rsidRPr="00CF1D1E">
        <w:rPr>
          <w:rFonts w:ascii="Calibri" w:eastAsia="Calibri" w:hAnsi="Calibri" w:cs="Times New Roman"/>
          <w:sz w:val="20"/>
          <w:szCs w:val="20"/>
          <w:lang w:val="en"/>
        </w:rPr>
        <w:fldChar w:fldCharType="end"/>
      </w:r>
      <w:r w:rsidR="00CF1D1E" w:rsidRPr="00CF1D1E">
        <w:rPr>
          <w:rFonts w:ascii="Calibri" w:eastAsia="Calibri" w:hAnsi="Calibri" w:cs="Times New Roman"/>
          <w:sz w:val="20"/>
          <w:szCs w:val="20"/>
          <w:lang w:val="en"/>
        </w:rPr>
        <w:t xml:space="preserve"> cannot be seen in negative mode.</w:t>
      </w:r>
      <w:r w:rsidR="000A44F2">
        <w:rPr>
          <w:rFonts w:ascii="Calibri" w:eastAsia="Calibri" w:hAnsi="Calibri" w:cs="Times New Roman"/>
          <w:sz w:val="20"/>
          <w:szCs w:val="20"/>
          <w:lang w:val="en"/>
        </w:rPr>
        <w:t xml:space="preserve"> It is shown here to be prevalent in Purple tea. </w:t>
      </w:r>
    </w:p>
    <w:p w:rsidR="00CF1D1E" w:rsidRPr="00CF1D1E" w:rsidRDefault="00CF1D1E" w:rsidP="00CF1D1E">
      <w:pPr>
        <w:rPr>
          <w:rFonts w:ascii="Calibri" w:eastAsia="Calibri" w:hAnsi="Calibri" w:cs="Times New Roman"/>
          <w:lang w:val="en"/>
        </w:rPr>
      </w:pPr>
      <w:r w:rsidRPr="00CF1D1E">
        <w:rPr>
          <w:rFonts w:ascii="Calibri" w:eastAsia="Calibri" w:hAnsi="Calibri" w:cs="Times New Roman"/>
          <w:lang w:val="en"/>
        </w:rPr>
        <w:br w:type="page"/>
      </w:r>
    </w:p>
    <w:p w:rsidR="00CF1D1E" w:rsidRPr="00CF1D1E" w:rsidRDefault="00CF1D1E" w:rsidP="00CF1D1E">
      <w:pPr>
        <w:numPr>
          <w:ilvl w:val="1"/>
          <w:numId w:val="7"/>
        </w:numPr>
        <w:spacing w:line="360" w:lineRule="auto"/>
        <w:contextualSpacing/>
        <w:jc w:val="both"/>
        <w:rPr>
          <w:rFonts w:ascii="Calibri" w:eastAsia="Calibri" w:hAnsi="Calibri" w:cs="Times New Roman"/>
          <w:b/>
          <w:sz w:val="44"/>
          <w:szCs w:val="44"/>
        </w:rPr>
      </w:pPr>
      <w:r w:rsidRPr="00CF1D1E">
        <w:rPr>
          <w:rFonts w:ascii="Calibri" w:eastAsia="Calibri" w:hAnsi="Calibri" w:cs="Times New Roman"/>
          <w:b/>
          <w:sz w:val="44"/>
          <w:szCs w:val="44"/>
        </w:rPr>
        <w:lastRenderedPageBreak/>
        <w:t>Discussion</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discussion of this chapter’s research will again begin by reiterating the research question: </w:t>
      </w:r>
      <w:r w:rsidRPr="00CF1D1E">
        <w:rPr>
          <w:rFonts w:ascii="Calibri" w:eastAsia="Calibri" w:hAnsi="Calibri" w:cs="Times New Roman"/>
          <w:i/>
          <w:sz w:val="24"/>
          <w:szCs w:val="24"/>
        </w:rPr>
        <w:t xml:space="preserve">can value be added to the tea industry through characterisation using modern mass spectrometry based analysis? </w:t>
      </w:r>
      <w:r w:rsidRPr="00CF1D1E">
        <w:rPr>
          <w:rFonts w:ascii="Calibri" w:eastAsia="Calibri" w:hAnsi="Calibri" w:cs="Times New Roman"/>
          <w:sz w:val="24"/>
          <w:szCs w:val="24"/>
        </w:rPr>
        <w:t>The term ‘value’ will be applied broadly and will include improvements in terms of production, better quality control, streamlined marketing and product design, in order to satisfy ever-changing consumer trends and facilitate a commercial edge through catering for consumers’ preferences.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From the initial basic overview (stage 1), provided by analysing the data in Progenesis QI (Fig.101), to the MVA approach applied in this metabolomic fingerprinting study, the modicum of success that can be achieved, even with a small focused dataset, is illustrated. </w:t>
      </w:r>
      <w:r w:rsidR="007F7F89">
        <w:rPr>
          <w:rFonts w:ascii="Calibri" w:eastAsia="Calibri" w:hAnsi="Calibri" w:cs="Times New Roman"/>
          <w:sz w:val="24"/>
          <w:szCs w:val="24"/>
        </w:rPr>
        <w:t>The data listed in</w:t>
      </w:r>
      <w:r w:rsidRPr="00CF1D1E">
        <w:rPr>
          <w:rFonts w:ascii="Calibri" w:eastAsia="Calibri" w:hAnsi="Calibri" w:cs="Times New Roman"/>
          <w:sz w:val="24"/>
          <w:szCs w:val="24"/>
        </w:rPr>
        <w:t xml:space="preserve"> Tab</w:t>
      </w:r>
      <w:r w:rsidR="007F7F89">
        <w:rPr>
          <w:rFonts w:ascii="Calibri" w:eastAsia="Calibri" w:hAnsi="Calibri" w:cs="Times New Roman"/>
          <w:sz w:val="24"/>
          <w:szCs w:val="24"/>
        </w:rPr>
        <w:t>.</w:t>
      </w:r>
      <w:r w:rsidRPr="00CF1D1E">
        <w:rPr>
          <w:rFonts w:ascii="Calibri" w:eastAsia="Calibri" w:hAnsi="Calibri" w:cs="Times New Roman"/>
          <w:sz w:val="24"/>
          <w:szCs w:val="24"/>
        </w:rPr>
        <w:t xml:space="preserve">37 </w:t>
      </w:r>
      <w:r w:rsidR="007F7F89">
        <w:rPr>
          <w:rFonts w:ascii="Calibri" w:eastAsia="Calibri" w:hAnsi="Calibri" w:cs="Times New Roman"/>
          <w:sz w:val="24"/>
          <w:szCs w:val="24"/>
        </w:rPr>
        <w:t>demonstrates</w:t>
      </w:r>
      <w:r w:rsidRPr="00CF1D1E">
        <w:rPr>
          <w:rFonts w:ascii="Calibri" w:eastAsia="Calibri" w:hAnsi="Calibri" w:cs="Times New Roman"/>
          <w:sz w:val="24"/>
          <w:szCs w:val="24"/>
        </w:rPr>
        <w:t xml:space="preserve"> how the use of only 7 relevant tea polyphenolic molecules can provide a route to distinguish between these 9 teas, highlighting significant differences between them. The differences between teas that have been allowed to oxidise as part of their processing and those that have not, is clear to see. The TF abundance plot in Fig.102 demonstrates this and </w:t>
      </w:r>
      <w:r w:rsidR="007F7F89">
        <w:rPr>
          <w:rFonts w:ascii="Calibri" w:eastAsia="Calibri" w:hAnsi="Calibri" w:cs="Times New Roman"/>
          <w:sz w:val="24"/>
          <w:szCs w:val="24"/>
        </w:rPr>
        <w:t>identifies</w:t>
      </w:r>
      <w:r w:rsidRPr="00CF1D1E">
        <w:rPr>
          <w:rFonts w:ascii="Calibri" w:eastAsia="Calibri" w:hAnsi="Calibri" w:cs="Times New Roman"/>
          <w:sz w:val="24"/>
          <w:szCs w:val="24"/>
        </w:rPr>
        <w:t xml:space="preserve"> TF as a key biomarker for monitoring of tea oxidation. Extracts 652, Tiluet HP, Milima GFBOP1 and Tiluet MTH were all shown to have undergone significant oxidation</w:t>
      </w:r>
      <w:r w:rsidR="007F7F89">
        <w:rPr>
          <w:rFonts w:ascii="Calibri" w:eastAsia="Calibri" w:hAnsi="Calibri" w:cs="Times New Roman"/>
          <w:sz w:val="24"/>
          <w:szCs w:val="24"/>
        </w:rPr>
        <w:t>,</w:t>
      </w:r>
      <w:r w:rsidRPr="00CF1D1E">
        <w:rPr>
          <w:rFonts w:ascii="Calibri" w:eastAsia="Calibri" w:hAnsi="Calibri" w:cs="Times New Roman"/>
          <w:sz w:val="24"/>
          <w:szCs w:val="24"/>
        </w:rPr>
        <w:t xml:space="preserve"> </w:t>
      </w:r>
      <w:r w:rsidR="007F7F89">
        <w:rPr>
          <w:rFonts w:ascii="Calibri" w:eastAsia="Calibri" w:hAnsi="Calibri" w:cs="Times New Roman"/>
          <w:sz w:val="24"/>
          <w:szCs w:val="24"/>
        </w:rPr>
        <w:t>fitting</w:t>
      </w:r>
      <w:r w:rsidRPr="00CF1D1E">
        <w:rPr>
          <w:rFonts w:ascii="Calibri" w:eastAsia="Calibri" w:hAnsi="Calibri" w:cs="Times New Roman"/>
          <w:sz w:val="24"/>
          <w:szCs w:val="24"/>
        </w:rPr>
        <w:t xml:space="preserve"> in with the fact that these are all b</w:t>
      </w:r>
      <w:r w:rsidR="00313173">
        <w:rPr>
          <w:rFonts w:ascii="Calibri" w:eastAsia="Calibri" w:hAnsi="Calibri" w:cs="Times New Roman"/>
          <w:sz w:val="24"/>
          <w:szCs w:val="24"/>
        </w:rPr>
        <w:t>lack teas. Also in Fig.113, the</w:t>
      </w:r>
      <w:r w:rsidRPr="00CF1D1E">
        <w:rPr>
          <w:rFonts w:ascii="Calibri" w:eastAsia="Calibri" w:hAnsi="Calibri" w:cs="Times New Roman"/>
          <w:sz w:val="24"/>
          <w:szCs w:val="24"/>
        </w:rPr>
        <w:t xml:space="preserve"> variable trends plot of Chomogonday White compared to Extracts 652, shows EC, EGC, EGCG, ECG and Procyanidin B2 as key biomarkers for a tea which has not been oxidised. This </w:t>
      </w:r>
      <w:r w:rsidR="007F7F89">
        <w:rPr>
          <w:rFonts w:ascii="Calibri" w:eastAsia="Calibri" w:hAnsi="Calibri" w:cs="Times New Roman"/>
          <w:sz w:val="24"/>
          <w:szCs w:val="24"/>
        </w:rPr>
        <w:t>can</w:t>
      </w:r>
      <w:r w:rsidRPr="00CF1D1E">
        <w:rPr>
          <w:rFonts w:ascii="Calibri" w:eastAsia="Calibri" w:hAnsi="Calibri" w:cs="Times New Roman"/>
          <w:sz w:val="24"/>
          <w:szCs w:val="24"/>
        </w:rPr>
        <w:t xml:space="preserve"> also </w:t>
      </w:r>
      <w:r w:rsidR="007F7F89">
        <w:rPr>
          <w:rFonts w:ascii="Calibri" w:eastAsia="Calibri" w:hAnsi="Calibri" w:cs="Times New Roman"/>
          <w:sz w:val="24"/>
          <w:szCs w:val="24"/>
        </w:rPr>
        <w:t xml:space="preserve">be </w:t>
      </w:r>
      <w:r w:rsidRPr="00CF1D1E">
        <w:rPr>
          <w:rFonts w:ascii="Calibri" w:eastAsia="Calibri" w:hAnsi="Calibri" w:cs="Times New Roman"/>
          <w:sz w:val="24"/>
          <w:szCs w:val="24"/>
        </w:rPr>
        <w:t xml:space="preserve">illustrated for other </w:t>
      </w:r>
      <w:proofErr w:type="spellStart"/>
      <w:r w:rsidRPr="00CF1D1E">
        <w:rPr>
          <w:rFonts w:ascii="Calibri" w:eastAsia="Calibri" w:hAnsi="Calibri" w:cs="Times New Roman"/>
          <w:sz w:val="24"/>
          <w:szCs w:val="24"/>
        </w:rPr>
        <w:t>teas</w:t>
      </w:r>
      <w:proofErr w:type="spellEnd"/>
      <w:r w:rsidRPr="00CF1D1E">
        <w:rPr>
          <w:rFonts w:ascii="Calibri" w:eastAsia="Calibri" w:hAnsi="Calibri" w:cs="Times New Roman"/>
          <w:sz w:val="24"/>
          <w:szCs w:val="24"/>
        </w:rPr>
        <w:t xml:space="preserve"> in the many variable trends plots, VIP plots and S-plots found in appendix III.</w:t>
      </w:r>
      <w:r w:rsidRPr="00CF1D1E">
        <w:rPr>
          <w:rFonts w:ascii="Calibri" w:eastAsia="Calibri" w:hAnsi="Calibri" w:cs="Times New Roman"/>
        </w:rPr>
        <w:t xml:space="preserve"> </w:t>
      </w:r>
      <w:r w:rsidRPr="00CF1D1E">
        <w:rPr>
          <w:rFonts w:ascii="Calibri" w:eastAsia="Calibri" w:hAnsi="Calibri" w:cs="Times New Roman"/>
          <w:sz w:val="24"/>
          <w:szCs w:val="24"/>
        </w:rPr>
        <w:t xml:space="preserve">Fig. A3-121 illustrates this well, showing not only higher EGCG in teas that have not </w:t>
      </w:r>
      <w:r w:rsidR="007F7F89">
        <w:rPr>
          <w:rFonts w:ascii="Calibri" w:eastAsia="Calibri" w:hAnsi="Calibri" w:cs="Times New Roman"/>
          <w:sz w:val="24"/>
          <w:szCs w:val="24"/>
        </w:rPr>
        <w:t>undergone oxidation</w:t>
      </w:r>
      <w:r w:rsidRPr="00CF1D1E">
        <w:rPr>
          <w:rFonts w:ascii="Calibri" w:eastAsia="Calibri" w:hAnsi="Calibri" w:cs="Times New Roman"/>
          <w:sz w:val="24"/>
          <w:szCs w:val="24"/>
        </w:rPr>
        <w:t xml:space="preserve"> but also depletion of EGCG in the oxidised teas. Waldemar Oolong expectedly </w:t>
      </w:r>
      <w:r w:rsidR="00930987">
        <w:rPr>
          <w:rFonts w:ascii="Calibri" w:eastAsia="Calibri" w:hAnsi="Calibri" w:cs="Times New Roman"/>
          <w:sz w:val="24"/>
          <w:szCs w:val="24"/>
        </w:rPr>
        <w:t>is positioned in between, reflecting</w:t>
      </w:r>
      <w:r w:rsidRPr="00CF1D1E">
        <w:rPr>
          <w:rFonts w:ascii="Calibri" w:eastAsia="Calibri" w:hAnsi="Calibri" w:cs="Times New Roman"/>
          <w:sz w:val="24"/>
          <w:szCs w:val="24"/>
        </w:rPr>
        <w:t xml:space="preserve"> its partial oxidation</w:t>
      </w:r>
      <w:r w:rsidR="00930987">
        <w:rPr>
          <w:rFonts w:ascii="Calibri" w:eastAsia="Calibri" w:hAnsi="Calibri" w:cs="Times New Roman"/>
          <w:sz w:val="24"/>
          <w:szCs w:val="24"/>
        </w:rPr>
        <w:t xml:space="preserve"> status</w:t>
      </w:r>
      <w:r w:rsidRPr="00CF1D1E">
        <w:rPr>
          <w:rFonts w:ascii="Calibri" w:eastAsia="Calibri" w:hAnsi="Calibri" w:cs="Times New Roman"/>
          <w:sz w:val="24"/>
          <w:szCs w:val="24"/>
        </w:rPr>
        <w:t>. In Tab.37, Chomogonday White, Newburgh Hyson, Purple CTC and Kijani all show EGCG as their main discriminants with EGC, ECG and EC also available</w:t>
      </w:r>
      <w:r w:rsidR="00930987">
        <w:rPr>
          <w:rFonts w:ascii="Calibri" w:eastAsia="Calibri" w:hAnsi="Calibri" w:cs="Times New Roman"/>
          <w:sz w:val="24"/>
          <w:szCs w:val="24"/>
        </w:rPr>
        <w:t xml:space="preserve"> as discriminants</w:t>
      </w:r>
      <w:r w:rsidRPr="00CF1D1E">
        <w:rPr>
          <w:rFonts w:ascii="Calibri" w:eastAsia="Calibri" w:hAnsi="Calibri" w:cs="Times New Roman"/>
          <w:sz w:val="24"/>
          <w:szCs w:val="24"/>
        </w:rPr>
        <w:t>. These are either white, green or purple tea types fitting in well with expectations</w:t>
      </w:r>
      <w:r w:rsidR="00930987">
        <w:rPr>
          <w:rFonts w:ascii="Calibri" w:eastAsia="Calibri" w:hAnsi="Calibri" w:cs="Times New Roman"/>
          <w:sz w:val="24"/>
          <w:szCs w:val="24"/>
        </w:rPr>
        <w:t xml:space="preserve"> based on their manufacturing</w:t>
      </w:r>
      <w:r w:rsidRPr="00CF1D1E">
        <w:rPr>
          <w:rFonts w:ascii="Calibri" w:eastAsia="Calibri" w:hAnsi="Calibri" w:cs="Times New Roman"/>
          <w:sz w:val="24"/>
          <w:szCs w:val="24"/>
        </w:rPr>
        <w:t xml:space="preserve"> and hence adding credibility to the method used. Waldemar Oolong will be discussed </w:t>
      </w:r>
      <w:r w:rsidR="00930987">
        <w:rPr>
          <w:rFonts w:ascii="Calibri" w:eastAsia="Calibri" w:hAnsi="Calibri" w:cs="Times New Roman"/>
          <w:sz w:val="24"/>
          <w:szCs w:val="24"/>
        </w:rPr>
        <w:t>in more detail</w:t>
      </w:r>
      <w:r w:rsidRPr="00CF1D1E">
        <w:rPr>
          <w:rFonts w:ascii="Calibri" w:eastAsia="Calibri" w:hAnsi="Calibri" w:cs="Times New Roman"/>
          <w:sz w:val="24"/>
          <w:szCs w:val="24"/>
        </w:rPr>
        <w:t xml:space="preserve"> later on.  The approach, summarised in Tab</w:t>
      </w:r>
      <w:r w:rsidR="00313173">
        <w:rPr>
          <w:rFonts w:ascii="Calibri" w:eastAsia="Calibri" w:hAnsi="Calibri" w:cs="Times New Roman"/>
          <w:sz w:val="24"/>
          <w:szCs w:val="24"/>
        </w:rPr>
        <w:t>.</w:t>
      </w:r>
      <w:r w:rsidRPr="00CF1D1E">
        <w:rPr>
          <w:rFonts w:ascii="Calibri" w:eastAsia="Calibri" w:hAnsi="Calibri" w:cs="Times New Roman"/>
          <w:sz w:val="24"/>
          <w:szCs w:val="24"/>
        </w:rPr>
        <w:t xml:space="preserve">37 (stage 2), fails in a few situations e.g. Tiluet HP and Extracts 652, which led to the introduction of additional data in the subsequent round of data processing (stage 3). As mentioned in the introduction to this chapter, even </w:t>
      </w:r>
      <w:r w:rsidRPr="00CF1D1E">
        <w:rPr>
          <w:rFonts w:ascii="Calibri" w:eastAsia="Calibri" w:hAnsi="Calibri" w:cs="Times New Roman"/>
          <w:sz w:val="24"/>
          <w:szCs w:val="24"/>
        </w:rPr>
        <w:lastRenderedPageBreak/>
        <w:t xml:space="preserve">though this analytical approach is not quantitative, the ratios of components e.g. (ECG+EGCG)/EGC can be used to provide an analytical evaluation of the product and also to serve as a guide to the best harvesting time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{"citationItems":[{"id":"ITEM-1","itemData":{"author":[{"dropping-particle":"","family":"Takeo, T. and Baker","given":"J.E.","non-dropping-particle":"","parse-names":false,"suffix":""}],"container-title":"Phytochem. 12: 21-24.","id":"ITEM-1","issued":{"date-parts":[["1973"]]},"title":"Takeo, T. and Baker, J.E.1973. Changes in multiple forms of polyphenol oxidase during maturation of tea leaves. Phytochem. 12: 21-24.","type":"article-journal"},"uris":["http://www.mendeley.com/documents/?uuid=0181faaa-9b01-412a-8052-0c64a1a444d4"]}],"mendeley":{"formattedCitation":"(Takeo, T. and Baker, 1973)","plainTextFormattedCitation":"(Takeo, T. and Baker, 1973)","previouslyFormattedCitation":"(Takeo, T. and Baker, 1973)"},"properties":{"noteIndex":0},"schema":"https://github.com/citation-style-language/schema/raw/master/csl-citation.json"}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(Takeo, T. and Baker, 1973)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This particular ratio is commonly used in the tea industry as a measure of quality but the data presented here provides a way forward to select new component ratios that can be applied to help monitor other specific manufacturing challenges.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MVA provides a useful methodology to distinguish the origin, quality and category of teas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{"citationItems":[{"id":"ITEM-1","itemData":{"DOI":"10.1016/j.lwt.2015.01.003","ISSN":"00236438","abstract":"A new HPLC-DAD-MS method was developed to compare the major constituents in 7 types of processed tea, namely green tea, yellow tea, white tea, oolong tea, black tea, aged pu-erh tea and ripened pu-erh tea. MS was used for identification in positive ion mode, and DAD was used for quantification at wavelength of 210nm. Ten components were simultaneously determined in 74 tea samples representing 7 processing types, and then principal component analysis (PCA) and hierarchical cluster analysis (HCA) were used to distinguish and classify between the samples. The results demonstrate that the contents of the major constituents significantly varied among the 7 types of tea. Unique aspects of each type of processing were correlated with unique aspects of the chemistry of the tea. The 7 types of processed tea were successfully divided into four categories based on our determination and chemometrics analysis. Our present method was adaptable for the comparative study of processed tea, which significantly contributes to discrimination and quality evaluation of teas.","author":[{"dropping-particle":"","family":"Yi","given":"Tao","non-dropping-particle":"","parse-names":false,"suffix":""},{"dropping-particle":"","family":"Zhu","given":"Lin","non-dropping-particle":"","parse-names":false,"suffix":""},{"dropping-particle":"","family":"Peng","given":"Wan Ling","non-dropping-particle":"","parse-names":false,"suffix":""},{"dropping-particle":"","family":"He","given":"Xi Cheng","non-dropping-particle":"","parse-names":false,"suffix":""},{"dropping-particle":"","family":"Chen","given":"Hong Li","non-dropping-particle":"","parse-names":false,"suffix":""},{"dropping-particle":"","family":"Li","given":"Jie","non-dropping-particle":"","parse-names":false,"suffix":""},{"dropping-particle":"","family":"Yu","given":"Tao","non-dropping-particle":"","parse-names":false,"suffix":""},{"dropping-particle":"","family":"Liang","given":"Zhi Tao","non-dropping-particle":"","parse-names":false,"suffix":""},{"dropping-particle":"","family":"Zhao","given":"Zhong Zhen","non-dropping-particle":"","parse-names":false,"suffix":""},{"dropping-particle":"","family":"Chen","given":"Hu Biao","non-dropping-particle":"","parse-names":false,"suffix":""}],"container-title":"LWT - Food Science and Technology","id":"ITEM-1","issue":"1","issued":{"date-parts":[["2015"]]},"page":"194-201","publisher":"Elsevier Ltd","title":"Comparison of ten major constituents in seven types of processed tea using HPLC-DAD-MS followed by principal component and hierarchical cluster analysis","type":"article-journal","volume":"62"},"uris":["http://www.mendeley.com/documents/?uuid=9086ff89-423d-421d-972d-85ebeebd49ca"]},{"id":"ITEM-2","itemData":{"DOI":"10.1111/j.1365-2621.2010.02224.x","ISSN":"09505423","abstract":"Properties of leaf and infusion colours, chemical components and volatile flavour compounds of oolong teas and their correlation with perceived quality score given by tea-tasting panel were analysed. The scores for appearance and infused leaf correlate strongly with concentrations of chlorophyll a (chl a), chlorophyll (chl b) and chlorophyll (chl) (r = 0.355-0.433, P &lt; 0.05) and the total quality score (TQS) positively correlated with concentrations of chl a, chl b and chl (r = 0.517-0.533, P &lt; 0.01). The perceived taste score and TQS positively correlated with the concentration of total free amino acid (r = 0.514, 0/694, P &lt; 0.01) and theanine (r = 0.500, 0.684, P &lt; 0.01). The volatile composition and their quantities varied videly among oolong tea samples. Nerolidol, indol, benzeneacetaldehyde, linalool, linalool oxide I, hexanal, benzyl nitrile, geraniol and 1-penten-3-ol were prevailing volatile compounds detected in most of oolong tea samples. Principal component analysis screened ten principal components with the firts three (glutamic acid, total catechins and benzeneacetaldehyde) explaining 27.86%, 20.00% and 14.46% of the total variance. respectively. Regression analysis upon the ten principal components formulated a prediction model on the total quality score with 78.5% probability. The result showed that oolong teas couble be partially classified by cluster analysis based on principal components.","author":[{"dropping-particle":"","family":"Wang","given":"Kunbo","non-dropping-particle":"","parse-names":false,"suffix":""},{"dropping-particle":"","family":"Liu","given":"Fang","non-dropping-particle":"","parse-names":false,"suffix":""},{"dropping-particle":"","family":"Liu","given":"Zhonghua","non-dropping-particle":"","parse-names":false,"suffix":""},{"dropping-particle":"","family":"Huang","given":"Jianan","non-dropping-particle":"","parse-names":false,"suffix":""},{"dropping-particle":"","family":"Xu","given":"Zhongxi","non-dropping-particle":"","parse-names":false,"suffix":""},{"dropping-particle":"","family":"Li","given":"Yinhua","non-dropping-particle":"","parse-names":false,"suffix":""},{"dropping-particle":"","family":"Chen","given":"Jinhua","non-dropping-particle":"","parse-names":false,"suffix":""},{"dropping-particle":"","family":"Gong","given":"Yushun","non-dropping-particle":"","parse-names":false,"suffix":""},{"dropping-particle":"","family":"Yang","given":"Xinghe","non-dropping-particle":"","parse-names":false,"suffix":""}],"container-title":"International Journal of Food Science and Technology","id":"ITEM-2","issue":"5","issued":{"date-parts":[["2010"]]},"page":"913-920","title":"Analysis of chemical components in oolong tea in relation to perceived quality","type":"article-journal","volume":"45"},"uris":["http://www.mendeley.com/documents/?uuid=693ab43e-aba8-4413-8e30-51232de7fc0d"]}],"mendeley":{"formattedCitation":"(K. Wang et al., 2010; Yi et al., 2015)","plainTextFormattedCitation":"(K. Wang et al., 2010; Yi et al., 2015)","previouslyFormattedCitation":"(K. Wang et al., 2010; Yi et al.,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(K. Wang </w:t>
      </w:r>
      <w:r w:rsidR="00941740" w:rsidRPr="004B59D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xml:space="preserve">., 2010; Yi </w:t>
      </w:r>
      <w:r w:rsidR="00941740" w:rsidRPr="004B59D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Wang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have even used selected components to derive a mathematical relationship to be used </w:t>
      </w:r>
      <w:r w:rsidR="00AA4676">
        <w:rPr>
          <w:rFonts w:ascii="Calibri" w:eastAsia="Calibri" w:hAnsi="Calibri" w:cs="Times New Roman"/>
          <w:sz w:val="24"/>
          <w:szCs w:val="24"/>
        </w:rPr>
        <w:t>for</w:t>
      </w:r>
      <w:r w:rsidRPr="00CF1D1E">
        <w:rPr>
          <w:rFonts w:ascii="Calibri" w:eastAsia="Calibri" w:hAnsi="Calibri" w:cs="Times New Roman"/>
          <w:sz w:val="24"/>
          <w:szCs w:val="24"/>
        </w:rPr>
        <w:t xml:space="preserve"> quality assessment. This is also suggested as a potential future direction for research here. It is apparent that even though stage 1 and 2 data processing provided a </w:t>
      </w:r>
      <w:r w:rsidR="00AA4676">
        <w:rPr>
          <w:rFonts w:ascii="Calibri" w:eastAsia="Calibri" w:hAnsi="Calibri" w:cs="Times New Roman"/>
          <w:sz w:val="24"/>
          <w:szCs w:val="24"/>
        </w:rPr>
        <w:t>good starting point</w:t>
      </w:r>
      <w:r w:rsidRPr="00CF1D1E">
        <w:rPr>
          <w:rFonts w:ascii="Calibri" w:eastAsia="Calibri" w:hAnsi="Calibri" w:cs="Times New Roman"/>
          <w:sz w:val="24"/>
          <w:szCs w:val="24"/>
        </w:rPr>
        <w:t>, an enhancement was required to further expand the value of this chemometrics workflow. Once the data includ</w:t>
      </w:r>
      <w:r w:rsidR="00AA4676">
        <w:rPr>
          <w:rFonts w:ascii="Calibri" w:eastAsia="Calibri" w:hAnsi="Calibri" w:cs="Times New Roman"/>
          <w:sz w:val="24"/>
          <w:szCs w:val="24"/>
        </w:rPr>
        <w:t>es</w:t>
      </w:r>
      <w:r w:rsidRPr="00CF1D1E">
        <w:rPr>
          <w:rFonts w:ascii="Calibri" w:eastAsia="Calibri" w:hAnsi="Calibri" w:cs="Times New Roman"/>
          <w:sz w:val="24"/>
          <w:szCs w:val="24"/>
        </w:rPr>
        <w:t xml:space="preserve"> the top 100 most abundant ions and the TFs and TSs, it is clear how stage 3 greatly improve</w:t>
      </w:r>
      <w:r w:rsidR="00AA4676">
        <w:rPr>
          <w:rFonts w:ascii="Calibri" w:eastAsia="Calibri" w:hAnsi="Calibri" w:cs="Times New Roman"/>
          <w:sz w:val="24"/>
          <w:szCs w:val="24"/>
        </w:rPr>
        <w:t>s</w:t>
      </w:r>
      <w:r w:rsidRPr="00CF1D1E">
        <w:rPr>
          <w:rFonts w:ascii="Calibri" w:eastAsia="Calibri" w:hAnsi="Calibri" w:cs="Times New Roman"/>
          <w:sz w:val="24"/>
          <w:szCs w:val="24"/>
        </w:rPr>
        <w:t xml:space="preserve"> the ability of the model to discriminate between the teas. This opens a route to access information, through comparison of normalised abundance and pairing comparison with S-plots, which could be vital to</w:t>
      </w:r>
      <w:r w:rsidR="00AA4676">
        <w:rPr>
          <w:rFonts w:ascii="Calibri" w:eastAsia="Calibri" w:hAnsi="Calibri" w:cs="Times New Roman"/>
          <w:sz w:val="24"/>
          <w:szCs w:val="24"/>
        </w:rPr>
        <w:t xml:space="preserve"> assess</w:t>
      </w:r>
      <w:r w:rsidRPr="00CF1D1E">
        <w:rPr>
          <w:rFonts w:ascii="Calibri" w:eastAsia="Calibri" w:hAnsi="Calibri" w:cs="Times New Roman"/>
          <w:sz w:val="24"/>
          <w:szCs w:val="24"/>
        </w:rPr>
        <w:t xml:space="preserve"> the quality and health benefits of t</w:t>
      </w:r>
      <w:r w:rsidR="00AA4676">
        <w:rPr>
          <w:rFonts w:ascii="Calibri" w:eastAsia="Calibri" w:hAnsi="Calibri" w:cs="Times New Roman"/>
          <w:sz w:val="24"/>
          <w:szCs w:val="24"/>
        </w:rPr>
        <w:t>ea as a</w:t>
      </w:r>
      <w:r w:rsidRPr="00CF1D1E">
        <w:rPr>
          <w:rFonts w:ascii="Calibri" w:eastAsia="Calibri" w:hAnsi="Calibri" w:cs="Times New Roman"/>
          <w:sz w:val="24"/>
          <w:szCs w:val="24"/>
        </w:rPr>
        <w:t xml:space="preserve"> functional food. TS is a prime example of this in the production of oolong and black tea, where its presence seems to be pivotal to its bioactivity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{"citationItems":[{"id":"ITEM-1","itemData":{"DOI":"10.1016/j.fshw.2015.10.002","ISSN":"22134530","abstract":"Among six major types of tea (white, green, oolong, yellow, black, and dark teas)from Camellia sinensis, oolong tea, a semi-fermented tea, with its own unique aroma and taste, has become a popular consumption as indicated by the increasing production. Representing the characteristic flavonoids of oolong tea, theasinensins are dimeric flavan-3-ols. Many recent studies have indicated that oolong tea and theasinensins possess several health benefit properties. We consider it significant and necessary to have a comprehensive review in the recent advances of oolong tea. Therefore, the aim of the present review is to provide a new perspective on oolong tea and its characteristic phytochemicals, theasinensins associated with health benefits, molecular action pathway, and chemical mechanism of theasinensin formation from scientific evidences available on the literature. Furthermore, the chemical characterization of the oxidation products and the model oxidation system to the chemical changes of theasinensins are also discussed.","author":[{"dropping-particle":"","family":"Weerawatanakorn","given":"Monthana","non-dropping-particle":"","parse-names":false,"suffix":""},{"dropping-particle":"","family":"Hung","given":"Wei Lun","non-dropping-particle":"","parse-names":false,"suffix":""},{"dropping-particle":"","family":"Pan","given":"Min Hsiung","non-dropping-particle":"","parse-names":false,"suffix":""},{"dropping-particle":"","family":"Li","given":"Shiming","non-dropping-particle":"","parse-names":false,"suffix":""},{"dropping-particle":"","family":"Li","given":"Daxiang","non-dropping-particle":"","parse-names":false,"suffix":""},{"dropping-particle":"","family":"Wan","given":"Xiaochun","non-dropping-particle":"","parse-names":false,"suffix":""},{"dropping-particle":"","family":"Ho","given":"Chi Tang","non-dropping-particle":"","parse-names":false,"suffix":""}],"container-title":"Food Science and Human Wellness","id":"ITEM-1","issue":"4","issued":{"date-parts":[["2015"]]},"page":"133-146","publisher":"Beijing Academy of Food Sciences.","title":"Chemistry and health beneficial effects of oolong tea and theasinensins","type":"article-journal","volume":"4"},"uris":["http://www.mendeley.com/documents/?uuid=a81ef467-9ab5-4aa7-8cca-7ecc9b58387a"]}],"mendeley":{"formattedCitation":"(Weerawatanakorn et al., 2015)","plainTextFormattedCitation":"(Weerawatanakorn et al., 2015)","previouslyFormattedCitation":"(Weerawatanakorn et al.,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(Weerawatanakorn </w:t>
      </w:r>
      <w:r w:rsidR="00941740" w:rsidRPr="004B59D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An interesting observation </w:t>
      </w:r>
      <w:r w:rsidR="00AA4676">
        <w:rPr>
          <w:rFonts w:ascii="Calibri" w:eastAsia="Calibri" w:hAnsi="Calibri" w:cs="Times New Roman"/>
          <w:sz w:val="24"/>
          <w:szCs w:val="24"/>
        </w:rPr>
        <w:t>concerns</w:t>
      </w:r>
      <w:r w:rsidRPr="00CF1D1E">
        <w:rPr>
          <w:rFonts w:ascii="Calibri" w:eastAsia="Calibri" w:hAnsi="Calibri" w:cs="Times New Roman"/>
          <w:sz w:val="24"/>
          <w:szCs w:val="24"/>
        </w:rPr>
        <w:t xml:space="preserve"> TFs and TSs in Waldemar Oolong tea. </w:t>
      </w:r>
      <w:r w:rsidR="009D47D5">
        <w:rPr>
          <w:rFonts w:ascii="Calibri" w:eastAsia="Calibri" w:hAnsi="Calibri" w:cs="Times New Roman"/>
          <w:sz w:val="24"/>
          <w:szCs w:val="24"/>
        </w:rPr>
        <w:t>O</w:t>
      </w:r>
      <w:r w:rsidRPr="00CF1D1E">
        <w:rPr>
          <w:rFonts w:ascii="Calibri" w:eastAsia="Calibri" w:hAnsi="Calibri" w:cs="Times New Roman"/>
          <w:sz w:val="24"/>
          <w:szCs w:val="24"/>
        </w:rPr>
        <w:t>olong teas are partially oxidised</w:t>
      </w:r>
      <w:r w:rsidR="009D47D5">
        <w:rPr>
          <w:rFonts w:ascii="Calibri" w:eastAsia="Calibri" w:hAnsi="Calibri" w:cs="Times New Roman"/>
          <w:sz w:val="24"/>
          <w:szCs w:val="24"/>
        </w:rPr>
        <w:t>,</w:t>
      </w:r>
      <w:r w:rsidRPr="00CF1D1E">
        <w:rPr>
          <w:rFonts w:ascii="Calibri" w:eastAsia="Calibri" w:hAnsi="Calibri" w:cs="Times New Roman"/>
          <w:sz w:val="24"/>
          <w:szCs w:val="24"/>
        </w:rPr>
        <w:t xml:space="preserve"> </w:t>
      </w:r>
      <w:r w:rsidR="009D47D5">
        <w:rPr>
          <w:rFonts w:ascii="Calibri" w:eastAsia="Calibri" w:hAnsi="Calibri" w:cs="Times New Roman"/>
          <w:sz w:val="24"/>
          <w:szCs w:val="24"/>
        </w:rPr>
        <w:t>and a</w:t>
      </w:r>
      <w:r w:rsidRPr="00CF1D1E">
        <w:rPr>
          <w:rFonts w:ascii="Calibri" w:eastAsia="Calibri" w:hAnsi="Calibri" w:cs="Times New Roman"/>
          <w:sz w:val="24"/>
          <w:szCs w:val="24"/>
        </w:rPr>
        <w:t>lthough TFs can be used as a good marker for oxidation they are conspicuous in their absence from t</w:t>
      </w:r>
      <w:r w:rsidR="0090147F">
        <w:rPr>
          <w:rFonts w:ascii="Calibri" w:eastAsia="Calibri" w:hAnsi="Calibri" w:cs="Times New Roman"/>
          <w:sz w:val="24"/>
          <w:szCs w:val="24"/>
        </w:rPr>
        <w:t>he Waldemar Oolong sample (Fig.</w:t>
      </w:r>
      <w:r w:rsidRPr="00CF1D1E">
        <w:rPr>
          <w:rFonts w:ascii="Calibri" w:eastAsia="Calibri" w:hAnsi="Calibri" w:cs="Times New Roman"/>
          <w:sz w:val="24"/>
          <w:szCs w:val="24"/>
        </w:rPr>
        <w:t xml:space="preserve">102). There are different pathways known for the formation of TFs and TSs and there is </w:t>
      </w:r>
      <w:r w:rsidR="009D47D5">
        <w:rPr>
          <w:rFonts w:ascii="Calibri" w:eastAsia="Calibri" w:hAnsi="Calibri" w:cs="Times New Roman"/>
          <w:sz w:val="24"/>
          <w:szCs w:val="24"/>
        </w:rPr>
        <w:t xml:space="preserve">more </w:t>
      </w:r>
      <w:r w:rsidRPr="00CF1D1E">
        <w:rPr>
          <w:rFonts w:ascii="Calibri" w:eastAsia="Calibri" w:hAnsi="Calibri" w:cs="Times New Roman"/>
          <w:sz w:val="24"/>
          <w:szCs w:val="24"/>
        </w:rPr>
        <w:t xml:space="preserve">research required in this area. Once fresh tea leaves are crushed and kneaded, TFs are formed in the leaves, yet at this stage TSs are not formed. TS formation is only observed once leaves are heated to 80°C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{"citationItems":[{"id":"ITEM-1","itemData":{"DOI":"10.1016/j.fshw.2015.10.002","ISSN":"22134530","abstract":"Among six major types of tea (white, green, oolong, yellow, black, and dark teas)from Camellia sinensis, oolong tea, a semi-fermented tea, with its own unique aroma and taste, has become a popular consumption as indicated by the increasing production. Representing the characteristic flavonoids of oolong tea, theasinensins are dimeric flavan-3-ols. Many recent studies have indicated that oolong tea and theasinensins possess several health benefit properties. We consider it significant and necessary to have a comprehensive review in the recent advances of oolong tea. Therefore, the aim of the present review is to provide a new perspective on oolong tea and its characteristic phytochemicals, theasinensins associated with health benefits, molecular action pathway, and chemical mechanism of theasinensin formation from scientific evidences available on the literature. Furthermore, the chemical characterization of the oxidation products and the model oxidation system to the chemical changes of theasinensins are also discussed.","author":[{"dropping-particle":"","family":"Weerawatanakorn","given":"Monthana","non-dropping-particle":"","parse-names":false,"suffix":""},{"dropping-particle":"","family":"Hung","given":"Wei Lun","non-dropping-particle":"","parse-names":false,"suffix":""},{"dropping-particle":"","family":"Pan","given":"Min Hsiung","non-dropping-particle":"","parse-names":false,"suffix":""},{"dropping-particle":"","family":"Li","given":"Shiming","non-dropping-particle":"","parse-names":false,"suffix":""},{"dropping-particle":"","family":"Li","given":"Daxiang","non-dropping-particle":"","parse-names":false,"suffix":""},{"dropping-particle":"","family":"Wan","given":"Xiaochun","non-dropping-particle":"","parse-names":false,"suffix":""},{"dropping-particle":"","family":"Ho","given":"Chi Tang","non-dropping-particle":"","parse-names":false,"suffix":""}],"container-title":"Food Science and Human Wellness","id":"ITEM-1","issue":"4","issued":{"date-parts":[["2015"]]},"page":"133-146","publisher":"Beijing Academy of Food Sciences.","title":"Chemistry and health beneficial effects of oolong tea and theasinensins","type":"article-journal","volume":"4"},"uris":["http://www.mendeley.com/documents/?uuid=a81ef467-9ab5-4aa7-8cca-7ecc9b58387a"]}],"mendeley":{"formattedCitation":"(Weerawatanakorn et al., 2015)","plainTextFormattedCitation":"(Weerawatanakorn et al., 2015)","previouslyFormattedCitation":"(Weerawatanakorn et al.,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(Weerawatanakorn et al.,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Even though comparative information on TS isoforms in oolong and black tea is scarce, it can be seen from the 3 abundance profiles provided (Figs. A3-118 to</w:t>
      </w:r>
      <w:r w:rsidRPr="00CF1D1E">
        <w:rPr>
          <w:rFonts w:ascii="Calibri" w:eastAsia="Calibri" w:hAnsi="Calibri" w:cs="Times New Roman"/>
        </w:rPr>
        <w:t xml:space="preserve"> </w:t>
      </w:r>
      <w:r w:rsidRPr="00CF1D1E">
        <w:rPr>
          <w:rFonts w:ascii="Calibri" w:eastAsia="Calibri" w:hAnsi="Calibri" w:cs="Times New Roman"/>
          <w:sz w:val="24"/>
          <w:szCs w:val="24"/>
        </w:rPr>
        <w:t xml:space="preserve">A3-120) that the dominant TS in Waldemar Oolong is Theasinensin C. This is a dimer of EGC connected </w:t>
      </w:r>
      <w:r w:rsidR="009D47D5">
        <w:rPr>
          <w:rFonts w:ascii="Calibri" w:eastAsia="Calibri" w:hAnsi="Calibri" w:cs="Times New Roman"/>
          <w:sz w:val="24"/>
          <w:szCs w:val="24"/>
        </w:rPr>
        <w:t>via</w:t>
      </w:r>
      <w:r w:rsidRPr="00CF1D1E">
        <w:rPr>
          <w:rFonts w:ascii="Calibri" w:eastAsia="Calibri" w:hAnsi="Calibri" w:cs="Times New Roman"/>
          <w:sz w:val="24"/>
          <w:szCs w:val="24"/>
        </w:rPr>
        <w:t xml:space="preserve"> an </w:t>
      </w:r>
      <w:r w:rsidRPr="00CF1D1E">
        <w:rPr>
          <w:rFonts w:ascii="Calibri" w:eastAsia="Calibri" w:hAnsi="Calibri" w:cs="Times New Roman"/>
          <w:i/>
          <w:sz w:val="24"/>
          <w:szCs w:val="24"/>
        </w:rPr>
        <w:t>R</w:t>
      </w:r>
      <w:r w:rsidRPr="00CF1D1E">
        <w:rPr>
          <w:rFonts w:ascii="Calibri" w:eastAsia="Calibri" w:hAnsi="Calibri" w:cs="Times New Roman"/>
          <w:sz w:val="24"/>
          <w:szCs w:val="24"/>
        </w:rPr>
        <w:t>-biphenyl configuration. It is also observed tha</w:t>
      </w:r>
      <w:r w:rsidR="009D47D5">
        <w:rPr>
          <w:rFonts w:ascii="Calibri" w:eastAsia="Calibri" w:hAnsi="Calibri" w:cs="Times New Roman"/>
          <w:sz w:val="24"/>
          <w:szCs w:val="24"/>
        </w:rPr>
        <w:t>t Milima GFBOP1 has relatively high</w:t>
      </w:r>
      <w:r w:rsidRPr="00CF1D1E">
        <w:rPr>
          <w:rFonts w:ascii="Calibri" w:eastAsia="Calibri" w:hAnsi="Calibri" w:cs="Times New Roman"/>
          <w:sz w:val="24"/>
          <w:szCs w:val="24"/>
        </w:rPr>
        <w:t xml:space="preserve"> amounts of TSs A, B and C. Theasinensin A</w:t>
      </w:r>
      <w:r w:rsidR="00E4015C">
        <w:rPr>
          <w:rFonts w:ascii="Calibri" w:eastAsia="Calibri" w:hAnsi="Calibri" w:cs="Times New Roman"/>
          <w:sz w:val="24"/>
          <w:szCs w:val="24"/>
        </w:rPr>
        <w:t xml:space="preserve"> (Fig.80)</w:t>
      </w:r>
      <w:r w:rsidRPr="00CF1D1E">
        <w:rPr>
          <w:rFonts w:ascii="Calibri" w:eastAsia="Calibri" w:hAnsi="Calibri" w:cs="Times New Roman"/>
          <w:sz w:val="24"/>
          <w:szCs w:val="24"/>
        </w:rPr>
        <w:t xml:space="preserve"> is the </w:t>
      </w:r>
      <w:r w:rsidRPr="00CF1D1E">
        <w:rPr>
          <w:rFonts w:ascii="Calibri" w:eastAsia="Calibri" w:hAnsi="Calibri" w:cs="Times New Roman"/>
          <w:i/>
          <w:sz w:val="24"/>
          <w:szCs w:val="24"/>
        </w:rPr>
        <w:t>R</w:t>
      </w:r>
      <w:r w:rsidRPr="00CF1D1E">
        <w:rPr>
          <w:rFonts w:ascii="Calibri" w:eastAsia="Calibri" w:hAnsi="Calibri" w:cs="Times New Roman"/>
          <w:sz w:val="24"/>
          <w:szCs w:val="24"/>
        </w:rPr>
        <w:t xml:space="preserve">-biphenyl configuration dimer of </w:t>
      </w:r>
      <w:r w:rsidR="00E4015C">
        <w:rPr>
          <w:rFonts w:ascii="Calibri" w:eastAsia="Calibri" w:hAnsi="Calibri" w:cs="Times New Roman"/>
          <w:sz w:val="24"/>
          <w:szCs w:val="24"/>
        </w:rPr>
        <w:t xml:space="preserve">two </w:t>
      </w:r>
      <w:r w:rsidRPr="00CF1D1E">
        <w:rPr>
          <w:rFonts w:ascii="Calibri" w:eastAsia="Calibri" w:hAnsi="Calibri" w:cs="Times New Roman"/>
          <w:sz w:val="24"/>
          <w:szCs w:val="24"/>
        </w:rPr>
        <w:t xml:space="preserve">EGCG and theasinensin B is the </w:t>
      </w:r>
      <w:r w:rsidRPr="00CF1D1E">
        <w:rPr>
          <w:rFonts w:ascii="Calibri" w:eastAsia="Calibri" w:hAnsi="Calibri" w:cs="Times New Roman"/>
          <w:i/>
          <w:sz w:val="24"/>
          <w:szCs w:val="24"/>
        </w:rPr>
        <w:t>R</w:t>
      </w:r>
      <w:r w:rsidRPr="00CF1D1E">
        <w:rPr>
          <w:rFonts w:ascii="Calibri" w:eastAsia="Calibri" w:hAnsi="Calibri" w:cs="Times New Roman"/>
          <w:sz w:val="24"/>
          <w:szCs w:val="24"/>
        </w:rPr>
        <w:t xml:space="preserve">-biphenyl configuration dimer of EGCG (Fig.15) </w:t>
      </w:r>
      <w:r w:rsidRPr="00E4015C">
        <w:rPr>
          <w:rFonts w:ascii="Calibri" w:eastAsia="Calibri" w:hAnsi="Calibri" w:cs="Times New Roman"/>
          <w:i/>
          <w:sz w:val="24"/>
          <w:szCs w:val="24"/>
        </w:rPr>
        <w:t>and</w:t>
      </w:r>
      <w:r w:rsidRPr="00CF1D1E">
        <w:rPr>
          <w:rFonts w:ascii="Calibri" w:eastAsia="Calibri" w:hAnsi="Calibri" w:cs="Times New Roman"/>
          <w:sz w:val="24"/>
          <w:szCs w:val="24"/>
        </w:rPr>
        <w:t xml:space="preserve"> EGC (Fig.1). This is thought to be associated with the particular subtleties </w:t>
      </w:r>
      <w:r w:rsidRPr="00CF1D1E">
        <w:rPr>
          <w:rFonts w:ascii="Calibri" w:eastAsia="Calibri" w:hAnsi="Calibri" w:cs="Times New Roman"/>
          <w:sz w:val="24"/>
          <w:szCs w:val="24"/>
        </w:rPr>
        <w:lastRenderedPageBreak/>
        <w:t xml:space="preserve">of processing and of course the phytochemical availability in the initial tea leaves. It is also felt to be a necessary direction for future research due to the ever increasing interest in the health benefits of this class of compounds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{"citationItems":[{"id":"ITEM-1","itemData":{"DOI":"10.1016/j.fshw.2015.10.002","ISSN":"22134530","abstract":"Among six major types of tea (white, green, oolong, yellow, black, and dark teas)from Camellia sinensis, oolong tea, a semi-fermented tea, with its own unique aroma and taste, has become a popular consumption as indicated by the increasing production. Representing the characteristic flavonoids of oolong tea, theasinensins are dimeric flavan-3-ols. Many recent studies have indicated that oolong tea and theasinensins possess several health benefit properties. We consider it significant and necessary to have a comprehensive review in the recent advances of oolong tea. Therefore, the aim of the present review is to provide a new perspective on oolong tea and its characteristic phytochemicals, theasinensins associated with health benefits, molecular action pathway, and chemical mechanism of theasinensin formation from scientific evidences available on the literature. Furthermore, the chemical characterization of the oxidation products and the model oxidation system to the chemical changes of theasinensins are also discussed.","author":[{"dropping-particle":"","family":"Weerawatanakorn","given":"Monthana","non-dropping-particle":"","parse-names":false,"suffix":""},{"dropping-particle":"","family":"Hung","given":"Wei Lun","non-dropping-particle":"","parse-names":false,"suffix":""},{"dropping-particle":"","family":"Pan","given":"Min Hsiung","non-dropping-particle":"","parse-names":false,"suffix":""},{"dropping-particle":"","family":"Li","given":"Shiming","non-dropping-particle":"","parse-names":false,"suffix":""},{"dropping-particle":"","family":"Li","given":"Daxiang","non-dropping-particle":"","parse-names":false,"suffix":""},{"dropping-particle":"","family":"Wan","given":"Xiaochun","non-dropping-particle":"","parse-names":false,"suffix":""},{"dropping-particle":"","family":"Ho","given":"Chi Tang","non-dropping-particle":"","parse-names":false,"suffix":""}],"container-title":"Food Science and Human Wellness","id":"ITEM-1","issue":"4","issued":{"date-parts":[["2015"]]},"page":"133-146","publisher":"Beijing Academy of Food Sciences.","title":"Chemistry and health beneficial effects of oolong tea and theasinensins","type":"article-journal","volume":"4"},"uris":["http://www.mendeley.com/documents/?uuid=a81ef467-9ab5-4aa7-8cca-7ecc9b58387a"]}],"mendeley":{"formattedCitation":"(Weerawatanakorn et al., 2015)","plainTextFormattedCitation":"(Weerawatanakorn et al., 2015)","previouslyFormattedCitation":"(Weerawatanakorn et al.,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(Weerawatanakorn et al.,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A</w:t>
      </w:r>
      <w:r w:rsidR="00E87C2F">
        <w:rPr>
          <w:rFonts w:ascii="Calibri" w:eastAsia="Calibri" w:hAnsi="Calibri" w:cs="Times New Roman"/>
          <w:sz w:val="24"/>
          <w:szCs w:val="24"/>
        </w:rPr>
        <w:t>n</w:t>
      </w:r>
      <w:r w:rsidRPr="00CF1D1E">
        <w:rPr>
          <w:rFonts w:ascii="Calibri" w:eastAsia="Calibri" w:hAnsi="Calibri" w:cs="Times New Roman"/>
          <w:sz w:val="24"/>
          <w:szCs w:val="24"/>
        </w:rPr>
        <w:t xml:space="preserve"> example of a testing challenge to this workflow is Tiluet HP and Tiluet MTH, which are grown on the same plantation in Kenya, yet harvested differently; Tiluet HP is hand plucked whereas Tiluet MTH is machine harvested. Fig.135 shows a selection of potential new biomarkers which can be used to discriminate between these two teas of the same origin. The identification and inclusion of three TSs and two more TFs (stage 3), the mono </w:t>
      </w:r>
      <w:r w:rsidR="0090147F">
        <w:rPr>
          <w:rFonts w:ascii="Calibri" w:eastAsia="Calibri" w:hAnsi="Calibri" w:cs="Times New Roman"/>
          <w:sz w:val="24"/>
          <w:szCs w:val="24"/>
        </w:rPr>
        <w:t>and digallate, is shown in Fig.</w:t>
      </w:r>
      <w:r w:rsidRPr="00CF1D1E">
        <w:rPr>
          <w:rFonts w:ascii="Calibri" w:eastAsia="Calibri" w:hAnsi="Calibri" w:cs="Times New Roman"/>
          <w:sz w:val="24"/>
          <w:szCs w:val="24"/>
        </w:rPr>
        <w:t xml:space="preserve">133 to illustrate the phytochemical differences created by a change in harvesting technique.  In another example, the scores plot and loadings bi-plot (Fig.117 &amp; Fig.119) show little to separate Kijani DM and Purple CTC but when their data is subjected to OPLS-DA, there are a host of discriminants </w:t>
      </w:r>
      <w:r w:rsidR="0090147F">
        <w:rPr>
          <w:rFonts w:ascii="Calibri" w:eastAsia="Calibri" w:hAnsi="Calibri" w:cs="Times New Roman"/>
          <w:sz w:val="24"/>
          <w:szCs w:val="24"/>
        </w:rPr>
        <w:t>highlighted in the S-plot (Fig.</w:t>
      </w:r>
      <w:bookmarkStart w:id="2" w:name="_GoBack"/>
      <w:bookmarkEnd w:id="2"/>
      <w:r w:rsidRPr="00CF1D1E">
        <w:rPr>
          <w:rFonts w:ascii="Calibri" w:eastAsia="Calibri" w:hAnsi="Calibri" w:cs="Times New Roman"/>
          <w:sz w:val="24"/>
          <w:szCs w:val="24"/>
        </w:rPr>
        <w:t xml:space="preserve">128) - EGC and EGCG for Kijani DM and ECG for Purple CTC. In addition to this, even though positive mode was not the focus of this study, it seemed prudent to collect this data too, since important components like the anthocyanidins can only be observed in positive mode. Anthocyanidins are the pigments responsible for the colour of purple tea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{"citationItems":[{"id":"ITEM-1","itemData":{"DOI":"10.1179/1476830513y.0000000081","ISSN":"1028-415X","abstract":"Studies on antioxidants as neuroprotective agents have been hampered by the impermeability of the blood brain barrier (BBB) to many compounds. However, previous studies have shown that a group of tea flavonoids, the catechins, are brain permeable and neuroprotective. Despite this remarkable observation, there exist no data on the bioavailability and pharmacological benefits of tea anthocyanins (ACNs) in the brain tissue. This study investigated the ability of Kenyan purple tea ACNs to cross the BBB and boost the brain antioxidant capacity. Mice were orally administered with purified and characterized Kenyan purple tea ACNs or a combination of Kenyan purple tea ACNs and coenzyme-Q10 at a dose of 200 mg/kg body weight in an experiment that lasted for 15 days. Twenty-four hours post the last dosage of antioxidants, CO2 was used to euthanize the mice after which the brain was excised and used for various biochemical analyses. Brain extracts were analysed by high-performance liquid chromatography for ACN metabolites and spectrophotometry for cellular glutathione (GSH). Kenyan purple tea ACNs significantly (P &lt; 0.05) raised brain GSH levels implying boost in brain antioxidant capacity. However, co-administration of both antioxidants caused a reduction of these beneficial effects implying a negative interaction. Notably, ACN metabolites were detected in brain tissue of ACN-fed mice. Our results constitute the first demonstration that Kenyan purple tea ACNs can cross the BBB reinforcing the brain's antioxidant capacity. Hence, the need to study them as suitable candidates for dietary supplements that could support antioxidant capacity in the brain and have potential to provide neuroprotection in neurodegenerative conditions.","author":[{"dropping-particle":"","family":"Rashid","given":"Khalid","non-dropping-particle":"","parse-names":false,"suffix":""},{"dropping-particle":"","family":"Wachira","given":"Francis Nyamu","non-dropping-particle":"","parse-names":false,"suffix":""},{"dropping-particle":"","family":"Nyabuga","given":"James Nyariki","non-dropping-particle":"","parse-names":false,"suffix":""},{"dropping-particle":"","family":"Wanyonyi","given":"Bernard","non-dropping-particle":"","parse-names":false,"suffix":""},{"dropping-particle":"","family":"Murilla","given":"Grace","non-dropping-particle":"","parse-names":false,"suffix":""},{"dropping-particle":"","family":"Isaac","given":"Alfred Orina","non-dropping-particle":"","parse-names":false,"suffix":""}],"container-title":"Nutritional Neuroscience","id":"ITEM-1","issue":"4","issued":{"date-parts":[["2013"]]},"page":"178-185","title":"Kenyan purple tea anthocyanins ability to cross the blood brain barrier and reinforce brain antioxidant capacity in mice","type":"article-journal","volume":"17"},"uris":["http://www.mendeley.com/documents/?uuid=ad39fd68-e6b5-4b46-a087-91b27daf0365"]}],"mendeley":{"formattedCitation":"(Rashid et al., 2013)","plainTextFormattedCitation":"(Rashid et al., 2013)","previouslyFormattedCitation":"(Rashid et al.,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(Rashid </w:t>
      </w:r>
      <w:r w:rsidR="00941740" w:rsidRPr="004B59D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abundance profile of cyanidin (Fig.140), shows that this is indeed a good candidate as a discriminant for this cultivar.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addition of the 100 most abundant ions with </w:t>
      </w:r>
      <w:r w:rsidRPr="00CF1D1E">
        <w:rPr>
          <w:rFonts w:ascii="Calibri" w:eastAsia="Calibri" w:hAnsi="Calibri" w:cs="Times New Roman"/>
          <w:sz w:val="24"/>
          <w:szCs w:val="24"/>
          <w:lang w:val="en"/>
        </w:rPr>
        <w:t xml:space="preserve">ANOVA p-value of =&lt; 0.0001 </w:t>
      </w:r>
      <w:r w:rsidRPr="00CF1D1E">
        <w:rPr>
          <w:rFonts w:ascii="Calibri" w:eastAsia="Calibri" w:hAnsi="Calibri" w:cs="Times New Roman"/>
          <w:sz w:val="24"/>
          <w:szCs w:val="24"/>
        </w:rPr>
        <w:t>not only provided extra discriminants but also paved the way to discovering new biomarkers (stage 3). In Figs. 122, 123 and 124 it can be seen that 3 biomarkers are highlighted here (red square) in their S-plots and also variable trends plots are provided to illustrate the degree of their association with a particular tea type. 210.0740m/z and 192.0269m/z remain unidentified. 344.0744Da was tentatively identified as Theogallin, with Fig.125</w:t>
      </w:r>
      <w:r w:rsidRPr="00CF1D1E">
        <w:rPr>
          <w:rFonts w:ascii="Calibri" w:eastAsia="Calibri" w:hAnsi="Calibri" w:cs="Times New Roman"/>
        </w:rPr>
        <w:t xml:space="preserve"> </w:t>
      </w:r>
      <w:r w:rsidRPr="00CF1D1E">
        <w:rPr>
          <w:rFonts w:ascii="Calibri" w:eastAsia="Calibri" w:hAnsi="Calibri" w:cs="Times New Roman"/>
          <w:sz w:val="24"/>
          <w:szCs w:val="24"/>
        </w:rPr>
        <w:t xml:space="preserve">showing the mass spectrum of the  [M-H]- ion at 343.0669m/z. Theogallin has been shown to increase significantly in tea plants grown in 75 to 90% shade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10.5979/cha.2016.122_1","ISSN":"0366-6190","author":[{"dropping-particle":"","family":"Matsunaga","given":"Akiko","non-dropping-particle":"","parse-names":false,"suffix":""},{"dropping-particle":"","family":"Sano","given":"Tomohito","non-dropping-particle":"","parse-names":false,"suffix":""},{"dropping-particle":"","family":"Hirono","given":"Yuhei","non-dropping-particle":"","parse-names":false,"suffix":""},{"dropping-particle":"","family":"Horie","given":"Hideki","non-dropping-particle":"","parse-names":false,"suffix":""}],"container-title":"Chagyo Kenkyu Hokoku (Tea Research Journal)","id":"ITEM-1","issue":"122","issued":{"date-parts":[["2016"]]},"page":"1-7","title":"Effects of Various Directly Covered Shading Levels on Chemical Components in Tea New Shoots of the First Flush.</w:instrText>
      </w:r>
      <w:r w:rsidR="00595237">
        <w:rPr>
          <w:rFonts w:ascii="MS Gothic" w:eastAsia="MS Gothic" w:hAnsi="MS Gothic" w:cs="MS Gothic" w:hint="eastAsia"/>
          <w:sz w:val="24"/>
          <w:szCs w:val="24"/>
        </w:rPr>
        <w:instrText>直がけ被覆における遮光率の違いが一番茶新芽内化学成分に及ぼす影響</w:instrText>
      </w:r>
      <w:r w:rsidR="00595237">
        <w:rPr>
          <w:rFonts w:ascii="Calibri" w:eastAsia="Calibri" w:hAnsi="Calibri" w:cs="Times New Roman"/>
          <w:sz w:val="24"/>
          <w:szCs w:val="24"/>
        </w:rPr>
        <w:instrText>","type":"article-journal","volume":"2016"},"uris":["http://www.mendeley.com/documents/?uuid=be3dc77e-c081-429c-99b9-1b9b2e28d2ed"]}],"mendeley":{"formattedCitation":"(Matsunaga, Sano, Hirono, &amp; Horie, 2016)","plainTextFormattedCitation":"(Matsunaga, Sano, Hirono, &amp; Horie, 2016)","previouslyFormattedCitation":"(Matsunaga, Sano, Hirono, &amp; Horie, 2016)"},"properties":{"noteIndex":0},"schema":"https://github.com/citation-style-language/schema/raw/master/csl-citation.json"}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(Matsunaga, Sano, Hirono, &amp; Horie, 2016)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Although discovered in 1954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Roberts","given":"Cartwright","non-dropping-particle":"","parse-names":false,"suffix":""}],"id":"ITEM-1","issued":{"date-parts":[["1954"]]},"page":"593-597","title":"TheogallinPolyphenolOccurringInTea_ARCartwright(1954).pdf","type":"article-journal"},"uris":["http://www.mendeley.com/documents/?uuid=956bc847-9ea6-4bab-b5b5-4b8c3035ee77"]}],"mendeley":{"formattedCitation":"(Roberts, 1954)","plainTextFormattedCitation":"(Roberts, 1954)","previouslyFormattedCitation":"(Roberts, 1954)"},"properties":{"noteIndex":0},"schema":"https://github.com/citation-style-language/schema/raw/master/csl-citation.json"}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(Roberts, 1954)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little research has been undertaken until recent progress has been made with respect to its ability, in conjunction with </w:t>
      </w:r>
      <w:r w:rsidRPr="00CF1D1E">
        <w:rPr>
          <w:rFonts w:ascii="Calibri" w:eastAsia="Calibri" w:hAnsi="Calibri" w:cs="Times New Roman"/>
          <w:i/>
          <w:sz w:val="24"/>
          <w:szCs w:val="24"/>
        </w:rPr>
        <w:t>L</w:t>
      </w:r>
      <w:r w:rsidRPr="00CF1D1E">
        <w:rPr>
          <w:rFonts w:ascii="Calibri" w:eastAsia="Calibri" w:hAnsi="Calibri" w:cs="Times New Roman"/>
          <w:sz w:val="24"/>
          <w:szCs w:val="24"/>
        </w:rPr>
        <w:t xml:space="preserve">-theanine, to profoundly affect the electrical activity of the hippocampus. This is thought to represent an enhancement of spacial and time dependent memory plus is a key part in the learning process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{"citationItems":[{"id":"ITEM-1","itemData":{"DOI":"10.1211/jpp.59.10.0010","abstract":"The model Tele-Stereo-EEG (continuous recording of intracerebral field potentials in the freely moving rat to produce an electropharmacogram) has been used to see if L-theanine- and theogallin-enriched decaffeinated green tea extract would change electrical brain activity after oral administration, to provide proof of access of active components to the brain via the blood-brain barrier. Baseline recording (45 min) was followed by a 5-h recording session after oral ingestion of the extract or single components: L-theanine, theogallin and quinic acid, a suggested metabolite of theogallin. Power spectra from Fast Fourier Transformed (FFT) field potential changes were divided into six frequency bands (delta, theta, alpha1, alpha2, beta1 and beta2). No effects could be measured using a saline solution for control purposes. Oral administration of 75 mg kg-1 total extract led to power decreases mainly in delta and alpha2 frequencies during the first hour. This pattern has been observed in the presence of stimulatory synthetic compounds. Oral administration of 30 mg kg-1 L-theanine led to power decreases of nearly all frequencies, being more pronounced during the second and following hours in comparison with the first hour. Ingestion of 20 mg kg-1 theogallin also showed a power decreasing effect on cortical activity. Its possible metabolite quinic acid (10 mg kg-1, p.o.) also produced decreases in delta, alpha2 and beta1 frequencies. Measurement of motion resulted in an increase during the first hour in the presence of theogallin and L-theanine. A tendential decrease was observed in the presence of L-theanine during the last hour at its presumably highest plasma levels. The results with the administration of the total extract provided evidence for the major involvement of L-theanine and theogallin (or its presumable metabolite quinic acid) in its action, since no other active compounds were present in the extract. These compounds could be classified by comparison with reference drugs using discriminant analysis as being antidepressive and cognition enhancing, respectively. The extract appeared among those drugs having stimulatory effects. © 2007 The Authors.","author":[{"dropping-particle":"","family":"Dimpfel","given":"Wilfried","non-dropping-particle":"","parse-names":false,"suffix":""},{"dropping-particle":"","family":"Kler","given":"Adolf","non-dropping-particle":"","parse-names":false,"suffix":""},{"dropping-particle":"","family":"Kriesl","given":"Erwin","non-dropping-particle":"","parse-names":false,"suffix":""},{"dropping-particle":"","family":"Lehnfeld","given":"Romanus","non-dropping-particle":"","parse-names":false,"suffix":""}],"container-title":"Journal of Pharmacy and Pharmacology","id":"ITEM-1","issue":"10","issued":{"date-parts":[["2007"]]},"page":"1397-1403","title":" Theogallin and l -theanine as active ingredients in decaffeinated green tea extract: II. Characterization in the freely moving rat by means of quantitative field potential analysis ","type":"article-journal","volume":"59"},"uris":["http://www.mendeley.com/documents/?uuid=fe3c568a-796e-4b13-a4cd-6a14cc624dfc"]}],"mendeley":{"formattedCitation":"(Dimpfel, Kler, Kriesl, &amp; Lehnfeld, 2007)","plainTextFormattedCitation":"(Dimpfel, Kler, Kriesl, &amp; Lehnfeld, 2007)","previouslyFormattedCitation":"(Dimpfel, Kler, Kriesl, &amp; Lehnfeld, 2007)"},"properties":{"noteIndex":0},"schema":"https://github.com/citation-style-language/schema/raw/master/csl-citation.json"}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(Dimpfel, Kler, Kriesl, &amp; Lehnfeld, 2007)</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This powerful component is present in high abundance in Purple </w:t>
      </w:r>
      <w:r w:rsidRPr="00CF1D1E">
        <w:rPr>
          <w:rFonts w:ascii="Calibri" w:eastAsia="Calibri" w:hAnsi="Calibri" w:cs="Times New Roman"/>
          <w:sz w:val="24"/>
          <w:szCs w:val="24"/>
        </w:rPr>
        <w:lastRenderedPageBreak/>
        <w:t>CTC and Milima GFBOP1 and very high abundance in Chomogonday White. Theogallin is present at a much lower concentration in oolong and black teas, showing larger amounts in teas that have been manufactured in a way to actively prevent oxidation e.g. white, purple and green teas. See Fig.141 below.</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noProof/>
          <w:sz w:val="24"/>
          <w:szCs w:val="24"/>
          <w:lang w:eastAsia="en-GB"/>
        </w:rPr>
        <w:drawing>
          <wp:inline distT="0" distB="0" distL="0" distR="0" wp14:anchorId="0DB505F1" wp14:editId="74B1B368">
            <wp:extent cx="5731510" cy="1767840"/>
            <wp:effectExtent l="0" t="0" r="2540"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Theogallin Abundance Profile NEW.png"/>
                    <pic:cNvPicPr/>
                  </pic:nvPicPr>
                  <pic:blipFill>
                    <a:blip r:embed="rId211">
                      <a:extLst>
                        <a:ext uri="{28A0092B-C50C-407E-A947-70E740481C1C}">
                          <a14:useLocalDpi xmlns:a14="http://schemas.microsoft.com/office/drawing/2010/main" val="0"/>
                        </a:ext>
                      </a:extLst>
                    </a:blip>
                    <a:stretch>
                      <a:fillRect/>
                    </a:stretch>
                  </pic:blipFill>
                  <pic:spPr>
                    <a:xfrm>
                      <a:off x="0" y="0"/>
                      <a:ext cx="5731510" cy="1767840"/>
                    </a:xfrm>
                    <a:prstGeom prst="rect">
                      <a:avLst/>
                    </a:prstGeom>
                  </pic:spPr>
                </pic:pic>
              </a:graphicData>
            </a:graphic>
          </wp:inline>
        </w:drawing>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0"/>
          <w:szCs w:val="20"/>
          <w:lang w:val="en"/>
        </w:rPr>
        <w:t>Fig. 141. Abundance profile of Theogallin across the 9 tea samples supplied.</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sz w:val="24"/>
          <w:szCs w:val="24"/>
        </w:rPr>
        <w:t xml:space="preserve">This also highlights the view that increasing the depth of data can potentially improve the effectiveness of a predictive model and its ability to determine origin, tea type and production technique i.e. to expand from the differentiation of 9 teas from the same company to a more global view.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 further example of this, relating to origin this time, is that of Kijani DM (Kenya) and Newburgh Hyson (Sri Lanka). These are both green teas and both produced by the CTC method, but grown in different countries. Although many discriminants exist between these two teas, it can be seen from the S-plots and variable trends plots, that 210.0740m/z, 192.0269m/z and 343.0669m/z are also useful in distinguishing these teas. The Sri Lankan tea has more Theogallin (see Fig. A3-116). Further information on growth conditions and subsequent research would be required to pin point exactly what the regional specific differences are. The S-plots, as they are, show reasonable success </w:t>
      </w:r>
      <w:r w:rsidR="00F16AEB">
        <w:rPr>
          <w:rFonts w:ascii="Calibri" w:eastAsia="Calibri" w:hAnsi="Calibri" w:cs="Times New Roman"/>
          <w:sz w:val="24"/>
          <w:szCs w:val="24"/>
        </w:rPr>
        <w:t>in distinguishing between these two samples</w:t>
      </w:r>
      <w:r w:rsidRPr="00CF1D1E">
        <w:rPr>
          <w:rFonts w:ascii="Calibri" w:eastAsia="Calibri" w:hAnsi="Calibri" w:cs="Times New Roman"/>
          <w:sz w:val="24"/>
          <w:szCs w:val="24"/>
        </w:rPr>
        <w:t xml:space="preserve"> (see</w:t>
      </w:r>
      <w:r w:rsidRPr="00CF1D1E">
        <w:rPr>
          <w:rFonts w:ascii="Calibri" w:eastAsia="Calibri" w:hAnsi="Calibri" w:cs="Times New Roman"/>
        </w:rPr>
        <w:t xml:space="preserve"> </w:t>
      </w:r>
      <w:r w:rsidRPr="00CF1D1E">
        <w:rPr>
          <w:rFonts w:ascii="Calibri" w:eastAsia="Calibri" w:hAnsi="Calibri" w:cs="Times New Roman"/>
          <w:sz w:val="24"/>
          <w:szCs w:val="24"/>
        </w:rPr>
        <w:t xml:space="preserve">Fig. A3-114, A3-115 and A3-116 in </w:t>
      </w:r>
      <w:r w:rsidR="002560A6">
        <w:rPr>
          <w:rFonts w:ascii="Calibri" w:eastAsia="Calibri" w:hAnsi="Calibri" w:cs="Times New Roman"/>
          <w:sz w:val="24"/>
          <w:szCs w:val="24"/>
        </w:rPr>
        <w:t>the appendices</w:t>
      </w:r>
      <w:r w:rsidRPr="00CF1D1E">
        <w:rPr>
          <w:rFonts w:ascii="Calibri" w:eastAsia="Calibri" w:hAnsi="Calibri" w:cs="Times New Roman"/>
          <w:sz w:val="24"/>
          <w:szCs w:val="24"/>
        </w:rPr>
        <w:t xml:space="preserve">) plus Fig. A3-117 </w:t>
      </w:r>
      <w:r w:rsidR="00F16AEB">
        <w:rPr>
          <w:rFonts w:ascii="Calibri" w:eastAsia="Calibri" w:hAnsi="Calibri" w:cs="Times New Roman"/>
          <w:sz w:val="24"/>
          <w:szCs w:val="24"/>
        </w:rPr>
        <w:t>suggests</w:t>
      </w:r>
      <w:r w:rsidRPr="00CF1D1E">
        <w:rPr>
          <w:rFonts w:ascii="Calibri" w:eastAsia="Calibri" w:hAnsi="Calibri" w:cs="Times New Roman"/>
          <w:sz w:val="24"/>
          <w:szCs w:val="24"/>
        </w:rPr>
        <w:t xml:space="preserve"> many more possible ions that could aid in determination of origin.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 plethora of factors influence the chemical compositions of tea, such as geographical origin, cultivar, climate, cultural practices, soil, harvesting season, position, daylight exposure, rainfall, temperature and manufacturing processes. This is </w:t>
      </w:r>
      <w:r w:rsidR="00F16AEB">
        <w:rPr>
          <w:rFonts w:ascii="Calibri" w:eastAsia="Calibri" w:hAnsi="Calibri" w:cs="Times New Roman"/>
          <w:sz w:val="24"/>
          <w:szCs w:val="24"/>
        </w:rPr>
        <w:t>similar</w:t>
      </w:r>
      <w:r w:rsidRPr="00CF1D1E">
        <w:rPr>
          <w:rFonts w:ascii="Calibri" w:eastAsia="Calibri" w:hAnsi="Calibri" w:cs="Times New Roman"/>
          <w:sz w:val="24"/>
          <w:szCs w:val="24"/>
        </w:rPr>
        <w:t xml:space="preserve"> to the way that growing conditions and grape variety affect wine quality. The relationships between these factors and </w:t>
      </w:r>
      <w:r w:rsidRPr="00CF1D1E">
        <w:rPr>
          <w:rFonts w:ascii="Calibri" w:eastAsia="Calibri" w:hAnsi="Calibri" w:cs="Times New Roman"/>
          <w:sz w:val="24"/>
          <w:szCs w:val="24"/>
        </w:rPr>
        <w:lastRenderedPageBreak/>
        <w:t xml:space="preserve">phytochemical content are not well understood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{"citationItems":[{"id":"ITEM-1","itemData":{"DOI":"10.1016/j.foodchem.2014.11.086","ISSN":"18737072","abstract":"Numerous factors such as geographical origin, cultivar, climate, cultural practices, and manufacturing processes influence the chemical compositions of tea, in the same way as growing conditions and grape variety affect wine quality. However, the relationships between these factors and tea chemical compositions are not well understood. In this study, a new approach for non-targeted or global analysis, i.e., metabolomics, which is highly reproducible and statistically effective in analysing a diverse range of compounds, was used to better understand the metabolome of Camellia sinensis and determine the influence of environmental factors, including geography, climate, and cultural practices, on tea-making. We found a strong correlation between environmental factors and the metabolome of green, white, and oolong teas from China, Japan, and South Korea. In particular, multivariate statistical analysis revealed strong inter-country and inter-city relationships in the levels of theanine and catechin derivatives found in green and white teas. This information might be useful for assessing tea quality or producing distinct tea products across different locations, and highlights simultaneous identification of diverse tea metabolites through an NMR-based metabolomics approach.","author":[{"dropping-particle":"","family":"Lee","given":"Jang Eun","non-dropping-particle":"","parse-names":false,"suffix":""},{"dropping-particle":"","family":"Lee","given":"Bum Jin","non-dropping-particle":"","parse-names":false,"suffix":""},{"dropping-particle":"","family":"Chung","given":"Jin Oh","non-dropping-particle":"","parse-names":false,"suffix":""},{"dropping-particle":"","family":"Kim","given":"Hak Nam","non-dropping-particle":"","parse-names":false,"suffix":""},{"dropping-particle":"","family":"Kim","given":"Eun Hee","non-dropping-particle":"","parse-names":false,"suffix":""},{"dropping-particle":"","family":"Jung","given":"Sungheuk","non-dropping-particle":"","parse-names":false,"suffix":""},{"dropping-particle":"","family":"Lee","given":"Hyosang","non-dropping-particle":"","parse-names":false,"suffix":""},{"dropping-particle":"","family":"Lee","given":"Sang Jun","non-dropping-particle":"","parse-names":false,"suffix":""},{"dropping-particle":"","family":"Hong","given":"Young Shick","non-dropping-particle":"","parse-names":false,"suffix":""}],"container-title":"Food Chemistry","id":"ITEM-1","issued":{"date-parts":[["2015"]]},"page":"452-459","publisher":"Elsevier Ltd","title":"Metabolomic unveiling of a diverse range of green tea (Camellia sinensis) metabolites dependent on geography","type":"article-journal","volume":"174"},"uris":["http://www.mendeley.com/documents/?uuid=af6c736f-e098-4eab-936d-639b6eef9f55"]}],"mendeley":{"formattedCitation":"(J. E. Lee et al., 2015)","plainTextFormattedCitation":"(J. E. Lee et al., 2015)","previouslyFormattedCitation":"(J. E. Lee et al.,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(J. E. Lee </w:t>
      </w:r>
      <w:r w:rsidR="00941740" w:rsidRPr="00313173">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r w:rsidR="00826A41">
        <w:rPr>
          <w:rFonts w:ascii="Calibri" w:eastAsia="Calibri" w:hAnsi="Calibri" w:cs="Times New Roman"/>
          <w:sz w:val="24"/>
          <w:szCs w:val="24"/>
        </w:rPr>
        <w:t xml:space="preserve">Through the use of </w:t>
      </w:r>
      <w:r w:rsidR="00826A41" w:rsidRPr="00826A41">
        <w:rPr>
          <w:rFonts w:ascii="Calibri" w:eastAsia="Calibri" w:hAnsi="Calibri" w:cs="Times New Roman"/>
          <w:sz w:val="24"/>
          <w:szCs w:val="24"/>
        </w:rPr>
        <w:t xml:space="preserve">used </w:t>
      </w:r>
      <w:r w:rsidR="00826A41" w:rsidRPr="00826A41">
        <w:rPr>
          <w:rFonts w:ascii="Calibri" w:eastAsia="Calibri" w:hAnsi="Calibri" w:cs="Times New Roman"/>
          <w:sz w:val="24"/>
          <w:szCs w:val="24"/>
          <w:vertAlign w:val="superscript"/>
        </w:rPr>
        <w:t>1</w:t>
      </w:r>
      <w:r w:rsidR="00826A41" w:rsidRPr="00826A41">
        <w:rPr>
          <w:rFonts w:ascii="Calibri" w:eastAsia="Calibri" w:hAnsi="Calibri" w:cs="Times New Roman"/>
          <w:sz w:val="24"/>
          <w:szCs w:val="24"/>
        </w:rPr>
        <w:t>H NMR</w:t>
      </w:r>
      <w:r w:rsidR="00826A41">
        <w:rPr>
          <w:rFonts w:ascii="Calibri" w:eastAsia="Calibri" w:hAnsi="Calibri" w:cs="Times New Roman"/>
          <w:sz w:val="24"/>
          <w:szCs w:val="24"/>
        </w:rPr>
        <w:t>, s</w:t>
      </w:r>
      <w:r w:rsidRPr="00CF1D1E">
        <w:rPr>
          <w:rFonts w:ascii="Calibri" w:eastAsia="Calibri" w:hAnsi="Calibri" w:cs="Times New Roman"/>
          <w:sz w:val="24"/>
          <w:szCs w:val="24"/>
        </w:rPr>
        <w:t xml:space="preserve">trong correlation was found between environmental factors and the metabolome of green, white and oolong leaves by J. E. Lee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even revealing strong inter-country and inter-city relationships. These environmental factors are referred to as </w:t>
      </w:r>
      <w:r w:rsidRPr="00CF1D1E">
        <w:rPr>
          <w:rFonts w:ascii="Calibri" w:eastAsia="Calibri" w:hAnsi="Calibri" w:cs="Times New Roman"/>
          <w:i/>
          <w:sz w:val="24"/>
          <w:szCs w:val="24"/>
        </w:rPr>
        <w:t>terroir</w:t>
      </w:r>
      <w:r w:rsidRPr="00CF1D1E">
        <w:rPr>
          <w:rFonts w:ascii="Calibri" w:eastAsia="Calibri" w:hAnsi="Calibri" w:cs="Times New Roman"/>
          <w:sz w:val="24"/>
          <w:szCs w:val="24"/>
        </w:rPr>
        <w:t xml:space="preserve"> in the tea industry; a term borrowed from the wine industry meaning the complete natural environment. The</w:t>
      </w:r>
      <w:r w:rsidR="00313173">
        <w:rPr>
          <w:rFonts w:ascii="Calibri" w:eastAsia="Calibri" w:hAnsi="Calibri" w:cs="Times New Roman"/>
          <w:sz w:val="24"/>
          <w:szCs w:val="24"/>
        </w:rPr>
        <w:t xml:space="preserve">re are many similarities in the </w:t>
      </w:r>
      <w:r w:rsidR="00313173" w:rsidRPr="00CF1D1E">
        <w:rPr>
          <w:rFonts w:ascii="Calibri" w:eastAsia="Calibri" w:hAnsi="Calibri" w:cs="Times New Roman"/>
          <w:sz w:val="24"/>
          <w:szCs w:val="24"/>
        </w:rPr>
        <w:t xml:space="preserve">J. E. Lee </w:t>
      </w:r>
      <w:r w:rsidR="00313173" w:rsidRPr="00CF1D1E">
        <w:rPr>
          <w:rFonts w:ascii="Calibri" w:eastAsia="Calibri" w:hAnsi="Calibri" w:cs="Times New Roman"/>
          <w:i/>
          <w:sz w:val="24"/>
          <w:szCs w:val="24"/>
        </w:rPr>
        <w:t>et al</w:t>
      </w:r>
      <w:r w:rsidR="00313173">
        <w:rPr>
          <w:rFonts w:ascii="Calibri" w:eastAsia="Calibri" w:hAnsi="Calibri" w:cs="Times New Roman"/>
          <w:i/>
          <w:sz w:val="24"/>
          <w:szCs w:val="24"/>
        </w:rPr>
        <w:t>.</w:t>
      </w:r>
      <w:r w:rsidR="00313173" w:rsidRPr="00CF1D1E">
        <w:rPr>
          <w:rFonts w:ascii="Calibri" w:eastAsia="Calibri" w:hAnsi="Calibri" w:cs="Times New Roman"/>
          <w:sz w:val="24"/>
          <w:szCs w:val="24"/>
        </w:rPr>
        <w:t xml:space="preserve"> </w:t>
      </w:r>
      <w:r w:rsidRPr="00CF1D1E">
        <w:rPr>
          <w:rFonts w:ascii="Calibri" w:eastAsia="Calibri" w:hAnsi="Calibri" w:cs="Times New Roman"/>
          <w:sz w:val="24"/>
          <w:szCs w:val="24"/>
        </w:rPr>
        <w:t>publication compared to this thesis. The quality metrics, 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and Q</w:t>
      </w:r>
      <w:r w:rsidRPr="00CF1D1E">
        <w:rPr>
          <w:rFonts w:ascii="Calibri" w:eastAsia="Calibri" w:hAnsi="Calibri" w:cs="Times New Roman"/>
          <w:sz w:val="24"/>
          <w:szCs w:val="24"/>
          <w:vertAlign w:val="superscript"/>
        </w:rPr>
        <w:t xml:space="preserve">2 </w:t>
      </w:r>
      <w:r w:rsidRPr="00CF1D1E">
        <w:rPr>
          <w:rFonts w:ascii="Calibri" w:eastAsia="Calibri" w:hAnsi="Calibri" w:cs="Times New Roman"/>
          <w:sz w:val="24"/>
          <w:szCs w:val="24"/>
        </w:rPr>
        <w:t xml:space="preserve">were found to be similar to those of J. E. Lee </w:t>
      </w:r>
      <w:r w:rsidRPr="00CF1D1E">
        <w:rPr>
          <w:rFonts w:ascii="Calibri" w:eastAsia="Calibri" w:hAnsi="Calibri" w:cs="Times New Roman"/>
          <w:i/>
          <w:sz w:val="24"/>
          <w:szCs w:val="24"/>
        </w:rPr>
        <w:t xml:space="preserve">et al </w:t>
      </w:r>
      <w:r w:rsidRPr="00CF1D1E">
        <w:rPr>
          <w:rFonts w:ascii="Calibri" w:eastAsia="Calibri" w:hAnsi="Calibri" w:cs="Times New Roman"/>
          <w:sz w:val="24"/>
          <w:szCs w:val="24"/>
        </w:rPr>
        <w:t xml:space="preserve">and therefore gave additional reassurance </w:t>
      </w:r>
      <w:r w:rsidR="0075263F" w:rsidRPr="0075263F">
        <w:rPr>
          <w:rFonts w:ascii="Calibri" w:eastAsia="Calibri" w:hAnsi="Calibri" w:cs="Times New Roman"/>
          <w:sz w:val="24"/>
          <w:szCs w:val="24"/>
        </w:rPr>
        <w:t>concerning the predictive ability o</w:t>
      </w:r>
      <w:r w:rsidR="0075263F">
        <w:rPr>
          <w:rFonts w:ascii="Calibri" w:eastAsia="Calibri" w:hAnsi="Calibri" w:cs="Times New Roman"/>
          <w:sz w:val="24"/>
          <w:szCs w:val="24"/>
        </w:rPr>
        <w:t>f the model used in this thesis</w:t>
      </w:r>
      <w:r w:rsidR="0075263F" w:rsidRPr="0075263F">
        <w:rPr>
          <w:rFonts w:ascii="Calibri" w:eastAsia="Calibri" w:hAnsi="Calibri" w:cs="Times New Roman"/>
          <w:sz w:val="24"/>
          <w:szCs w:val="24"/>
        </w:rPr>
        <w:t xml:space="preserve"> </w:t>
      </w:r>
      <w:r w:rsidR="00313173">
        <w:rPr>
          <w:rFonts w:ascii="Calibri" w:eastAsia="Calibri" w:hAnsi="Calibri" w:cs="Times New Roman"/>
          <w:sz w:val="24"/>
          <w:szCs w:val="24"/>
        </w:rPr>
        <w:t>(Fig.107 for stage 2 and Fig.120 for stage 3</w:t>
      </w:r>
      <w:r w:rsidRPr="00CF1D1E">
        <w:rPr>
          <w:rFonts w:ascii="Calibri" w:eastAsia="Calibri" w:hAnsi="Calibri" w:cs="Times New Roman"/>
          <w:sz w:val="24"/>
          <w:szCs w:val="24"/>
        </w:rPr>
        <w:t>).</w:t>
      </w:r>
      <w:r w:rsidRPr="00CF1D1E">
        <w:rPr>
          <w:rFonts w:ascii="Calibri" w:eastAsia="Calibri" w:hAnsi="Calibri" w:cs="Times New Roman"/>
        </w:rPr>
        <w:t xml:space="preserve"> </w:t>
      </w:r>
      <w:r w:rsidRPr="00CF1D1E">
        <w:rPr>
          <w:rFonts w:ascii="Calibri" w:eastAsia="Calibri" w:hAnsi="Calibri" w:cs="Times New Roman"/>
          <w:sz w:val="24"/>
          <w:szCs w:val="24"/>
        </w:rPr>
        <w:t>An OPLS-DA model was also applied to remove non-correlated variation in X variables to Y variables or for variability in X that is orthogonal to Y. The loading matrices of the OPLS-DA model were used for improving the identification of the tea metabolites that differ between two groups in pairwise comparisons. Over-fitting of spectral data in the OPLS-DA model was also avoided by using the seven fold cross validation method described in the methods section of this thesis. The quality of the models was described by R</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and Q</w:t>
      </w:r>
      <w:r w:rsidRPr="00CF1D1E">
        <w:rPr>
          <w:rFonts w:ascii="Calibri" w:eastAsia="Calibri" w:hAnsi="Calibri" w:cs="Times New Roman"/>
          <w:sz w:val="24"/>
          <w:szCs w:val="24"/>
          <w:vertAlign w:val="superscript"/>
        </w:rPr>
        <w:t>2</w:t>
      </w:r>
      <w:r w:rsidRPr="00CF1D1E">
        <w:rPr>
          <w:rFonts w:ascii="Calibri" w:eastAsia="Calibri" w:hAnsi="Calibri" w:cs="Times New Roman"/>
          <w:sz w:val="24"/>
          <w:szCs w:val="24"/>
        </w:rPr>
        <w:t xml:space="preserve"> values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{"citationItems":[{"id":"ITEM-1","itemData":{"DOI":"10.1002/cem.695","ISSN":"08869383","abstract":"A generic preprocessing method for multivariate data, called orthogonal projections to latent structures (O-PLS), is described. O-PLS removes variation from X (descriptor variables) that is not correlated to Y (property variables, e.g. yield, cost or toxicity). In mathematical terms this is equivalent to removing systematic variation in X that is orthogonal to Y. In an earlier paper, Wold et al. (Chemometrics Intell. Lab. Syst. 1998; 44: 175-185) described orthogonal signal correction (OSC). In this paper a method with the same objective but with different means is described. The proposed O-PLS method analyzes the variation explained in each PLS component. The non-correlated systematic variation in X is removed, making interpretation of the resulting PLS model easier and with the additional benefit that the non-correlated variation itself can be analyzed further. As an example, near-infrared (NIR) reflectance spectra of wood chips were analyzed. Applying O-PLS resulted in reduced model complexity with preserved prediction ability, effective removal of non-correlated variation in X and, not least, improved interpretational ability of both correlated and non-correlated variation in the NIR spectra. © 2002 John Wiley &amp; Sons, Ltd.","author":[{"dropping-particle":"","family":"Trygg","given":"Johan","non-dropping-particle":"","parse-names":false,"suffix":""},{"dropping-particle":"","family":"Wold","given":"Svante","non-dropping-particle":"","parse-names":false,"suffix":""}],"container-title":"Journal of Chemometrics","id":"ITEM-1","issue":"3","issued":{"date-parts":[["2002"]]},"page":"119-128","title":"Orthogonal projections to latent structures (O-PLS)","type":"article-journal","volume":"16"},"uris":["http://www.mendeley.com/documents/?uuid=c6184c8a-cf14-43ea-a84b-5dff8fc348dd"]}],"mendeley":{"formattedCitation":"(Trygg &amp; Wold, 2002)","plainTextFormattedCitation":"(Trygg &amp; Wold, 2002)","previouslyFormattedCitation":"(Trygg &amp; Wold, 2002)"},"properties":{"noteIndex":0},"schema":"https://github.com/citation-style-language/schema/raw/master/csl-citation.json"}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(Trygg &amp; Wold, 2002)</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r w:rsidRPr="00CF1D1E">
        <w:rPr>
          <w:rFonts w:ascii="Calibri" w:eastAsia="Calibri" w:hAnsi="Calibri" w:cs="Times New Roman"/>
          <w:i/>
          <w:sz w:val="24"/>
          <w:szCs w:val="24"/>
        </w:rPr>
        <w:t xml:space="preserve"> </w:t>
      </w:r>
      <w:r w:rsidRPr="00CF1D1E">
        <w:rPr>
          <w:rFonts w:ascii="Calibri" w:eastAsia="Calibri" w:hAnsi="Calibri" w:cs="Times New Roman"/>
          <w:sz w:val="24"/>
          <w:szCs w:val="24"/>
        </w:rPr>
        <w:t xml:space="preserve">As in this current study, a direct correlation was found between tea metabolites and the known environmental factors or </w:t>
      </w:r>
      <w:r w:rsidRPr="00CF1D1E">
        <w:rPr>
          <w:rFonts w:ascii="Calibri" w:eastAsia="Calibri" w:hAnsi="Calibri" w:cs="Times New Roman"/>
          <w:i/>
          <w:sz w:val="24"/>
          <w:szCs w:val="24"/>
        </w:rPr>
        <w:t>terroir</w:t>
      </w:r>
      <w:r w:rsidRPr="00CF1D1E">
        <w:rPr>
          <w:rFonts w:ascii="Calibri" w:eastAsia="Calibri" w:hAnsi="Calibri" w:cs="Times New Roman"/>
          <w:sz w:val="24"/>
          <w:szCs w:val="24"/>
        </w:rPr>
        <w:t xml:space="preserve">. This has potential to be applied </w:t>
      </w:r>
      <w:r w:rsidR="00B100AC">
        <w:rPr>
          <w:rFonts w:ascii="Calibri" w:eastAsia="Calibri" w:hAnsi="Calibri" w:cs="Times New Roman"/>
          <w:sz w:val="24"/>
          <w:szCs w:val="24"/>
        </w:rPr>
        <w:t>in</w:t>
      </w:r>
      <w:r w:rsidRPr="00CF1D1E">
        <w:rPr>
          <w:rFonts w:ascii="Calibri" w:eastAsia="Calibri" w:hAnsi="Calibri" w:cs="Times New Roman"/>
          <w:sz w:val="24"/>
          <w:szCs w:val="24"/>
        </w:rPr>
        <w:t xml:space="preserve"> the tea industry, as well as other industries, to add value by producing distinct products tailored to deliver consistent quality, standardised for use as dietary supplements and pharmaceutical precursors.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big difference in the approach </w:t>
      </w:r>
      <w:r w:rsidR="005321C5">
        <w:rPr>
          <w:rFonts w:ascii="Calibri" w:eastAsia="Calibri" w:hAnsi="Calibri" w:cs="Times New Roman"/>
          <w:sz w:val="24"/>
          <w:szCs w:val="24"/>
        </w:rPr>
        <w:t xml:space="preserve">used by </w:t>
      </w:r>
      <w:r w:rsidRPr="00CF1D1E">
        <w:rPr>
          <w:rFonts w:ascii="Calibri" w:eastAsia="Calibri" w:hAnsi="Calibri" w:cs="Times New Roman"/>
          <w:sz w:val="24"/>
          <w:szCs w:val="24"/>
        </w:rPr>
        <w:t xml:space="preserve">J. E. Lee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is that they used </w:t>
      </w:r>
      <w:r w:rsidRPr="00CF1D1E">
        <w:rPr>
          <w:rFonts w:ascii="Calibri" w:eastAsia="Calibri" w:hAnsi="Calibri" w:cs="Times New Roman"/>
          <w:sz w:val="24"/>
          <w:szCs w:val="24"/>
          <w:vertAlign w:val="superscript"/>
        </w:rPr>
        <w:t>1</w:t>
      </w:r>
      <w:r w:rsidRPr="00CF1D1E">
        <w:rPr>
          <w:rFonts w:ascii="Calibri" w:eastAsia="Calibri" w:hAnsi="Calibri" w:cs="Times New Roman"/>
          <w:sz w:val="24"/>
          <w:szCs w:val="24"/>
        </w:rPr>
        <w:t>H NMR. HRAM MS</w:t>
      </w:r>
      <w:r w:rsidR="00663613">
        <w:rPr>
          <w:rFonts w:ascii="Calibri" w:eastAsia="Calibri" w:hAnsi="Calibri" w:cs="Times New Roman"/>
          <w:sz w:val="24"/>
          <w:szCs w:val="24"/>
        </w:rPr>
        <w:t xml:space="preserve"> and </w:t>
      </w:r>
      <w:r w:rsidR="00663613" w:rsidRPr="00663613">
        <w:rPr>
          <w:rFonts w:ascii="Calibri" w:eastAsia="Calibri" w:hAnsi="Calibri" w:cs="Times New Roman"/>
          <w:sz w:val="24"/>
          <w:szCs w:val="24"/>
          <w:vertAlign w:val="superscript"/>
        </w:rPr>
        <w:t>1</w:t>
      </w:r>
      <w:r w:rsidR="00663613" w:rsidRPr="00663613">
        <w:rPr>
          <w:rFonts w:ascii="Calibri" w:eastAsia="Calibri" w:hAnsi="Calibri" w:cs="Times New Roman"/>
          <w:sz w:val="24"/>
          <w:szCs w:val="24"/>
        </w:rPr>
        <w:t xml:space="preserve">H NMR </w:t>
      </w:r>
      <w:r w:rsidR="00663613">
        <w:rPr>
          <w:rFonts w:ascii="Calibri" w:eastAsia="Calibri" w:hAnsi="Calibri" w:cs="Times New Roman"/>
          <w:sz w:val="24"/>
          <w:szCs w:val="24"/>
        </w:rPr>
        <w:t>have both shown</w:t>
      </w:r>
      <w:r w:rsidR="00663613" w:rsidRPr="00663613">
        <w:rPr>
          <w:rFonts w:ascii="Calibri" w:eastAsia="Calibri" w:hAnsi="Calibri" w:cs="Times New Roman"/>
          <w:sz w:val="24"/>
          <w:szCs w:val="24"/>
        </w:rPr>
        <w:t xml:space="preserve"> successful in discriminating</w:t>
      </w:r>
      <w:r w:rsidR="00663613">
        <w:rPr>
          <w:rFonts w:ascii="Calibri" w:eastAsia="Calibri" w:hAnsi="Calibri" w:cs="Times New Roman"/>
          <w:sz w:val="24"/>
          <w:szCs w:val="24"/>
        </w:rPr>
        <w:t xml:space="preserve"> chemical differences between plant samples</w:t>
      </w:r>
      <w:r w:rsidRPr="00CF1D1E">
        <w:rPr>
          <w:rFonts w:ascii="Calibri" w:eastAsia="Calibri" w:hAnsi="Calibri" w:cs="Times New Roman"/>
          <w:sz w:val="24"/>
          <w:szCs w:val="24"/>
        </w:rPr>
        <w:t>. The full details of the 9 tea samples</w:t>
      </w:r>
      <w:r w:rsidR="00B33DD0">
        <w:rPr>
          <w:rFonts w:ascii="Calibri" w:eastAsia="Calibri" w:hAnsi="Calibri" w:cs="Times New Roman"/>
          <w:sz w:val="24"/>
          <w:szCs w:val="24"/>
        </w:rPr>
        <w:t xml:space="preserve"> (tea type, harvesting method, processing method etc.)</w:t>
      </w:r>
      <w:r w:rsidRPr="00CF1D1E">
        <w:rPr>
          <w:rFonts w:ascii="Calibri" w:eastAsia="Calibri" w:hAnsi="Calibri" w:cs="Times New Roman"/>
          <w:sz w:val="24"/>
          <w:szCs w:val="24"/>
        </w:rPr>
        <w:t xml:space="preserve"> were not revealed by J. Finlay Ltd until the data analysis had been completed. The findings correlated 100% with this new information</w:t>
      </w:r>
      <w:r w:rsidR="00D87691">
        <w:rPr>
          <w:rFonts w:ascii="Calibri" w:eastAsia="Calibri" w:hAnsi="Calibri" w:cs="Times New Roman"/>
          <w:sz w:val="24"/>
          <w:szCs w:val="24"/>
        </w:rPr>
        <w:t>. The data processing was, to a</w:t>
      </w:r>
      <w:r w:rsidRPr="00CF1D1E">
        <w:rPr>
          <w:rFonts w:ascii="Calibri" w:eastAsia="Calibri" w:hAnsi="Calibri" w:cs="Times New Roman"/>
          <w:sz w:val="24"/>
          <w:szCs w:val="24"/>
        </w:rPr>
        <w:t xml:space="preserve"> large extent done blind, acting as a reminder as to the value of blind samples, which it is suggested should be incorporated into any study, where possible, as an additional level of validation.</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It has been shown in the results section that good quality data, </w:t>
      </w:r>
      <w:r w:rsidR="00B33DD0">
        <w:rPr>
          <w:rFonts w:ascii="Calibri" w:eastAsia="Calibri" w:hAnsi="Calibri" w:cs="Times New Roman"/>
          <w:sz w:val="24"/>
          <w:szCs w:val="24"/>
        </w:rPr>
        <w:t>increases</w:t>
      </w:r>
      <w:r w:rsidRPr="00CF1D1E">
        <w:rPr>
          <w:rFonts w:ascii="Calibri" w:eastAsia="Calibri" w:hAnsi="Calibri" w:cs="Times New Roman"/>
          <w:sz w:val="24"/>
          <w:szCs w:val="24"/>
        </w:rPr>
        <w:t xml:space="preserve"> the power o</w:t>
      </w:r>
      <w:r w:rsidR="002560A6">
        <w:rPr>
          <w:rFonts w:ascii="Calibri" w:eastAsia="Calibri" w:hAnsi="Calibri" w:cs="Times New Roman"/>
          <w:sz w:val="24"/>
          <w:szCs w:val="24"/>
        </w:rPr>
        <w:t>f this method. E</w:t>
      </w:r>
      <w:r w:rsidRPr="00CF1D1E">
        <w:rPr>
          <w:rFonts w:ascii="Calibri" w:eastAsia="Calibri" w:hAnsi="Calibri" w:cs="Times New Roman"/>
          <w:sz w:val="24"/>
          <w:szCs w:val="24"/>
        </w:rPr>
        <w:t xml:space="preserve">mploying a combination of analytical techniques could expand the potential of metabolomic fingerprinting enabling high quality provenance. Additional data, from REIMS (rapid evaporative ionisation mass spectrometry), Pyrolysis GC-MS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{"citationItems":[{"id":"ITEM-1","itemData":{"DOI":"10.1016/j.ijbiomac.2012.12.021","ISSN":"01418130","abstract":"Scope: In this study, Pu-erh tea was prepared by solid-state fermentation of the sun-dried green tea, short-fermentation black tea, and black tea. Ultraviolet-visible spectroscopy, infrared spectroscopy and Curie-point pyrolysis-gas chromatography-mass spectroscopy (CP-Py-GC/MS) were used to study the characteristics and chemical compositions of the TB formed in these Pu-erh teas. Methods and results: The pyrolysates of the Pu-erh teas' theabrownin (TB1, TB2, TB3) were analyzed at 386. °C using a Curie point pyrolysis instrument. TB1, TB2, and TB3 produced 158, 135 and 148 pyrolysis products, respectively. These compounds could be grouped as follows: alkaloids, 25.23% (TB1), 25.67% (TB2), and 21.91% (TB3); phenols, 24.19% (TB1), 23.08% (TB2), and 29.91% (TB3); nitrogen-compounds, 11.79% (TB1), 11.25% (TB2), and 13.39% (TB3); hydrocarbons, 10.96% (TB1), 10.37% (TB2), and 11.37% (TB3); ketones, 10.34% (TB1), 6.58% (TB2), and 8.22% (TB3); furan, 5.40% (TB1), 4.06% (TB2), and 2.33% (TB3); alcohol, 3.30% (TB1), 4.16% (TB2), and 3.34% (TB3); fatty acids, 2.80% (TB1), 4.03% (TB2), and 1.42% (TB3); esters 2.17% (TB1), 0.99% (TB2) and 2.35% (TB3); and amines 1.61% (TB1), 2.81% (TB2), and 0.86% (TB3). Conclusion: Theabrownin mainly contains alkaloids (caffeine), tea pigments, polysaccharides, proteins and lipids. Its precursors include various polyphenols, tea pigments, alkaloids, polysaccharides, proteins and lipids. These compounds in the raw materials impact the chemical composition of theabrownin, and black tea is not a suitable raw fermentation material for Pu-erh tea. © 2012 Elsevier B.V.","author":[{"dropping-particle":"","family":"Peng","given":"Chun Xiu","non-dropping-particle":"","parse-names":false,"suffix":""},{"dropping-particle":"","family":"Liu","given":"Jian","non-dropping-particle":"","parse-names":false,"suffix":""},{"dropping-particle":"","family":"Liu","given":"Hua Rong","non-dropping-particle":"","parse-names":false,"suffix":""},{"dropping-particle":"","family":"Zhou","given":"Hong Jie","non-dropping-particle":"","parse-names":false,"suffix":""},{"dropping-particle":"","family":"Gong","given":"Jia Shun","non-dropping-particle":"","parse-names":false,"suffix":""}],"container-title":"International Journal of Biological Macromolecules","id":"ITEM-1","issue":"1","issued":{"date-parts":[["2013"]]},"page":"197-203","publisher":"Elsevier B.V.","title":"Influence of different fermentation raw materials on pyrolyzates of Pu-erh tea theabrownin by Curie-point pyrolysis-gas chromatography-mass spectroscopy","type":"article-journal","volume":"54"},"uris":["http://www.mendeley.com/documents/?uuid=6e80cb2b-0493-4cd0-a0a4-00b9fa27d1cb"]}],"mendeley":{"formattedCitation":"(Peng et al., 2013)","plainTextFormattedCitation":"(Peng et al., 2013)","previouslyFormattedCitation":"(Peng et al., 2013)"},"properties":{"noteIndex":0},"schema":"https://github.com/citation-style-language/schema/raw/master/csl-citation.json"}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2560A6">
        <w:rPr>
          <w:rFonts w:ascii="Calibri" w:eastAsia="Calibri" w:hAnsi="Calibri" w:cs="Times New Roman"/>
          <w:i/>
          <w:noProof/>
          <w:sz w:val="24"/>
          <w:szCs w:val="24"/>
        </w:rPr>
        <w:t>(Peng et al</w:t>
      </w:r>
      <w:r w:rsidR="00941740" w:rsidRPr="00941740">
        <w:rPr>
          <w:rFonts w:ascii="Calibri" w:eastAsia="Calibri" w:hAnsi="Calibri" w:cs="Times New Roman"/>
          <w:noProof/>
          <w:sz w:val="24"/>
          <w:szCs w:val="24"/>
        </w:rPr>
        <w:t>., 2013)</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FTIR, </w:t>
      </w:r>
      <w:r w:rsidRPr="00CF1D1E">
        <w:rPr>
          <w:rFonts w:ascii="Calibri" w:eastAsia="Calibri" w:hAnsi="Calibri" w:cs="Times New Roman"/>
          <w:sz w:val="24"/>
          <w:szCs w:val="24"/>
        </w:rPr>
        <w:lastRenderedPageBreak/>
        <w:t xml:space="preserve">UV-Vis spectroscopy, Headspace-GC-MS and Headspace-GC-GC-MS would provide a view of the differences from a fresh angle. For example, Headspace-GC-MS or better still Headspace-GC-GC-MS would provide detailed information as to the composition of </w:t>
      </w:r>
      <w:r w:rsidR="00B33DD0">
        <w:rPr>
          <w:rFonts w:ascii="Calibri" w:eastAsia="Calibri" w:hAnsi="Calibri" w:cs="Times New Roman"/>
          <w:sz w:val="24"/>
          <w:szCs w:val="24"/>
        </w:rPr>
        <w:t xml:space="preserve">the volatile </w:t>
      </w:r>
      <w:r w:rsidRPr="00CF1D1E">
        <w:rPr>
          <w:rFonts w:ascii="Calibri" w:eastAsia="Calibri" w:hAnsi="Calibri" w:cs="Times New Roman"/>
          <w:sz w:val="24"/>
          <w:szCs w:val="24"/>
        </w:rPr>
        <w:t xml:space="preserve">odour and flavour components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{"citationItems":[{"id":"ITEM-1","itemData":{"DOI":"10.1016/j.foodres.2019.03.009","ISSN":"18737145","abstract":"Keemun, Assam, Darjeeling and Ceylon black teas are honored as the world's four most famous black teas, and their excellent aroma qualities are well received by people around the world. In this study, aroma components in these four types of teas were analyzed by comprehensive two-dimensional gas chromatography time-of-flight mass spectrometry (GC × GC-TOFMS) and gas chromatography-olfactometry (GC-O) technologies. A total of 42 aroma-active compounds were ultimately identified, especially benzeneacetaldehyde, geraniol, (Z)-3-hexen-1-yl hexanoate, trans-β-ionone, cis-linalool oxide (pyranoid), hotrienol, and methyl salicylate presented the strongest aroma strengths with pleasant scents in all tested teas. The quantification results indicated that 19 compounds including (Z)-3-hexenol, 1-octen-3-ol, linalool, phenylethyl alcohol, hexanal, benzeneacetaldehyde, limonene, heptanoic acid, (Z)-3-hexen-1-ol, acetate, benzyl alcohol, trans-linalool oxide (furanoid), hotrienol, 1-octen-3-one, 2-nonanone, (E)-2-octenal, nonanal, β-myrcene, 2-pentylfuran, and methylpyrazine were identified as the key compounds with odor activity values (OAVs) higher than 1.0 in the world's four most famous black teas. Notably, the comparison of GC-O and OAV calculation results showed that methyl salicylate (Ceylon), (E)-2-octenal (Assam), benzeneacetaldehyde (Keemun) and linalool and trans-linalool oxide (furanoid) (Darjeeling) might be the most definitive odorants in the corresponding tea categories.","author":[{"dropping-particle":"","family":"Kang","given":"Suyoung","non-dropping-particle":"","parse-names":false,"suffix":""},{"dropping-particle":"","family":"Yan","given":"Han","non-dropping-particle":"","parse-names":false,"suffix":""},{"dropping-particle":"","family":"Zhu","given":"Yin","non-dropping-particle":"","parse-names":false,"suffix":""},{"dropping-particle":"","family":"Liu","given":"Xu","non-dropping-particle":"","parse-names":false,"suffix":""},{"dropping-particle":"","family":"Lv","given":"Hai Peng","non-dropping-particle":"","parse-names":false,"suffix":""},{"dropping-particle":"","family":"Zhang","given":"Yue","non-dropping-particle":"","parse-names":false,"suffix":""},{"dropping-particle":"","family":"Dai","given":"Wei Dong","non-dropping-particle":"","parse-names":false,"suffix":""},{"dropping-particle":"","family":"Guo","given":"Li","non-dropping-particle":"","parse-names":false,"suffix":""},{"dropping-particle":"","family":"Tan","given":"Jun Feng","non-dropping-particle":"","parse-names":false,"suffix":""},{"dropping-particle":"","family":"Peng","given":"Qun Hua","non-dropping-particle":"","parse-names":false,"suffix":""},{"dropping-particle":"","family":"Lin","given":"Zhi","non-dropping-particle":"","parse-names":false,"suffix":""}],"container-title":"Food Research International","id":"ITEM-1","issue":"March","issued":{"date-parts":[["2019"]]},"page":"73-83","publisher":"Elsevier","title":"Identification and quantification of key odorants in the world's four most famous black teas","type":"article-journal","volume":"121"},"uris":["http://www.mendeley.com/documents/?uuid=2b2d9bf8-13d0-4868-9cd9-ba77abb9ea10"]}],"mendeley":{"formattedCitation":"(Kang et al., 2019)","plainTextFormattedCitation":"(Kang et al., 2019)","previouslyFormattedCitation":"(Kang et al.,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(Kang </w:t>
      </w:r>
      <w:r w:rsidR="00941740" w:rsidRPr="004B59D2">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Samples could be compared to trained mathematical models for verification of type, origin production method and possibly even year of manufacture. </w:t>
      </w:r>
    </w:p>
    <w:p w:rsidR="00CF1D1E" w:rsidRPr="00CF1D1E" w:rsidRDefault="00CF1D1E" w:rsidP="00CF1D1E">
      <w:pPr>
        <w:spacing w:line="360" w:lineRule="auto"/>
        <w:ind w:firstLine="720"/>
        <w:jc w:val="both"/>
        <w:rPr>
          <w:rFonts w:ascii="Calibri" w:eastAsia="Calibri" w:hAnsi="Calibri" w:cs="Times New Roman"/>
          <w:noProof/>
          <w:sz w:val="24"/>
          <w:szCs w:val="24"/>
        </w:rPr>
      </w:pPr>
      <w:r w:rsidRPr="00CF1D1E">
        <w:rPr>
          <w:rFonts w:ascii="Calibri" w:eastAsia="Calibri" w:hAnsi="Calibri" w:cs="Times New Roman"/>
          <w:sz w:val="24"/>
          <w:szCs w:val="24"/>
        </w:rPr>
        <w:t xml:space="preserve">The method described here could potentially benefit greatly from the application of the modern data processing techniques that are applied to so called ‘big data’, such as machine learning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{"citationItems":[{"id":"ITEM-1","itemData":{"DOI":"10.1016/j.foodres.2019.03.063","ISSN":"18737145","abstract":"In recent years, the variety and volume of data acquired by modern analytical instruments in order to conduct a better authentication of food has dramatically increased. Several pattern recognition tools have been developed to deal with the large volume and complexity of available trial data. The most widely used methods are principal component analysis (PCA), partial least squares-discriminant analysis (PLS-DA), soft independent modelling by class analogy (SIMCA), k-nearest neighbours (kNN), parallel factor analysis (PARAFAC), and multivariate curve resolution-alternating least squares (MCR-ALS). Nevertheless, there are alternative data treatment methods, such as support vector machine (SVM), classification and regression tree (CART) and random forest (RF), that show a great potential and more advantages compared to conventional ones. In this paper, we explain the background of these methods and review and discuss the reported studies in which these three methods have been applied in the area of food quality and authenticity. In addition, we clarify the technical terminology used in this particular area of research.","author":[{"dropping-particle":"","family":"Jiménez-Carvelo","given":"Ana M.","non-dropping-particle":"","parse-names":false,"suffix":""},{"dropping-particle":"","family":"González-Casado","given":"Antonio","non-dropping-particle":"","parse-names":false,"suffix":""},{"dropping-particle":"","family":"Bagur-González","given":"M. Gracia","non-dropping-particle":"","parse-names":false,"suffix":""},{"dropping-particle":"","family":"Cuadros-Rodríguez","given":"Luis","non-dropping-particle":"","parse-names":false,"suffix":""}],"container-title":"Food Research International","id":"ITEM-1","issue":"March","issued":{"date-parts":[["2019"]]},"page":"25-39","publisher":"Elsevier","title":"Alternative data mining/machine learning methods for the analytical evaluation of food quality and authenticity – A review","type":"article-journal","volume":"122"},"uris":["http://www.mendeley.com/documents/?uuid=d788fea5-0756-4f43-a083-bca11014ab5c"]}],"mendeley":{"formattedCitation":"(Jiménez-Carvelo, González-Casado, Bagur-González, &amp; Cuadros-Rodríguez, 2019)","plainTextFormattedCitation":"(Jiménez-Carvelo, González-Casado, Bagur-González, &amp; Cuadros-Rodríguez, 2019)","previouslyFormattedCitation":"(Jiménez-Carvelo, González-Casado, Bagur-González, &amp; Cuadros-Rodríguez,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(Jiménez-Carvelo, González-Casado, Bagur-González, &amp; Cuadros-Rodríguez,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Machine learning is a use of artificial intelligence (AI) that gives a system the capability to automatically learn, and improve from its experience of the data, without being explicitly programmed to do so. A simple everyday example of this is the use of machine learning to extend the battery life of a mobile phone by learning from the details of the phone’s usage. Machine learning relies on what is termed neural networks that emulate the way a human brain works. The pharmaceutical industry is increasingly using this type of approach to discover new predictive biomarkers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{"citationItems":[{"id":"ITEM-1","itemData":{"DOI":"10.1007/s00216-017-0503-7","ISBN":"978-3-527-69936-0","ISSN":"1618-2642","abstract":"The third edition of this long-selling introductory textbook and ready reference covers all pertinent topics, from basic statistics via modeling and databases right up to the latest regulatory issues. The experienced and internationally recognized author, Matthias Otto, introduces the statistical-mathematical evaluation of chemical measurements, especially analytical ones, going on to provide a modern approach to signal processing, designing and optimizing experiments, pattern recognition and classification, as well as modeling simple and nonlinear relationships. Analytical databases are equally covered as are applications of multiway analysis, artificial intelligence, fuzzy theory, neural networks, and genetic algorithms. The new edition has 10% new content to cover such recent developments as orthogonal signal correction and new data exchange formats, tree based classification and regression, independent component analysis, ensemble methods and neuro-fuzzy systems. It still retains, however, the proven features from previous editions: worked examples, questions and problems, additional information and brief explanations in the margin.","author":[{"dropping-particle":"","family":"Otto","given":"Mattias","non-dropping-particle":"","parse-names":false,"suffix":""}],"container-title":"Analytical and Bioanalytical Chemistry","id":"ITEM-1","issue":"24","issued":{"date-parts":[["2016"]]},"number-of-pages":"5615-5616","title":"Matthias Otto: Chemometrics: statistics and computer application in analytical chemistry, 3rd ed.","type":"book","volume":"409"},"uris":["http://www.mendeley.com/documents/?uuid=e6c6b167-a0b5-4cf1-bff9-57fae9a88dc2"]},{"id":"ITEM-2","itemData":{"URL":"https://blog.umetrics.com/the-trending-role-of-artificial-intelligence-in-the-pharmaceutical-industry?utm_campaign=Blog&amp;utm_source=hs_email&amp;utm_medium=email&amp;utm_content=77338742&amp;_hsenc=p2ANqtz--ZLnWmwOYEGFUsAjrZqr7atkdDsDInfSu2pSBi20quSJL-GB9Ytu70vqT_xiD4","author":[{"dropping-particle":"","family":"Umetrics","given":"","non-dropping-particle":"","parse-names":false,"suffix":""}],"container-title":"Umetrics Suite Blog","id":"ITEM-2","issued":{"date-parts":[["2019"]]},"title":"The trending role of artificial intelligence in the pharmaceutical industry","type":"webpage"},"uris":["http://www.mendeley.com/documents/?uuid=521e0d94-6fbe-4a4e-8702-0e5424b426c6"]}],"mendeley":{"formattedCitation":"(Otto, 2016; Umetrics, 2019)","plainTextFormattedCitation":"(Otto, 2016; Umetrics, 2019)","previouslyFormattedCitation":"(Otto, 2016; Umetrics, 2019)"},"properties":{"noteIndex":0},"schema":"https://github.com/citation-style-language/schema/raw/master/csl-citation.json"}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(Otto, 2016; Umetrics, 2019)</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although this way of dealing with complex data has been applied for over 20 years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{"citationItems":[{"id":"ITEM-1","itemData":{"author":[{"dropping-particle":"","family":"Goodacre","given":"Royston","non-dropping-particle":"","parse-names":false,"suffix":""},{"dropping-particle":"","family":"Timmins","given":"Eadaoin M","non-dropping-particle":"","parse-names":false,"suffix":""},{"dropping-particle":"","family":"Burton","given":"Rebecca","non-dropping-particle":"","parse-names":false,"suffix":""},{"dropping-particle":"","family":"Kaderbhai","given":"Naheed","non-dropping-particle":"","parse-names":false,"suffix":""},{"dropping-particle":"","family":"Woodward","given":"Andrew M","non-dropping-particle":"","parse-names":false,"suffix":""},{"dropping-particle":"","family":"Kell","given":"Douglas B","non-dropping-particle":"","parse-names":false,"suffix":""},{"dropping-particle":"","family":"Rooney","given":"Paul J","non-dropping-particle":"","parse-names":false,"suffix":""}],"container-title":"Microbiology","id":"ITEM-1","issue":"1 998","issued":{"date-parts":[["1998"]]},"page":"1157-1170","title":"Fingerprinting and artificial neural networks","type":"article-journal","volume":"1444"},"uris":["http://www.mendeley.com/documents/?uuid=0d74a9d4-4585-45df-a4d8-259922980fb2"]}],"mendeley":{"formattedCitation":"(Goodacre et al., 1998)","plainTextFormattedCitation":"(Goodacre et al., 1998)","previouslyFormattedCitation":"(Goodacre et al., 1998)"},"properties":{"noteIndex":0},"schema":"https://github.com/citation-style-language/schema/raw/master/csl-citation.json"}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(Goodacre </w:t>
      </w:r>
      <w:r w:rsidR="00941740" w:rsidRPr="00370C76">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1998)</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review article by </w:t>
      </w:r>
      <w:r w:rsidRPr="00CF1D1E">
        <w:rPr>
          <w:rFonts w:ascii="Calibri" w:eastAsia="Calibri" w:hAnsi="Calibri" w:cs="Times New Roman"/>
          <w:noProof/>
          <w:sz w:val="24"/>
          <w:szCs w:val="24"/>
        </w:rPr>
        <w:t xml:space="preserve">Jiménez-Carvelo </w:t>
      </w:r>
      <w:r w:rsidRPr="00CF1D1E">
        <w:rPr>
          <w:rFonts w:ascii="Calibri" w:eastAsia="Calibri" w:hAnsi="Calibri" w:cs="Times New Roman"/>
          <w:i/>
          <w:noProof/>
          <w:sz w:val="24"/>
          <w:szCs w:val="24"/>
        </w:rPr>
        <w:t>et al.</w:t>
      </w:r>
      <w:r w:rsidRPr="00CF1D1E">
        <w:rPr>
          <w:rFonts w:ascii="Calibri" w:eastAsia="Calibri" w:hAnsi="Calibri" w:cs="Times New Roman"/>
          <w:noProof/>
          <w:sz w:val="24"/>
          <w:szCs w:val="24"/>
        </w:rPr>
        <w:t xml:space="preserve"> shows how machine learning can be of great benefit and provide advantages over more conventional methods when applied to the analytical evaluation of food quality and authenticity. By far the most widely used of the new machine learning data treatment methods is a support vector machine (SVM). SVM has been used and shown to be highly effective in tea authenticity studies that focus on cultivar and geographical origin using signals from modified metallic oxide electrode </w:t>
      </w:r>
      <w:r w:rsidRPr="00CF1D1E">
        <w:rPr>
          <w:rFonts w:ascii="Calibri" w:eastAsia="Calibri" w:hAnsi="Calibri" w:cs="Times New Roman"/>
          <w:noProof/>
          <w:sz w:val="24"/>
          <w:szCs w:val="24"/>
        </w:rPr>
        <w:fldChar w:fldCharType="begin" w:fldLock="1"/>
      </w:r>
      <w:r w:rsidR="00595237">
        <w:rPr>
          <w:rFonts w:ascii="Calibri" w:eastAsia="Calibri" w:hAnsi="Calibri" w:cs="Times New Roman"/>
          <w:noProof/>
          <w:sz w:val="24"/>
          <w:szCs w:val="24"/>
        </w:rPr>
        <w:instrText>ADDIN CSL_CITATION {"citationItems":[{"id":"ITEM-1","itemData":{"DOI":"10.1007/s12161-013-9649-x","ISBN":"1216101396","ISSN":"19369751","abstract":"Forty-three samples of green and black teas were analyzed by an electronic tongue technique. A class of metallic oxide-modified nickel foam electrodes (SnO 2 , ZnO, TiO 2 , Bi 2 O 3 ) was compared in their sensitivity in this system. The signals obtained by cyclic voltammetry were submitted to multivariate data analysis. In the explorative analysis based on principal component analysis (PCA), the score plots showed that two of these sensors were able to distinguish varieties of teas. The resulting PCA scores were modeled with a support vector machine (SVM) that accomplished final prediction with the qualitative classification of teas. The optimal SVM model was achieved after grid search optimization of some parameters and the conduction of the three commonly used kernel functions. With a comparison of classification accuracies, Bi 2 O 3 -modified nickel foam electrode performed the best among the four electrodes and SVM model using the polynomial kernel attained the highest within the three used kernels. This work demonstrated that cyclic voltammetry combined with the SVM pattern recognition method could be successfully applied in the classification of green and black teas. © 2013 The Author(s).","author":[{"dropping-particle":"","family":"Liu","given":"Nian","non-dropping-particle":"","parse-names":false,"suffix":""},{"dropping-particle":"","family":"Liang","given":"Yizeng","non-dropping-particle":"","parse-names":false,"suffix":""},{"dropping-particle":"","family":"Bin","given":"Jun","non-dropping-particle":"","parse-names":false,"suffix":""},{"dropping-particle":"","family":"Zhang","given":"Zhimin","non-dropping-particle":"","parse-names":false,"suffix":""},{"dropping-particle":"","family":"Huang","given":"Jianhua","non-dropping-particle":"","parse-names":false,"suffix":""},{"dropping-particle":"","family":"Shu","given":"Ru Xin","non-dropping-particle":"","parse-names":false,"suffix":""},{"dropping-particle":"","family":"Yang","given":"Kai","non-dropping-particle":"","parse-names":false,"suffix":""}],"container-title":"Food Analytical Methods","id":"ITEM-1","issue":"2","issued":{"date-parts":[["2014"]]},"page":"472-480","title":"Classification of Green and Black Teas by PCA and SVM Analysis of Cyclic Voltammetric Signals from Metallic Oxide-Modified Electrode","type":"article-journal","volume":"7"},"uris":["http://www.mendeley.com/documents/?uuid=fecc85d2-5af2-448a-b1ae-682b34f210b8"]}],"mendeley":{"formattedCitation":"(Liu et al., 2014)","plainTextFormattedCitation":"(Liu et al., 2014)","previouslyFormattedCitation":"(Liu et al., 2014)"},"properties":{"noteIndex":0},"schema":"https://github.com/citation-style-language/schema/raw/master/csl-citation.json"}</w:instrText>
      </w:r>
      <w:r w:rsidRPr="00CF1D1E">
        <w:rPr>
          <w:rFonts w:ascii="Calibri" w:eastAsia="Calibri" w:hAnsi="Calibri" w:cs="Times New Roman"/>
          <w:noProof/>
          <w:sz w:val="24"/>
          <w:szCs w:val="24"/>
        </w:rPr>
        <w:fldChar w:fldCharType="separate"/>
      </w:r>
      <w:r w:rsidR="00941740" w:rsidRPr="00941740">
        <w:rPr>
          <w:rFonts w:ascii="Calibri" w:eastAsia="Calibri" w:hAnsi="Calibri" w:cs="Times New Roman"/>
          <w:noProof/>
          <w:sz w:val="24"/>
          <w:szCs w:val="24"/>
        </w:rPr>
        <w:t xml:space="preserve">(Liu </w:t>
      </w:r>
      <w:r w:rsidR="00941740" w:rsidRPr="00370C76">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2014)</w:t>
      </w:r>
      <w:r w:rsidRPr="00CF1D1E">
        <w:rPr>
          <w:rFonts w:ascii="Calibri" w:eastAsia="Calibri" w:hAnsi="Calibri" w:cs="Times New Roman"/>
          <w:noProof/>
          <w:sz w:val="24"/>
          <w:szCs w:val="24"/>
        </w:rPr>
        <w:fldChar w:fldCharType="end"/>
      </w:r>
      <w:r w:rsidRPr="00CF1D1E">
        <w:rPr>
          <w:rFonts w:ascii="Calibri" w:eastAsia="Calibri" w:hAnsi="Calibri" w:cs="Times New Roman"/>
          <w:noProof/>
          <w:sz w:val="24"/>
          <w:szCs w:val="24"/>
        </w:rPr>
        <w:t xml:space="preserve">. Random forest methods (RF) were compared with a similar objective using tea UV-Vis data </w:t>
      </w:r>
      <w:r w:rsidRPr="00CF1D1E">
        <w:rPr>
          <w:rFonts w:ascii="Calibri" w:eastAsia="Calibri" w:hAnsi="Calibri" w:cs="Times New Roman"/>
          <w:noProof/>
          <w:sz w:val="24"/>
          <w:szCs w:val="24"/>
        </w:rPr>
        <w:fldChar w:fldCharType="begin" w:fldLock="1"/>
      </w:r>
      <w:r w:rsidR="00595237">
        <w:rPr>
          <w:rFonts w:ascii="Calibri" w:eastAsia="Calibri" w:hAnsi="Calibri" w:cs="Times New Roman"/>
          <w:noProof/>
          <w:sz w:val="24"/>
          <w:szCs w:val="24"/>
        </w:rPr>
        <w:instrText>ADDIN CSL_CITATION {"citationItems":[{"id":"ITEM-1","itemData":{"DOI":"10.1016/j.foodchem.2015.07.022","ISSN":"18737072","abstract":"Abstract In this work we proposed a method to verify the differentiating characteristics of simple tea infusions prepared in boiling water alone (simulating a home-made tea cup), which represents the final product as ingested by the consumers. For this purpose we used UV-Vis spectroscopy and variable selection through the Successive Projections Algorithm associated with Linear Discriminant Analysis (SPA-LDA) for simultaneous classification of the teas according to their variety and geographic origin. For comparison, KNN, CART, SIMCA, PLS-DA and PCA-LDA were also used. SPA-LDA and PCA-LDA provided significantly better results for tea classification of the five studied classes (Argentinean green tea; Brazilian green tea; Argentinean black tea; Brazilian black tea; and Sri Lankan black tea). The proposed methodology provides a simpler, faster and more affordable classification of simple tea infusions, and can be used as an alternative approach to traditional tea quality evaluation as made by skilful tasters, which is evidently partial and cannot assess geographic origins.","author":[{"dropping-particle":"","family":"Diniz","given":"Paulo Henrique Gonçalves Dias","non-dropping-particle":"","parse-names":false,"suffix":""},{"dropping-particle":"","family":"Barbosa","given":"Mayara Ferreira","non-dropping-particle":"","parse-names":false,"suffix":""},{"dropping-particle":"","family":"Melo Milanez","given":"Karla Danielle Tavares","non-dropping-particle":"De","parse-names":false,"suffix":""},{"dropping-particle":"","family":"Pistonesi","given":"Marcelo Fabián","non-dropping-particle":"","parse-names":false,"suffix":""},{"dropping-particle":"","family":"Araújo","given":"Mário César Ugulino","non-dropping-particle":"De","parse-names":false,"suffix":""}],"container-title":"Food Chemistry","id":"ITEM-1","issued":{"date-parts":[["2016"]]},"page":"374-379","title":"Using UV-Vis spectroscopy for simultaneous geographical and varietal classification of tea infusions simulating a home-made tea cup","type":"article-journal","volume":"192"},"uris":["http://www.mendeley.com/documents/?uuid=65d5f2df-ef3f-4c41-843a-74b52d27e7b6"]}],"mendeley":{"formattedCitation":"(Diniz, Barbosa, De Melo Milanez, Pistonesi, &amp; De Araújo, 2016)","plainTextFormattedCitation":"(Diniz, Barbosa, De Melo Milanez, Pistonesi, &amp; De Araújo, 2016)","previouslyFormattedCitation":"(Diniz, Barbosa, De Melo Milanez, Pistonesi, &amp; De Araújo, 2016)"},"properties":{"noteIndex":0},"schema":"https://github.com/citation-style-language/schema/raw/master/csl-citation.json"}</w:instrText>
      </w:r>
      <w:r w:rsidRPr="00CF1D1E">
        <w:rPr>
          <w:rFonts w:ascii="Calibri" w:eastAsia="Calibri" w:hAnsi="Calibri" w:cs="Times New Roman"/>
          <w:noProof/>
          <w:sz w:val="24"/>
          <w:szCs w:val="24"/>
        </w:rPr>
        <w:fldChar w:fldCharType="separate"/>
      </w:r>
      <w:r w:rsidR="00941740" w:rsidRPr="00941740">
        <w:rPr>
          <w:rFonts w:ascii="Calibri" w:eastAsia="Calibri" w:hAnsi="Calibri" w:cs="Times New Roman"/>
          <w:noProof/>
          <w:sz w:val="24"/>
          <w:szCs w:val="24"/>
        </w:rPr>
        <w:t>(Diniz, Barbosa, De Melo Milanez, Pistonesi, &amp; De Araújo, 2016)</w:t>
      </w:r>
      <w:r w:rsidRPr="00CF1D1E">
        <w:rPr>
          <w:rFonts w:ascii="Calibri" w:eastAsia="Calibri" w:hAnsi="Calibri" w:cs="Times New Roman"/>
          <w:noProof/>
          <w:sz w:val="24"/>
          <w:szCs w:val="24"/>
        </w:rPr>
        <w:fldChar w:fldCharType="end"/>
      </w:r>
      <w:r w:rsidRPr="00CF1D1E">
        <w:rPr>
          <w:rFonts w:ascii="Calibri" w:eastAsia="Calibri" w:hAnsi="Calibri" w:cs="Times New Roman"/>
          <w:noProof/>
          <w:sz w:val="24"/>
          <w:szCs w:val="24"/>
        </w:rPr>
        <w:t xml:space="preserve">. To add a final example, in which the decision tree (DT) method is shown to be successful, compared to other techniques, when discriminating geographical origins of green tea in China by isotope and elemental ratio analysis </w:t>
      </w:r>
      <w:r w:rsidRPr="00CF1D1E">
        <w:rPr>
          <w:rFonts w:ascii="Calibri" w:eastAsia="Calibri" w:hAnsi="Calibri" w:cs="Times New Roman"/>
          <w:noProof/>
          <w:sz w:val="24"/>
          <w:szCs w:val="24"/>
        </w:rPr>
        <w:fldChar w:fldCharType="begin" w:fldLock="1"/>
      </w:r>
      <w:r w:rsidR="00595237">
        <w:rPr>
          <w:rFonts w:ascii="Calibri" w:eastAsia="Calibri" w:hAnsi="Calibri" w:cs="Times New Roman"/>
          <w:noProof/>
          <w:sz w:val="24"/>
          <w:szCs w:val="24"/>
        </w:rPr>
        <w:instrText>ADDIN CSL_CITATION {"citationItems":[{"id":"ITEM-1","itemData":{"DOI":"10.1016/j.jfca.2018.01.005","ISSN":"08891575","abstract":"Reliable discrimination of the geographical origin of tea, especially very well-known teas, is crucial for market developing and consumer rights’ protection. In this study, multi-element contents and stable isotope signatures in the flat-shaped green tea samples collected from different producing areas were assayed. Linear discrimination analysis (LDA), partial least squares discrimination analysis (PLS-DA), and a decision tree (DT) were tested for their ability to discriminate the tea's geographical origin. Under the validation by cross-validation and “blind” dataset, the prediction accuracies of the three methods were all greater than 70%. The DT method showed the best performance, with an accuracy of 90%. Furthermore, for the discrimination of Xihu Longjing (XHLJ) green tea, DT also showed the lowest error rate of 1.5% (1 of 67 wrongly classified to XHLJ), which was better than the 6% rate observed for PLS-DA.","author":[{"dropping-particle":"","family":"Ni","given":"Kang","non-dropping-particle":"","parse-names":false,"suffix":""},{"dropping-particle":"","family":"Wang","given":"Jie","non-dropping-particle":"","parse-names":false,"suffix":""},{"dropping-particle":"","family":"Zhang","given":"Qunfeng","non-dropping-particle":"","parse-names":false,"suffix":""},{"dropping-particle":"","family":"Yi","given":"Xiaoyun","non-dropping-particle":"","parse-names":false,"suffix":""},{"dropping-particle":"","family":"Ma","given":"Lifeng","non-dropping-particle":"","parse-names":false,"suffix":""},{"dropping-particle":"","family":"Shi","given":"Yuanzhi","non-dropping-particle":"","parse-names":false,"suffix":""},{"dropping-particle":"","family":"Ruan","given":"Jianyun","non-dropping-particle":"","parse-names":false,"suffix":""}],"container-title":"Journal of Food Composition and Analysis","id":"ITEM-1","issue":"September 2017","issued":{"date-parts":[["2018"]]},"page":"104-109","publisher":"Elsevier","title":"Multi-element composition and isotopic signatures for the geographical origin discrimination of green tea in China: A case study of Xihu Longjing","type":"article-journal","volume":"67"},"uris":["http://www.mendeley.com/documents/?uuid=55279f37-0e54-4751-bcc2-1d22991eb4e7"]}],"mendeley":{"formattedCitation":"(Ni et al., 2018)","plainTextFormattedCitation":"(Ni et al., 2018)","previouslyFormattedCitation":"(Ni et al., 2018)"},"properties":{"noteIndex":0},"schema":"https://github.com/citation-style-language/schema/raw/master/csl-citation.json"}</w:instrText>
      </w:r>
      <w:r w:rsidRPr="00CF1D1E">
        <w:rPr>
          <w:rFonts w:ascii="Calibri" w:eastAsia="Calibri" w:hAnsi="Calibri" w:cs="Times New Roman"/>
          <w:noProof/>
          <w:sz w:val="24"/>
          <w:szCs w:val="24"/>
        </w:rPr>
        <w:fldChar w:fldCharType="separate"/>
      </w:r>
      <w:r w:rsidR="00941740" w:rsidRPr="00941740">
        <w:rPr>
          <w:rFonts w:ascii="Calibri" w:eastAsia="Calibri" w:hAnsi="Calibri" w:cs="Times New Roman"/>
          <w:noProof/>
          <w:sz w:val="24"/>
          <w:szCs w:val="24"/>
        </w:rPr>
        <w:t xml:space="preserve">(Ni </w:t>
      </w:r>
      <w:r w:rsidR="00941740" w:rsidRPr="00370C76">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2018)</w:t>
      </w:r>
      <w:r w:rsidRPr="00CF1D1E">
        <w:rPr>
          <w:rFonts w:ascii="Calibri" w:eastAsia="Calibri" w:hAnsi="Calibri" w:cs="Times New Roman"/>
          <w:noProof/>
          <w:sz w:val="24"/>
          <w:szCs w:val="24"/>
        </w:rPr>
        <w:fldChar w:fldCharType="end"/>
      </w:r>
      <w:r w:rsidRPr="00CF1D1E">
        <w:rPr>
          <w:rFonts w:ascii="Calibri" w:eastAsia="Calibri" w:hAnsi="Calibri" w:cs="Times New Roman"/>
          <w:noProof/>
          <w:sz w:val="24"/>
          <w:szCs w:val="24"/>
        </w:rPr>
        <w:t xml:space="preserve">. The evaluation of the pros and cons of the various methods of data processing here make a good platform for the advancement of metabolomic fingerprinting with advanced pattern recognition algorithms. This approach is further facillitated by the wide </w:t>
      </w:r>
      <w:r w:rsidRPr="00CF1D1E">
        <w:rPr>
          <w:rFonts w:ascii="Calibri" w:eastAsia="Calibri" w:hAnsi="Calibri" w:cs="Times New Roman"/>
          <w:noProof/>
          <w:sz w:val="24"/>
          <w:szCs w:val="24"/>
        </w:rPr>
        <w:lastRenderedPageBreak/>
        <w:t>availability of open-source AI software, which include TensorFlow, Scikit-learn, Microsoft Cognitive Toolkit and Keras, to name but a few.</w:t>
      </w:r>
    </w:p>
    <w:p w:rsidR="00CF1D1E" w:rsidRPr="00CF1D1E" w:rsidRDefault="00587C54" w:rsidP="00CF1D1E">
      <w:pPr>
        <w:spacing w:line="360" w:lineRule="auto"/>
        <w:ind w:firstLine="720"/>
        <w:jc w:val="both"/>
        <w:rPr>
          <w:rFonts w:ascii="Calibri" w:eastAsia="Calibri" w:hAnsi="Calibri" w:cs="Times New Roman"/>
          <w:noProof/>
          <w:sz w:val="24"/>
          <w:szCs w:val="24"/>
        </w:rPr>
      </w:pPr>
      <w:r>
        <w:rPr>
          <w:rFonts w:ascii="Calibri" w:eastAsia="Calibri" w:hAnsi="Calibri" w:cs="Times New Roman"/>
          <w:noProof/>
          <w:sz w:val="24"/>
          <w:szCs w:val="24"/>
        </w:rPr>
        <w:t>Another strategy c</w:t>
      </w:r>
      <w:r w:rsidR="00CF1D1E" w:rsidRPr="00CF1D1E">
        <w:rPr>
          <w:rFonts w:ascii="Calibri" w:eastAsia="Calibri" w:hAnsi="Calibri" w:cs="Times New Roman"/>
          <w:noProof/>
          <w:sz w:val="24"/>
          <w:szCs w:val="24"/>
        </w:rPr>
        <w:t>ould make use of one of the more advanced features of Progenesis QI i.e. Progenesis Metascope</w:t>
      </w:r>
      <w:r>
        <w:rPr>
          <w:rFonts w:ascii="Calibri" w:eastAsia="Calibri" w:hAnsi="Calibri" w:cs="Times New Roman"/>
          <w:noProof/>
          <w:sz w:val="24"/>
          <w:szCs w:val="24"/>
        </w:rPr>
        <w:t xml:space="preserve"> as</w:t>
      </w:r>
      <w:r w:rsidR="00CF1D1E" w:rsidRPr="00CF1D1E">
        <w:rPr>
          <w:rFonts w:ascii="Calibri" w:eastAsia="Calibri" w:hAnsi="Calibri" w:cs="Times New Roman"/>
          <w:noProof/>
          <w:sz w:val="24"/>
          <w:szCs w:val="24"/>
        </w:rPr>
        <w:t xml:space="preserve"> mentioned briefly at the end of the previous chapter. Its function is to allow the creation of local databases which are specific to the particular MS setup. This allows the researcher to build up a selection of key biomarkers from discovery data and create a database that includes accurate mass, retention time, adduct specific collision cross section values (CCS) and also </w:t>
      </w:r>
      <w:r w:rsidR="00CF1D1E" w:rsidRPr="00CF1D1E">
        <w:rPr>
          <w:rFonts w:ascii="Calibri" w:eastAsia="Calibri" w:hAnsi="Calibri" w:cs="Times New Roman"/>
          <w:i/>
          <w:noProof/>
          <w:sz w:val="24"/>
          <w:szCs w:val="24"/>
        </w:rPr>
        <w:t>actual</w:t>
      </w:r>
      <w:r w:rsidR="00CF1D1E" w:rsidRPr="00CF1D1E">
        <w:rPr>
          <w:rFonts w:ascii="Calibri" w:eastAsia="Calibri" w:hAnsi="Calibri" w:cs="Times New Roman"/>
          <w:noProof/>
          <w:sz w:val="24"/>
          <w:szCs w:val="24"/>
        </w:rPr>
        <w:t xml:space="preserve"> fragmentation data as opposed to the often used </w:t>
      </w:r>
      <w:r w:rsidR="00CF1D1E" w:rsidRPr="00CF1D1E">
        <w:rPr>
          <w:rFonts w:ascii="Calibri" w:eastAsia="Calibri" w:hAnsi="Calibri" w:cs="Times New Roman"/>
          <w:i/>
          <w:noProof/>
          <w:sz w:val="24"/>
          <w:szCs w:val="24"/>
        </w:rPr>
        <w:t>in silico</w:t>
      </w:r>
      <w:r w:rsidR="00CF1D1E" w:rsidRPr="00CF1D1E">
        <w:rPr>
          <w:rFonts w:ascii="Calibri" w:eastAsia="Calibri" w:hAnsi="Calibri" w:cs="Times New Roman"/>
          <w:noProof/>
          <w:sz w:val="24"/>
          <w:szCs w:val="24"/>
        </w:rPr>
        <w:t xml:space="preserve"> fragmentation. Components, such as some tea oxidation products, could be added as many are not available in the standard online databases. Once the effort has gone into the creation of this local highly specific database, the ability to search data quickly is much improved as is confidence in the resultant output.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primary goal of a plant metabolomics approach is to gain an overview of metabolism at a specific point in time, in a chosen tissue, obtained under the conditions of the experiment </w:t>
      </w:r>
      <w:r w:rsidRPr="00CF1D1E">
        <w:rPr>
          <w:rFonts w:ascii="Calibri" w:eastAsia="Calibri" w:hAnsi="Calibri" w:cs="Times New Roman"/>
          <w:sz w:val="24"/>
          <w:szCs w:val="24"/>
        </w:rPr>
        <w:fldChar w:fldCharType="begin" w:fldLock="1"/>
      </w:r>
      <w:r w:rsidR="007F0A67">
        <w:rPr>
          <w:rFonts w:ascii="Calibri" w:eastAsia="Calibri" w:hAnsi="Calibri" w:cs="Times New Roman"/>
          <w:sz w:val="24"/>
          <w:szCs w:val="24"/>
        </w:rPr>
        <w:instrText>ADDIN CSL_CITATION {"citationItems":[{"id":"ITEM-1","itemData":{"DOI":"10.1002/9781444339956.ch1","ISBN":"9781444339956","abstract":"© 2011 Blackwell Publishing Ltd. In just 10 years, plantmetabolomics has been transformed from a purely theoretical concept into a highly valued and widely exploited technology. Moving on from the many and wide-ranging hopes, enthused upon in a multitude of early reviews, metabolomics for plant research has already proved itself despite the technology still experiencing certain limitations. We have a long road to travel before we reach our desired destination - a very happy place where large-scale, (semi-) automated, unbiased multiplex analyses of plant materials, leading to exhaustive lists of named metabolites become possible. This biochemical Holy Grail will, by definition, never be reached. Nevertheless, continued advances in hardware, software and biostatistics are enabling us to generate ever-advancing, detailed insights into the chemical composition of plants and how this is influenced by genetical and environmental perturbation. There continues to be a major driving force behind further developments, spurred on by myriad existing and potentially new applications in both applied and fundamental plant science. It is no longer so much a case of hope springs eternal but rather, who dares wins!","author":[{"dropping-particle":"","family":"Hall","given":"Robert D.","non-dropping-particle":"","parse-names":false,"suffix":""}],"container-title":"Annual Plant Reviews Volume 43: Biology of Plant Metabolomics","id":"ITEM-1","issued":{"date-parts":[["2011"]]},"page":"1-24","title":"Plant Metabolomics in a Nutshell: Potential and Future Challenges","type":"article-journal","volume":"43"},"uris":["http://www.mendeley.com/documents/?uuid=85d6a766-c085-4d10-9c5d-bc7c8c55f4d3"]}],"mendeley":{"formattedCitation":"(Robert D. Hall, 2011)","plainTextFormattedCitation":"(Robert D. Hall, 2011)","previouslyFormattedCitation":"(Robert D. Hall, 2011)"},"properties":{"noteIndex":0},"schema":"https://github.com/citation-style-language/schema/raw/master/csl-citation.json"}</w:instrText>
      </w:r>
      <w:r w:rsidRPr="00CF1D1E">
        <w:rPr>
          <w:rFonts w:ascii="Calibri" w:eastAsia="Calibri" w:hAnsi="Calibri" w:cs="Times New Roman"/>
          <w:sz w:val="24"/>
          <w:szCs w:val="24"/>
        </w:rPr>
        <w:fldChar w:fldCharType="separate"/>
      </w:r>
      <w:r w:rsidR="00A736FA" w:rsidRPr="00A736FA">
        <w:rPr>
          <w:rFonts w:ascii="Calibri" w:eastAsia="Calibri" w:hAnsi="Calibri" w:cs="Times New Roman"/>
          <w:noProof/>
          <w:sz w:val="24"/>
          <w:szCs w:val="24"/>
        </w:rPr>
        <w:t>(Robert D. Hall, 2011)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Metabolites are the ultimate end points of gene activity. The link between metabolite profile and phenotype can be immediate and can provide a basis for researching the phenomena of interest. Metabolites are more proximal to a phenotype or disease than either genetic or proteomic information</w:t>
      </w:r>
      <w:r w:rsidR="00587C54">
        <w:rPr>
          <w:rFonts w:ascii="Calibri" w:eastAsia="Calibri" w:hAnsi="Calibri" w:cs="Times New Roman"/>
          <w:sz w:val="24"/>
          <w:szCs w:val="24"/>
        </w:rPr>
        <w:t>,</w:t>
      </w:r>
      <w:r w:rsidRPr="00CF1D1E">
        <w:rPr>
          <w:rFonts w:ascii="Calibri" w:eastAsia="Calibri" w:hAnsi="Calibri" w:cs="Times New Roman"/>
          <w:sz w:val="24"/>
          <w:szCs w:val="24"/>
        </w:rPr>
        <w:t xml:space="preserve"> because a simple change in the expression level of a gene or protein does not necessarily correlate directly with a variation in the activity level or absolute abundance of a protein, but an alteration in a metabolite only occurs through such a change. Consequently, metabolomics has been used to identify disease biomarkers, to aid in the drug discovery process, to study plants, bacteria, nutrition, and the environment, amongst many other applications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{"citationItems":[{"id":"ITEM-1","itemData":{"DOI":"10.2174/2213235X11301010092","ISSN":"2213-235X","PMID":"26078916","abstract":"Metabolomics aims to provide a global snapshot of all small-molecule metabolites in cells and biological fluids, free of observational biases inherent to more focused studies of metabolism. However, the staggeringly high information content of such global analyses introduces a challenge of its own; efficiently forming biologically relevant conclusions from any given metabolomics dataset indeed requires specialized forms of data analysis. One approach to finding meaning in metabolomics datasets involves multivariate analysis (MVA) methods such as principal component analysis (PCA) and partial least squares projection to latent structures (PLS), where spectral features contributing most to variation or separation are identified for further analysis. However, as with any mathematical treatment, these methods are not a panacea; this review discusses the use of multivariate analysis for metabolomics, as well as common pitfalls and misconceptions.","author":[{"dropping-particle":"","family":"Worley","given":"Bradley","non-dropping-particle":"","parse-names":false,"suffix":""},{"dropping-particle":"","family":"Powers","given":"Robert","non-dropping-particle":"","parse-names":false,"suffix":""}],"container-title":"Current Metabolomics","id":"ITEM-1","issue":"1","issued":{"date-parts":[["2015"]]},"page":"92-107","title":"Multivariate Analysis in Metabolomics.","type":"article-journal","volume":"1"},"uris":["http://www.mendeley.com/documents/?uuid=fe8781cb-598e-484e-8c13-1576a32ebd9b"]}],"mendeley":{"formattedCitation":"(Worley &amp; Powers, 2015)","plainTextFormattedCitation":"(Worley &amp; Powers, 2015)","previouslyFormattedCitation":"(Worley &amp; Powers,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(Worley &amp; Powers,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Mutations in many genes are phenotypically silent whereas at the metabolite level, clear changes may be apparent. Key traits of importance to industry are - more often than not - directly linked to the biochemical composition of the plant materials used. Important aspects of food products such as nutritional value, sweetness, digestibility and the bioavailability of nutrients are fundamentally determined by the biochemical composition of the raw materials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{"citationItems":[{"id":"ITEM-1","itemData":{"author":[{"dropping-particle":"","family":"Stewart, D., Shepherd, L.V.T., Hall","given":"R.D. et al.","non-dropping-particle":"","parse-names":false,"suffix":""}],"id":"ITEM-1","issued":{"date-parts":[["2011"]]},"number-of-pages":"181 - 218","publisher":"Blackwell Publishing Ltd., Oxford, UK.","title":"Crops and tasty, nutritious food – how can metabolomics help?","type":"book"},"uris":["http://www.mendeley.com/documents/?uuid=ab41409e-4393-429c-afd5-ffba02028093"]}],"mendeley":{"formattedCitation":"(Stewart, D., Shepherd, L.V.T., Hall, 2011)","plainTextFormattedCitation":"(Stewart, D., Shepherd, L.V.T., Hall, 2011)","previouslyFormattedCitation":"(Stewart, D., Shepherd, L.V.T., Hall, 2011)"},"properties":{"noteIndex":0},"schema":"https://github.com/citation-style-language/schema/raw/master/csl-citation.json"}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(Stewart, D., Shepherd, L.V.T., Hall, 2011)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As plants are nature’s most prolific biochemists, they have become a long-standing source of inspiration for industrial chemists in the search </w:t>
      </w:r>
      <w:r w:rsidRPr="00CF1D1E">
        <w:rPr>
          <w:rFonts w:ascii="Calibri" w:eastAsia="Calibri" w:hAnsi="Calibri" w:cs="Times New Roman"/>
          <w:sz w:val="24"/>
          <w:szCs w:val="24"/>
        </w:rPr>
        <w:lastRenderedPageBreak/>
        <w:t xml:space="preserve">for novel bioactive compounds that can form a basis for production of new synthetic drugs for the pharmaceutical industry or biocides for use in agriculture </w:t>
      </w:r>
      <w:r w:rsidRPr="00CF1D1E">
        <w:rPr>
          <w:rFonts w:ascii="Calibri" w:eastAsia="Calibri" w:hAnsi="Calibri" w:cs="Times New Roman"/>
          <w:sz w:val="24"/>
          <w:szCs w:val="24"/>
        </w:rPr>
        <w:fldChar w:fldCharType="begin" w:fldLock="1"/>
      </w:r>
      <w:r w:rsidR="007F0A67">
        <w:rPr>
          <w:rFonts w:ascii="Calibri" w:eastAsia="Calibri" w:hAnsi="Calibri" w:cs="Times New Roman"/>
          <w:sz w:val="24"/>
          <w:szCs w:val="24"/>
        </w:rPr>
        <w:instrText>ADDIN CSL_CITATION {"citationItems":[{"id":"ITEM-1","itemData":{"DOI":"10.1111/j.1469-8137.2005.01632.x","ISSN":"0028646X","abstract":"In a short time, plant metabolomics has gone from being just an ambitious concept to being a rapidly growing, valuable technology applied in the stride to gain a more global picture of the molecular organization of multicellular organisms. The combination of improved analytical capabilities with newly designed, dedicated statistical, bioinformatics and data mining strategies, is beginning to broaden the horizons of our understanding of how plants are organized and how metabolism is both controlled but highly flexible. Metabolomics is predicted to play a significant, if not indispensable role in bridging the phenotype-genotype gap and thus in assisting us in our desire for full genome sequence annotation as part of the quest to link gene to function. Plants are a fabulously rich source of diverse functional biochemicals and metabolomics is also already proving valuable in an applied context. By creating unique opportunities for us to interrogate plant systems and characterize their biochemical composition, metabolomics will greatly assist in identifying and defining much of the still unexploited biodiversity available today.","author":[{"dropping-particle":"","family":"Hall","given":"Robert D.","non-dropping-particle":"","parse-names":false,"suffix":""}],"container-title":"New Phytologist","id":"ITEM-1","issue":"3","issued":{"date-parts":[["2006"]]},"page":"453-468","title":"Plant metabolomics: From holistic hope, to hype, to hot topic","type":"article-journal","volume":"169"},"uris":["http://www.mendeley.com/documents/?uuid=60a86e57-84c0-42b5-ae69-7737a62ac198"]}],"mendeley":{"formattedCitation":"(Robert D. Hall, 2006)","plainTextFormattedCitation":"(Robert D. Hall, 2006)","previouslyFormattedCitation":"(Robert D. Hall, 2006)"},"properties":{"noteIndex":0},"schema":"https://github.com/citation-style-language/schema/raw/master/csl-citation.json"}</w:instrText>
      </w:r>
      <w:r w:rsidRPr="00CF1D1E">
        <w:rPr>
          <w:rFonts w:ascii="Calibri" w:eastAsia="Calibri" w:hAnsi="Calibri" w:cs="Times New Roman"/>
          <w:sz w:val="24"/>
          <w:szCs w:val="24"/>
        </w:rPr>
        <w:fldChar w:fldCharType="separate"/>
      </w:r>
      <w:r w:rsidR="00A736FA" w:rsidRPr="00A736FA">
        <w:rPr>
          <w:rFonts w:ascii="Calibri" w:eastAsia="Calibri" w:hAnsi="Calibri" w:cs="Times New Roman"/>
          <w:noProof/>
          <w:sz w:val="24"/>
          <w:szCs w:val="24"/>
        </w:rPr>
        <w:t>(Robert D. Hall, 2006)</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It can be seen in literature that there is a grey area in the definitions of metabolomic fingerprinting and metabolomic profiling wi</w:t>
      </w:r>
      <w:r w:rsidR="002560A6">
        <w:rPr>
          <w:rFonts w:ascii="Calibri" w:eastAsia="Calibri" w:hAnsi="Calibri" w:cs="Times New Roman"/>
          <w:sz w:val="24"/>
          <w:szCs w:val="24"/>
        </w:rPr>
        <w:t xml:space="preserve">th the boundaries becoming more </w:t>
      </w:r>
      <w:r w:rsidRPr="00CF1D1E">
        <w:rPr>
          <w:rFonts w:ascii="Calibri" w:eastAsia="Calibri" w:hAnsi="Calibri" w:cs="Times New Roman"/>
          <w:sz w:val="24"/>
          <w:szCs w:val="24"/>
        </w:rPr>
        <w:t>vague over time:</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b/>
          <w:i/>
          <w:sz w:val="24"/>
          <w:szCs w:val="24"/>
        </w:rPr>
        <w:t>Metabolomic fingerprinting</w:t>
      </w:r>
      <w:r w:rsidRPr="00CF1D1E">
        <w:rPr>
          <w:rFonts w:ascii="Calibri" w:eastAsia="Calibri" w:hAnsi="Calibri" w:cs="Times New Roman"/>
          <w:sz w:val="24"/>
          <w:szCs w:val="24"/>
        </w:rPr>
        <w:t xml:space="preserve"> – </w:t>
      </w:r>
      <w:r w:rsidR="00CE1979">
        <w:rPr>
          <w:rFonts w:ascii="Calibri" w:eastAsia="Calibri" w:hAnsi="Calibri" w:cs="Times New Roman"/>
          <w:sz w:val="24"/>
          <w:szCs w:val="24"/>
        </w:rPr>
        <w:t>R</w:t>
      </w:r>
      <w:r w:rsidRPr="00CF1D1E">
        <w:rPr>
          <w:rFonts w:ascii="Calibri" w:eastAsia="Calibri" w:hAnsi="Calibri" w:cs="Times New Roman"/>
          <w:sz w:val="24"/>
          <w:szCs w:val="24"/>
        </w:rPr>
        <w:t>elative quantification is the aim and identification of the metabolites is not usually performed.</w:t>
      </w:r>
    </w:p>
    <w:p w:rsidR="00CF1D1E" w:rsidRPr="00CF1D1E" w:rsidRDefault="00CF1D1E" w:rsidP="00CF1D1E">
      <w:pPr>
        <w:spacing w:line="360" w:lineRule="auto"/>
        <w:jc w:val="both"/>
        <w:rPr>
          <w:rFonts w:ascii="Calibri" w:eastAsia="Calibri" w:hAnsi="Calibri" w:cs="Times New Roman"/>
          <w:sz w:val="24"/>
          <w:szCs w:val="24"/>
        </w:rPr>
      </w:pPr>
      <w:r w:rsidRPr="00CF1D1E">
        <w:rPr>
          <w:rFonts w:ascii="Calibri" w:eastAsia="Calibri" w:hAnsi="Calibri" w:cs="Times New Roman"/>
          <w:b/>
          <w:i/>
          <w:sz w:val="24"/>
          <w:szCs w:val="24"/>
        </w:rPr>
        <w:t>Metabolomic profiling</w:t>
      </w:r>
      <w:r w:rsidRPr="00CF1D1E">
        <w:rPr>
          <w:rFonts w:ascii="Calibri" w:eastAsia="Calibri" w:hAnsi="Calibri" w:cs="Times New Roman"/>
          <w:sz w:val="24"/>
          <w:szCs w:val="24"/>
        </w:rPr>
        <w:t xml:space="preserve"> – </w:t>
      </w:r>
      <w:r w:rsidR="00CE1979">
        <w:rPr>
          <w:rFonts w:ascii="Calibri" w:eastAsia="Calibri" w:hAnsi="Calibri" w:cs="Times New Roman"/>
          <w:sz w:val="24"/>
          <w:szCs w:val="24"/>
        </w:rPr>
        <w:t>T</w:t>
      </w:r>
      <w:r w:rsidRPr="00CF1D1E">
        <w:rPr>
          <w:rFonts w:ascii="Calibri" w:eastAsia="Calibri" w:hAnsi="Calibri" w:cs="Times New Roman"/>
          <w:sz w:val="24"/>
          <w:szCs w:val="24"/>
        </w:rPr>
        <w:t>his approach attempts to identify components, to an extent, and apply MVA in order to create a hypothesis which links the findings to phenotypic or genetic differences.</w:t>
      </w:r>
    </w:p>
    <w:p w:rsidR="00CF1D1E" w:rsidRPr="00CF1D1E" w:rsidRDefault="00CE1979" w:rsidP="00CF1D1E">
      <w:pPr>
        <w:spacing w:line="360" w:lineRule="auto"/>
        <w:ind w:firstLine="720"/>
        <w:jc w:val="both"/>
        <w:rPr>
          <w:rFonts w:ascii="Calibri" w:eastAsia="Calibri" w:hAnsi="Calibri" w:cs="Times New Roman"/>
          <w:sz w:val="24"/>
          <w:szCs w:val="24"/>
        </w:rPr>
      </w:pPr>
      <w:r>
        <w:rPr>
          <w:rFonts w:ascii="Calibri" w:eastAsia="Calibri" w:hAnsi="Calibri" w:cs="Times New Roman"/>
          <w:sz w:val="24"/>
          <w:szCs w:val="24"/>
        </w:rPr>
        <w:t>It is felt that t</w:t>
      </w:r>
      <w:r w:rsidR="00CF1D1E" w:rsidRPr="00CF1D1E">
        <w:rPr>
          <w:rFonts w:ascii="Calibri" w:eastAsia="Calibri" w:hAnsi="Calibri" w:cs="Times New Roman"/>
          <w:sz w:val="24"/>
          <w:szCs w:val="24"/>
        </w:rPr>
        <w:t>he workflow created for this chapter’s research uses the best of both worlds and has been tailored accordingly so therefore cannot be neatly categorised by either description. The overall goal here was to identify the few chemical features against a large and complex background of metabolites that uniquely define the system.</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Dedicated bioinformatics tools are crucial for data analysis in order to convert the vast amount of data acquired into useful information and biochemical knowledge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{"citationItems":[{"id":"ITEM-1","itemData":{"author":[{"dropping-particle":"","family":"Redestig, H., Szymanski, J., Hirai","given":"M.Y. et al.","non-dropping-particle":"","parse-names":false,"suffix":""}],"editor":[{"dropping-particle":"","family":"Hall","given":"R.D.","non-dropping-particle":"","parse-names":false,"suffix":""}],"id":"ITEM-1","issued":{"date-parts":[["2011"]]},"number-of-pages":"261-316","publisher":"Blackwell Publishing Ltd., Oxford, UK.","title":"Data integration, metabolic networks and systems biology.","type":"book"},"uris":["http://www.mendeley.com/documents/?uuid=09c29cce-87bf-4641-96c7-20f50917f12a"]}],"mendeley":{"formattedCitation":"(Redestig, H., Szymanski, J., Hirai, 2011)","plainTextFormattedCitation":"(Redestig, H., Szymanski, J., Hirai, 2011)","previouslyFormattedCitation":"(Redestig, H., Szymanski, J., Hirai, 2011)"},"properties":{"noteIndex":0},"schema":"https://github.com/citation-style-language/schema/raw/master/csl-citation.json"}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(Redestig, H., Szymanski, J., Hirai, 2011)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and this is indeed a key factor in the distinction between metabolomics and the more traditional analytical chemistry approaches.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Although there has been much progress in the field of metabolomics over the past 20 years and publications continue to increase exponentially, there are a few current limitations. The multi-disciplinary nature of metabolomics requires that researchers and research teams need to have a broad understanding of a variety of scientific disciplines. This is essential to design and execute successful metabolomic experiments that lead to correct data interpretation and conclusions. To assemble the correct multi-disciplinary team can be a challenge and can be the cause of  bottlenecks  </w:t>
      </w:r>
      <w:r w:rsidRPr="00CF1D1E">
        <w:rPr>
          <w:rFonts w:ascii="Calibri" w:eastAsia="Calibri" w:hAnsi="Calibri" w:cs="Times New Roman"/>
          <w:sz w:val="24"/>
          <w:szCs w:val="24"/>
        </w:rPr>
        <w:fldChar w:fldCharType="begin" w:fldLock="1"/>
      </w:r>
      <w:r w:rsidR="007F0A67">
        <w:rPr>
          <w:rFonts w:ascii="Calibri" w:eastAsia="Calibri" w:hAnsi="Calibri" w:cs="Times New Roman"/>
          <w:sz w:val="24"/>
          <w:szCs w:val="24"/>
        </w:rPr>
        <w:instrText>ADDIN CSL_CITATION {"citationItems":[{"id":"ITEM-1","itemData":{"DOI":"10.1002/9781444339956.ch1","ISBN":"9781444339956","abstract":"© 2011 Blackwell Publishing Ltd. In just 10 years, plantmetabolomics has been transformed from a purely theoretical concept into a highly valued and widely exploited technology. Moving on from the many and wide-ranging hopes, enthused upon in a multitude of early reviews, metabolomics for plant research has already proved itself despite the technology still experiencing certain limitations. We have a long road to travel before we reach our desired destination - a very happy place where large-scale, (semi-) automated, unbiased multiplex analyses of plant materials, leading to exhaustive lists of named metabolites become possible. This biochemical Holy Grail will, by definition, never be reached. Nevertheless, continued advances in hardware, software and biostatistics are enabling us to generate ever-advancing, detailed insights into the chemical composition of plants and how this is influenced by genetical and environmental perturbation. There continues to be a major driving force behind further developments, spurred on by myriad existing and potentially new applications in both applied and fundamental plant science. It is no longer so much a case of hope springs eternal but rather, who dares wins!","author":[{"dropping-particle":"","family":"Hall","given":"Robert D.","non-dropping-particle":"","parse-names":false,"suffix":""}],"container-title":"Annual Plant Reviews Volume 43: Biology of Plant Metabolomics","id":"ITEM-1","issued":{"date-parts":[["2011"]]},"page":"1-24","title":"Plant Metabolomics in a Nutshell: Potential and Future Challenges","type":"article-journal","volume":"43"},"uris":["http://www.mendeley.com/documents/?uuid=85d6a766-c085-4d10-9c5d-bc7c8c55f4d3"]}],"mendeley":{"formattedCitation":"(Robert D. Hall, 2011)","plainTextFormattedCitation":"(Robert D. Hall, 2011)","previouslyFormattedCitation":"(Robert D. Hall, 2011)"},"properties":{"noteIndex":0},"schema":"https://github.com/citation-style-language/schema/raw/master/csl-citation.json"}</w:instrText>
      </w:r>
      <w:r w:rsidRPr="00CF1D1E">
        <w:rPr>
          <w:rFonts w:ascii="Calibri" w:eastAsia="Calibri" w:hAnsi="Calibri" w:cs="Times New Roman"/>
          <w:sz w:val="24"/>
          <w:szCs w:val="24"/>
        </w:rPr>
        <w:fldChar w:fldCharType="separate"/>
      </w:r>
      <w:r w:rsidR="00A736FA" w:rsidRPr="00A736FA">
        <w:rPr>
          <w:rFonts w:ascii="Calibri" w:eastAsia="Calibri" w:hAnsi="Calibri" w:cs="Times New Roman"/>
          <w:noProof/>
          <w:sz w:val="24"/>
          <w:szCs w:val="24"/>
        </w:rPr>
        <w:t>(Robert D. Hall, 2011)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To continue to explore the limitations, there are also restrictions incurred through having a lack of authentic standards for the ma</w:t>
      </w:r>
      <w:r w:rsidR="00CE1979">
        <w:rPr>
          <w:rFonts w:ascii="Calibri" w:eastAsia="Calibri" w:hAnsi="Calibri" w:cs="Times New Roman"/>
          <w:sz w:val="24"/>
          <w:szCs w:val="24"/>
        </w:rPr>
        <w:t>jority of compounds that can</w:t>
      </w:r>
      <w:r w:rsidRPr="00CF1D1E">
        <w:rPr>
          <w:rFonts w:ascii="Calibri" w:eastAsia="Calibri" w:hAnsi="Calibri" w:cs="Times New Roman"/>
          <w:sz w:val="24"/>
          <w:szCs w:val="24"/>
        </w:rPr>
        <w:t xml:space="preserve"> be detected with the current instrumentation available. Such reference standards are essential for unambiguous confirmation of metabolite identity and quantity. This is a large associated </w:t>
      </w:r>
      <w:r w:rsidRPr="00CF1D1E">
        <w:rPr>
          <w:rFonts w:ascii="Calibri" w:eastAsia="Calibri" w:hAnsi="Calibri" w:cs="Times New Roman"/>
          <w:sz w:val="24"/>
          <w:szCs w:val="24"/>
        </w:rPr>
        <w:lastRenderedPageBreak/>
        <w:t xml:space="preserve">problem as preparation of standards through extraction and purification or biosynthesis is costly and time consuming. An example of this lies in the need for detailed characterisation of TRs and TBs which are, to a great extent, the unknown components of black tea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{"citationItems":[{"id":"ITEM-1","itemData":{"DOI":"10.1007/s10529-014-1632-0","ISSN":"15736776","abstract":"© 2014, Springer Science+Business Media Dordrecht. Theabrownins (TB) are water-soluble phenolic compounds associated with the various health benefits of Pu-erh tea, a post-fermented Chinese dark tea. This work reports on the production of theabrownins from infusions of sun-dried green tea leaves using a pure culture of Aspergillus fumigatus isolated from a solid-state Pu-erh tea fermentation. A theabrownins yield of 158 g kg−1sun-dried green tea leaves was obtained in 6 days at 45 °C in an aerobic fermentation. In a 2 l fermenter, the yield of theabrownins was 151 g kg−1sun-dried green tea leaves in 48 h of aerobic culture (45 °C, 1 vvm aeration rate, 250 rpm agitation speed). Extracellular polyphenol oxidase and peroxidase of A. fumigatus contributed to this bioconversion. Repeated batch fermentation process was used for producing theabrownins but was less productive than the batch process.","author":[{"dropping-particle":"","family":"Wang","given":"Qiuping","non-dropping-particle":"","parse-names":false,"suffix":""},{"dropping-particle":"","family":"Gong","given":"Jiashun","non-dropping-particle":"","parse-names":false,"suffix":""},{"dropping-particle":"","family":"Chisti","given":"Yusuf","non-dropping-particle":"","parse-names":false,"suffix":""},{"dropping-particle":"","family":"Sirisansaneeyakul","given":"Sarote","non-dropping-particle":"","parse-names":false,"suffix":""}],"container-title":"Biotechnology Letters","id":"ITEM-1","issue":"12","issued":{"date-parts":[["2014"]]},"page":"2515-2522","title":"Bioconversion of tea polyphenols to bioactive theabrownins by Aspergillus fumigatus","type":"article-journal","volume":"36"},"uris":["http://www.mendeley.com/documents/?uuid=d13edbab-6617-4211-aa52-d1e71f24d226"]},{"id":"ITEM-2","itemData":{"DOI":"10.1016/j.foodchem.2015.01.108","ISSN":"18737072","abstract":"Thearubigins are the most abundant pigments found in black tea, comprising polyphenolic oxidation products, whose composition and chemical nature have remained unresolved until recently. In the course of studying the mechanism of thearubigin formation from green tea flavan-3-ols, a model system, based on electrochemical oxidation of one of the main tea flavan-3-ol substrates, epigallocatechin gallate (EGCG), was employed. Reaction intermediates and products were subsequently analysed using mass spectrometry techniques, allowing for the identification of key intermediates and products. The results provided, for the first time, spectroscopic evidence for the structures of primary oxidation products, and led to the conclusion that oxidation is mainly taking place on the B-ring and the galloyl group, where the oxidized components undergo oxidative coupling for the formation of theaflavins, theasinensins and polyhydroxylated flavan-3-ols, all precursors for thearubigin formation. Furthermore, density functional theory (DFT) calculations were carried out to support key findings.","author":[{"dropping-particle":"","family":"Yassin","given":"Ghada H.","non-dropping-particle":"","parse-names":false,"suffix":""},{"dropping-particle":"","family":"Koek","given":"Jan H.","non-dropping-particle":"","parse-names":false,"suffix":""},{"dropping-particle":"","family":"Kuhnert","given":"Nikolai","non-dropping-particle":"","parse-names":false,"suffix":""}],"container-title":"Food Chemistry","id":"ITEM-2","issued":{"date-parts":[["2015"]]},"page":"272-279","publisher":"Elsevier Ltd","title":"Model system-based mechanistic studies of black tea thearubigin formation","type":"article-journal","volume":"180"},"uris":["http://www.mendeley.com/documents/?uuid=6b6ed36b-7194-4efe-90f2-b5a1abec4470"]},{"id":"ITEM-3","itemData":{"author":[{"dropping-particle":"","family":"Arcy","given":"Bruce D","non-dropping-particle":"","parse-names":false,"suffix":""},{"dropping-particle":"","family":"Rintoul","given":"Gavin","non-dropping-particle":"","parse-names":false,"suffix":""}],"container-title":"Australian Government","id":"ITEM-3","issue":"04","issued":{"date-parts":[["2004"]]},"page":"200","title":"Developing an index of quality for Australian tea","type":"article-journal"},"uris":["http://www.mendeley.com/documents/?uuid=4ba703e7-f091-46f3-9de8-cd7baa9d85d9"]}],"mendeley":{"formattedCitation":"(Arcy &amp; Rintoul, 2004; Q. Wang, Gong, Chisti, &amp; Sirisansaneeyakul, 2014; Yassin, Koek, &amp; Kuhnert, 2015)","plainTextFormattedCitation":"(Arcy &amp; Rintoul, 2004; Q. Wang, Gong, Chisti, &amp; Sirisansaneeyakul, 2014; Yassin, Koek, &amp; Kuhnert, 2015)","previouslyFormattedCitation":"(Arcy &amp; Rintoul, 2004; Q. Wang, Gong, Chisti, &amp; Sirisansaneeyakul, 2014; Yassin, Koek, &amp; Kuhnert, 2015)"},"properties":{"noteIndex":0},"schema":"https://github.com/citation-style-language/schema/raw/master/csl-citation.json"}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(Arcy &amp; Rintoul, 2004; Q. Wang, Gong, Chisti, &amp; Sirisansaneeyakul, 2014; Yassin, Koek, &amp; Kuhnert, 2015)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The suggested way forward with this challenge would be separation of fractions by preparative HPLC and analysis of the fractions by LC-MS initially. Fractions of interest could be pooled and further separated by preparative HPLC to ultimately produce a library of these compounds.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Some progress has been made here in recent years but there is a long way to go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{"citationItems":[{"id":"ITEM-1","itemData":{"author":[{"dropping-particle":"","family":"Izawa","given":"Kunisuke Motonaka Kuroda","non-dropping-particle":"","parse-names":false,"suffix":""}],"id":"ITEM-1","issued":{"date-parts":[["2010"]]},"title":"Thearubigins Learn more about Thearubigins Chemical Ecology Polyphenols in Chronic Diseases and their Mechanisms of Action","type":"article-journal"},"uris":["http://www.mendeley.com/documents/?uuid=7f7461c0-caf7-4f79-a0c8-017af3e0aebb"]},{"id":"ITEM-2","itemData":{"DOI":"10.1021/jf035427e","ISSN":"00218561","abstract":"Black tea contains two major groups of pigments, theaflavins (TFs) and thearubigins (TRs). TFs contain a bis-flavan substituted 1,2-dihydroxy-3,4-benzotropolone moiety. Unlike the TFs, TRs have not yet been characterized. The chemical structure of the TRs remains a mystery. The present paper reports our effort to study the structure of TFs and TRs using delayed pulsed ion extraction of ions generated via the matrix-assisted laser desorption ionization (MALDI) technique, on line with a Linear time-of-flight (TOF) mass spectrometer. Spectra of standard TFs show not only pseudomolecular ions but also ions resulting from fragmentation. The analysis of MALDI-TOF spectra of black tea fractions shows the structure of some TRs, which are similar to those of TFs because the same loss of mass is observed.","author":[{"dropping-particle":"","family":"Menet","given":"Marie Claude","non-dropping-particle":"","parse-names":false,"suffix":""},{"dropping-particle":"","family":"Sang","given":"Shengmin","non-dropping-particle":"","parse-names":false,"suffix":""},{"dropping-particle":"","family":"Yang","given":"Chung S.","non-dropping-particle":"","parse-names":false,"suffix":""},{"dropping-particle":"","family":"Ho","given":"Chi Tano","non-dropping-particle":"","parse-names":false,"suffix":""},{"dropping-particle":"","family":"Rosen","given":"Robert T.","non-dropping-particle":"","parse-names":false,"suffix":""}],"container-title":"Journal of Agricultural and Food Chemistry","id":"ITEM-2","issue":"9","issued":{"date-parts":[["2004"]]},"page":"2455-2461","title":"Analysis of Theaflavins and Thearubigins from Black Tea Extract by MALDI-TOF Mass Spectrometry","type":"article-journal","volume":"52"},"uris":["http://www.mendeley.com/documents/?uuid=511a24a9-8ad4-46d8-9107-428ac061cf47"]},{"id":"ITEM-3","itemData":{"DOI":"10.1016/S0031-9422(03)00355-8","ISSN":"00319422","abstract":"The chemistry underlying the changes which occur during tea leaf fermentation is reviewed and used as a basis for proposals for the structure of thearubigins, the major pigments of black teas. © 2003 Published by Elsevier Ltd.","author":[{"dropping-particle":"","family":"Haslam","given":"Edwin","non-dropping-particle":"","parse-names":false,"suffix":""}],"container-title":"Phytochemistry","id":"ITEM-3","issue":"1","issued":{"date-parts":[["2003"]]},"page":"61-73","title":"Thoughts on thearubigins","type":"article-journal","volume":"64"},"uris":["http://www.mendeley.com/documents/?uuid=2d16804a-db46-414f-b88d-d0996d5ee04a"]}],"mendeley":{"formattedCitation":"(Haslam, 2003; Izawa, 2010; Menet et al., 2004)","plainTextFormattedCitation":"(Haslam, 2003; Izawa, 2010; Menet et al., 2004)","previouslyFormattedCitation":"(Haslam, 2003; Izawa, 2010; Menet et al., 2004)"},"properties":{"noteIndex":0},"schema":"https://github.com/citation-style-language/schema/raw/master/csl-citation.json"}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(Haslam, 2003; Izawa, 2010; Menet </w:t>
      </w:r>
      <w:r w:rsidR="00941740" w:rsidRPr="007979A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2004)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As Drynan </w:t>
      </w:r>
      <w:r w:rsidRPr="00CF1D1E">
        <w:rPr>
          <w:rFonts w:ascii="Calibri" w:eastAsia="Calibri" w:hAnsi="Calibri" w:cs="Times New Roman"/>
          <w:i/>
          <w:sz w:val="24"/>
          <w:szCs w:val="24"/>
        </w:rPr>
        <w:t>et al.</w:t>
      </w:r>
      <w:r w:rsidRPr="00CF1D1E">
        <w:rPr>
          <w:rFonts w:ascii="Calibri" w:eastAsia="Calibri" w:hAnsi="Calibri" w:cs="Times New Roman"/>
          <w:sz w:val="24"/>
          <w:szCs w:val="24"/>
        </w:rPr>
        <w:t xml:space="preserve"> state “Since we estimate the number of compounds present in a typical black tea infusion, after careful ultra-high-resolution MS measurements, to be in their thousands, the compounds characterised constitute only the ‘tip of the iceberg’ of black tea chemistry”. The benefits of this understanding could readily be applied to the coffee and chocolate industries too which encounter similar needs to that of the tea industry. Raw material selection is based on flavour, odour and health benefits, much of which comes down to the vast variety of components formed from simple building blocks often directed by enzymatic processes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{"citationItems":[{"id":"ITEM-1","itemData":{"DOI":"10.1039/b912523j","ISSN":"02650568","abstract":"This review summarises the chemistry of low molecular weight polyphenols isolated and characterised from black tea, discussing both structures identified and mechanisms of their likely formation.","author":[{"dropping-particle":"","family":"Drynan","given":"James Warren","non-dropping-particle":"","parse-names":false,"suffix":""},{"dropping-particle":"","family":"Clifford","given":"Michael N.","non-dropping-particle":"","parse-names":false,"suffix":""},{"dropping-particle":"","family":"Obuchowicz","given":"Jacek","non-dropping-particle":"","parse-names":false,"suffix":""},{"dropping-particle":"","family":"Kuhnert","given":"Nikolai","non-dropping-particle":"","parse-names":false,"suffix":""}],"container-title":"Natural Product Reports","id":"ITEM-1","issue":"3","issued":{"date-parts":[["2010"]]},"page":"417-462","title":"The chemistry of low molecular weight black tea polyphenols","type":"article-journal","volume":"27"},"uris":["http://www.mendeley.com/documents/?uuid=615f3d4e-2e67-4641-9f6c-cdd98adf4906"]}],"mendeley":{"formattedCitation":"(Drynan et al., 2010)","plainTextFormattedCitation":"(Drynan et al., 2010)","previouslyFormattedCitation":"(Drynan et al., 2010)"},"properties":{"noteIndex":0},"schema":"https://github.com/citation-style-language/schema/raw/master/csl-citation.json"}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 xml:space="preserve">(Drynan </w:t>
      </w:r>
      <w:r w:rsidR="00941740" w:rsidRPr="007979A7">
        <w:rPr>
          <w:rFonts w:ascii="Calibri" w:eastAsia="Calibri" w:hAnsi="Calibri" w:cs="Times New Roman"/>
          <w:i/>
          <w:noProof/>
          <w:sz w:val="24"/>
          <w:szCs w:val="24"/>
        </w:rPr>
        <w:t>et al</w:t>
      </w:r>
      <w:r w:rsidR="00941740" w:rsidRPr="00941740">
        <w:rPr>
          <w:rFonts w:ascii="Calibri" w:eastAsia="Calibri" w:hAnsi="Calibri" w:cs="Times New Roman"/>
          <w:noProof/>
          <w:sz w:val="24"/>
          <w:szCs w:val="24"/>
        </w:rPr>
        <w:t>., 2010)</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The elucidation of these two heterogeneous classes of compounds</w:t>
      </w:r>
      <w:r w:rsidR="00891EA5">
        <w:rPr>
          <w:rFonts w:ascii="Calibri" w:eastAsia="Calibri" w:hAnsi="Calibri" w:cs="Times New Roman"/>
          <w:sz w:val="24"/>
          <w:szCs w:val="24"/>
        </w:rPr>
        <w:t xml:space="preserve"> (TRs and TBs)</w:t>
      </w:r>
      <w:r w:rsidRPr="00CF1D1E">
        <w:rPr>
          <w:rFonts w:ascii="Calibri" w:eastAsia="Calibri" w:hAnsi="Calibri" w:cs="Times New Roman"/>
          <w:sz w:val="24"/>
          <w:szCs w:val="24"/>
        </w:rPr>
        <w:t xml:space="preserve"> are of importance to much plant life, as the processes described are common </w:t>
      </w:r>
      <w:proofErr w:type="gramStart"/>
      <w:r w:rsidRPr="00CF1D1E">
        <w:rPr>
          <w:rFonts w:ascii="Calibri" w:eastAsia="Calibri" w:hAnsi="Calibri" w:cs="Times New Roman"/>
          <w:sz w:val="24"/>
          <w:szCs w:val="24"/>
        </w:rPr>
        <w:t>to</w:t>
      </w:r>
      <w:proofErr w:type="gramEnd"/>
      <w:r w:rsidRPr="00CF1D1E">
        <w:rPr>
          <w:rFonts w:ascii="Calibri" w:eastAsia="Calibri" w:hAnsi="Calibri" w:cs="Times New Roman"/>
          <w:sz w:val="24"/>
          <w:szCs w:val="24"/>
        </w:rPr>
        <w:t xml:space="preserve"> much of the plant world.</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 This is potentially relevant to the biochemistry of soil and may add knowledge to the nature of soil components like humic substances (HS) or components thereof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{"citationItems":[{"id":"ITEM-1","itemData":{"ISSN":"0038-075X","abstract":"Two principles are presented that define the molecular nature and ecological role of humic substances (HS). The First Principle (i) accounts for and organizes an extensive body of apparently disparate data relating to the inability to purify and establish a molecular structure for HS; (ii) offers a conceptual framework for dealing with HS and for evaluating the applicability and limitations of various experimental methods; and (iii) identifies molecular heterogeneity, in combination with pronounced chemical reactivity, as constituting the essence of HS. Five corollaries to the First Principle spell out its consequences in more specific detail. New definitions of HS that offer greater insight into the molecular nature of these materials arise from the First Principle. The inapplicability of the molecular structure concept to HS is explained. The concept of hypothetical pseudostructures is introduced to help visualize the chemical reactions and interactions of HS without the unjustified assignment of specific structures to the material as a whole. Constraints in the design of experiments and in the interpretation of experimental data caused by the heterogeneous nature of HS are discussed. The Second Principle makes a connection between the molecularly heterogeneous and chemically reactive nature of HS and the ecological need for a reactive and persistent medium for plant growth. Concepts presented herein have broad implications in many fields, including chemistry, geochemistry, environmental and soil sciences, and ecology.","author":[{"dropping-particle":"","family":"MacCarthy","given":"Patrick","non-dropping-particle":"","parse-names":false,"suffix":""}],"container-title":"Soil Science","id":"ITEM-1","issue":"11","issued":{"date-parts":[["2001"]]},"title":"THE PRINCIPLES OF HUMIC SUBSTANCES","type":"article-journal","volume":"166"},"uris":["http://www.mendeley.com/documents/?uuid=478c2ede-3eed-4dc1-b2d1-0ffd1d507202"]},{"id":"ITEM-2","itemData":{"DOI":"10.1021/es050778q","ISSN":"0013936X","abstract":"A critical examination of published data obtained primarily from recent nuclear magnetic resonance spectroscopy, X-ray absorption near-edge structure spectroscopy, electrospray ionization-mass spectrometry, and pyrolysis studies reveals an evolving new view of the molecular structure of soil humic substances. According to the new view, humic substances are collections of diverse, relatively low molecular mass components forming dynamic associations stabilized by hydrophobic interactions and hydrogen bonds. These associations are capable of organizing into micellar structures in suitable aqueous environments. Humic components display contrasting molecular motional behavior and may be spatially segregated on a scale of nanometers. Within this new structural context, these components comprise any molecules intimately associated with a humic substance, such that they cannot be separated effectively by chemical or physical methods. Thus biomolecules strongly bound within humic fractions are by definition humic components, a conclusion that necessarily calls into question key biogeochemical pathways traditionally thought to be required for the formation of humic substances. Further research is needed to elucidate the intermolecular interactions that link humic components into supramolecular associations and to establish the pathways by which these associations emerge from the degradation of organic litter. &amp;copy; 2005 American Chemical Society","author":[{"dropping-particle":"","family":"Sutton","given":"Rebecca","non-dropping-particle":"","parse-names":false,"suffix":""},{"dropping-particle":"","family":"Sposito","given":"Garrison","non-dropping-particle":"","parse-names":false,"suffix":""}],"container-title":"Environmental Science and Technology","id":"ITEM-2","issue":"23","issued":{"date-parts":[["2005"]]},"page":"9009-9015","title":"Molecular structure in soil humic substances: The new view","type":"article-journal","volume":"39"},"uris":["http://www.mendeley.com/documents/?uuid=97e656cc-9b2e-49c8-bd35-90f89d368302"]}],"mendeley":{"formattedCitation":"(MacCarthy, 2001; Sutton &amp; Sposito, 2005)","plainTextFormattedCitation":"(MacCarthy, 2001; Sutton &amp; Sposito, 2005)","previouslyFormattedCitation":"(MacCarthy, 2001; Sutton &amp; Sposito, 2005)"},"properties":{"noteIndex":0},"schema":"https://github.com/citation-style-language/schema/raw/master/csl-citation.json"}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(MacCarthy, 2001; Sutton &amp; Sposito, 2005)</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Polyphenols are the main agents in the production of humic substances in plants that are low in lignin, but in general, the main source of polyphenols in soil is due to the biodegradation of lignin. Polyphenols are considered to be humic acid precursors. Polyphenols possess enough reactive sites to permit further transformations such as condensation reactions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{"citationItems":[{"id":"ITEM-1","itemData":{"DOI":"10.32725/jab.2005.002","abstract":"The user has requested enhancement of the downloaded file.","author":[{"dropping-particle":"","family":"Peña-Méndez","given":"Eladia M","non-dropping-particle":"","parse-names":false,"suffix":""},{"dropping-particle":"","family":"Havel","given":"Josef","non-dropping-particle":"","parse-names":false,"suffix":""},{"dropping-particle":"","family":"Patocka","given":"Jiri","non-dropping-particle":"","parse-names":false,"suffix":""}],"id":"ITEM-1","issue":"July 2014","issued":{"date-parts":[["2014"]]},"title":"Humic substances-compounds of still unknown structure: applications in agriculture, industry, environment, and biomedicine Mass spectrometry for cell and tissue profiling View project No project View project","type":"article-journal"},"uris":["http://www.mendeley.com/documents/?uuid=0a31df4b-7486-4b4d-a1da-1ae5a12d8fdb"]}],"mendeley":{"formattedCitation":"(Peña-Méndez, Havel, &amp; Patocka, 2014)","plainTextFormattedCitation":"(Peña-Méndez, Havel, &amp; Patocka, 2014)","previouslyFormattedCitation":"(Peña-Méndez, Havel, &amp; Patocka, 2014)"},"properties":{"noteIndex":0},"schema":"https://github.com/citation-style-language/schema/raw/master/csl-citation.json"}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(Peña-Méndez, Havel, &amp; Patocka, 2014)</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 fairly new concept of HS composition is that of the supramolecular association, in which many relatively small and chemically diverse organic molecules form clusters linked by hydrogen bonds and hydrophobic interactions </w:t>
      </w:r>
      <w:r w:rsidRPr="00CF1D1E">
        <w:rPr>
          <w:rFonts w:ascii="Calibri" w:eastAsia="Calibri" w:hAnsi="Calibri" w:cs="Times New Roman"/>
          <w:sz w:val="24"/>
          <w:szCs w:val="24"/>
        </w:rPr>
        <w:fldChar w:fldCharType="begin" w:fldLock="1"/>
      </w:r>
      <w:r w:rsidR="00595237">
        <w:rPr>
          <w:rFonts w:ascii="Calibri" w:eastAsia="Calibri" w:hAnsi="Calibri" w:cs="Times New Roman"/>
          <w:sz w:val="24"/>
          <w:szCs w:val="24"/>
        </w:rPr>
        <w:instrText>ADDIN CSL_CITATION {"citationItems":[{"id":"ITEM-1","itemData":{"ISSN":"0038-075X","abstract":"The scientific understanding of the molecular size and shape of humic substances (HS) is critically reviewed. The traditional view that HS are polymers in soil is not substantiated by any direct evidence but is assumed only on the basis of laboratory experiments with model molecules and unwarranted results produced by incorrectly applying either analytical procedures or mathematical treatments developed for purified and undisputed biopolymers. A large body of evidence shows an alternative understanding of the conformational nature of HS, which should be regarded as supramolecular associations of self-assembling heterogeneous and relatively small molecules deriving from the degradation and decomposition of dead biological material. A major aspect of the humic supramolecular conformation is that it is stabilized predominantly by weak dispersive forces instead of covalent linkages. Hydrophobic (van der Waals, π-π, CH-π) and hydrogen bonds are responsible for the apparent large molecular size of HS, the former becoming more important with the increase of pH. This innovative understanding of the nature of HS implies a further development of the science and technology for the control of the chemistry and reactivity of natural organic matter in the soil and the environment.","author":[{"dropping-particle":"","family":"Piccolo","given":"Alessandro","non-dropping-particle":"","parse-names":false,"suffix":""}],"container-title":"Soil Science","id":"ITEM-1","issue":"11","issued":{"date-parts":[["2001"]]},"title":"THE SUPRAMOLECULAR STRUCTURE OF HUMIC SUBSTANCES","type":"article-journal","volume":"166"},"uris":["http://www.mendeley.com/documents/?uuid=e64a37c4-189e-4dfe-adc0-a37294aa889d"]}],"mendeley":{"formattedCitation":"(Piccolo, 2001)","plainTextFormattedCitation":"(Piccolo, 2001)","previouslyFormattedCitation":"(Piccolo, 2001)"},"properties":{"noteIndex":0},"schema":"https://github.com/citation-style-language/schema/raw/master/csl-citation.json"}</w:instrText>
      </w:r>
      <w:r w:rsidRPr="00CF1D1E">
        <w:rPr>
          <w:rFonts w:ascii="Calibri" w:eastAsia="Calibri" w:hAnsi="Calibri" w:cs="Times New Roman"/>
          <w:sz w:val="24"/>
          <w:szCs w:val="24"/>
        </w:rPr>
        <w:fldChar w:fldCharType="separate"/>
      </w:r>
      <w:r w:rsidR="00941740" w:rsidRPr="00941740">
        <w:rPr>
          <w:rFonts w:ascii="Calibri" w:eastAsia="Calibri" w:hAnsi="Calibri" w:cs="Times New Roman"/>
          <w:noProof/>
          <w:sz w:val="24"/>
          <w:szCs w:val="24"/>
        </w:rPr>
        <w:t>(Piccolo, 2001)</w:t>
      </w:r>
      <w:r w:rsidRPr="00CF1D1E">
        <w:rPr>
          <w:rFonts w:ascii="Calibri" w:eastAsia="Calibri" w:hAnsi="Calibri" w:cs="Times New Roman"/>
          <w:sz w:val="24"/>
          <w:szCs w:val="24"/>
        </w:rPr>
        <w:fldChar w:fldCharType="end"/>
      </w:r>
      <w:r w:rsidRPr="00CF1D1E">
        <w:rPr>
          <w:rFonts w:ascii="Calibri" w:eastAsia="Calibri" w:hAnsi="Calibri" w:cs="Times New Roman"/>
          <w:sz w:val="24"/>
          <w:szCs w:val="24"/>
        </w:rPr>
        <w:t xml:space="preserve">.  Although the complexity of humic substances is increased by this array of organic “leftovers”, humic substances give rise to many vital </w:t>
      </w:r>
      <w:r w:rsidRPr="00CF1D1E">
        <w:rPr>
          <w:rFonts w:ascii="Calibri" w:eastAsia="Calibri" w:hAnsi="Calibri" w:cs="Times New Roman"/>
          <w:sz w:val="24"/>
          <w:szCs w:val="24"/>
        </w:rPr>
        <w:lastRenderedPageBreak/>
        <w:t>properties of soils and therefore the contributions made by TR and TB-like compounds could indeed be pivotal to the further understanding of soil.</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numPr>
          <w:ilvl w:val="1"/>
          <w:numId w:val="7"/>
        </w:numPr>
        <w:spacing w:line="360" w:lineRule="auto"/>
        <w:contextualSpacing/>
        <w:jc w:val="both"/>
        <w:rPr>
          <w:rFonts w:ascii="Calibri" w:eastAsia="Calibri" w:hAnsi="Calibri" w:cs="Times New Roman"/>
          <w:b/>
          <w:sz w:val="44"/>
          <w:szCs w:val="44"/>
        </w:rPr>
      </w:pPr>
      <w:r w:rsidRPr="00CF1D1E">
        <w:rPr>
          <w:rFonts w:ascii="Calibri" w:eastAsia="Calibri" w:hAnsi="Calibri" w:cs="Times New Roman"/>
          <w:b/>
          <w:sz w:val="44"/>
          <w:szCs w:val="44"/>
        </w:rPr>
        <w:lastRenderedPageBreak/>
        <w:t>Conclusion</w:t>
      </w:r>
    </w:p>
    <w:p w:rsidR="00CF1D1E" w:rsidRPr="00CF1D1E" w:rsidRDefault="00CF1D1E" w:rsidP="00CF1D1E">
      <w:pPr>
        <w:spacing w:line="360" w:lineRule="auto"/>
        <w:jc w:val="both"/>
        <w:rPr>
          <w:rFonts w:ascii="Calibri" w:eastAsia="Calibri" w:hAnsi="Calibri" w:cs="Times New Roman"/>
          <w:sz w:val="24"/>
          <w:szCs w:val="24"/>
        </w:rPr>
      </w:pP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From two decades of experience in the crop protection industry, and seeing first-hand the power of statistics being applied to improve chemical processes, it was apparent that observations could be made, via statistical methods, to make a tangible improvement to the efficiency of production and to the quality of the finished product. The latent information extracted was not available to the naked eye.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Modern MS discovery data is many times more complex than the </w:t>
      </w:r>
      <w:r w:rsidR="00BF38AD">
        <w:rPr>
          <w:rFonts w:ascii="Calibri" w:eastAsia="Calibri" w:hAnsi="Calibri" w:cs="Times New Roman"/>
          <w:sz w:val="24"/>
          <w:szCs w:val="24"/>
        </w:rPr>
        <w:t xml:space="preserve">chemical industry process improvement </w:t>
      </w:r>
      <w:r w:rsidRPr="00CF1D1E">
        <w:rPr>
          <w:rFonts w:ascii="Calibri" w:eastAsia="Calibri" w:hAnsi="Calibri" w:cs="Times New Roman"/>
          <w:sz w:val="24"/>
          <w:szCs w:val="24"/>
        </w:rPr>
        <w:t xml:space="preserve">data </w:t>
      </w:r>
      <w:r w:rsidR="00BF38AD">
        <w:rPr>
          <w:rFonts w:ascii="Calibri" w:eastAsia="Calibri" w:hAnsi="Calibri" w:cs="Times New Roman"/>
          <w:sz w:val="24"/>
          <w:szCs w:val="24"/>
        </w:rPr>
        <w:t>referred to in the previous paragraph</w:t>
      </w:r>
      <w:r w:rsidRPr="00CF1D1E">
        <w:rPr>
          <w:rFonts w:ascii="Calibri" w:eastAsia="Calibri" w:hAnsi="Calibri" w:cs="Times New Roman"/>
          <w:sz w:val="24"/>
          <w:szCs w:val="24"/>
        </w:rPr>
        <w:t>. Statistical methods have progressed and computers have seen an immense increase in processing power</w:t>
      </w:r>
      <w:r w:rsidR="00BF38AD">
        <w:rPr>
          <w:rFonts w:ascii="Calibri" w:eastAsia="Calibri" w:hAnsi="Calibri" w:cs="Times New Roman"/>
          <w:sz w:val="24"/>
          <w:szCs w:val="24"/>
        </w:rPr>
        <w:t xml:space="preserve"> over the past decades</w:t>
      </w:r>
      <w:r w:rsidRPr="00CF1D1E">
        <w:rPr>
          <w:rFonts w:ascii="Calibri" w:eastAsia="Calibri" w:hAnsi="Calibri" w:cs="Times New Roman"/>
          <w:sz w:val="24"/>
          <w:szCs w:val="24"/>
        </w:rPr>
        <w:t xml:space="preserve">. The metabolomics workflow applied to this chapter is </w:t>
      </w:r>
      <w:r w:rsidR="00B01027">
        <w:rPr>
          <w:rFonts w:ascii="Calibri" w:eastAsia="Calibri" w:hAnsi="Calibri" w:cs="Times New Roman"/>
          <w:sz w:val="24"/>
          <w:szCs w:val="24"/>
        </w:rPr>
        <w:t xml:space="preserve">only </w:t>
      </w:r>
      <w:r w:rsidRPr="00CF1D1E">
        <w:rPr>
          <w:rFonts w:ascii="Calibri" w:eastAsia="Calibri" w:hAnsi="Calibri" w:cs="Times New Roman"/>
          <w:sz w:val="24"/>
          <w:szCs w:val="24"/>
        </w:rPr>
        <w:t>made possible by this progress and has much potential</w:t>
      </w:r>
      <w:r w:rsidR="00B01027">
        <w:rPr>
          <w:rFonts w:ascii="Calibri" w:eastAsia="Calibri" w:hAnsi="Calibri" w:cs="Times New Roman"/>
          <w:sz w:val="24"/>
          <w:szCs w:val="24"/>
        </w:rPr>
        <w:t xml:space="preserve"> for future applications</w:t>
      </w:r>
      <w:r w:rsidRPr="00CF1D1E">
        <w:rPr>
          <w:rFonts w:ascii="Calibri" w:eastAsia="Calibri" w:hAnsi="Calibri" w:cs="Times New Roman"/>
          <w:sz w:val="24"/>
          <w:szCs w:val="24"/>
        </w:rPr>
        <w:t xml:space="preserve">. </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 xml:space="preserve">The power of this approach has been illustrated and has shown, it can provide useful information for </w:t>
      </w:r>
      <w:r w:rsidR="00B01027">
        <w:rPr>
          <w:rFonts w:ascii="Calibri" w:eastAsia="Calibri" w:hAnsi="Calibri" w:cs="Times New Roman"/>
          <w:sz w:val="24"/>
          <w:szCs w:val="24"/>
        </w:rPr>
        <w:t xml:space="preserve">the </w:t>
      </w:r>
      <w:r w:rsidRPr="00CF1D1E">
        <w:rPr>
          <w:rFonts w:ascii="Calibri" w:eastAsia="Calibri" w:hAnsi="Calibri" w:cs="Times New Roman"/>
          <w:sz w:val="24"/>
          <w:szCs w:val="24"/>
        </w:rPr>
        <w:t>improvement and development</w:t>
      </w:r>
      <w:r w:rsidR="00B01027">
        <w:rPr>
          <w:rFonts w:ascii="Calibri" w:eastAsia="Calibri" w:hAnsi="Calibri" w:cs="Times New Roman"/>
          <w:sz w:val="24"/>
          <w:szCs w:val="24"/>
        </w:rPr>
        <w:t xml:space="preserve"> of the tea industry</w:t>
      </w:r>
      <w:r w:rsidRPr="00CF1D1E">
        <w:rPr>
          <w:rFonts w:ascii="Calibri" w:eastAsia="Calibri" w:hAnsi="Calibri" w:cs="Times New Roman"/>
          <w:sz w:val="24"/>
          <w:szCs w:val="24"/>
        </w:rPr>
        <w:t>. This line of thinking can be adapted and applied to many other research questions and industrial challenges.</w:t>
      </w:r>
    </w:p>
    <w:p w:rsidR="00CF1D1E" w:rsidRPr="00CF1D1E" w:rsidRDefault="00CF1D1E" w:rsidP="00CF1D1E">
      <w:pPr>
        <w:spacing w:line="360" w:lineRule="auto"/>
        <w:ind w:firstLine="720"/>
        <w:jc w:val="both"/>
        <w:rPr>
          <w:rFonts w:ascii="Calibri" w:eastAsia="Calibri" w:hAnsi="Calibri" w:cs="Times New Roman"/>
          <w:sz w:val="24"/>
          <w:szCs w:val="24"/>
        </w:rPr>
      </w:pPr>
      <w:r w:rsidRPr="00CF1D1E">
        <w:rPr>
          <w:rFonts w:ascii="Calibri" w:eastAsia="Calibri" w:hAnsi="Calibri" w:cs="Times New Roman"/>
          <w:sz w:val="24"/>
          <w:szCs w:val="24"/>
        </w:rPr>
        <w:t>Furthermore, clear routes for the evolution of this HRAM MS metabolomic discovery method have been provided, and more specifically, show how this can aid in the development of the tea industry to provide a competitive edge for the collaborator in this research, J.Finlay Ltd. This can have a positive ethical knock-on effect, which will hopefully provide the benefits of financial stability, access to hospitals and education in poor rural communities for many years to come.</w:t>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F1D1E" w:rsidRDefault="00CF1D1E" w:rsidP="00CF1D1E">
      <w:pPr>
        <w:spacing w:line="360" w:lineRule="auto"/>
        <w:rPr>
          <w:rFonts w:ascii="Calibri" w:eastAsia="Calibri" w:hAnsi="Calibri" w:cs="Times New Roman"/>
          <w:i/>
          <w:sz w:val="96"/>
          <w:szCs w:val="96"/>
        </w:rPr>
      </w:pPr>
      <w:r w:rsidRPr="00CF1D1E">
        <w:rPr>
          <w:rFonts w:ascii="Calibri" w:eastAsia="Calibri" w:hAnsi="Calibri" w:cs="Times New Roman"/>
          <w:i/>
          <w:sz w:val="96"/>
          <w:szCs w:val="96"/>
          <w:highlight w:val="lightGray"/>
        </w:rPr>
        <w:lastRenderedPageBreak/>
        <w:t>References</w:t>
      </w:r>
      <w:r w:rsidRPr="00CF1D1E">
        <w:rPr>
          <w:rFonts w:ascii="Calibri" w:eastAsia="Calibri" w:hAnsi="Calibri" w:cs="Times New Roman"/>
          <w:i/>
          <w:sz w:val="96"/>
          <w:szCs w:val="96"/>
        </w:rPr>
        <w:t xml:space="preserve"> </w:t>
      </w:r>
    </w:p>
    <w:p w:rsidR="00CF1D1E" w:rsidRPr="00CF1D1E" w:rsidRDefault="00CF1D1E" w:rsidP="00CF1D1E">
      <w:pPr>
        <w:spacing w:line="360" w:lineRule="auto"/>
        <w:rPr>
          <w:rFonts w:ascii="Calibri" w:eastAsia="Calibri" w:hAnsi="Calibri" w:cs="Times New Roman"/>
          <w:sz w:val="24"/>
          <w:szCs w:val="24"/>
        </w:rPr>
      </w:pPr>
    </w:p>
    <w:p w:rsidR="00F738BB" w:rsidRPr="00F738BB" w:rsidRDefault="00CF1D1E" w:rsidP="00F738BB">
      <w:pPr>
        <w:widowControl w:val="0"/>
        <w:autoSpaceDE w:val="0"/>
        <w:autoSpaceDN w:val="0"/>
        <w:adjustRightInd w:val="0"/>
        <w:spacing w:line="360" w:lineRule="auto"/>
        <w:ind w:left="480" w:hanging="480"/>
        <w:rPr>
          <w:rFonts w:ascii="Calibri" w:hAnsi="Calibri" w:cs="Calibri"/>
          <w:noProof/>
          <w:sz w:val="24"/>
          <w:szCs w:val="24"/>
        </w:rPr>
      </w:pPr>
      <w:r w:rsidRPr="00CF1D1E">
        <w:rPr>
          <w:rFonts w:ascii="Calibri" w:eastAsia="Calibri" w:hAnsi="Calibri" w:cs="Times New Roman"/>
          <w:sz w:val="24"/>
          <w:szCs w:val="24"/>
        </w:rPr>
        <w:fldChar w:fldCharType="begin" w:fldLock="1"/>
      </w:r>
      <w:r w:rsidRPr="00CF1D1E">
        <w:rPr>
          <w:rFonts w:ascii="Calibri" w:eastAsia="Calibri" w:hAnsi="Calibri" w:cs="Times New Roman"/>
          <w:sz w:val="24"/>
          <w:szCs w:val="24"/>
        </w:rPr>
        <w:instrText xml:space="preserve">ADDIN Mendeley Bibliography CSL_BIBLIOGRAPHY </w:instrText>
      </w:r>
      <w:r w:rsidRPr="00CF1D1E">
        <w:rPr>
          <w:rFonts w:ascii="Calibri" w:eastAsia="Calibri" w:hAnsi="Calibri" w:cs="Times New Roman"/>
          <w:sz w:val="24"/>
          <w:szCs w:val="24"/>
        </w:rPr>
        <w:fldChar w:fldCharType="separate"/>
      </w:r>
      <w:r w:rsidR="00F738BB" w:rsidRPr="00F738BB">
        <w:rPr>
          <w:rFonts w:ascii="Calibri" w:hAnsi="Calibri" w:cs="Calibri"/>
          <w:noProof/>
          <w:sz w:val="24"/>
          <w:szCs w:val="24"/>
        </w:rPr>
        <w:t xml:space="preserve">Abu-Reidah, I. M., Arráez-Román, D., Quirantes-Piné, R., Fernández-Arroyo, S., Segura-Carretero, A., &amp; Fernández-Gutiérrez, A. (2012). HPLC-ESI-Q-TOF-MS for a comprehensive characterization of bioactive phenolic compounds in cucumber whole fruit extract. </w:t>
      </w:r>
      <w:r w:rsidR="00F738BB" w:rsidRPr="00F738BB">
        <w:rPr>
          <w:rFonts w:ascii="Calibri" w:hAnsi="Calibri" w:cs="Calibri"/>
          <w:i/>
          <w:iCs/>
          <w:noProof/>
          <w:sz w:val="24"/>
          <w:szCs w:val="24"/>
        </w:rPr>
        <w:t>Food Research International</w:t>
      </w:r>
      <w:r w:rsidR="00F738BB" w:rsidRPr="00F738BB">
        <w:rPr>
          <w:rFonts w:ascii="Calibri" w:hAnsi="Calibri" w:cs="Calibri"/>
          <w:noProof/>
          <w:sz w:val="24"/>
          <w:szCs w:val="24"/>
        </w:rPr>
        <w:t xml:space="preserve">, </w:t>
      </w:r>
      <w:r w:rsidR="00F738BB" w:rsidRPr="00F738BB">
        <w:rPr>
          <w:rFonts w:ascii="Calibri" w:hAnsi="Calibri" w:cs="Calibri"/>
          <w:i/>
          <w:iCs/>
          <w:noProof/>
          <w:sz w:val="24"/>
          <w:szCs w:val="24"/>
        </w:rPr>
        <w:t>46</w:t>
      </w:r>
      <w:r w:rsidR="00F738BB" w:rsidRPr="00F738BB">
        <w:rPr>
          <w:rFonts w:ascii="Calibri" w:hAnsi="Calibri" w:cs="Calibri"/>
          <w:noProof/>
          <w:sz w:val="24"/>
          <w:szCs w:val="24"/>
        </w:rPr>
        <w:t>(1), 108–117. https://doi.org/10.1016/j.foodres.2011.11.026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Abu-Reidah, I. M., Arraez-Roman, D., Segura-Carretero, A., &amp; Fernandez-Gutierrez, A. (2013). Extensive characterisation of bioactive phenolic constituents from globe artichoke (Cynara scolymus L.) by HPLC-DAD-ESI-QTOF-MS.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141</w:t>
      </w:r>
      <w:r w:rsidRPr="00F738BB">
        <w:rPr>
          <w:rFonts w:ascii="Calibri" w:hAnsi="Calibri" w:cs="Calibri"/>
          <w:noProof/>
          <w:sz w:val="24"/>
          <w:szCs w:val="24"/>
        </w:rPr>
        <w:t>(3), 2269–2277. https://doi.org/10.1016/j.foodchem.2013.04.066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Abu-Reidah, I. M., Arráez-Román, D., Segura-Carretero, A., &amp; Fernández-Gutiérrez, A. (2013). Profiling of phenolic and other polar constituents from hydro-methanolic extract of watermelon (Citrullus lanatus) by means of accurate-mass spectrometry (HPLC-ESI-QTOF-MS). </w:t>
      </w:r>
      <w:r w:rsidRPr="00F738BB">
        <w:rPr>
          <w:rFonts w:ascii="Calibri" w:hAnsi="Calibri" w:cs="Calibri"/>
          <w:i/>
          <w:iCs/>
          <w:noProof/>
          <w:sz w:val="24"/>
          <w:szCs w:val="24"/>
        </w:rPr>
        <w:t>Food Research International</w:t>
      </w:r>
      <w:r w:rsidRPr="00F738BB">
        <w:rPr>
          <w:rFonts w:ascii="Calibri" w:hAnsi="Calibri" w:cs="Calibri"/>
          <w:noProof/>
          <w:sz w:val="24"/>
          <w:szCs w:val="24"/>
        </w:rPr>
        <w:t xml:space="preserve">, </w:t>
      </w:r>
      <w:r w:rsidRPr="00F738BB">
        <w:rPr>
          <w:rFonts w:ascii="Calibri" w:hAnsi="Calibri" w:cs="Calibri"/>
          <w:i/>
          <w:iCs/>
          <w:noProof/>
          <w:sz w:val="24"/>
          <w:szCs w:val="24"/>
        </w:rPr>
        <w:t>51</w:t>
      </w:r>
      <w:r w:rsidRPr="00F738BB">
        <w:rPr>
          <w:rFonts w:ascii="Calibri" w:hAnsi="Calibri" w:cs="Calibri"/>
          <w:noProof/>
          <w:sz w:val="24"/>
          <w:szCs w:val="24"/>
        </w:rPr>
        <w:t>(1), 354–362. https://doi.org/10.1016/j.foodres.2012.12.033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Abu-Reidah, I. M., Arráez-Román, D., Warad, I., Fernández-Gutiérrez, A., &amp; Segura-Carretero, A. (2017). </w:t>
      </w:r>
      <w:r w:rsidRPr="00F738BB">
        <w:rPr>
          <w:rFonts w:ascii="Calibri" w:hAnsi="Calibri" w:cs="Calibri"/>
          <w:i/>
          <w:iCs/>
          <w:noProof/>
          <w:sz w:val="24"/>
          <w:szCs w:val="24"/>
        </w:rPr>
        <w:t>UHPLC/MS 2 -based approach for the comprehensive metabolite profiling of bean (Vicia faba L.) by-products: A promising source of bioactive constituents</w:t>
      </w:r>
      <w:r w:rsidRPr="00F738BB">
        <w:rPr>
          <w:rFonts w:ascii="Calibri" w:hAnsi="Calibri" w:cs="Calibri"/>
          <w:noProof/>
          <w:sz w:val="24"/>
          <w:szCs w:val="24"/>
        </w:rPr>
        <w:t>. https://doi.org/10.1016/j.foodres.2017.01.014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Agilent Technologies. (2015). </w:t>
      </w:r>
      <w:r w:rsidRPr="00F738BB">
        <w:rPr>
          <w:rFonts w:ascii="Calibri" w:hAnsi="Calibri" w:cs="Calibri"/>
          <w:i/>
          <w:iCs/>
          <w:noProof/>
          <w:sz w:val="24"/>
          <w:szCs w:val="24"/>
        </w:rPr>
        <w:t>The LC Handbook</w:t>
      </w:r>
      <w:r w:rsidRPr="00F738BB">
        <w:rPr>
          <w:rFonts w:ascii="Calibri" w:hAnsi="Calibri" w:cs="Calibri"/>
          <w:noProof/>
          <w:sz w:val="24"/>
          <w:szCs w:val="24"/>
        </w:rPr>
        <w:t>. 163.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Agregán, R., Munekata, P. E. S., Franco, D., Dominguez, R., Carballo, J., &amp; Lorenzo, J. M. (2017). Phenolic compounds from three brown seaweed species using LC-DAD–ESI-MS/MS. </w:t>
      </w:r>
      <w:r w:rsidRPr="00F738BB">
        <w:rPr>
          <w:rFonts w:ascii="Calibri" w:hAnsi="Calibri" w:cs="Calibri"/>
          <w:i/>
          <w:iCs/>
          <w:noProof/>
          <w:sz w:val="24"/>
          <w:szCs w:val="24"/>
        </w:rPr>
        <w:t>Food Research International</w:t>
      </w:r>
      <w:r w:rsidRPr="00F738BB">
        <w:rPr>
          <w:rFonts w:ascii="Calibri" w:hAnsi="Calibri" w:cs="Calibri"/>
          <w:noProof/>
          <w:sz w:val="24"/>
          <w:szCs w:val="24"/>
        </w:rPr>
        <w:t xml:space="preserve">, </w:t>
      </w:r>
      <w:r w:rsidRPr="00F738BB">
        <w:rPr>
          <w:rFonts w:ascii="Calibri" w:hAnsi="Calibri" w:cs="Calibri"/>
          <w:i/>
          <w:iCs/>
          <w:noProof/>
          <w:sz w:val="24"/>
          <w:szCs w:val="24"/>
        </w:rPr>
        <w:t>99</w:t>
      </w:r>
      <w:r w:rsidRPr="00F738BB">
        <w:rPr>
          <w:rFonts w:ascii="Calibri" w:hAnsi="Calibri" w:cs="Calibri"/>
          <w:noProof/>
          <w:sz w:val="24"/>
          <w:szCs w:val="24"/>
        </w:rPr>
        <w:t>, 979–985. https://doi.org/10.1016/J.FOODRES.2017.03.043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Agronomique, I. N. de la R. (2019). Chemspider - Phenol Explorer. Retrieved from </w:t>
      </w:r>
      <w:r w:rsidRPr="00F738BB">
        <w:rPr>
          <w:rFonts w:ascii="Calibri" w:hAnsi="Calibri" w:cs="Calibri"/>
          <w:noProof/>
          <w:sz w:val="24"/>
          <w:szCs w:val="24"/>
        </w:rPr>
        <w:lastRenderedPageBreak/>
        <w:t>https://www.chemspider.com/DatasourceDetails.aspx?id=912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Ahmed, S., Unachukwu, U., Stepp, J. R., Peters, C. M., Long, C., &amp; Kennelly, E. (2010). Pu-erh tea tasting in Yunnan, China: Correlation of drinkers’ perceptions to phytochemistry. </w:t>
      </w:r>
      <w:r w:rsidRPr="00F738BB">
        <w:rPr>
          <w:rFonts w:ascii="Calibri" w:hAnsi="Calibri" w:cs="Calibri"/>
          <w:i/>
          <w:iCs/>
          <w:noProof/>
          <w:sz w:val="24"/>
          <w:szCs w:val="24"/>
        </w:rPr>
        <w:t>Journal of Ethnopharmacology</w:t>
      </w:r>
      <w:r w:rsidRPr="00F738BB">
        <w:rPr>
          <w:rFonts w:ascii="Calibri" w:hAnsi="Calibri" w:cs="Calibri"/>
          <w:noProof/>
          <w:sz w:val="24"/>
          <w:szCs w:val="24"/>
        </w:rPr>
        <w:t xml:space="preserve">, </w:t>
      </w:r>
      <w:r w:rsidRPr="00F738BB">
        <w:rPr>
          <w:rFonts w:ascii="Calibri" w:hAnsi="Calibri" w:cs="Calibri"/>
          <w:i/>
          <w:iCs/>
          <w:noProof/>
          <w:sz w:val="24"/>
          <w:szCs w:val="24"/>
        </w:rPr>
        <w:t>132</w:t>
      </w:r>
      <w:r w:rsidRPr="00F738BB">
        <w:rPr>
          <w:rFonts w:ascii="Calibri" w:hAnsi="Calibri" w:cs="Calibri"/>
          <w:noProof/>
          <w:sz w:val="24"/>
          <w:szCs w:val="24"/>
        </w:rPr>
        <w:t>(1), 176–185. https://doi.org/10.1016/j.jep.2010.08.016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Alonso, V. R., &amp; Guarner, F. (2013). </w:t>
      </w:r>
      <w:r w:rsidRPr="00F738BB">
        <w:rPr>
          <w:rFonts w:ascii="Calibri" w:hAnsi="Calibri" w:cs="Calibri"/>
          <w:i/>
          <w:iCs/>
          <w:noProof/>
          <w:sz w:val="24"/>
          <w:szCs w:val="24"/>
        </w:rPr>
        <w:t>Linking the gut microbiota to human health</w:t>
      </w:r>
      <w:r w:rsidRPr="00F738BB">
        <w:rPr>
          <w:rFonts w:ascii="Calibri" w:hAnsi="Calibri" w:cs="Calibri"/>
          <w:noProof/>
          <w:sz w:val="24"/>
          <w:szCs w:val="24"/>
        </w:rPr>
        <w:t>. (2013), 21–26. https://doi.org/10.1017/S0007114512005235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Arcy, B. D., &amp; Rintoul, G. (2004). Developing an index of quality for Australian tea. </w:t>
      </w:r>
      <w:r w:rsidRPr="00F738BB">
        <w:rPr>
          <w:rFonts w:ascii="Calibri" w:hAnsi="Calibri" w:cs="Calibri"/>
          <w:i/>
          <w:iCs/>
          <w:noProof/>
          <w:sz w:val="24"/>
          <w:szCs w:val="24"/>
        </w:rPr>
        <w:t>Australian Government</w:t>
      </w:r>
      <w:r w:rsidRPr="00F738BB">
        <w:rPr>
          <w:rFonts w:ascii="Calibri" w:hAnsi="Calibri" w:cs="Calibri"/>
          <w:noProof/>
          <w:sz w:val="24"/>
          <w:szCs w:val="24"/>
        </w:rPr>
        <w:t>, (04), 200.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Bahri, S., Ben Ali, R., Abidi, A., &amp; Jameleddine, S. (2017). The efficacy of plant extract and bioactive compounds approaches in the treatment of pulmonary fibrosis: A systematic review. </w:t>
      </w:r>
      <w:r w:rsidRPr="00F738BB">
        <w:rPr>
          <w:rFonts w:ascii="Calibri" w:hAnsi="Calibri" w:cs="Calibri"/>
          <w:i/>
          <w:iCs/>
          <w:noProof/>
          <w:sz w:val="24"/>
          <w:szCs w:val="24"/>
        </w:rPr>
        <w:t>Biomedicine and Pharmacotherapy</w:t>
      </w:r>
      <w:r w:rsidRPr="00F738BB">
        <w:rPr>
          <w:rFonts w:ascii="Calibri" w:hAnsi="Calibri" w:cs="Calibri"/>
          <w:noProof/>
          <w:sz w:val="24"/>
          <w:szCs w:val="24"/>
        </w:rPr>
        <w:t xml:space="preserve">, </w:t>
      </w:r>
      <w:r w:rsidRPr="00F738BB">
        <w:rPr>
          <w:rFonts w:ascii="Calibri" w:hAnsi="Calibri" w:cs="Calibri"/>
          <w:i/>
          <w:iCs/>
          <w:noProof/>
          <w:sz w:val="24"/>
          <w:szCs w:val="24"/>
        </w:rPr>
        <w:t>93</w:t>
      </w:r>
      <w:r w:rsidRPr="00F738BB">
        <w:rPr>
          <w:rFonts w:ascii="Calibri" w:hAnsi="Calibri" w:cs="Calibri"/>
          <w:noProof/>
          <w:sz w:val="24"/>
          <w:szCs w:val="24"/>
        </w:rPr>
        <w:t>, 666–673. https://doi.org/10.1016/j.biopha.2017.06.052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Bajaj, L., &amp; Anan, T. (1987). on Oxidation of Theaflavins by Polyphenol Oxidase from Tea Leaves. </w:t>
      </w:r>
      <w:r w:rsidRPr="00F738BB">
        <w:rPr>
          <w:rFonts w:ascii="Calibri" w:hAnsi="Calibri" w:cs="Calibri"/>
          <w:i/>
          <w:iCs/>
          <w:noProof/>
          <w:sz w:val="24"/>
          <w:szCs w:val="24"/>
        </w:rPr>
        <w:t>Control</w:t>
      </w:r>
      <w:r w:rsidRPr="00F738BB">
        <w:rPr>
          <w:rFonts w:ascii="Calibri" w:hAnsi="Calibri" w:cs="Calibri"/>
          <w:noProof/>
          <w:sz w:val="24"/>
          <w:szCs w:val="24"/>
        </w:rPr>
        <w:t xml:space="preserve">, </w:t>
      </w:r>
      <w:r w:rsidRPr="00F738BB">
        <w:rPr>
          <w:rFonts w:ascii="Calibri" w:hAnsi="Calibri" w:cs="Calibri"/>
          <w:i/>
          <w:iCs/>
          <w:noProof/>
          <w:sz w:val="24"/>
          <w:szCs w:val="24"/>
        </w:rPr>
        <w:t>51</w:t>
      </w:r>
      <w:r w:rsidRPr="00F738BB">
        <w:rPr>
          <w:rFonts w:ascii="Calibri" w:hAnsi="Calibri" w:cs="Calibri"/>
          <w:noProof/>
          <w:sz w:val="24"/>
          <w:szCs w:val="24"/>
        </w:rPr>
        <w:t>(7), 1767–1772.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BBC. (2014). Scottish tea plantation opens in Perthshire. Retrieved June 23, 2019, from www website: https://www.bbc.com/news/av/uk-scotland-27026514/the-first-scottish-tea-plantation-opens-in-perthshire</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Ben Said, R., I. Hamed, A., A. Mahalel, U., Sulaiman Al-Ayed, A., Kowalczyk, M., Moldoch, J., … Stochmal, A. (2017). Tentative Characterization of Polyphenolic Compounds in the Male Flowers of Phoenix dactylifera by Liquid Chromatography Coupled with Mass Spectrometry and DFT. </w:t>
      </w:r>
      <w:r w:rsidRPr="00F738BB">
        <w:rPr>
          <w:rFonts w:ascii="Calibri" w:hAnsi="Calibri" w:cs="Calibri"/>
          <w:i/>
          <w:iCs/>
          <w:noProof/>
          <w:sz w:val="24"/>
          <w:szCs w:val="24"/>
        </w:rPr>
        <w:t>International Journal of Molecular Sciences</w:t>
      </w:r>
      <w:r w:rsidRPr="00F738BB">
        <w:rPr>
          <w:rFonts w:ascii="Calibri" w:hAnsi="Calibri" w:cs="Calibri"/>
          <w:noProof/>
          <w:sz w:val="24"/>
          <w:szCs w:val="24"/>
        </w:rPr>
        <w:t xml:space="preserve">, </w:t>
      </w:r>
      <w:r w:rsidRPr="00F738BB">
        <w:rPr>
          <w:rFonts w:ascii="Calibri" w:hAnsi="Calibri" w:cs="Calibri"/>
          <w:i/>
          <w:iCs/>
          <w:noProof/>
          <w:sz w:val="24"/>
          <w:szCs w:val="24"/>
        </w:rPr>
        <w:t>18</w:t>
      </w:r>
      <w:r w:rsidRPr="00F738BB">
        <w:rPr>
          <w:rFonts w:ascii="Calibri" w:hAnsi="Calibri" w:cs="Calibri"/>
          <w:noProof/>
          <w:sz w:val="24"/>
          <w:szCs w:val="24"/>
        </w:rPr>
        <w:t>(3), 512. https://doi.org/10.3390/ijms18030512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Bhagwat, S., Haytowitz, D. B., &amp; Holden, J. M. (2011). USDA Database for the Flavonoid Content of Selected Foods. </w:t>
      </w:r>
      <w:r w:rsidRPr="00F738BB">
        <w:rPr>
          <w:rFonts w:ascii="Calibri" w:hAnsi="Calibri" w:cs="Calibri"/>
          <w:i/>
          <w:iCs/>
          <w:noProof/>
          <w:sz w:val="24"/>
          <w:szCs w:val="24"/>
        </w:rPr>
        <w:t>U.S. Department of Argiculture</w:t>
      </w:r>
      <w:r w:rsidRPr="00F738BB">
        <w:rPr>
          <w:rFonts w:ascii="Calibri" w:hAnsi="Calibri" w:cs="Calibri"/>
          <w:noProof/>
          <w:sz w:val="24"/>
          <w:szCs w:val="24"/>
        </w:rPr>
        <w:t>, 1–156.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Bhatia, I. S. and U. (1968). Bhatia, I.S. and Ullah, M.R. 1968. Polyphenols of tea. IV. Qualitative and quantitative study of the polyphenols of different organs and some cultivated varieties of tea plant. J. Sci. Food Agric. 19: 535- 542. </w:t>
      </w:r>
      <w:r w:rsidRPr="00F738BB">
        <w:rPr>
          <w:rFonts w:ascii="Calibri" w:hAnsi="Calibri" w:cs="Calibri"/>
          <w:i/>
          <w:iCs/>
          <w:noProof/>
          <w:sz w:val="24"/>
          <w:szCs w:val="24"/>
        </w:rPr>
        <w:t xml:space="preserve">J. Sci. Food Agric. 19: </w:t>
      </w:r>
      <w:r w:rsidRPr="00F738BB">
        <w:rPr>
          <w:rFonts w:ascii="Calibri" w:hAnsi="Calibri" w:cs="Calibri"/>
          <w:i/>
          <w:iCs/>
          <w:noProof/>
          <w:sz w:val="24"/>
          <w:szCs w:val="24"/>
        </w:rPr>
        <w:lastRenderedPageBreak/>
        <w:t>535- 542.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Biancacci, C; Day, J G; McDougall, G; Russell, M C; Stanley, M. S. (2017). Pepper dulse: the truffle of the sea. insight in osmundea pinnatifida cultivation. </w:t>
      </w:r>
      <w:r w:rsidRPr="00F738BB">
        <w:rPr>
          <w:rFonts w:ascii="Calibri" w:hAnsi="Calibri" w:cs="Calibri"/>
          <w:i/>
          <w:iCs/>
          <w:noProof/>
          <w:sz w:val="24"/>
          <w:szCs w:val="24"/>
        </w:rPr>
        <w:t>Phycologia, Suppl. Supplement; Lawrence Vol. 56, Iss. 4,</w:t>
      </w:r>
      <w:r w:rsidRPr="00F738BB">
        <w:rPr>
          <w:rFonts w:ascii="Calibri" w:hAnsi="Calibri" w:cs="Calibri"/>
          <w:noProof/>
          <w:sz w:val="24"/>
          <w:szCs w:val="24"/>
        </w:rPr>
        <w:t xml:space="preserve"> </w:t>
      </w:r>
      <w:r w:rsidRPr="00F738BB">
        <w:rPr>
          <w:rFonts w:ascii="Calibri" w:hAnsi="Calibri" w:cs="Calibri"/>
          <w:i/>
          <w:iCs/>
          <w:noProof/>
          <w:sz w:val="24"/>
          <w:szCs w:val="24"/>
        </w:rPr>
        <w:t>56</w:t>
      </w:r>
      <w:r w:rsidRPr="00F738BB">
        <w:rPr>
          <w:rFonts w:ascii="Calibri" w:hAnsi="Calibri" w:cs="Calibri"/>
          <w:noProof/>
          <w:sz w:val="24"/>
          <w:szCs w:val="24"/>
        </w:rPr>
        <w:t>, 18–20.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Boopathy, N. S., &amp; Kathiresan, K. (2010). </w:t>
      </w:r>
      <w:r w:rsidRPr="00F738BB">
        <w:rPr>
          <w:rFonts w:ascii="Calibri" w:hAnsi="Calibri" w:cs="Calibri"/>
          <w:i/>
          <w:iCs/>
          <w:noProof/>
          <w:sz w:val="24"/>
          <w:szCs w:val="24"/>
        </w:rPr>
        <w:t>Anticancer Drugs from Marine Flora : An Overview</w:t>
      </w:r>
      <w:r w:rsidRPr="00F738BB">
        <w:rPr>
          <w:rFonts w:ascii="Calibri" w:hAnsi="Calibri" w:cs="Calibri"/>
          <w:noProof/>
          <w:sz w:val="24"/>
          <w:szCs w:val="24"/>
        </w:rPr>
        <w:t xml:space="preserve">. </w:t>
      </w:r>
      <w:r w:rsidRPr="00F738BB">
        <w:rPr>
          <w:rFonts w:ascii="Calibri" w:hAnsi="Calibri" w:cs="Calibri"/>
          <w:i/>
          <w:iCs/>
          <w:noProof/>
          <w:sz w:val="24"/>
          <w:szCs w:val="24"/>
        </w:rPr>
        <w:t>2010</w:t>
      </w:r>
      <w:r w:rsidRPr="00F738BB">
        <w:rPr>
          <w:rFonts w:ascii="Calibri" w:hAnsi="Calibri" w:cs="Calibri"/>
          <w:noProof/>
          <w:sz w:val="24"/>
          <w:szCs w:val="24"/>
        </w:rPr>
        <w:t>. https://doi.org/10.1155/2010/214186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Borse, B. B., Rao, L. J. M., Nagalakshmi, S., &amp; Krishnamurthy, N. (2002). Fingerprint of black teas from India: Identification of the regio-specific characteristics.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79</w:t>
      </w:r>
      <w:r w:rsidRPr="00F738BB">
        <w:rPr>
          <w:rFonts w:ascii="Calibri" w:hAnsi="Calibri" w:cs="Calibri"/>
          <w:noProof/>
          <w:sz w:val="24"/>
          <w:szCs w:val="24"/>
        </w:rPr>
        <w:t>(4), 419–424. https://doi.org/10.1016/S0308-8146(02)00191-7</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Both, P., Green, A. P., Gray, C. J., Šardzík, R., Voglmeir, J., Fontana, C., … Eyers, C. E. (2014). Discrimination of epimeric glycans and glycopeptides using IM-MS and its potential for carbohydrate sequencing. </w:t>
      </w:r>
      <w:r w:rsidRPr="00F738BB">
        <w:rPr>
          <w:rFonts w:ascii="Calibri" w:hAnsi="Calibri" w:cs="Calibri"/>
          <w:i/>
          <w:iCs/>
          <w:noProof/>
          <w:sz w:val="24"/>
          <w:szCs w:val="24"/>
        </w:rPr>
        <w:t>Nature Chemistry</w:t>
      </w:r>
      <w:r w:rsidRPr="00F738BB">
        <w:rPr>
          <w:rFonts w:ascii="Calibri" w:hAnsi="Calibri" w:cs="Calibri"/>
          <w:noProof/>
          <w:sz w:val="24"/>
          <w:szCs w:val="24"/>
        </w:rPr>
        <w:t xml:space="preserve">, </w:t>
      </w:r>
      <w:r w:rsidRPr="00F738BB">
        <w:rPr>
          <w:rFonts w:ascii="Calibri" w:hAnsi="Calibri" w:cs="Calibri"/>
          <w:i/>
          <w:iCs/>
          <w:noProof/>
          <w:sz w:val="24"/>
          <w:szCs w:val="24"/>
        </w:rPr>
        <w:t>6</w:t>
      </w:r>
      <w:r w:rsidRPr="00F738BB">
        <w:rPr>
          <w:rFonts w:ascii="Calibri" w:hAnsi="Calibri" w:cs="Calibri"/>
          <w:noProof/>
          <w:sz w:val="24"/>
          <w:szCs w:val="24"/>
        </w:rPr>
        <w:t>(1), 65–74. https://doi.org/10.1038/nchem.1817</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Burtin, P. (2003). </w:t>
      </w:r>
      <w:r w:rsidRPr="00F738BB">
        <w:rPr>
          <w:rFonts w:ascii="Calibri" w:hAnsi="Calibri" w:cs="Calibri"/>
          <w:i/>
          <w:iCs/>
          <w:noProof/>
          <w:sz w:val="24"/>
          <w:szCs w:val="24"/>
        </w:rPr>
        <w:t>ISSN : 1579-4377 NUTRITIONAL VALUE OF SEAWEEDS</w:t>
      </w:r>
      <w:r w:rsidRPr="00F738BB">
        <w:rPr>
          <w:rFonts w:ascii="Calibri" w:hAnsi="Calibri" w:cs="Calibri"/>
          <w:noProof/>
          <w:sz w:val="24"/>
          <w:szCs w:val="24"/>
        </w:rPr>
        <w:t>. 498–503.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Cai, K., Hagerman, A. E., Minto, R. E., &amp; Bennick, A. (2006). Decreased polyphenol transport across cultured intestinal cells by a salivary proline-rich protein. </w:t>
      </w:r>
      <w:r w:rsidRPr="00F738BB">
        <w:rPr>
          <w:rFonts w:ascii="Calibri" w:hAnsi="Calibri" w:cs="Calibri"/>
          <w:i/>
          <w:iCs/>
          <w:noProof/>
          <w:sz w:val="24"/>
          <w:szCs w:val="24"/>
        </w:rPr>
        <w:t>Biochemical Pharmacology</w:t>
      </w:r>
      <w:r w:rsidRPr="00F738BB">
        <w:rPr>
          <w:rFonts w:ascii="Calibri" w:hAnsi="Calibri" w:cs="Calibri"/>
          <w:noProof/>
          <w:sz w:val="24"/>
          <w:szCs w:val="24"/>
        </w:rPr>
        <w:t xml:space="preserve">, </w:t>
      </w:r>
      <w:r w:rsidRPr="00F738BB">
        <w:rPr>
          <w:rFonts w:ascii="Calibri" w:hAnsi="Calibri" w:cs="Calibri"/>
          <w:i/>
          <w:iCs/>
          <w:noProof/>
          <w:sz w:val="24"/>
          <w:szCs w:val="24"/>
        </w:rPr>
        <w:t>71</w:t>
      </w:r>
      <w:r w:rsidRPr="00F738BB">
        <w:rPr>
          <w:rFonts w:ascii="Calibri" w:hAnsi="Calibri" w:cs="Calibri"/>
          <w:noProof/>
          <w:sz w:val="24"/>
          <w:szCs w:val="24"/>
        </w:rPr>
        <w:t>(11), 1570–1580. https://doi.org/10.1016/j.bcp.2006.02.013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Campbell, N. A., &amp; Atchley, W. R. (1981). The Geometry of Canonical Variate Analysis. </w:t>
      </w:r>
      <w:r w:rsidRPr="00F738BB">
        <w:rPr>
          <w:rFonts w:ascii="Calibri" w:hAnsi="Calibri" w:cs="Calibri"/>
          <w:i/>
          <w:iCs/>
          <w:noProof/>
          <w:sz w:val="24"/>
          <w:szCs w:val="24"/>
        </w:rPr>
        <w:t>Systematic Zoology</w:t>
      </w:r>
      <w:r w:rsidRPr="00F738BB">
        <w:rPr>
          <w:rFonts w:ascii="Calibri" w:hAnsi="Calibri" w:cs="Calibri"/>
          <w:noProof/>
          <w:sz w:val="24"/>
          <w:szCs w:val="24"/>
        </w:rPr>
        <w:t xml:space="preserve">, </w:t>
      </w:r>
      <w:r w:rsidRPr="00F738BB">
        <w:rPr>
          <w:rFonts w:ascii="Calibri" w:hAnsi="Calibri" w:cs="Calibri"/>
          <w:i/>
          <w:iCs/>
          <w:noProof/>
          <w:sz w:val="24"/>
          <w:szCs w:val="24"/>
        </w:rPr>
        <w:t>30</w:t>
      </w:r>
      <w:r w:rsidRPr="00F738BB">
        <w:rPr>
          <w:rFonts w:ascii="Calibri" w:hAnsi="Calibri" w:cs="Calibri"/>
          <w:noProof/>
          <w:sz w:val="24"/>
          <w:szCs w:val="24"/>
        </w:rPr>
        <w:t>(3), 268. https://doi.org/10.2307/2413249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Chen, M., Zhang, X., Wang, H., Lin, B., Wang, S., &amp; Hu, G. (2015). Determination of Rutin in Rat Plasma by Ultra Performance Liquid Chromatography Tandem Mass Spectrometry and Application to Pharmacokinetic Study. </w:t>
      </w:r>
      <w:r w:rsidRPr="00F738BB">
        <w:rPr>
          <w:rFonts w:ascii="Calibri" w:hAnsi="Calibri" w:cs="Calibri"/>
          <w:i/>
          <w:iCs/>
          <w:noProof/>
          <w:sz w:val="24"/>
          <w:szCs w:val="24"/>
        </w:rPr>
        <w:t>Journal of Chromatographic Science</w:t>
      </w:r>
      <w:r w:rsidRPr="00F738BB">
        <w:rPr>
          <w:rFonts w:ascii="Calibri" w:hAnsi="Calibri" w:cs="Calibri"/>
          <w:noProof/>
          <w:sz w:val="24"/>
          <w:szCs w:val="24"/>
        </w:rPr>
        <w:t xml:space="preserve">, </w:t>
      </w:r>
      <w:r w:rsidRPr="00F738BB">
        <w:rPr>
          <w:rFonts w:ascii="Calibri" w:hAnsi="Calibri" w:cs="Calibri"/>
          <w:i/>
          <w:iCs/>
          <w:noProof/>
          <w:sz w:val="24"/>
          <w:szCs w:val="24"/>
        </w:rPr>
        <w:t>53</w:t>
      </w:r>
      <w:r w:rsidRPr="00F738BB">
        <w:rPr>
          <w:rFonts w:ascii="Calibri" w:hAnsi="Calibri" w:cs="Calibri"/>
          <w:noProof/>
          <w:sz w:val="24"/>
          <w:szCs w:val="24"/>
        </w:rPr>
        <w:t>(4), 519–525. https://doi.org/10.1093/chromsci/bmu078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Cheynier, V. (2019). Recent advances in polyphenol research. In </w:t>
      </w:r>
      <w:r w:rsidRPr="00F738BB">
        <w:rPr>
          <w:rFonts w:ascii="Calibri" w:hAnsi="Calibri" w:cs="Calibri"/>
          <w:i/>
          <w:iCs/>
          <w:noProof/>
          <w:sz w:val="24"/>
          <w:szCs w:val="24"/>
        </w:rPr>
        <w:t>Volume 6</w:t>
      </w:r>
      <w:r w:rsidRPr="00F738BB">
        <w:rPr>
          <w:rFonts w:ascii="Calibri" w:hAnsi="Calibri" w:cs="Calibri"/>
          <w:noProof/>
          <w:sz w:val="24"/>
          <w:szCs w:val="24"/>
        </w:rPr>
        <w:t>. Wiley, Blackwell.</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Cloughley, J. . (1979). The determination of optimum fermentation time in the factory: In-Line TF analysis during fermentation. Tea Res. Found. Cent. African Quart. 55: 16-18. Cloughley,. </w:t>
      </w:r>
      <w:r w:rsidRPr="00F738BB">
        <w:rPr>
          <w:rFonts w:ascii="Calibri" w:hAnsi="Calibri" w:cs="Calibri"/>
          <w:i/>
          <w:iCs/>
          <w:noProof/>
          <w:sz w:val="24"/>
          <w:szCs w:val="24"/>
        </w:rPr>
        <w:t>Tea Res. Found. Cent. African Quart. 55: 16-18.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Cloughley, J. . (1980a). Cloughley, J.B. 1980a. The effect of fermentation temperature on the </w:t>
      </w:r>
      <w:r w:rsidRPr="00F738BB">
        <w:rPr>
          <w:rFonts w:ascii="Calibri" w:hAnsi="Calibri" w:cs="Calibri"/>
          <w:noProof/>
          <w:sz w:val="24"/>
          <w:szCs w:val="24"/>
        </w:rPr>
        <w:lastRenderedPageBreak/>
        <w:t xml:space="preserve">quality parameters and price evaluation of Central African black teas. J. Sci. Food Agric. 31: 911-919. Cloughley,. </w:t>
      </w:r>
      <w:r w:rsidRPr="00F738BB">
        <w:rPr>
          <w:rFonts w:ascii="Calibri" w:hAnsi="Calibri" w:cs="Calibri"/>
          <w:i/>
          <w:iCs/>
          <w:noProof/>
          <w:sz w:val="24"/>
          <w:szCs w:val="24"/>
        </w:rPr>
        <w:t>J. Sci. Food Agric. 31: 911-919</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Cloughley, J. . (1980b). Cloughley, J.B. 1980b. The effect of temperature on enzymic activity during the fermentation phase of black tea manufacture. J. Sci. Food Agric. 31: 920-923. </w:t>
      </w:r>
      <w:r w:rsidRPr="00F738BB">
        <w:rPr>
          <w:rFonts w:ascii="Calibri" w:hAnsi="Calibri" w:cs="Calibri"/>
          <w:i/>
          <w:iCs/>
          <w:noProof/>
          <w:sz w:val="24"/>
          <w:szCs w:val="24"/>
        </w:rPr>
        <w:t>J. Sci. Food Agric. 31: 920-923.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Cofrades, S., López-López, I., Solas, M. T., Bravo, L., &amp; Jiménez-Colmenero, F. (2008). Influence of different types and proportions of added edible seaweeds on characteristics of low-salt gel/emulsion meat systems. </w:t>
      </w:r>
      <w:r w:rsidRPr="00F738BB">
        <w:rPr>
          <w:rFonts w:ascii="Calibri" w:hAnsi="Calibri" w:cs="Calibri"/>
          <w:i/>
          <w:iCs/>
          <w:noProof/>
          <w:sz w:val="24"/>
          <w:szCs w:val="24"/>
        </w:rPr>
        <w:t>Meat Science</w:t>
      </w:r>
      <w:r w:rsidRPr="00F738BB">
        <w:rPr>
          <w:rFonts w:ascii="Calibri" w:hAnsi="Calibri" w:cs="Calibri"/>
          <w:noProof/>
          <w:sz w:val="24"/>
          <w:szCs w:val="24"/>
        </w:rPr>
        <w:t xml:space="preserve">, </w:t>
      </w:r>
      <w:r w:rsidRPr="00F738BB">
        <w:rPr>
          <w:rFonts w:ascii="Calibri" w:hAnsi="Calibri" w:cs="Calibri"/>
          <w:i/>
          <w:iCs/>
          <w:noProof/>
          <w:sz w:val="24"/>
          <w:szCs w:val="24"/>
        </w:rPr>
        <w:t>79</w:t>
      </w:r>
      <w:r w:rsidRPr="00F738BB">
        <w:rPr>
          <w:rFonts w:ascii="Calibri" w:hAnsi="Calibri" w:cs="Calibri"/>
          <w:noProof/>
          <w:sz w:val="24"/>
          <w:szCs w:val="24"/>
        </w:rPr>
        <w:t>(4), 767–776. https://doi.org/10.1016/j.meatsci.2007.11.010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Company, R. B. T. (2019). The 6 Steps of Tea Processing – Red Blossom Tea Company. Retrieved June 23, 2019, from www website: https://redblossomtea.com/blogs/red-blossom-blog/the-6-steps-of-tea-processing</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Council, A. B. (2001). Scientific and clinical studies for Pycnogenol. </w:t>
      </w:r>
      <w:r w:rsidRPr="00F738BB">
        <w:rPr>
          <w:rFonts w:ascii="Calibri" w:hAnsi="Calibri" w:cs="Calibri"/>
          <w:i/>
          <w:iCs/>
          <w:noProof/>
          <w:sz w:val="24"/>
          <w:szCs w:val="24"/>
        </w:rPr>
        <w:t>American Botanical Council</w:t>
      </w:r>
      <w:r w:rsidRPr="00F738BB">
        <w:rPr>
          <w:rFonts w:ascii="Calibri" w:hAnsi="Calibri" w:cs="Calibri"/>
          <w:noProof/>
          <w:sz w:val="24"/>
          <w:szCs w:val="24"/>
        </w:rPr>
        <w:t>, 8–9.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D’Andrea, G. (2010). Pycnogenol: A blend of procyanidins with multifaceted therapeutic applications? </w:t>
      </w:r>
      <w:r w:rsidRPr="00F738BB">
        <w:rPr>
          <w:rFonts w:ascii="Calibri" w:hAnsi="Calibri" w:cs="Calibri"/>
          <w:i/>
          <w:iCs/>
          <w:noProof/>
          <w:sz w:val="24"/>
          <w:szCs w:val="24"/>
        </w:rPr>
        <w:t>Fitoterapia</w:t>
      </w:r>
      <w:r w:rsidRPr="00F738BB">
        <w:rPr>
          <w:rFonts w:ascii="Calibri" w:hAnsi="Calibri" w:cs="Calibri"/>
          <w:noProof/>
          <w:sz w:val="24"/>
          <w:szCs w:val="24"/>
        </w:rPr>
        <w:t xml:space="preserve">, </w:t>
      </w:r>
      <w:r w:rsidRPr="00F738BB">
        <w:rPr>
          <w:rFonts w:ascii="Calibri" w:hAnsi="Calibri" w:cs="Calibri"/>
          <w:i/>
          <w:iCs/>
          <w:noProof/>
          <w:sz w:val="24"/>
          <w:szCs w:val="24"/>
        </w:rPr>
        <w:t>81</w:t>
      </w:r>
      <w:r w:rsidRPr="00F738BB">
        <w:rPr>
          <w:rFonts w:ascii="Calibri" w:hAnsi="Calibri" w:cs="Calibri"/>
          <w:noProof/>
          <w:sz w:val="24"/>
          <w:szCs w:val="24"/>
        </w:rPr>
        <w:t>(7), 724–736. https://doi.org/10.1016/j.fitote.2010.06.011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Da Silva Pinto, M. (2013). Tea: A new perspective on health benefits. </w:t>
      </w:r>
      <w:r w:rsidRPr="00F738BB">
        <w:rPr>
          <w:rFonts w:ascii="Calibri" w:hAnsi="Calibri" w:cs="Calibri"/>
          <w:i/>
          <w:iCs/>
          <w:noProof/>
          <w:sz w:val="24"/>
          <w:szCs w:val="24"/>
        </w:rPr>
        <w:t>Food Research International</w:t>
      </w:r>
      <w:r w:rsidRPr="00F738BB">
        <w:rPr>
          <w:rFonts w:ascii="Calibri" w:hAnsi="Calibri" w:cs="Calibri"/>
          <w:noProof/>
          <w:sz w:val="24"/>
          <w:szCs w:val="24"/>
        </w:rPr>
        <w:t xml:space="preserve">, </w:t>
      </w:r>
      <w:r w:rsidRPr="00F738BB">
        <w:rPr>
          <w:rFonts w:ascii="Calibri" w:hAnsi="Calibri" w:cs="Calibri"/>
          <w:i/>
          <w:iCs/>
          <w:noProof/>
          <w:sz w:val="24"/>
          <w:szCs w:val="24"/>
        </w:rPr>
        <w:t>53</w:t>
      </w:r>
      <w:r w:rsidRPr="00F738BB">
        <w:rPr>
          <w:rFonts w:ascii="Calibri" w:hAnsi="Calibri" w:cs="Calibri"/>
          <w:noProof/>
          <w:sz w:val="24"/>
          <w:szCs w:val="24"/>
        </w:rPr>
        <w:t>(2), 558–567. https://doi.org/10.1016/j.foodres.2013.01.038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Davies, A. P., Goodsall, C., Cai, Y., Davis, A. L., Lewis, J. R., Wilkins, J., … Nurstend, H. E. (1999). </w:t>
      </w:r>
      <w:r w:rsidRPr="00F738BB">
        <w:rPr>
          <w:rFonts w:ascii="Calibri" w:hAnsi="Calibri" w:cs="Calibri"/>
          <w:i/>
          <w:iCs/>
          <w:noProof/>
          <w:sz w:val="24"/>
          <w:szCs w:val="24"/>
        </w:rPr>
        <w:t>Black Tea Dimeric and Oligomeric Pigments—Structures and Formation BT  - Plant Polyphenols 2: Chemistry, Biology, Pharmacology, Ecology</w:t>
      </w:r>
      <w:r w:rsidRPr="00F738BB">
        <w:rPr>
          <w:rFonts w:ascii="Calibri" w:hAnsi="Calibri" w:cs="Calibri"/>
          <w:noProof/>
          <w:sz w:val="24"/>
          <w:szCs w:val="24"/>
        </w:rPr>
        <w:t xml:space="preserve"> (G. G. Gross, R. W. Hemingway, T. Yoshida, &amp; S. J. Branham, Eds.). https://doi.org/10.1007/978-1-4615-4139-4_39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De La Iglesia, R., Milagro, F. I., Campión, J., Boqué, N., &amp; Martínez, J. A. (2010). Healthy properties of proanthocyanidins. </w:t>
      </w:r>
      <w:r w:rsidRPr="00F738BB">
        <w:rPr>
          <w:rFonts w:ascii="Calibri" w:hAnsi="Calibri" w:cs="Calibri"/>
          <w:i/>
          <w:iCs/>
          <w:noProof/>
          <w:sz w:val="24"/>
          <w:szCs w:val="24"/>
        </w:rPr>
        <w:t>BioFactors</w:t>
      </w:r>
      <w:r w:rsidRPr="00F738BB">
        <w:rPr>
          <w:rFonts w:ascii="Calibri" w:hAnsi="Calibri" w:cs="Calibri"/>
          <w:noProof/>
          <w:sz w:val="24"/>
          <w:szCs w:val="24"/>
        </w:rPr>
        <w:t xml:space="preserve">, </w:t>
      </w:r>
      <w:r w:rsidRPr="00F738BB">
        <w:rPr>
          <w:rFonts w:ascii="Calibri" w:hAnsi="Calibri" w:cs="Calibri"/>
          <w:i/>
          <w:iCs/>
          <w:noProof/>
          <w:sz w:val="24"/>
          <w:szCs w:val="24"/>
        </w:rPr>
        <w:t>36</w:t>
      </w:r>
      <w:r w:rsidRPr="00F738BB">
        <w:rPr>
          <w:rFonts w:ascii="Calibri" w:hAnsi="Calibri" w:cs="Calibri"/>
          <w:noProof/>
          <w:sz w:val="24"/>
          <w:szCs w:val="24"/>
        </w:rPr>
        <w:t>(3), 159–168. https://doi.org/10.1002/biof.79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Del Rio, D., Stalmach, A., Calani, L., &amp; Crozier, A. (2010). Bioavailability of coffee chlorogenic acids and green tea flavan-3-ols. </w:t>
      </w:r>
      <w:r w:rsidRPr="00F738BB">
        <w:rPr>
          <w:rFonts w:ascii="Calibri" w:hAnsi="Calibri" w:cs="Calibri"/>
          <w:i/>
          <w:iCs/>
          <w:noProof/>
          <w:sz w:val="24"/>
          <w:szCs w:val="24"/>
        </w:rPr>
        <w:t>Nutrients</w:t>
      </w:r>
      <w:r w:rsidRPr="00F738BB">
        <w:rPr>
          <w:rFonts w:ascii="Calibri" w:hAnsi="Calibri" w:cs="Calibri"/>
          <w:noProof/>
          <w:sz w:val="24"/>
          <w:szCs w:val="24"/>
        </w:rPr>
        <w:t xml:space="preserve">, </w:t>
      </w:r>
      <w:r w:rsidRPr="00F738BB">
        <w:rPr>
          <w:rFonts w:ascii="Calibri" w:hAnsi="Calibri" w:cs="Calibri"/>
          <w:i/>
          <w:iCs/>
          <w:noProof/>
          <w:sz w:val="24"/>
          <w:szCs w:val="24"/>
        </w:rPr>
        <w:t>2</w:t>
      </w:r>
      <w:r w:rsidRPr="00F738BB">
        <w:rPr>
          <w:rFonts w:ascii="Calibri" w:hAnsi="Calibri" w:cs="Calibri"/>
          <w:noProof/>
          <w:sz w:val="24"/>
          <w:szCs w:val="24"/>
        </w:rPr>
        <w:t xml:space="preserve">(8), 820–833. </w:t>
      </w:r>
      <w:r w:rsidRPr="00F738BB">
        <w:rPr>
          <w:rFonts w:ascii="Calibri" w:hAnsi="Calibri" w:cs="Calibri"/>
          <w:noProof/>
          <w:sz w:val="24"/>
          <w:szCs w:val="24"/>
        </w:rPr>
        <w:lastRenderedPageBreak/>
        <w:t>https://doi.org/10.3390/nu2080820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Dettmer, K., Aronov, P., &amp; Hammock, B. (2006). MASS SPECTROMETRY-BASED METABOLOMICS. </w:t>
      </w:r>
      <w:r w:rsidRPr="00F738BB">
        <w:rPr>
          <w:rFonts w:ascii="Calibri" w:hAnsi="Calibri" w:cs="Calibri"/>
          <w:i/>
          <w:iCs/>
          <w:noProof/>
          <w:sz w:val="24"/>
          <w:szCs w:val="24"/>
        </w:rPr>
        <w:t>Mass Spectrometry Reviews</w:t>
      </w:r>
      <w:r w:rsidRPr="00F738BB">
        <w:rPr>
          <w:rFonts w:ascii="Calibri" w:hAnsi="Calibri" w:cs="Calibri"/>
          <w:noProof/>
          <w:sz w:val="24"/>
          <w:szCs w:val="24"/>
        </w:rPr>
        <w:t>, (i), 221–235. https://doi.org/10.1002/mas</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Di Guida, R., Engel, J., Allwood, J. W., Weber, R. J. M., Jones, M. R., Sommer, U., … Dunn, W. B. (2016). Non-targeted UHPLC-MS metabolomic data processing methods: a comparative investigation of normalisation, missing value imputation, transformation and scaling. </w:t>
      </w:r>
      <w:r w:rsidRPr="00F738BB">
        <w:rPr>
          <w:rFonts w:ascii="Calibri" w:hAnsi="Calibri" w:cs="Calibri"/>
          <w:i/>
          <w:iCs/>
          <w:noProof/>
          <w:sz w:val="24"/>
          <w:szCs w:val="24"/>
        </w:rPr>
        <w:t>Metabolomics</w:t>
      </w:r>
      <w:r w:rsidRPr="00F738BB">
        <w:rPr>
          <w:rFonts w:ascii="Calibri" w:hAnsi="Calibri" w:cs="Calibri"/>
          <w:noProof/>
          <w:sz w:val="24"/>
          <w:szCs w:val="24"/>
        </w:rPr>
        <w:t xml:space="preserve">, </w:t>
      </w:r>
      <w:r w:rsidRPr="00F738BB">
        <w:rPr>
          <w:rFonts w:ascii="Calibri" w:hAnsi="Calibri" w:cs="Calibri"/>
          <w:i/>
          <w:iCs/>
          <w:noProof/>
          <w:sz w:val="24"/>
          <w:szCs w:val="24"/>
        </w:rPr>
        <w:t>12</w:t>
      </w:r>
      <w:r w:rsidRPr="00F738BB">
        <w:rPr>
          <w:rFonts w:ascii="Calibri" w:hAnsi="Calibri" w:cs="Calibri"/>
          <w:noProof/>
          <w:sz w:val="24"/>
          <w:szCs w:val="24"/>
        </w:rPr>
        <w:t>(5), 1–14. https://doi.org/10.1007/s11306-016-1030-9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Dillehay, T. D., Ramírez, C., Pino, M., Collins, M. B., &amp; Rossen, J. (2008). </w:t>
      </w:r>
      <w:r w:rsidRPr="00F738BB">
        <w:rPr>
          <w:rFonts w:ascii="Calibri" w:hAnsi="Calibri" w:cs="Calibri"/>
          <w:i/>
          <w:iCs/>
          <w:noProof/>
          <w:sz w:val="24"/>
          <w:szCs w:val="24"/>
        </w:rPr>
        <w:t>of South America</w:t>
      </w:r>
      <w:r w:rsidRPr="00F738BB">
        <w:rPr>
          <w:rFonts w:ascii="Calibri" w:hAnsi="Calibri" w:cs="Calibri"/>
          <w:noProof/>
          <w:sz w:val="24"/>
          <w:szCs w:val="24"/>
        </w:rPr>
        <w:t xml:space="preserve">. </w:t>
      </w:r>
      <w:r w:rsidRPr="00F738BB">
        <w:rPr>
          <w:rFonts w:ascii="Calibri" w:hAnsi="Calibri" w:cs="Calibri"/>
          <w:i/>
          <w:iCs/>
          <w:noProof/>
          <w:sz w:val="24"/>
          <w:szCs w:val="24"/>
        </w:rPr>
        <w:t>320</w:t>
      </w:r>
      <w:r w:rsidRPr="00F738BB">
        <w:rPr>
          <w:rFonts w:ascii="Calibri" w:hAnsi="Calibri" w:cs="Calibri"/>
          <w:noProof/>
          <w:sz w:val="24"/>
          <w:szCs w:val="24"/>
        </w:rPr>
        <w:t>(May), 784–787.</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Dimpfel, W., Kler, A., Kriesl, E., &amp; Lehnfeld, R. (2007).  Theogallin and l -theanine as active ingredients in decaffeinated green tea extract: II. Characterization in the freely moving rat by means of quantitative field potential analysis . </w:t>
      </w:r>
      <w:r w:rsidRPr="00F738BB">
        <w:rPr>
          <w:rFonts w:ascii="Calibri" w:hAnsi="Calibri" w:cs="Calibri"/>
          <w:i/>
          <w:iCs/>
          <w:noProof/>
          <w:sz w:val="24"/>
          <w:szCs w:val="24"/>
        </w:rPr>
        <w:t>Journal of Pharmacy and Pharmacology</w:t>
      </w:r>
      <w:r w:rsidRPr="00F738BB">
        <w:rPr>
          <w:rFonts w:ascii="Calibri" w:hAnsi="Calibri" w:cs="Calibri"/>
          <w:noProof/>
          <w:sz w:val="24"/>
          <w:szCs w:val="24"/>
        </w:rPr>
        <w:t xml:space="preserve">, </w:t>
      </w:r>
      <w:r w:rsidRPr="00F738BB">
        <w:rPr>
          <w:rFonts w:ascii="Calibri" w:hAnsi="Calibri" w:cs="Calibri"/>
          <w:i/>
          <w:iCs/>
          <w:noProof/>
          <w:sz w:val="24"/>
          <w:szCs w:val="24"/>
        </w:rPr>
        <w:t>59</w:t>
      </w:r>
      <w:r w:rsidRPr="00F738BB">
        <w:rPr>
          <w:rFonts w:ascii="Calibri" w:hAnsi="Calibri" w:cs="Calibri"/>
          <w:noProof/>
          <w:sz w:val="24"/>
          <w:szCs w:val="24"/>
        </w:rPr>
        <w:t>(10), 1397–1403. https://doi.org/10.1211/jpp.59.10.0010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Ding, L. Q., Qiu, T. Y., Liu, Z. X., Chen, L. X., Oppong, M. B., Zhang, D. Q., … Qiu, F. (2017). Systematic characterization of the metabolites of paeonol in rats using ultra performance liquid chromatography coupled with electrospray ionization quadrupole time-of-flight tandem mass spectrometry with an integrative strategy. </w:t>
      </w:r>
      <w:r w:rsidRPr="00F738BB">
        <w:rPr>
          <w:rFonts w:ascii="Calibri" w:hAnsi="Calibri" w:cs="Calibri"/>
          <w:i/>
          <w:iCs/>
          <w:noProof/>
          <w:sz w:val="24"/>
          <w:szCs w:val="24"/>
        </w:rPr>
        <w:t>Journal of Chromatography B: Analytical Technologies in the Biomedical and Life Sciences</w:t>
      </w:r>
      <w:r w:rsidRPr="00F738BB">
        <w:rPr>
          <w:rFonts w:ascii="Calibri" w:hAnsi="Calibri" w:cs="Calibri"/>
          <w:noProof/>
          <w:sz w:val="24"/>
          <w:szCs w:val="24"/>
        </w:rPr>
        <w:t xml:space="preserve">, </w:t>
      </w:r>
      <w:r w:rsidRPr="00F738BB">
        <w:rPr>
          <w:rFonts w:ascii="Calibri" w:hAnsi="Calibri" w:cs="Calibri"/>
          <w:i/>
          <w:iCs/>
          <w:noProof/>
          <w:sz w:val="24"/>
          <w:szCs w:val="24"/>
        </w:rPr>
        <w:t>1065</w:t>
      </w:r>
      <w:r w:rsidRPr="00F738BB">
        <w:rPr>
          <w:rFonts w:ascii="Calibri" w:hAnsi="Calibri" w:cs="Calibri"/>
          <w:noProof/>
          <w:sz w:val="24"/>
          <w:szCs w:val="24"/>
        </w:rPr>
        <w:t>–</w:t>
      </w:r>
      <w:r w:rsidRPr="00F738BB">
        <w:rPr>
          <w:rFonts w:ascii="Calibri" w:hAnsi="Calibri" w:cs="Calibri"/>
          <w:i/>
          <w:iCs/>
          <w:noProof/>
          <w:sz w:val="24"/>
          <w:szCs w:val="24"/>
        </w:rPr>
        <w:t>1066</w:t>
      </w:r>
      <w:r w:rsidRPr="00F738BB">
        <w:rPr>
          <w:rFonts w:ascii="Calibri" w:hAnsi="Calibri" w:cs="Calibri"/>
          <w:noProof/>
          <w:sz w:val="24"/>
          <w:szCs w:val="24"/>
        </w:rPr>
        <w:t>(312), 70–78. https://doi.org/10.1016/j.jchromb.2017.09.015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Diniz, P. H. G. D., Barbosa, M. F., De Melo Milanez, K. D. T., Pistonesi, M. F., &amp; De Araújo, M. C. U. (2016). Using UV-Vis spectroscopy for simultaneous geographical and varietal classification of tea infusions simulating a home-made tea cup.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192</w:t>
      </w:r>
      <w:r w:rsidRPr="00F738BB">
        <w:rPr>
          <w:rFonts w:ascii="Calibri" w:hAnsi="Calibri" w:cs="Calibri"/>
          <w:noProof/>
          <w:sz w:val="24"/>
          <w:szCs w:val="24"/>
        </w:rPr>
        <w:t>, 374–379. https://doi.org/10.1016/j.foodchem.2015.07.022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Dix, M.A., Fairley, C.J., Millin, D.J. and Swaine, D. 1981. (1981). Fermentation of tea in aqueous suspension: influence of tea peroxidase. J. Sci. Food Agric. 32: 920-932. </w:t>
      </w:r>
      <w:r w:rsidRPr="00F738BB">
        <w:rPr>
          <w:rFonts w:ascii="Calibri" w:hAnsi="Calibri" w:cs="Calibri"/>
          <w:i/>
          <w:iCs/>
          <w:noProof/>
          <w:sz w:val="24"/>
          <w:szCs w:val="24"/>
        </w:rPr>
        <w:t>J. Sci. Food Agric. 32: 920-932.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Djurdjevic, L., Dinic, A., Pavlovic, P., Mitrovic, M., Karadzic, B., &amp; Tesevic, V. (2004). </w:t>
      </w:r>
      <w:r w:rsidRPr="00F738BB">
        <w:rPr>
          <w:rFonts w:ascii="Calibri" w:hAnsi="Calibri" w:cs="Calibri"/>
          <w:i/>
          <w:iCs/>
          <w:noProof/>
          <w:sz w:val="24"/>
          <w:szCs w:val="24"/>
        </w:rPr>
        <w:t>Allelopathic potential of Allium ursinum L .</w:t>
      </w:r>
      <w:r w:rsidRPr="00F738BB">
        <w:rPr>
          <w:rFonts w:ascii="Calibri" w:hAnsi="Calibri" w:cs="Calibri"/>
          <w:noProof/>
          <w:sz w:val="24"/>
          <w:szCs w:val="24"/>
        </w:rPr>
        <w:t xml:space="preserve"> </w:t>
      </w:r>
      <w:r w:rsidRPr="00F738BB">
        <w:rPr>
          <w:rFonts w:ascii="Calibri" w:hAnsi="Calibri" w:cs="Calibri"/>
          <w:i/>
          <w:iCs/>
          <w:noProof/>
          <w:sz w:val="24"/>
          <w:szCs w:val="24"/>
        </w:rPr>
        <w:t>32</w:t>
      </w:r>
      <w:r w:rsidRPr="00F738BB">
        <w:rPr>
          <w:rFonts w:ascii="Calibri" w:hAnsi="Calibri" w:cs="Calibri"/>
          <w:noProof/>
          <w:sz w:val="24"/>
          <w:szCs w:val="24"/>
        </w:rPr>
        <w:t xml:space="preserve">, 533–544. </w:t>
      </w:r>
      <w:r w:rsidRPr="00F738BB">
        <w:rPr>
          <w:rFonts w:ascii="Calibri" w:hAnsi="Calibri" w:cs="Calibri"/>
          <w:noProof/>
          <w:sz w:val="24"/>
          <w:szCs w:val="24"/>
        </w:rPr>
        <w:lastRenderedPageBreak/>
        <w:t>https://doi.org/10.1016/j.bse.2003.10.001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Drynan, J. W., Clifford, M. N., Obuchowicz, J., &amp; Kuhnert, N. (2010). The chemistry of low molecular weight black tea polyphenols. </w:t>
      </w:r>
      <w:r w:rsidRPr="00F738BB">
        <w:rPr>
          <w:rFonts w:ascii="Calibri" w:hAnsi="Calibri" w:cs="Calibri"/>
          <w:i/>
          <w:iCs/>
          <w:noProof/>
          <w:sz w:val="24"/>
          <w:szCs w:val="24"/>
        </w:rPr>
        <w:t>Natural Product Reports</w:t>
      </w:r>
      <w:r w:rsidRPr="00F738BB">
        <w:rPr>
          <w:rFonts w:ascii="Calibri" w:hAnsi="Calibri" w:cs="Calibri"/>
          <w:noProof/>
          <w:sz w:val="24"/>
          <w:szCs w:val="24"/>
        </w:rPr>
        <w:t xml:space="preserve">, </w:t>
      </w:r>
      <w:r w:rsidRPr="00F738BB">
        <w:rPr>
          <w:rFonts w:ascii="Calibri" w:hAnsi="Calibri" w:cs="Calibri"/>
          <w:i/>
          <w:iCs/>
          <w:noProof/>
          <w:sz w:val="24"/>
          <w:szCs w:val="24"/>
        </w:rPr>
        <w:t>27</w:t>
      </w:r>
      <w:r w:rsidRPr="00F738BB">
        <w:rPr>
          <w:rFonts w:ascii="Calibri" w:hAnsi="Calibri" w:cs="Calibri"/>
          <w:noProof/>
          <w:sz w:val="24"/>
          <w:szCs w:val="24"/>
        </w:rPr>
        <w:t>(3), 417–462. https://doi.org/10.1039/b912523j</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Dunn, W. B., Broadhurst, D., Begley, P., Zelena, E., Francis-McIntyre, S., Anderson, N., … Goodacre, R. (2011). Procedures for large-scale metabolic profiling of serum and plasma using gas chromatography and liquid chromatography coupled to mass spectrometry. </w:t>
      </w:r>
      <w:r w:rsidRPr="00F738BB">
        <w:rPr>
          <w:rFonts w:ascii="Calibri" w:hAnsi="Calibri" w:cs="Calibri"/>
          <w:i/>
          <w:iCs/>
          <w:noProof/>
          <w:sz w:val="24"/>
          <w:szCs w:val="24"/>
        </w:rPr>
        <w:t>Nature Protocols</w:t>
      </w:r>
      <w:r w:rsidRPr="00F738BB">
        <w:rPr>
          <w:rFonts w:ascii="Calibri" w:hAnsi="Calibri" w:cs="Calibri"/>
          <w:noProof/>
          <w:sz w:val="24"/>
          <w:szCs w:val="24"/>
        </w:rPr>
        <w:t xml:space="preserve">, </w:t>
      </w:r>
      <w:r w:rsidRPr="00F738BB">
        <w:rPr>
          <w:rFonts w:ascii="Calibri" w:hAnsi="Calibri" w:cs="Calibri"/>
          <w:i/>
          <w:iCs/>
          <w:noProof/>
          <w:sz w:val="24"/>
          <w:szCs w:val="24"/>
        </w:rPr>
        <w:t>6</w:t>
      </w:r>
      <w:r w:rsidRPr="00F738BB">
        <w:rPr>
          <w:rFonts w:ascii="Calibri" w:hAnsi="Calibri" w:cs="Calibri"/>
          <w:noProof/>
          <w:sz w:val="24"/>
          <w:szCs w:val="24"/>
        </w:rPr>
        <w:t>. https://doi.org/10.1038/nprot.2011.335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Engelhardt, U H, Lakenbrink, C., &amp; Pokorny, O. (2004). Proanthocyanidins, bisflavanols, and hydrolyzable tannins in green and black teas. </w:t>
      </w:r>
      <w:r w:rsidRPr="00F738BB">
        <w:rPr>
          <w:rFonts w:ascii="Calibri" w:hAnsi="Calibri" w:cs="Calibri"/>
          <w:i/>
          <w:iCs/>
          <w:noProof/>
          <w:sz w:val="24"/>
          <w:szCs w:val="24"/>
        </w:rPr>
        <w:t>NUTRACEUTICAL BEVERAGES: CHEMISTRY, NUTRITION, AND HEALTH EFFECTS</w:t>
      </w:r>
      <w:r w:rsidRPr="00F738BB">
        <w:rPr>
          <w:rFonts w:ascii="Calibri" w:hAnsi="Calibri" w:cs="Calibri"/>
          <w:noProof/>
          <w:sz w:val="24"/>
          <w:szCs w:val="24"/>
        </w:rPr>
        <w:t xml:space="preserve">, </w:t>
      </w:r>
      <w:r w:rsidRPr="00F738BB">
        <w:rPr>
          <w:rFonts w:ascii="Calibri" w:hAnsi="Calibri" w:cs="Calibri"/>
          <w:i/>
          <w:iCs/>
          <w:noProof/>
          <w:sz w:val="24"/>
          <w:szCs w:val="24"/>
        </w:rPr>
        <w:t>871</w:t>
      </w:r>
      <w:r w:rsidRPr="00F738BB">
        <w:rPr>
          <w:rFonts w:ascii="Calibri" w:hAnsi="Calibri" w:cs="Calibri"/>
          <w:noProof/>
          <w:sz w:val="24"/>
          <w:szCs w:val="24"/>
        </w:rPr>
        <w:t>, 254–264.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Engelhardt, Ulrich H, Lakenbrink, C., &amp; Pokorny, O. (2004). Tannins in Green and Black Teas. </w:t>
      </w:r>
      <w:r w:rsidRPr="00F738BB">
        <w:rPr>
          <w:rFonts w:ascii="Calibri" w:hAnsi="Calibri" w:cs="Calibri"/>
          <w:i/>
          <w:iCs/>
          <w:noProof/>
          <w:sz w:val="24"/>
          <w:szCs w:val="24"/>
        </w:rPr>
        <w:t>Neutraceutical Beverages, ACS.</w:t>
      </w:r>
      <w:r w:rsidRPr="00F738BB">
        <w:rPr>
          <w:rFonts w:ascii="Calibri" w:hAnsi="Calibri" w:cs="Calibri"/>
          <w:noProof/>
          <w:sz w:val="24"/>
          <w:szCs w:val="24"/>
        </w:rPr>
        <w:t>, 254–264.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Eriksson, L. (2017). Explaining differences or grouping data? When to apply OPLS-DA vs PCA for metabolomics and other-omics data analysis. </w:t>
      </w:r>
      <w:r w:rsidRPr="00F738BB">
        <w:rPr>
          <w:rFonts w:ascii="Calibri" w:hAnsi="Calibri" w:cs="Calibri"/>
          <w:i/>
          <w:iCs/>
          <w:noProof/>
          <w:sz w:val="24"/>
          <w:szCs w:val="24"/>
        </w:rPr>
        <w:t>Www</w:t>
      </w:r>
      <w:r w:rsidRPr="00F738BB">
        <w:rPr>
          <w:rFonts w:ascii="Calibri" w:hAnsi="Calibri" w:cs="Calibri"/>
          <w:noProof/>
          <w:sz w:val="24"/>
          <w:szCs w:val="24"/>
        </w:rPr>
        <w:t>. Retrieved from https://umetrics.com/sites/default/files/whats_the_difference.pdf?hsCtaTracking=03b74f9e-36d4-4357-8f9d-d1f46dedcc9e%7C1bd7cf90-70bf-4209-aa95-afd9c34baae3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Experience, P. T. (2019). The Process of Purple Tea - Purple Tea Experience. Retrieved June 23, 2019, from www website: http://purpleteaexperience.com/process-purpletea/</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Financial Times. (2016). Financial Times - A Tales of tea grown in the Scottish Highlands. Retrieved June 23, 2019, from www website: https://www.ft.com/content/c1806f2c-b071-11e5-b46e-3ef837cafba3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Flintoff, J.-P. (2009). Second skin: why wearing nettles is the next big thing. Retrieved from The Ecologist website: https://theecologist.org/2009/aug/20/second-skin-why-wearing-nettles-next-big-thing</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Food-Info.net. (2019). Food-Info.net : E-numbers : E163 Anthocyan(in)s. Retrieved September 21, 2019, from www website: http://www.food-info.net/uk/e/e163.htm</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Frankenfeld, C. L., Atkinson, C., Thomas, W. K., Gonzalez, A., Jokela, T., Wähälä, K., … Lampe, </w:t>
      </w:r>
      <w:r w:rsidRPr="00F738BB">
        <w:rPr>
          <w:rFonts w:ascii="Calibri" w:hAnsi="Calibri" w:cs="Calibri"/>
          <w:noProof/>
          <w:sz w:val="24"/>
          <w:szCs w:val="24"/>
        </w:rPr>
        <w:lastRenderedPageBreak/>
        <w:t xml:space="preserve">J. W. (2005). High concordance of daidzein-metabolizing phenotypes in individuals measured 1 to 3 years apart. </w:t>
      </w:r>
      <w:r w:rsidRPr="00F738BB">
        <w:rPr>
          <w:rFonts w:ascii="Calibri" w:hAnsi="Calibri" w:cs="Calibri"/>
          <w:i/>
          <w:iCs/>
          <w:noProof/>
          <w:sz w:val="24"/>
          <w:szCs w:val="24"/>
        </w:rPr>
        <w:t>The British Journal of Nutrition</w:t>
      </w:r>
      <w:r w:rsidRPr="00F738BB">
        <w:rPr>
          <w:rFonts w:ascii="Calibri" w:hAnsi="Calibri" w:cs="Calibri"/>
          <w:noProof/>
          <w:sz w:val="24"/>
          <w:szCs w:val="24"/>
        </w:rPr>
        <w:t xml:space="preserve">, </w:t>
      </w:r>
      <w:r w:rsidRPr="00F738BB">
        <w:rPr>
          <w:rFonts w:ascii="Calibri" w:hAnsi="Calibri" w:cs="Calibri"/>
          <w:i/>
          <w:iCs/>
          <w:noProof/>
          <w:sz w:val="24"/>
          <w:szCs w:val="24"/>
        </w:rPr>
        <w:t>94</w:t>
      </w:r>
      <w:r w:rsidRPr="00F738BB">
        <w:rPr>
          <w:rFonts w:ascii="Calibri" w:hAnsi="Calibri" w:cs="Calibri"/>
          <w:noProof/>
          <w:sz w:val="24"/>
          <w:szCs w:val="24"/>
        </w:rPr>
        <w:t>(6), 873–876. https://doi.org/10.1079/BJN20051565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Gerhauser, C. (2014). </w:t>
      </w:r>
      <w:r w:rsidRPr="00F738BB">
        <w:rPr>
          <w:rFonts w:ascii="Calibri" w:hAnsi="Calibri" w:cs="Calibri"/>
          <w:i/>
          <w:iCs/>
          <w:noProof/>
          <w:sz w:val="24"/>
          <w:szCs w:val="24"/>
        </w:rPr>
        <w:t>Recent advances in polyphenol research: Epigenetics, (poly) phenolics and cancer prevention.</w:t>
      </w:r>
      <w:r w:rsidRPr="00F738BB">
        <w:rPr>
          <w:rFonts w:ascii="Calibri" w:hAnsi="Calibri" w:cs="Calibri"/>
          <w:noProof/>
          <w:sz w:val="24"/>
          <w:szCs w:val="24"/>
        </w:rPr>
        <w:t xml:space="preserve"> (Vol 4; S. Q. A Romani, Ed.). Hoboken, NJ: John Wiley &amp; Sons, Ltd.</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Gerhauser, C. (2018). Impact of dietary gut microbial metabolites on the epigenome. </w:t>
      </w:r>
      <w:r w:rsidRPr="00F738BB">
        <w:rPr>
          <w:rFonts w:ascii="Calibri" w:hAnsi="Calibri" w:cs="Calibri"/>
          <w:i/>
          <w:iCs/>
          <w:noProof/>
          <w:sz w:val="24"/>
          <w:szCs w:val="24"/>
        </w:rPr>
        <w:t>Philosophical Transactions of the Royal Society B: Biological Sciences</w:t>
      </w:r>
      <w:r w:rsidRPr="00F738BB">
        <w:rPr>
          <w:rFonts w:ascii="Calibri" w:hAnsi="Calibri" w:cs="Calibri"/>
          <w:noProof/>
          <w:sz w:val="24"/>
          <w:szCs w:val="24"/>
        </w:rPr>
        <w:t xml:space="preserve">, </w:t>
      </w:r>
      <w:r w:rsidRPr="00F738BB">
        <w:rPr>
          <w:rFonts w:ascii="Calibri" w:hAnsi="Calibri" w:cs="Calibri"/>
          <w:i/>
          <w:iCs/>
          <w:noProof/>
          <w:sz w:val="24"/>
          <w:szCs w:val="24"/>
        </w:rPr>
        <w:t>373</w:t>
      </w:r>
      <w:r w:rsidRPr="00F738BB">
        <w:rPr>
          <w:rFonts w:ascii="Calibri" w:hAnsi="Calibri" w:cs="Calibri"/>
          <w:noProof/>
          <w:sz w:val="24"/>
          <w:szCs w:val="24"/>
        </w:rPr>
        <w:t>(1748), 20170359. https://doi.org/10.1098/rstb.2017.0359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Gibbs, I. (2016). </w:t>
      </w:r>
      <w:r w:rsidRPr="00F738BB">
        <w:rPr>
          <w:rFonts w:ascii="Calibri" w:hAnsi="Calibri" w:cs="Calibri"/>
          <w:i/>
          <w:iCs/>
          <w:noProof/>
          <w:sz w:val="24"/>
          <w:szCs w:val="24"/>
        </w:rPr>
        <w:t>WORLD TEA PRODUCTION &amp; CONSUMPTION Global Production Growth 1995-2015 ( In M . kgs .)</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Goodacre, R., Timmins, E. M., Burton, R., Kaderbhai, N., Woodward, A. M., Kell, D. B., &amp; Rooney, P. J. (1998). Fingerprinting and artificial neural networks. </w:t>
      </w:r>
      <w:r w:rsidRPr="00F738BB">
        <w:rPr>
          <w:rFonts w:ascii="Calibri" w:hAnsi="Calibri" w:cs="Calibri"/>
          <w:i/>
          <w:iCs/>
          <w:noProof/>
          <w:sz w:val="24"/>
          <w:szCs w:val="24"/>
        </w:rPr>
        <w:t>Microbiology</w:t>
      </w:r>
      <w:r w:rsidRPr="00F738BB">
        <w:rPr>
          <w:rFonts w:ascii="Calibri" w:hAnsi="Calibri" w:cs="Calibri"/>
          <w:noProof/>
          <w:sz w:val="24"/>
          <w:szCs w:val="24"/>
        </w:rPr>
        <w:t xml:space="preserve">, </w:t>
      </w:r>
      <w:r w:rsidRPr="00F738BB">
        <w:rPr>
          <w:rFonts w:ascii="Calibri" w:hAnsi="Calibri" w:cs="Calibri"/>
          <w:i/>
          <w:iCs/>
          <w:noProof/>
          <w:sz w:val="24"/>
          <w:szCs w:val="24"/>
        </w:rPr>
        <w:t>1444</w:t>
      </w:r>
      <w:r w:rsidRPr="00F738BB">
        <w:rPr>
          <w:rFonts w:ascii="Calibri" w:hAnsi="Calibri" w:cs="Calibri"/>
          <w:noProof/>
          <w:sz w:val="24"/>
          <w:szCs w:val="24"/>
        </w:rPr>
        <w:t>(1 998), 1157–1170.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Goodacre, R., York, E. V., Heald, J. K., &amp; Scott, I. M. (2003). Chemometric discrimination of unfractionated plant extracts analyzed by electrospray mass spectrometry. </w:t>
      </w:r>
      <w:r w:rsidRPr="00F738BB">
        <w:rPr>
          <w:rFonts w:ascii="Calibri" w:hAnsi="Calibri" w:cs="Calibri"/>
          <w:i/>
          <w:iCs/>
          <w:noProof/>
          <w:sz w:val="24"/>
          <w:szCs w:val="24"/>
        </w:rPr>
        <w:t>Phytochemistry</w:t>
      </w:r>
      <w:r w:rsidRPr="00F738BB">
        <w:rPr>
          <w:rFonts w:ascii="Calibri" w:hAnsi="Calibri" w:cs="Calibri"/>
          <w:noProof/>
          <w:sz w:val="24"/>
          <w:szCs w:val="24"/>
        </w:rPr>
        <w:t xml:space="preserve">, </w:t>
      </w:r>
      <w:r w:rsidRPr="00F738BB">
        <w:rPr>
          <w:rFonts w:ascii="Calibri" w:hAnsi="Calibri" w:cs="Calibri"/>
          <w:i/>
          <w:iCs/>
          <w:noProof/>
          <w:sz w:val="24"/>
          <w:szCs w:val="24"/>
        </w:rPr>
        <w:t>62</w:t>
      </w:r>
      <w:r w:rsidRPr="00F738BB">
        <w:rPr>
          <w:rFonts w:ascii="Calibri" w:hAnsi="Calibri" w:cs="Calibri"/>
          <w:noProof/>
          <w:sz w:val="24"/>
          <w:szCs w:val="24"/>
        </w:rPr>
        <w:t>(6), 859–863. https://doi.org/10.1016/S0031-9422(02)00718-5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Graham, H. N. (1992). Green tea composition, consumption, and polyphenol chemistry. </w:t>
      </w:r>
      <w:r w:rsidRPr="00F738BB">
        <w:rPr>
          <w:rFonts w:ascii="Calibri" w:hAnsi="Calibri" w:cs="Calibri"/>
          <w:i/>
          <w:iCs/>
          <w:noProof/>
          <w:sz w:val="24"/>
          <w:szCs w:val="24"/>
        </w:rPr>
        <w:t>Preventive Medicine</w:t>
      </w:r>
      <w:r w:rsidRPr="00F738BB">
        <w:rPr>
          <w:rFonts w:ascii="Calibri" w:hAnsi="Calibri" w:cs="Calibri"/>
          <w:noProof/>
          <w:sz w:val="24"/>
          <w:szCs w:val="24"/>
        </w:rPr>
        <w:t xml:space="preserve">, </w:t>
      </w:r>
      <w:r w:rsidRPr="00F738BB">
        <w:rPr>
          <w:rFonts w:ascii="Calibri" w:hAnsi="Calibri" w:cs="Calibri"/>
          <w:i/>
          <w:iCs/>
          <w:noProof/>
          <w:sz w:val="24"/>
          <w:szCs w:val="24"/>
        </w:rPr>
        <w:t>21</w:t>
      </w:r>
      <w:r w:rsidRPr="00F738BB">
        <w:rPr>
          <w:rFonts w:ascii="Calibri" w:hAnsi="Calibri" w:cs="Calibri"/>
          <w:noProof/>
          <w:sz w:val="24"/>
          <w:szCs w:val="24"/>
        </w:rPr>
        <w:t>(3), 334–350. https://doi.org/10.1016/0091-7435(92)90041-F</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Gramza-Michałowska, A., Kobus-Cisowska, J., Kmiecik, D., Korczak, J., Helak, B., Dziedzic, K., &amp; Górecka, D. (2016). Antioxidative potential, nutritional value and sensory profiles of confectionery fortified with green and yellow tea leaves (Camellia sinensis).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211</w:t>
      </w:r>
      <w:r w:rsidRPr="00F738BB">
        <w:rPr>
          <w:rFonts w:ascii="Calibri" w:hAnsi="Calibri" w:cs="Calibri"/>
          <w:noProof/>
          <w:sz w:val="24"/>
          <w:szCs w:val="24"/>
        </w:rPr>
        <w:t>, 448–454. https://doi.org/10.1016/j.foodchem.2016.05.048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Gui, J., Fu, X., Zhou, Y., Katsuno, T., Mei, X., Deng, R., … Yang, Z. (2015). Does Enzymatic Hydrolysis of Glycosidically Bound Volatile Compounds Really Contribute to the Formation of Volatile Compounds during the Oolong Tea Manufacturing Process? </w:t>
      </w:r>
      <w:r w:rsidRPr="00F738BB">
        <w:rPr>
          <w:rFonts w:ascii="Calibri" w:hAnsi="Calibri" w:cs="Calibri"/>
          <w:i/>
          <w:iCs/>
          <w:noProof/>
          <w:sz w:val="24"/>
          <w:szCs w:val="24"/>
        </w:rPr>
        <w:t>Journal of Agricultural and Food Chemistry</w:t>
      </w:r>
      <w:r w:rsidRPr="00F738BB">
        <w:rPr>
          <w:rFonts w:ascii="Calibri" w:hAnsi="Calibri" w:cs="Calibri"/>
          <w:noProof/>
          <w:sz w:val="24"/>
          <w:szCs w:val="24"/>
        </w:rPr>
        <w:t xml:space="preserve">, </w:t>
      </w:r>
      <w:r w:rsidRPr="00F738BB">
        <w:rPr>
          <w:rFonts w:ascii="Calibri" w:hAnsi="Calibri" w:cs="Calibri"/>
          <w:i/>
          <w:iCs/>
          <w:noProof/>
          <w:sz w:val="24"/>
          <w:szCs w:val="24"/>
        </w:rPr>
        <w:t>63</w:t>
      </w:r>
      <w:r w:rsidRPr="00F738BB">
        <w:rPr>
          <w:rFonts w:ascii="Calibri" w:hAnsi="Calibri" w:cs="Calibri"/>
          <w:noProof/>
          <w:sz w:val="24"/>
          <w:szCs w:val="24"/>
        </w:rPr>
        <w:t>(31), 6905–6914. https://doi.org/10.1021/acs.jafc.5b02741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lastRenderedPageBreak/>
        <w:t xml:space="preserve">Guil-guerrero, J. L., Rebolloso-fuentes, M. M., &amp; Isasa, M. E. T. (2003). </w:t>
      </w:r>
      <w:r w:rsidRPr="00F738BB">
        <w:rPr>
          <w:rFonts w:ascii="Calibri" w:hAnsi="Calibri" w:cs="Calibri"/>
          <w:i/>
          <w:iCs/>
          <w:noProof/>
          <w:sz w:val="24"/>
          <w:szCs w:val="24"/>
        </w:rPr>
        <w:t>Fatty acids and carotenoids from Stinging Nettle ( Urtica dioica L .)</w:t>
      </w:r>
      <w:r w:rsidRPr="00F738BB">
        <w:rPr>
          <w:rFonts w:ascii="Calibri" w:hAnsi="Calibri" w:cs="Calibri"/>
          <w:noProof/>
          <w:sz w:val="24"/>
          <w:szCs w:val="24"/>
        </w:rPr>
        <w:t xml:space="preserve">. </w:t>
      </w:r>
      <w:r w:rsidRPr="00F738BB">
        <w:rPr>
          <w:rFonts w:ascii="Calibri" w:hAnsi="Calibri" w:cs="Calibri"/>
          <w:i/>
          <w:iCs/>
          <w:noProof/>
          <w:sz w:val="24"/>
          <w:szCs w:val="24"/>
        </w:rPr>
        <w:t>16</w:t>
      </w:r>
      <w:r w:rsidRPr="00F738BB">
        <w:rPr>
          <w:rFonts w:ascii="Calibri" w:hAnsi="Calibri" w:cs="Calibri"/>
          <w:noProof/>
          <w:sz w:val="24"/>
          <w:szCs w:val="24"/>
        </w:rPr>
        <w:t>, 111–119. https://doi.org/10.1016/S0889-1575(02)00172-2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H.Hotelling. (1932). The generalization of student’s ratio. </w:t>
      </w:r>
      <w:r w:rsidRPr="00F738BB">
        <w:rPr>
          <w:rFonts w:ascii="Calibri" w:hAnsi="Calibri" w:cs="Calibri"/>
          <w:i/>
          <w:iCs/>
          <w:noProof/>
          <w:sz w:val="24"/>
          <w:szCs w:val="24"/>
        </w:rPr>
        <w:t>Annals of Mathematical Statistics</w:t>
      </w:r>
      <w:r w:rsidRPr="00F738BB">
        <w:rPr>
          <w:rFonts w:ascii="Calibri" w:hAnsi="Calibri" w:cs="Calibri"/>
          <w:noProof/>
          <w:sz w:val="24"/>
          <w:szCs w:val="24"/>
        </w:rPr>
        <w:t xml:space="preserve">, </w:t>
      </w:r>
      <w:r w:rsidRPr="00F738BB">
        <w:rPr>
          <w:rFonts w:ascii="Calibri" w:hAnsi="Calibri" w:cs="Calibri"/>
          <w:i/>
          <w:iCs/>
          <w:noProof/>
          <w:sz w:val="24"/>
          <w:szCs w:val="24"/>
        </w:rPr>
        <w:t>2</w:t>
      </w:r>
      <w:r w:rsidRPr="00F738BB">
        <w:rPr>
          <w:rFonts w:ascii="Calibri" w:hAnsi="Calibri" w:cs="Calibri"/>
          <w:noProof/>
          <w:sz w:val="24"/>
          <w:szCs w:val="24"/>
        </w:rPr>
        <w:t>, 360–378.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Hagerman, A. E. (2012). Fifty Years of Polyphenol-Protein Complexes. </w:t>
      </w:r>
      <w:r w:rsidRPr="00F738BB">
        <w:rPr>
          <w:rFonts w:ascii="Calibri" w:hAnsi="Calibri" w:cs="Calibri"/>
          <w:i/>
          <w:iCs/>
          <w:noProof/>
          <w:sz w:val="24"/>
          <w:szCs w:val="24"/>
        </w:rPr>
        <w:t>Recent Advances in Polyphenol Research, Volume 3</w:t>
      </w:r>
      <w:r w:rsidRPr="00F738BB">
        <w:rPr>
          <w:rFonts w:ascii="Calibri" w:hAnsi="Calibri" w:cs="Calibri"/>
          <w:noProof/>
          <w:sz w:val="24"/>
          <w:szCs w:val="24"/>
        </w:rPr>
        <w:t xml:space="preserve">, </w:t>
      </w:r>
      <w:r w:rsidRPr="00F738BB">
        <w:rPr>
          <w:rFonts w:ascii="Calibri" w:hAnsi="Calibri" w:cs="Calibri"/>
          <w:i/>
          <w:iCs/>
          <w:noProof/>
          <w:sz w:val="24"/>
          <w:szCs w:val="24"/>
        </w:rPr>
        <w:t>3</w:t>
      </w:r>
      <w:r w:rsidRPr="00F738BB">
        <w:rPr>
          <w:rFonts w:ascii="Calibri" w:hAnsi="Calibri" w:cs="Calibri"/>
          <w:noProof/>
          <w:sz w:val="24"/>
          <w:szCs w:val="24"/>
        </w:rPr>
        <w:t>, 71–97. https://doi.org/10.1002/9781118299753.ch3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Hair, J. F. (2014). Multivariate Data Analysis. In </w:t>
      </w:r>
      <w:r w:rsidRPr="00F738BB">
        <w:rPr>
          <w:rFonts w:ascii="Calibri" w:hAnsi="Calibri" w:cs="Calibri"/>
          <w:i/>
          <w:iCs/>
          <w:noProof/>
          <w:sz w:val="24"/>
          <w:szCs w:val="24"/>
        </w:rPr>
        <w:t>Exploratory Data Analysis in Business and Economics</w:t>
      </w:r>
      <w:r w:rsidRPr="00F738BB">
        <w:rPr>
          <w:rFonts w:ascii="Calibri" w:hAnsi="Calibri" w:cs="Calibri"/>
          <w:noProof/>
          <w:sz w:val="24"/>
          <w:szCs w:val="24"/>
        </w:rPr>
        <w:t xml:space="preserve"> (7th ed.). https://doi.org/10.1007/978-3-319-01517-0_3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Hall, Robert D. (2006). Plant metabolomics: From holistic hope, to hype, to hot topic. </w:t>
      </w:r>
      <w:r w:rsidRPr="00F738BB">
        <w:rPr>
          <w:rFonts w:ascii="Calibri" w:hAnsi="Calibri" w:cs="Calibri"/>
          <w:i/>
          <w:iCs/>
          <w:noProof/>
          <w:sz w:val="24"/>
          <w:szCs w:val="24"/>
        </w:rPr>
        <w:t>New Phytologist</w:t>
      </w:r>
      <w:r w:rsidRPr="00F738BB">
        <w:rPr>
          <w:rFonts w:ascii="Calibri" w:hAnsi="Calibri" w:cs="Calibri"/>
          <w:noProof/>
          <w:sz w:val="24"/>
          <w:szCs w:val="24"/>
        </w:rPr>
        <w:t xml:space="preserve">, </w:t>
      </w:r>
      <w:r w:rsidRPr="00F738BB">
        <w:rPr>
          <w:rFonts w:ascii="Calibri" w:hAnsi="Calibri" w:cs="Calibri"/>
          <w:i/>
          <w:iCs/>
          <w:noProof/>
          <w:sz w:val="24"/>
          <w:szCs w:val="24"/>
        </w:rPr>
        <w:t>169</w:t>
      </w:r>
      <w:r w:rsidRPr="00F738BB">
        <w:rPr>
          <w:rFonts w:ascii="Calibri" w:hAnsi="Calibri" w:cs="Calibri"/>
          <w:noProof/>
          <w:sz w:val="24"/>
          <w:szCs w:val="24"/>
        </w:rPr>
        <w:t>(3), 453–468. https://doi.org/10.1111/j.1469-8137.2005.01632.x</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Hall, Robert D. (2011). Plant Metabolomics in a Nutshell: Potential and Future Challenges. </w:t>
      </w:r>
      <w:r w:rsidRPr="00F738BB">
        <w:rPr>
          <w:rFonts w:ascii="Calibri" w:hAnsi="Calibri" w:cs="Calibri"/>
          <w:i/>
          <w:iCs/>
          <w:noProof/>
          <w:sz w:val="24"/>
          <w:szCs w:val="24"/>
        </w:rPr>
        <w:t>Annual Plant Reviews Volume 43: Biology of Plant Metabolomics</w:t>
      </w:r>
      <w:r w:rsidRPr="00F738BB">
        <w:rPr>
          <w:rFonts w:ascii="Calibri" w:hAnsi="Calibri" w:cs="Calibri"/>
          <w:noProof/>
          <w:sz w:val="24"/>
          <w:szCs w:val="24"/>
        </w:rPr>
        <w:t xml:space="preserve">, </w:t>
      </w:r>
      <w:r w:rsidRPr="00F738BB">
        <w:rPr>
          <w:rFonts w:ascii="Calibri" w:hAnsi="Calibri" w:cs="Calibri"/>
          <w:i/>
          <w:iCs/>
          <w:noProof/>
          <w:sz w:val="24"/>
          <w:szCs w:val="24"/>
        </w:rPr>
        <w:t>43</w:t>
      </w:r>
      <w:r w:rsidRPr="00F738BB">
        <w:rPr>
          <w:rFonts w:ascii="Calibri" w:hAnsi="Calibri" w:cs="Calibri"/>
          <w:noProof/>
          <w:sz w:val="24"/>
          <w:szCs w:val="24"/>
        </w:rPr>
        <w:t>, 1–24. https://doi.org/10.1002/9781444339956.ch1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Han, Z. X., Rana, M. M., Liu, G. F., Gao, M. J., Li, D. X., Wu, F. G., … Wei, S. (2016). Green tea flavour determinants and their changes over manufacturing processes.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212</w:t>
      </w:r>
      <w:r w:rsidRPr="00F738BB">
        <w:rPr>
          <w:rFonts w:ascii="Calibri" w:hAnsi="Calibri" w:cs="Calibri"/>
          <w:noProof/>
          <w:sz w:val="24"/>
          <w:szCs w:val="24"/>
        </w:rPr>
        <w:t>, 739–748. https://doi.org/10.1016/j.foodchem.2016.06.049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Harford, R. (2018). eatweeds.co.uk. Retrieved from www website: https://www.eatweeds.co.uk/about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Hashimoto, Kazushige Sogawa,  and M. D. P. (1992). Tannins and related compounds. </w:t>
      </w:r>
      <w:r w:rsidRPr="00F738BB">
        <w:rPr>
          <w:rFonts w:ascii="Calibri" w:hAnsi="Calibri" w:cs="Calibri"/>
          <w:i/>
          <w:iCs/>
          <w:noProof/>
          <w:sz w:val="24"/>
          <w:szCs w:val="24"/>
        </w:rPr>
        <w:t>Chemical Pharmaceutical Bulletin</w:t>
      </w:r>
      <w:r w:rsidRPr="00F738BB">
        <w:rPr>
          <w:rFonts w:ascii="Calibri" w:hAnsi="Calibri" w:cs="Calibri"/>
          <w:noProof/>
          <w:sz w:val="24"/>
          <w:szCs w:val="24"/>
        </w:rPr>
        <w:t>, (43), 2091. Retrieved from http://www.mendeley.com/research/geology-volcanic-history-eruptive-style-yakedake-volcano-group-central-japan/</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Haslam, E. (2003). Thoughts on thearubigins. </w:t>
      </w:r>
      <w:r w:rsidRPr="00F738BB">
        <w:rPr>
          <w:rFonts w:ascii="Calibri" w:hAnsi="Calibri" w:cs="Calibri"/>
          <w:i/>
          <w:iCs/>
          <w:noProof/>
          <w:sz w:val="24"/>
          <w:szCs w:val="24"/>
        </w:rPr>
        <w:t>Phytochemistry</w:t>
      </w:r>
      <w:r w:rsidRPr="00F738BB">
        <w:rPr>
          <w:rFonts w:ascii="Calibri" w:hAnsi="Calibri" w:cs="Calibri"/>
          <w:noProof/>
          <w:sz w:val="24"/>
          <w:szCs w:val="24"/>
        </w:rPr>
        <w:t xml:space="preserve">, </w:t>
      </w:r>
      <w:r w:rsidRPr="00F738BB">
        <w:rPr>
          <w:rFonts w:ascii="Calibri" w:hAnsi="Calibri" w:cs="Calibri"/>
          <w:i/>
          <w:iCs/>
          <w:noProof/>
          <w:sz w:val="24"/>
          <w:szCs w:val="24"/>
        </w:rPr>
        <w:t>64</w:t>
      </w:r>
      <w:r w:rsidRPr="00F738BB">
        <w:rPr>
          <w:rFonts w:ascii="Calibri" w:hAnsi="Calibri" w:cs="Calibri"/>
          <w:noProof/>
          <w:sz w:val="24"/>
          <w:szCs w:val="24"/>
        </w:rPr>
        <w:t>(1), 61–73. https://doi.org/10.1016/S0031-9422(03)00355-8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Hayden, H. S., Blomster, J., Maggs, C. A., Silva, P. C., Stanhope, M. J., Waaland, J. R., … Maggs, C. A. (2012). </w:t>
      </w:r>
      <w:r w:rsidRPr="00F738BB">
        <w:rPr>
          <w:rFonts w:ascii="Calibri" w:hAnsi="Calibri" w:cs="Calibri"/>
          <w:i/>
          <w:iCs/>
          <w:noProof/>
          <w:sz w:val="24"/>
          <w:szCs w:val="24"/>
        </w:rPr>
        <w:t xml:space="preserve">Linnaeus was right all along : Ulva and Enteromorpha are not distinct genera Linnaeus was right all along : Viva and Ellterolnorplla are not distinct </w:t>
      </w:r>
      <w:r w:rsidRPr="00F738BB">
        <w:rPr>
          <w:rFonts w:ascii="Calibri" w:hAnsi="Calibri" w:cs="Calibri"/>
          <w:i/>
          <w:iCs/>
          <w:noProof/>
          <w:sz w:val="24"/>
          <w:szCs w:val="24"/>
        </w:rPr>
        <w:lastRenderedPageBreak/>
        <w:t>genera</w:t>
      </w:r>
      <w:r w:rsidRPr="00F738BB">
        <w:rPr>
          <w:rFonts w:ascii="Calibri" w:hAnsi="Calibri" w:cs="Calibri"/>
          <w:noProof/>
          <w:sz w:val="24"/>
          <w:szCs w:val="24"/>
        </w:rPr>
        <w:t xml:space="preserve">. </w:t>
      </w:r>
      <w:r w:rsidRPr="00F738BB">
        <w:rPr>
          <w:rFonts w:ascii="Calibri" w:hAnsi="Calibri" w:cs="Calibri"/>
          <w:i/>
          <w:iCs/>
          <w:noProof/>
          <w:sz w:val="24"/>
          <w:szCs w:val="24"/>
        </w:rPr>
        <w:t>0262</w:t>
      </w:r>
      <w:r w:rsidRPr="00F738BB">
        <w:rPr>
          <w:rFonts w:ascii="Calibri" w:hAnsi="Calibri" w:cs="Calibri"/>
          <w:noProof/>
          <w:sz w:val="24"/>
          <w:szCs w:val="24"/>
        </w:rPr>
        <w:t>. https://doi.org/10.1080/1364253031000136321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Heffernan, N., Brunton, N. P., FitzGerald, R. J., &amp; Smyth, T. J. (2015). Profiling of the molecular weight and structural isomer abundance of macroalgae-derived phlorotannins. </w:t>
      </w:r>
      <w:r w:rsidRPr="00F738BB">
        <w:rPr>
          <w:rFonts w:ascii="Calibri" w:hAnsi="Calibri" w:cs="Calibri"/>
          <w:i/>
          <w:iCs/>
          <w:noProof/>
          <w:sz w:val="24"/>
          <w:szCs w:val="24"/>
        </w:rPr>
        <w:t>Marine Drugs</w:t>
      </w:r>
      <w:r w:rsidRPr="00F738BB">
        <w:rPr>
          <w:rFonts w:ascii="Calibri" w:hAnsi="Calibri" w:cs="Calibri"/>
          <w:noProof/>
          <w:sz w:val="24"/>
          <w:szCs w:val="24"/>
        </w:rPr>
        <w:t xml:space="preserve">, </w:t>
      </w:r>
      <w:r w:rsidRPr="00F738BB">
        <w:rPr>
          <w:rFonts w:ascii="Calibri" w:hAnsi="Calibri" w:cs="Calibri"/>
          <w:i/>
          <w:iCs/>
          <w:noProof/>
          <w:sz w:val="24"/>
          <w:szCs w:val="24"/>
        </w:rPr>
        <w:t>13</w:t>
      </w:r>
      <w:r w:rsidRPr="00F738BB">
        <w:rPr>
          <w:rFonts w:ascii="Calibri" w:hAnsi="Calibri" w:cs="Calibri"/>
          <w:noProof/>
          <w:sz w:val="24"/>
          <w:szCs w:val="24"/>
        </w:rPr>
        <w:t>(1), 509–528. https://doi.org/10.3390/md13010509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Hilal, Y., &amp; Engelhardt, U. (2007). Characterisation of white tea - Comparison to green and black tea. </w:t>
      </w:r>
      <w:r w:rsidRPr="00F738BB">
        <w:rPr>
          <w:rFonts w:ascii="Calibri" w:hAnsi="Calibri" w:cs="Calibri"/>
          <w:i/>
          <w:iCs/>
          <w:noProof/>
          <w:sz w:val="24"/>
          <w:szCs w:val="24"/>
        </w:rPr>
        <w:t>Journal Fur Verbraucherschutz Und Lebensmittelsicherheit</w:t>
      </w:r>
      <w:r w:rsidRPr="00F738BB">
        <w:rPr>
          <w:rFonts w:ascii="Calibri" w:hAnsi="Calibri" w:cs="Calibri"/>
          <w:noProof/>
          <w:sz w:val="24"/>
          <w:szCs w:val="24"/>
        </w:rPr>
        <w:t xml:space="preserve">, </w:t>
      </w:r>
      <w:r w:rsidRPr="00F738BB">
        <w:rPr>
          <w:rFonts w:ascii="Calibri" w:hAnsi="Calibri" w:cs="Calibri"/>
          <w:i/>
          <w:iCs/>
          <w:noProof/>
          <w:sz w:val="24"/>
          <w:szCs w:val="24"/>
        </w:rPr>
        <w:t>2</w:t>
      </w:r>
      <w:r w:rsidRPr="00F738BB">
        <w:rPr>
          <w:rFonts w:ascii="Calibri" w:hAnsi="Calibri" w:cs="Calibri"/>
          <w:noProof/>
          <w:sz w:val="24"/>
          <w:szCs w:val="24"/>
        </w:rPr>
        <w:t>(4), 414–421. https://doi.org/10.1007/s00003-007-0250-3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Hiroaki, Y. (2014). Prevention of Diet-Induced Obesity by Dietary Polyphenols Derived from Nelumbo nucifera and. In </w:t>
      </w:r>
      <w:r w:rsidRPr="00F738BB">
        <w:rPr>
          <w:rFonts w:ascii="Calibri" w:hAnsi="Calibri" w:cs="Calibri"/>
          <w:i/>
          <w:iCs/>
          <w:noProof/>
          <w:sz w:val="24"/>
          <w:szCs w:val="24"/>
        </w:rPr>
        <w:t>Polyphenols in Human Health and Disease</w:t>
      </w:r>
      <w:r w:rsidRPr="00F738BB">
        <w:rPr>
          <w:rFonts w:ascii="Calibri" w:hAnsi="Calibri" w:cs="Calibri"/>
          <w:noProof/>
          <w:sz w:val="24"/>
          <w:szCs w:val="24"/>
        </w:rPr>
        <w:t>. https://doi.org/10.1016/B978-0-12-398456-2.00012-8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Hollman, P. C. H., Hof, K. H. V. H., Tijburg, L. B. M., &amp; Katan, M. B. (2001). Addition of milk does not affect the absorption of flavonols from tea in man. </w:t>
      </w:r>
      <w:r w:rsidRPr="00F738BB">
        <w:rPr>
          <w:rFonts w:ascii="Calibri" w:hAnsi="Calibri" w:cs="Calibri"/>
          <w:i/>
          <w:iCs/>
          <w:noProof/>
          <w:sz w:val="24"/>
          <w:szCs w:val="24"/>
        </w:rPr>
        <w:t>Free Radical Research</w:t>
      </w:r>
      <w:r w:rsidRPr="00F738BB">
        <w:rPr>
          <w:rFonts w:ascii="Calibri" w:hAnsi="Calibri" w:cs="Calibri"/>
          <w:noProof/>
          <w:sz w:val="24"/>
          <w:szCs w:val="24"/>
        </w:rPr>
        <w:t xml:space="preserve">, </w:t>
      </w:r>
      <w:r w:rsidRPr="00F738BB">
        <w:rPr>
          <w:rFonts w:ascii="Calibri" w:hAnsi="Calibri" w:cs="Calibri"/>
          <w:i/>
          <w:iCs/>
          <w:noProof/>
          <w:sz w:val="24"/>
          <w:szCs w:val="24"/>
        </w:rPr>
        <w:t>34</w:t>
      </w:r>
      <w:r w:rsidRPr="00F738BB">
        <w:rPr>
          <w:rFonts w:ascii="Calibri" w:hAnsi="Calibri" w:cs="Calibri"/>
          <w:noProof/>
          <w:sz w:val="24"/>
          <w:szCs w:val="24"/>
        </w:rPr>
        <w:t>(3), 297–300. https://doi.org/10.1080/10715760100300261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Hua, Y., &amp; Jenke, D. (2012). Increasing the sensitivity of an LCMS method for screening material extracts for organic extractables via mobile phase optimization. </w:t>
      </w:r>
      <w:r w:rsidRPr="00F738BB">
        <w:rPr>
          <w:rFonts w:ascii="Calibri" w:hAnsi="Calibri" w:cs="Calibri"/>
          <w:i/>
          <w:iCs/>
          <w:noProof/>
          <w:sz w:val="24"/>
          <w:szCs w:val="24"/>
        </w:rPr>
        <w:t>Journal of Chromatographic Science</w:t>
      </w:r>
      <w:r w:rsidRPr="00F738BB">
        <w:rPr>
          <w:rFonts w:ascii="Calibri" w:hAnsi="Calibri" w:cs="Calibri"/>
          <w:noProof/>
          <w:sz w:val="24"/>
          <w:szCs w:val="24"/>
        </w:rPr>
        <w:t xml:space="preserve">, </w:t>
      </w:r>
      <w:r w:rsidRPr="00F738BB">
        <w:rPr>
          <w:rFonts w:ascii="Calibri" w:hAnsi="Calibri" w:cs="Calibri"/>
          <w:i/>
          <w:iCs/>
          <w:noProof/>
          <w:sz w:val="24"/>
          <w:szCs w:val="24"/>
        </w:rPr>
        <w:t>50</w:t>
      </w:r>
      <w:r w:rsidRPr="00F738BB">
        <w:rPr>
          <w:rFonts w:ascii="Calibri" w:hAnsi="Calibri" w:cs="Calibri"/>
          <w:noProof/>
          <w:sz w:val="24"/>
          <w:szCs w:val="24"/>
        </w:rPr>
        <w:t>(3), 213–227. https://doi.org/10.1093/chromsci/bmr049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Izawa, K. M. K. (2010). </w:t>
      </w:r>
      <w:r w:rsidRPr="00F738BB">
        <w:rPr>
          <w:rFonts w:ascii="Calibri" w:hAnsi="Calibri" w:cs="Calibri"/>
          <w:i/>
          <w:iCs/>
          <w:noProof/>
          <w:sz w:val="24"/>
          <w:szCs w:val="24"/>
        </w:rPr>
        <w:t>Thearubigins Learn more about Thearubigins Chemical Ecology Polyphenols in Chronic Diseases and their Mechanisms of Action</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J.Finlay. (2019a). Kenya | Finlays. Retrieved June 23, 2019, from www website: https://www.finlays.net/our-products/tea/estates/kenya/</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J.Finlay. (2019b). Sri Lanka | Finlays. Retrieved June 23, 2019, from www website: https://www.finlays.net/our-products/tea/estates/sri-lanka/</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Jang, M., &amp; Cai, L. (1989). Cancer Chemopreventive Activity of Resveratrol, a Natural Product Derived from Grapes. </w:t>
      </w:r>
      <w:r w:rsidRPr="00F738BB">
        <w:rPr>
          <w:rFonts w:ascii="Calibri" w:hAnsi="Calibri" w:cs="Calibri"/>
          <w:i/>
          <w:iCs/>
          <w:noProof/>
          <w:sz w:val="24"/>
          <w:szCs w:val="24"/>
        </w:rPr>
        <w:t>Cell Biol. Cell Motil. Cy-Toskeleton Eur. J. Cell Biol. Cell J. Cell Sci. Eur. J. Cell Biol</w:t>
      </w:r>
      <w:r w:rsidRPr="00F738BB">
        <w:rPr>
          <w:rFonts w:ascii="Calibri" w:hAnsi="Calibri" w:cs="Calibri"/>
          <w:noProof/>
          <w:sz w:val="24"/>
          <w:szCs w:val="24"/>
        </w:rPr>
        <w:t xml:space="preserve">, </w:t>
      </w:r>
      <w:r w:rsidRPr="00F738BB">
        <w:rPr>
          <w:rFonts w:ascii="Calibri" w:hAnsi="Calibri" w:cs="Calibri"/>
          <w:i/>
          <w:iCs/>
          <w:noProof/>
          <w:sz w:val="24"/>
          <w:szCs w:val="24"/>
        </w:rPr>
        <w:t>109</w:t>
      </w:r>
      <w:r w:rsidRPr="00F738BB">
        <w:rPr>
          <w:rFonts w:ascii="Calibri" w:hAnsi="Calibri" w:cs="Calibri"/>
          <w:noProof/>
          <w:sz w:val="24"/>
          <w:szCs w:val="24"/>
        </w:rPr>
        <w:t>(30), 2761–149.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Jiménez-Carvelo, A. M., González-Casado, A., Bagur-González, M. G., &amp; Cuadros-Rodríguez, L. (2019). Alternative data mining/machine learning methods for the analytical evaluation of food quality and authenticity – A review. </w:t>
      </w:r>
      <w:r w:rsidRPr="00F738BB">
        <w:rPr>
          <w:rFonts w:ascii="Calibri" w:hAnsi="Calibri" w:cs="Calibri"/>
          <w:i/>
          <w:iCs/>
          <w:noProof/>
          <w:sz w:val="24"/>
          <w:szCs w:val="24"/>
        </w:rPr>
        <w:t>Food Research International</w:t>
      </w:r>
      <w:r w:rsidRPr="00F738BB">
        <w:rPr>
          <w:rFonts w:ascii="Calibri" w:hAnsi="Calibri" w:cs="Calibri"/>
          <w:noProof/>
          <w:sz w:val="24"/>
          <w:szCs w:val="24"/>
        </w:rPr>
        <w:t xml:space="preserve">, </w:t>
      </w:r>
      <w:r w:rsidRPr="00F738BB">
        <w:rPr>
          <w:rFonts w:ascii="Calibri" w:hAnsi="Calibri" w:cs="Calibri"/>
          <w:i/>
          <w:iCs/>
          <w:noProof/>
          <w:sz w:val="24"/>
          <w:szCs w:val="24"/>
        </w:rPr>
        <w:lastRenderedPageBreak/>
        <w:t>122</w:t>
      </w:r>
      <w:r w:rsidRPr="00F738BB">
        <w:rPr>
          <w:rFonts w:ascii="Calibri" w:hAnsi="Calibri" w:cs="Calibri"/>
          <w:noProof/>
          <w:sz w:val="24"/>
          <w:szCs w:val="24"/>
        </w:rPr>
        <w:t>(March), 25–39. https://doi.org/10.1016/j.foodres.2019.03.063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Johnson, S. L., Kirk, R. D., Dasilva, N. A., Ma, H., Seeram, N. P., &amp; Bertin, M. J. (2019). </w:t>
      </w:r>
      <w:r w:rsidRPr="00F738BB">
        <w:rPr>
          <w:rFonts w:ascii="Calibri" w:hAnsi="Calibri" w:cs="Calibri"/>
          <w:i/>
          <w:iCs/>
          <w:noProof/>
          <w:sz w:val="24"/>
          <w:szCs w:val="24"/>
        </w:rPr>
        <w:t>Polyphenol Microbial Metabolites Exhibit Gut and Blood – Brain Barrier Permeability and Protect Murine Microglia against LPS-Induced Inflammation</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Kang, S., Yan, H., Zhu, Y., Liu, X., Lv, H. P., Zhang, Y., … Lin, Z. (2019). Identification and quantification of key odorants in the world’s four most famous black teas. </w:t>
      </w:r>
      <w:r w:rsidRPr="00F738BB">
        <w:rPr>
          <w:rFonts w:ascii="Calibri" w:hAnsi="Calibri" w:cs="Calibri"/>
          <w:i/>
          <w:iCs/>
          <w:noProof/>
          <w:sz w:val="24"/>
          <w:szCs w:val="24"/>
        </w:rPr>
        <w:t>Food Research International</w:t>
      </w:r>
      <w:r w:rsidRPr="00F738BB">
        <w:rPr>
          <w:rFonts w:ascii="Calibri" w:hAnsi="Calibri" w:cs="Calibri"/>
          <w:noProof/>
          <w:sz w:val="24"/>
          <w:szCs w:val="24"/>
        </w:rPr>
        <w:t xml:space="preserve">, </w:t>
      </w:r>
      <w:r w:rsidRPr="00F738BB">
        <w:rPr>
          <w:rFonts w:ascii="Calibri" w:hAnsi="Calibri" w:cs="Calibri"/>
          <w:i/>
          <w:iCs/>
          <w:noProof/>
          <w:sz w:val="24"/>
          <w:szCs w:val="24"/>
        </w:rPr>
        <w:t>121</w:t>
      </w:r>
      <w:r w:rsidRPr="00F738BB">
        <w:rPr>
          <w:rFonts w:ascii="Calibri" w:hAnsi="Calibri" w:cs="Calibri"/>
          <w:noProof/>
          <w:sz w:val="24"/>
          <w:szCs w:val="24"/>
        </w:rPr>
        <w:t>(March), 73–83. https://doi.org/10.1016/j.foodres.2019.03.009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Kerio, L. C., Wachira, F. N., Wanyoko, J. K., &amp; Rotich, M. K. (2012). Characterization of anthocyanins in Kenyan teas: Extraction and identification.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131</w:t>
      </w:r>
      <w:r w:rsidRPr="00F738BB">
        <w:rPr>
          <w:rFonts w:ascii="Calibri" w:hAnsi="Calibri" w:cs="Calibri"/>
          <w:noProof/>
          <w:sz w:val="24"/>
          <w:szCs w:val="24"/>
        </w:rPr>
        <w:t>(1), 31–38. https://doi.org/10.1016/j.foodchem.2011.08.005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Kerio, L. C., Wachira, F. N., Wanyoko, J. K., &amp; Rotich, M. K. (2013). Total polyphenols, catechin profiles and antioxidant activity of tea products from purple leaf coloured tea cultivars.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136</w:t>
      </w:r>
      <w:r w:rsidRPr="00F738BB">
        <w:rPr>
          <w:rFonts w:ascii="Calibri" w:hAnsi="Calibri" w:cs="Calibri"/>
          <w:noProof/>
          <w:sz w:val="24"/>
          <w:szCs w:val="24"/>
        </w:rPr>
        <w:t>(3–4), 1405–1413. https://doi.org/10.1016/j.foodchem.2012.09.066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Kilel, E. C., Faraj, A. K., Wanyoko, J. K., Wachira, F. N., &amp; Mwingirwa, V. (2013). Green tea from purple leaf coloured tea clones in Kenya-their quality characteristics.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141</w:t>
      </w:r>
      <w:r w:rsidRPr="00F738BB">
        <w:rPr>
          <w:rFonts w:ascii="Calibri" w:hAnsi="Calibri" w:cs="Calibri"/>
          <w:noProof/>
          <w:sz w:val="24"/>
          <w:szCs w:val="24"/>
        </w:rPr>
        <w:t>(2), 769–775. https://doi.org/10.1016/j.foodchem.2013.03.051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King, A. P., &amp; Eckersley, R. J. (2019). Inferential Statistics V: Multiple and Multivariate Hypothesis Testing. </w:t>
      </w:r>
      <w:r w:rsidRPr="00F738BB">
        <w:rPr>
          <w:rFonts w:ascii="Calibri" w:hAnsi="Calibri" w:cs="Calibri"/>
          <w:i/>
          <w:iCs/>
          <w:noProof/>
          <w:sz w:val="24"/>
          <w:szCs w:val="24"/>
        </w:rPr>
        <w:t>Statistics for Biomedical Engineers and Scientists</w:t>
      </w:r>
      <w:r w:rsidRPr="00F738BB">
        <w:rPr>
          <w:rFonts w:ascii="Calibri" w:hAnsi="Calibri" w:cs="Calibri"/>
          <w:noProof/>
          <w:sz w:val="24"/>
          <w:szCs w:val="24"/>
        </w:rPr>
        <w:t>, 173–199. https://doi.org/10.1016/b978-0-08-102939-8.00017-7</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Kıvrak, İ., Kıvrak, Ş., Harmandar, M., &amp; Çetintaş, Y. (2013). Phenolic Compounds of Pinus brutia Ten: Chemical Investigation and Quantitative Analysis Using an Ultra-Performance Liquid Chromatography Tandem Mass Spectrometry with Electrospray Ionization Source. </w:t>
      </w:r>
      <w:r w:rsidRPr="00F738BB">
        <w:rPr>
          <w:rFonts w:ascii="Calibri" w:hAnsi="Calibri" w:cs="Calibri"/>
          <w:i/>
          <w:iCs/>
          <w:noProof/>
          <w:sz w:val="24"/>
          <w:szCs w:val="24"/>
        </w:rPr>
        <w:t>Records of Natural Products</w:t>
      </w:r>
      <w:r w:rsidRPr="00F738BB">
        <w:rPr>
          <w:rFonts w:ascii="Calibri" w:hAnsi="Calibri" w:cs="Calibri"/>
          <w:noProof/>
          <w:sz w:val="24"/>
          <w:szCs w:val="24"/>
        </w:rPr>
        <w:t xml:space="preserve">, </w:t>
      </w:r>
      <w:r w:rsidRPr="00F738BB">
        <w:rPr>
          <w:rFonts w:ascii="Calibri" w:hAnsi="Calibri" w:cs="Calibri"/>
          <w:i/>
          <w:iCs/>
          <w:noProof/>
          <w:sz w:val="24"/>
          <w:szCs w:val="24"/>
        </w:rPr>
        <w:t>7</w:t>
      </w:r>
      <w:r w:rsidRPr="00F738BB">
        <w:rPr>
          <w:rFonts w:ascii="Calibri" w:hAnsi="Calibri" w:cs="Calibri"/>
          <w:noProof/>
          <w:sz w:val="24"/>
          <w:szCs w:val="24"/>
        </w:rPr>
        <w:t>(October 2013), 313–319.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Kopka, J., Walther, D., Allwood, J.W. and Goodacre, R. (2011). Progress in chemometrics and biostatistics for plant applications: or a good red wine is a bad white wine. In R.D. Hall (Ed.), </w:t>
      </w:r>
      <w:r w:rsidRPr="00F738BB">
        <w:rPr>
          <w:rFonts w:ascii="Calibri" w:hAnsi="Calibri" w:cs="Calibri"/>
          <w:i/>
          <w:iCs/>
          <w:noProof/>
          <w:sz w:val="24"/>
          <w:szCs w:val="24"/>
        </w:rPr>
        <w:t>Annual Plant Reviews, Biology of Plant Metabolomics</w:t>
      </w:r>
      <w:r w:rsidRPr="00F738BB">
        <w:rPr>
          <w:rFonts w:ascii="Calibri" w:hAnsi="Calibri" w:cs="Calibri"/>
          <w:noProof/>
          <w:sz w:val="24"/>
          <w:szCs w:val="24"/>
        </w:rPr>
        <w:t xml:space="preserve"> (pp. 317–342). Blackwell Publishing Ltd., Oxford, UK.</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lastRenderedPageBreak/>
        <w:t xml:space="preserve">Krikorian, R., Kalt, W., Mcdonald, J. E., Shidler, M. D., Summer, S. S., &amp; Stein, A. L. (2019). Cognitive performance in relation to urinary anthocyanins and their fl avonoid-based products following blueberry supplementation in older adults at risk for dementia. </w:t>
      </w:r>
      <w:r w:rsidRPr="00F738BB">
        <w:rPr>
          <w:rFonts w:ascii="Calibri" w:hAnsi="Calibri" w:cs="Calibri"/>
          <w:i/>
          <w:iCs/>
          <w:noProof/>
          <w:sz w:val="24"/>
          <w:szCs w:val="24"/>
        </w:rPr>
        <w:t>Journal of Functional Foods</w:t>
      </w:r>
      <w:r w:rsidRPr="00F738BB">
        <w:rPr>
          <w:rFonts w:ascii="Calibri" w:hAnsi="Calibri" w:cs="Calibri"/>
          <w:noProof/>
          <w:sz w:val="24"/>
          <w:szCs w:val="24"/>
        </w:rPr>
        <w:t>, (October), 103667. https://doi.org/10.1016/j.jff.2019.103667</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Kumar, C. S., Ganesan, P., Suresh V, P., &amp; Bhaskar, N. (2008). Seaweeds as a source of nutritionally beneficial compounds - A review. </w:t>
      </w:r>
      <w:r w:rsidRPr="00F738BB">
        <w:rPr>
          <w:rFonts w:ascii="Calibri" w:hAnsi="Calibri" w:cs="Calibri"/>
          <w:i/>
          <w:iCs/>
          <w:noProof/>
          <w:sz w:val="24"/>
          <w:szCs w:val="24"/>
        </w:rPr>
        <w:t>Journal of Food Science and Technology-Mysore</w:t>
      </w:r>
      <w:r w:rsidRPr="00F738BB">
        <w:rPr>
          <w:rFonts w:ascii="Calibri" w:hAnsi="Calibri" w:cs="Calibri"/>
          <w:noProof/>
          <w:sz w:val="24"/>
          <w:szCs w:val="24"/>
        </w:rPr>
        <w:t xml:space="preserve">, </w:t>
      </w:r>
      <w:r w:rsidRPr="00F738BB">
        <w:rPr>
          <w:rFonts w:ascii="Calibri" w:hAnsi="Calibri" w:cs="Calibri"/>
          <w:i/>
          <w:iCs/>
          <w:noProof/>
          <w:sz w:val="24"/>
          <w:szCs w:val="24"/>
        </w:rPr>
        <w:t>45</w:t>
      </w:r>
      <w:r w:rsidRPr="00F738BB">
        <w:rPr>
          <w:rFonts w:ascii="Calibri" w:hAnsi="Calibri" w:cs="Calibri"/>
          <w:noProof/>
          <w:sz w:val="24"/>
          <w:szCs w:val="24"/>
        </w:rPr>
        <w:t>(1), 1–13.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Kunisue, T., Tanabe, S., Isobe, T., Aldous, K. M., &amp; Kannan, K. (2010). Profiles of phytoestrogens in human urine from several Asian countries. </w:t>
      </w:r>
      <w:r w:rsidRPr="00F738BB">
        <w:rPr>
          <w:rFonts w:ascii="Calibri" w:hAnsi="Calibri" w:cs="Calibri"/>
          <w:i/>
          <w:iCs/>
          <w:noProof/>
          <w:sz w:val="24"/>
          <w:szCs w:val="24"/>
        </w:rPr>
        <w:t>Journal of Agricultural and Food Chemistry</w:t>
      </w:r>
      <w:r w:rsidRPr="00F738BB">
        <w:rPr>
          <w:rFonts w:ascii="Calibri" w:hAnsi="Calibri" w:cs="Calibri"/>
          <w:noProof/>
          <w:sz w:val="24"/>
          <w:szCs w:val="24"/>
        </w:rPr>
        <w:t xml:space="preserve">, </w:t>
      </w:r>
      <w:r w:rsidRPr="00F738BB">
        <w:rPr>
          <w:rFonts w:ascii="Calibri" w:hAnsi="Calibri" w:cs="Calibri"/>
          <w:i/>
          <w:iCs/>
          <w:noProof/>
          <w:sz w:val="24"/>
          <w:szCs w:val="24"/>
        </w:rPr>
        <w:t>58</w:t>
      </w:r>
      <w:r w:rsidRPr="00F738BB">
        <w:rPr>
          <w:rFonts w:ascii="Calibri" w:hAnsi="Calibri" w:cs="Calibri"/>
          <w:noProof/>
          <w:sz w:val="24"/>
          <w:szCs w:val="24"/>
        </w:rPr>
        <w:t>(17), 9838–9846. https://doi.org/10.1021/jf102253j</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Kurihara et al. and Kubo et a. (2004). Passive Cutaneous Anaphylaxis-Inhibitory Action of Tectorigenin, a Metabolite of Tectoridin by Intestinal Microflora. </w:t>
      </w:r>
      <w:r w:rsidRPr="00F738BB">
        <w:rPr>
          <w:rFonts w:ascii="Calibri" w:hAnsi="Calibri" w:cs="Calibri"/>
          <w:i/>
          <w:iCs/>
          <w:noProof/>
          <w:sz w:val="24"/>
          <w:szCs w:val="24"/>
        </w:rPr>
        <w:t>Biol. Pharm. Bull.</w:t>
      </w:r>
      <w:r w:rsidRPr="00F738BB">
        <w:rPr>
          <w:rFonts w:ascii="Calibri" w:hAnsi="Calibri" w:cs="Calibri"/>
          <w:noProof/>
          <w:sz w:val="24"/>
          <w:szCs w:val="24"/>
        </w:rPr>
        <w:t xml:space="preserve">, </w:t>
      </w:r>
      <w:r w:rsidRPr="00F738BB">
        <w:rPr>
          <w:rFonts w:ascii="Calibri" w:hAnsi="Calibri" w:cs="Calibri"/>
          <w:i/>
          <w:iCs/>
          <w:noProof/>
          <w:sz w:val="24"/>
          <w:szCs w:val="24"/>
        </w:rPr>
        <w:t>27</w:t>
      </w:r>
      <w:r w:rsidRPr="00F738BB">
        <w:rPr>
          <w:rFonts w:ascii="Calibri" w:hAnsi="Calibri" w:cs="Calibri"/>
          <w:noProof/>
          <w:sz w:val="24"/>
          <w:szCs w:val="24"/>
        </w:rPr>
        <w:t>, 1099–1102.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Kuroda, Y., &amp; Hara, Y. (2004). Health Effects of Tea and Its Catechins. In </w:t>
      </w:r>
      <w:r w:rsidRPr="00F738BB">
        <w:rPr>
          <w:rFonts w:ascii="Calibri" w:hAnsi="Calibri" w:cs="Calibri"/>
          <w:i/>
          <w:iCs/>
          <w:noProof/>
          <w:sz w:val="24"/>
          <w:szCs w:val="24"/>
        </w:rPr>
        <w:t>Health Effects of Tea and Its Catechins</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Kwong, B., Tan, H., &amp; Ong, K. W. (2014). Carbohydrate Metabolism. In </w:t>
      </w:r>
      <w:r w:rsidRPr="00F738BB">
        <w:rPr>
          <w:rFonts w:ascii="Calibri" w:hAnsi="Calibri" w:cs="Calibri"/>
          <w:i/>
          <w:iCs/>
          <w:noProof/>
          <w:sz w:val="24"/>
          <w:szCs w:val="24"/>
        </w:rPr>
        <w:t>Polyphenols in Human Health and Disease</w:t>
      </w:r>
      <w:r w:rsidRPr="00F738BB">
        <w:rPr>
          <w:rFonts w:ascii="Calibri" w:hAnsi="Calibri" w:cs="Calibri"/>
          <w:noProof/>
          <w:sz w:val="24"/>
          <w:szCs w:val="24"/>
        </w:rPr>
        <w:t>. https://doi.org/10.1016/B978-0-12-398456-2.00009-8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L.Gaylard. (2015). </w:t>
      </w:r>
      <w:r w:rsidRPr="00F738BB">
        <w:rPr>
          <w:rFonts w:ascii="Calibri" w:hAnsi="Calibri" w:cs="Calibri"/>
          <w:i/>
          <w:iCs/>
          <w:noProof/>
          <w:sz w:val="24"/>
          <w:szCs w:val="24"/>
        </w:rPr>
        <w:t>The Tea Book</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L.Gupta. (2018). </w:t>
      </w:r>
      <w:r w:rsidRPr="00F738BB">
        <w:rPr>
          <w:rFonts w:ascii="Calibri" w:hAnsi="Calibri" w:cs="Calibri"/>
          <w:i/>
          <w:iCs/>
          <w:noProof/>
          <w:sz w:val="24"/>
          <w:szCs w:val="24"/>
        </w:rPr>
        <w:t>Indian Tea Scenario</w:t>
      </w:r>
      <w:r w:rsidRPr="00F738BB">
        <w:rPr>
          <w:rFonts w:ascii="Calibri" w:hAnsi="Calibri" w:cs="Calibri"/>
          <w:noProof/>
          <w:sz w:val="24"/>
          <w:szCs w:val="24"/>
        </w:rPr>
        <w:t xml:space="preserve">. </w:t>
      </w:r>
      <w:r w:rsidRPr="00F738BB">
        <w:rPr>
          <w:rFonts w:ascii="Calibri" w:hAnsi="Calibri" w:cs="Calibri"/>
          <w:i/>
          <w:iCs/>
          <w:noProof/>
          <w:sz w:val="24"/>
          <w:szCs w:val="24"/>
        </w:rPr>
        <w:t>6</w:t>
      </w:r>
      <w:r w:rsidRPr="00F738BB">
        <w:rPr>
          <w:rFonts w:ascii="Calibri" w:hAnsi="Calibri" w:cs="Calibri"/>
          <w:noProof/>
          <w:sz w:val="24"/>
          <w:szCs w:val="24"/>
        </w:rPr>
        <w:t>(6), 63–105.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Lambert, J. D., Sang, S., &amp; Yang, C. S. (2007). </w:t>
      </w:r>
      <w:r w:rsidRPr="00F738BB">
        <w:rPr>
          <w:rFonts w:ascii="Calibri" w:hAnsi="Calibri" w:cs="Calibri"/>
          <w:i/>
          <w:iCs/>
          <w:noProof/>
          <w:sz w:val="24"/>
          <w:szCs w:val="24"/>
        </w:rPr>
        <w:t>reviews Biotransformation of Green Tea Polyphenols and the Biological Activities of Those Metabolites</w:t>
      </w:r>
      <w:r w:rsidRPr="00F738BB">
        <w:rPr>
          <w:rFonts w:ascii="Calibri" w:hAnsi="Calibri" w:cs="Calibri"/>
          <w:noProof/>
          <w:sz w:val="24"/>
          <w:szCs w:val="24"/>
        </w:rPr>
        <w:t xml:space="preserve">. </w:t>
      </w:r>
      <w:r w:rsidRPr="00F738BB">
        <w:rPr>
          <w:rFonts w:ascii="Calibri" w:hAnsi="Calibri" w:cs="Calibri"/>
          <w:i/>
          <w:iCs/>
          <w:noProof/>
          <w:sz w:val="24"/>
          <w:szCs w:val="24"/>
        </w:rPr>
        <w:t>4</w:t>
      </w:r>
      <w:r w:rsidRPr="00F738BB">
        <w:rPr>
          <w:rFonts w:ascii="Calibri" w:hAnsi="Calibri" w:cs="Calibri"/>
          <w:noProof/>
          <w:sz w:val="24"/>
          <w:szCs w:val="24"/>
        </w:rPr>
        <w:t>(6), 819–825.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Lammerhofer, M., &amp; Weckwerth, W. (2013). Metabolomics in Practice. In </w:t>
      </w:r>
      <w:r w:rsidRPr="00F738BB">
        <w:rPr>
          <w:rFonts w:ascii="Calibri" w:hAnsi="Calibri" w:cs="Calibri"/>
          <w:i/>
          <w:iCs/>
          <w:noProof/>
          <w:sz w:val="24"/>
          <w:szCs w:val="24"/>
        </w:rPr>
        <w:t>Metabolomics in Practice</w:t>
      </w:r>
      <w:r w:rsidRPr="00F738BB">
        <w:rPr>
          <w:rFonts w:ascii="Calibri" w:hAnsi="Calibri" w:cs="Calibri"/>
          <w:noProof/>
          <w:sz w:val="24"/>
          <w:szCs w:val="24"/>
        </w:rPr>
        <w:t>. https://doi.org/10.1002/9783527655861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Lattanzio, V., Kroon, P. A., Ralph, J., Harris, P., Dixon, R. A., Dangles, O., … Lamotte, O. (2008). Recent Advances in Polyphenol Research. In </w:t>
      </w:r>
      <w:r w:rsidRPr="00F738BB">
        <w:rPr>
          <w:rFonts w:ascii="Calibri" w:hAnsi="Calibri" w:cs="Calibri"/>
          <w:i/>
          <w:iCs/>
          <w:noProof/>
          <w:sz w:val="24"/>
          <w:szCs w:val="24"/>
        </w:rPr>
        <w:t>Recent Advances in Polyphenol Research</w:t>
      </w:r>
      <w:r w:rsidRPr="00F738BB">
        <w:rPr>
          <w:rFonts w:ascii="Calibri" w:hAnsi="Calibri" w:cs="Calibri"/>
          <w:noProof/>
          <w:sz w:val="24"/>
          <w:szCs w:val="24"/>
        </w:rPr>
        <w:t xml:space="preserve"> (Vol. 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Le Lann, K., Jégou, C., &amp; Stiger-Pouvreau, V. (2008). Effect of different conditioning </w:t>
      </w:r>
      <w:r w:rsidRPr="00F738BB">
        <w:rPr>
          <w:rFonts w:ascii="Calibri" w:hAnsi="Calibri" w:cs="Calibri"/>
          <w:noProof/>
          <w:sz w:val="24"/>
          <w:szCs w:val="24"/>
        </w:rPr>
        <w:lastRenderedPageBreak/>
        <w:t xml:space="preserve">treatments on total phenolic content and antioxidant activities in two Sargassacean species: Comparison of the frondose Sargassum muticum (Yendo) Fensholt and the cylindrical Bifurcaria bifurcata R. Ross. </w:t>
      </w:r>
      <w:r w:rsidRPr="00F738BB">
        <w:rPr>
          <w:rFonts w:ascii="Calibri" w:hAnsi="Calibri" w:cs="Calibri"/>
          <w:i/>
          <w:iCs/>
          <w:noProof/>
          <w:sz w:val="24"/>
          <w:szCs w:val="24"/>
        </w:rPr>
        <w:t>Phycological Research</w:t>
      </w:r>
      <w:r w:rsidRPr="00F738BB">
        <w:rPr>
          <w:rFonts w:ascii="Calibri" w:hAnsi="Calibri" w:cs="Calibri"/>
          <w:noProof/>
          <w:sz w:val="24"/>
          <w:szCs w:val="24"/>
        </w:rPr>
        <w:t xml:space="preserve">, </w:t>
      </w:r>
      <w:r w:rsidRPr="00F738BB">
        <w:rPr>
          <w:rFonts w:ascii="Calibri" w:hAnsi="Calibri" w:cs="Calibri"/>
          <w:i/>
          <w:iCs/>
          <w:noProof/>
          <w:sz w:val="24"/>
          <w:szCs w:val="24"/>
        </w:rPr>
        <w:t>56</w:t>
      </w:r>
      <w:r w:rsidRPr="00F738BB">
        <w:rPr>
          <w:rFonts w:ascii="Calibri" w:hAnsi="Calibri" w:cs="Calibri"/>
          <w:noProof/>
          <w:sz w:val="24"/>
          <w:szCs w:val="24"/>
        </w:rPr>
        <w:t>(4), 238–245. https://doi.org/10.1111/j.1440-1835.2008.00505.x</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Lee, J. E., Lee, B. J., Chung, J. O., Kim, H. N., Kim, E. H., Jung, S., … Hong, Y. S. (2015). Metabolomic unveiling of a diverse range of green tea (Camellia sinensis) metabolites dependent on geography.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174</w:t>
      </w:r>
      <w:r w:rsidRPr="00F738BB">
        <w:rPr>
          <w:rFonts w:ascii="Calibri" w:hAnsi="Calibri" w:cs="Calibri"/>
          <w:noProof/>
          <w:sz w:val="24"/>
          <w:szCs w:val="24"/>
        </w:rPr>
        <w:t>, 452–459. https://doi.org/10.1016/j.foodchem.2014.11.086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Lee, M. K., Kim, H. W., Lee, S. H., Kim, Y. J., Asamenew, G., Choi, J., … Kim, J. B. (2019). Characterization of catechins, theaflavins, and flavonols by leaf processing step in green and black teas (Camellia sinensis) using UPLC-DAD-QToF/MS. </w:t>
      </w:r>
      <w:r w:rsidRPr="00F738BB">
        <w:rPr>
          <w:rFonts w:ascii="Calibri" w:hAnsi="Calibri" w:cs="Calibri"/>
          <w:i/>
          <w:iCs/>
          <w:noProof/>
          <w:sz w:val="24"/>
          <w:szCs w:val="24"/>
        </w:rPr>
        <w:t>European Food Research and Technology</w:t>
      </w:r>
      <w:r w:rsidRPr="00F738BB">
        <w:rPr>
          <w:rFonts w:ascii="Calibri" w:hAnsi="Calibri" w:cs="Calibri"/>
          <w:noProof/>
          <w:sz w:val="24"/>
          <w:szCs w:val="24"/>
        </w:rPr>
        <w:t xml:space="preserve">, </w:t>
      </w:r>
      <w:r w:rsidRPr="00F738BB">
        <w:rPr>
          <w:rFonts w:ascii="Calibri" w:hAnsi="Calibri" w:cs="Calibri"/>
          <w:i/>
          <w:iCs/>
          <w:noProof/>
          <w:sz w:val="24"/>
          <w:szCs w:val="24"/>
        </w:rPr>
        <w:t>245</w:t>
      </w:r>
      <w:r w:rsidRPr="00F738BB">
        <w:rPr>
          <w:rFonts w:ascii="Calibri" w:hAnsi="Calibri" w:cs="Calibri"/>
          <w:noProof/>
          <w:sz w:val="24"/>
          <w:szCs w:val="24"/>
        </w:rPr>
        <w:t>(5), 997–1010. https://doi.org/10.1007/s00217-018-3201-6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Li, C., Meng, X., Winnik, B., Lee, M. J., Lu, H., Sheng, S., … Yang, C. S. (2001). Analysis of urinary metabolites of tea catechins by liquid chromatography/electrospray ionization mass spectrometry. </w:t>
      </w:r>
      <w:r w:rsidRPr="00F738BB">
        <w:rPr>
          <w:rFonts w:ascii="Calibri" w:hAnsi="Calibri" w:cs="Calibri"/>
          <w:i/>
          <w:iCs/>
          <w:noProof/>
          <w:sz w:val="24"/>
          <w:szCs w:val="24"/>
        </w:rPr>
        <w:t>Chem Res Toxicol</w:t>
      </w:r>
      <w:r w:rsidRPr="00F738BB">
        <w:rPr>
          <w:rFonts w:ascii="Calibri" w:hAnsi="Calibri" w:cs="Calibri"/>
          <w:noProof/>
          <w:sz w:val="24"/>
          <w:szCs w:val="24"/>
        </w:rPr>
        <w:t xml:space="preserve">, </w:t>
      </w:r>
      <w:r w:rsidRPr="00F738BB">
        <w:rPr>
          <w:rFonts w:ascii="Calibri" w:hAnsi="Calibri" w:cs="Calibri"/>
          <w:i/>
          <w:iCs/>
          <w:noProof/>
          <w:sz w:val="24"/>
          <w:szCs w:val="24"/>
        </w:rPr>
        <w:t>14</w:t>
      </w:r>
      <w:r w:rsidRPr="00F738BB">
        <w:rPr>
          <w:rFonts w:ascii="Calibri" w:hAnsi="Calibri" w:cs="Calibri"/>
          <w:noProof/>
          <w:sz w:val="24"/>
          <w:szCs w:val="24"/>
        </w:rPr>
        <w:t>(6), 702–707. https://doi.org/10.1021/tx0002536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Liu, N., Liang, Y., Bin, J., Zhang, Z., Huang, J., Shu, R. X., &amp; Yang, K. (2014). Classification of Green and Black Teas by PCA and SVM Analysis of Cyclic Voltammetric Signals from Metallic Oxide-Modified Electrode. </w:t>
      </w:r>
      <w:r w:rsidRPr="00F738BB">
        <w:rPr>
          <w:rFonts w:ascii="Calibri" w:hAnsi="Calibri" w:cs="Calibri"/>
          <w:i/>
          <w:iCs/>
          <w:noProof/>
          <w:sz w:val="24"/>
          <w:szCs w:val="24"/>
        </w:rPr>
        <w:t>Food Analytical Methods</w:t>
      </w:r>
      <w:r w:rsidRPr="00F738BB">
        <w:rPr>
          <w:rFonts w:ascii="Calibri" w:hAnsi="Calibri" w:cs="Calibri"/>
          <w:noProof/>
          <w:sz w:val="24"/>
          <w:szCs w:val="24"/>
        </w:rPr>
        <w:t xml:space="preserve">, </w:t>
      </w:r>
      <w:r w:rsidRPr="00F738BB">
        <w:rPr>
          <w:rFonts w:ascii="Calibri" w:hAnsi="Calibri" w:cs="Calibri"/>
          <w:i/>
          <w:iCs/>
          <w:noProof/>
          <w:sz w:val="24"/>
          <w:szCs w:val="24"/>
        </w:rPr>
        <w:t>7</w:t>
      </w:r>
      <w:r w:rsidRPr="00F738BB">
        <w:rPr>
          <w:rFonts w:ascii="Calibri" w:hAnsi="Calibri" w:cs="Calibri"/>
          <w:noProof/>
          <w:sz w:val="24"/>
          <w:szCs w:val="24"/>
        </w:rPr>
        <w:t>(2), 472–480. https://doi.org/10.1007/s12161-013-9649-x</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Logan, K., &amp; Gonchar, J. (2017). Trends, Issues and Opportunities in the Tea Industry. White Paper. </w:t>
      </w:r>
      <w:r w:rsidRPr="00F738BB">
        <w:rPr>
          <w:rFonts w:ascii="Calibri" w:hAnsi="Calibri" w:cs="Calibri"/>
          <w:i/>
          <w:iCs/>
          <w:noProof/>
          <w:sz w:val="24"/>
          <w:szCs w:val="24"/>
        </w:rPr>
        <w:t>Architectural Record</w:t>
      </w:r>
      <w:r w:rsidRPr="00F738BB">
        <w:rPr>
          <w:rFonts w:ascii="Calibri" w:hAnsi="Calibri" w:cs="Calibri"/>
          <w:noProof/>
          <w:sz w:val="24"/>
          <w:szCs w:val="24"/>
        </w:rPr>
        <w:t xml:space="preserve">, </w:t>
      </w:r>
      <w:r w:rsidRPr="00F738BB">
        <w:rPr>
          <w:rFonts w:ascii="Calibri" w:hAnsi="Calibri" w:cs="Calibri"/>
          <w:i/>
          <w:iCs/>
          <w:noProof/>
          <w:sz w:val="24"/>
          <w:szCs w:val="24"/>
        </w:rPr>
        <w:t>205</w:t>
      </w:r>
      <w:r w:rsidRPr="00F738BB">
        <w:rPr>
          <w:rFonts w:ascii="Calibri" w:hAnsi="Calibri" w:cs="Calibri"/>
          <w:noProof/>
          <w:sz w:val="24"/>
          <w:szCs w:val="24"/>
        </w:rPr>
        <w:t>(9), 131–136.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Lopes, N. P. (2016). </w:t>
      </w:r>
      <w:r w:rsidRPr="00F738BB">
        <w:rPr>
          <w:rFonts w:ascii="Calibri" w:hAnsi="Calibri" w:cs="Calibri"/>
          <w:i/>
          <w:iCs/>
          <w:noProof/>
          <w:sz w:val="24"/>
          <w:szCs w:val="24"/>
        </w:rPr>
        <w:t>Natural Product Reports</w:t>
      </w:r>
      <w:r w:rsidRPr="00F738BB">
        <w:rPr>
          <w:rFonts w:ascii="Calibri" w:hAnsi="Calibri" w:cs="Calibri"/>
          <w:noProof/>
          <w:sz w:val="24"/>
          <w:szCs w:val="24"/>
        </w:rPr>
        <w:t xml:space="preserve">. </w:t>
      </w:r>
      <w:r w:rsidRPr="00F738BB">
        <w:rPr>
          <w:rFonts w:ascii="Calibri" w:hAnsi="Calibri" w:cs="Calibri"/>
          <w:i/>
          <w:iCs/>
          <w:noProof/>
          <w:sz w:val="24"/>
          <w:szCs w:val="24"/>
        </w:rPr>
        <w:t>33</w:t>
      </w:r>
      <w:r w:rsidRPr="00F738BB">
        <w:rPr>
          <w:rFonts w:ascii="Calibri" w:hAnsi="Calibri" w:cs="Calibri"/>
          <w:noProof/>
          <w:sz w:val="24"/>
          <w:szCs w:val="24"/>
        </w:rPr>
        <w:t>(3). https://doi.org/10.1039/c5np00073d</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Lore, Pl. (2017). Gorse as horse fodder. Retrieved from Plant Lore website: https://www.plant-lore.com/plantofthemonth/gorse-as-cattle-fodder/</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Mabey, R. (2012). </w:t>
      </w:r>
      <w:r w:rsidRPr="00F738BB">
        <w:rPr>
          <w:rFonts w:ascii="Calibri" w:hAnsi="Calibri" w:cs="Calibri"/>
          <w:i/>
          <w:iCs/>
          <w:noProof/>
          <w:sz w:val="24"/>
          <w:szCs w:val="24"/>
        </w:rPr>
        <w:t>Food For Free</w:t>
      </w:r>
      <w:r w:rsidRPr="00F738BB">
        <w:rPr>
          <w:rFonts w:ascii="Calibri" w:hAnsi="Calibri" w:cs="Calibri"/>
          <w:noProof/>
          <w:sz w:val="24"/>
          <w:szCs w:val="24"/>
        </w:rPr>
        <w:t>. Collins.</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MacArthur, R., Leonard, C., &amp; Chordia, P. (2015). Profile of crofelemer for the symptomatic </w:t>
      </w:r>
      <w:r w:rsidRPr="00F738BB">
        <w:rPr>
          <w:rFonts w:ascii="Calibri" w:hAnsi="Calibri" w:cs="Calibri"/>
          <w:noProof/>
          <w:sz w:val="24"/>
          <w:szCs w:val="24"/>
        </w:rPr>
        <w:lastRenderedPageBreak/>
        <w:t xml:space="preserve">treatment of diarrhea in HIV-infected persons. </w:t>
      </w:r>
      <w:r w:rsidRPr="00F738BB">
        <w:rPr>
          <w:rFonts w:ascii="Calibri" w:hAnsi="Calibri" w:cs="Calibri"/>
          <w:i/>
          <w:iCs/>
          <w:noProof/>
          <w:sz w:val="24"/>
          <w:szCs w:val="24"/>
        </w:rPr>
        <w:t>Botanics: Targets and Therapy</w:t>
      </w:r>
      <w:r w:rsidRPr="00F738BB">
        <w:rPr>
          <w:rFonts w:ascii="Calibri" w:hAnsi="Calibri" w:cs="Calibri"/>
          <w:noProof/>
          <w:sz w:val="24"/>
          <w:szCs w:val="24"/>
        </w:rPr>
        <w:t>, 21. https://doi.org/10.2147/btat.s42267</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MacCarthy, P. (2001). THE PRINCIPLES OF HUMIC SUBSTANCES. </w:t>
      </w:r>
      <w:r w:rsidRPr="00F738BB">
        <w:rPr>
          <w:rFonts w:ascii="Calibri" w:hAnsi="Calibri" w:cs="Calibri"/>
          <w:i/>
          <w:iCs/>
          <w:noProof/>
          <w:sz w:val="24"/>
          <w:szCs w:val="24"/>
        </w:rPr>
        <w:t>Soil Science</w:t>
      </w:r>
      <w:r w:rsidRPr="00F738BB">
        <w:rPr>
          <w:rFonts w:ascii="Calibri" w:hAnsi="Calibri" w:cs="Calibri"/>
          <w:noProof/>
          <w:sz w:val="24"/>
          <w:szCs w:val="24"/>
        </w:rPr>
        <w:t xml:space="preserve">, </w:t>
      </w:r>
      <w:r w:rsidRPr="00F738BB">
        <w:rPr>
          <w:rFonts w:ascii="Calibri" w:hAnsi="Calibri" w:cs="Calibri"/>
          <w:i/>
          <w:iCs/>
          <w:noProof/>
          <w:sz w:val="24"/>
          <w:szCs w:val="24"/>
        </w:rPr>
        <w:t>166</w:t>
      </w:r>
      <w:r w:rsidRPr="00F738BB">
        <w:rPr>
          <w:rFonts w:ascii="Calibri" w:hAnsi="Calibri" w:cs="Calibri"/>
          <w:noProof/>
          <w:sz w:val="24"/>
          <w:szCs w:val="24"/>
        </w:rPr>
        <w:t>(11). Retrieved from https://journals.lww.com/soilsci/Fulltext/2001/11000/THE_PRINCIPLES_OF_HUMIC_SUBSTANCES.3.aspx</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Mack, A. E., &amp; Long, W. J. (2011). Rapid Tea Analysis on Poroshell 120 SB-C18 with LC / MS Application Note. </w:t>
      </w:r>
      <w:r w:rsidRPr="00F738BB">
        <w:rPr>
          <w:rFonts w:ascii="Calibri" w:hAnsi="Calibri" w:cs="Calibri"/>
          <w:i/>
          <w:iCs/>
          <w:noProof/>
          <w:sz w:val="24"/>
          <w:szCs w:val="24"/>
        </w:rPr>
        <w:t>Agilent Technologies: Application Note</w:t>
      </w:r>
      <w:r w:rsidRPr="00F738BB">
        <w:rPr>
          <w:rFonts w:ascii="Calibri" w:hAnsi="Calibri" w:cs="Calibri"/>
          <w:noProof/>
          <w:sz w:val="24"/>
          <w:szCs w:val="24"/>
        </w:rPr>
        <w:t>, 1–10.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Martini, E. (2002). Jacques Cartier witnesses a treatment for scurvy. Retrieved from Pubmed website: https://www.ncbi.nlm.nih.gov/pubmed/12422875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Matsunaga, A., Sano, T., Hirono, Y., &amp; Horie, H. (2016). Effects of Various Directly Covered Shading Levels on Chemical Components in Tea New Shoots of the First Flush.</w:t>
      </w:r>
      <w:r w:rsidRPr="00F738BB">
        <w:rPr>
          <w:rFonts w:ascii="MS Gothic" w:eastAsia="MS Gothic" w:hAnsi="MS Gothic" w:cs="MS Gothic" w:hint="eastAsia"/>
          <w:noProof/>
          <w:sz w:val="24"/>
          <w:szCs w:val="24"/>
        </w:rPr>
        <w:t>直がけ被覆における遮光率の違いが一番茶新芽内化学成分に及ぼす影響</w:t>
      </w:r>
      <w:r w:rsidRPr="00F738BB">
        <w:rPr>
          <w:rFonts w:ascii="Calibri" w:hAnsi="Calibri" w:cs="Calibri"/>
          <w:noProof/>
          <w:sz w:val="24"/>
          <w:szCs w:val="24"/>
        </w:rPr>
        <w:t xml:space="preserve">. </w:t>
      </w:r>
      <w:r w:rsidRPr="00F738BB">
        <w:rPr>
          <w:rFonts w:ascii="Calibri" w:hAnsi="Calibri" w:cs="Calibri"/>
          <w:i/>
          <w:iCs/>
          <w:noProof/>
          <w:sz w:val="24"/>
          <w:szCs w:val="24"/>
        </w:rPr>
        <w:t>Chagyo Kenkyu Hokoku (Tea Research Journal)</w:t>
      </w:r>
      <w:r w:rsidRPr="00F738BB">
        <w:rPr>
          <w:rFonts w:ascii="Calibri" w:hAnsi="Calibri" w:cs="Calibri"/>
          <w:noProof/>
          <w:sz w:val="24"/>
          <w:szCs w:val="24"/>
        </w:rPr>
        <w:t xml:space="preserve">, </w:t>
      </w:r>
      <w:r w:rsidRPr="00F738BB">
        <w:rPr>
          <w:rFonts w:ascii="Calibri" w:hAnsi="Calibri" w:cs="Calibri"/>
          <w:i/>
          <w:iCs/>
          <w:noProof/>
          <w:sz w:val="24"/>
          <w:szCs w:val="24"/>
        </w:rPr>
        <w:t>2016</w:t>
      </w:r>
      <w:r w:rsidRPr="00F738BB">
        <w:rPr>
          <w:rFonts w:ascii="Calibri" w:hAnsi="Calibri" w:cs="Calibri"/>
          <w:noProof/>
          <w:sz w:val="24"/>
          <w:szCs w:val="24"/>
        </w:rPr>
        <w:t>(122), 1–7. https://doi.org/10.5979/cha.2016.122_1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Matz, L. M., Hill, H. H., Beegle, L. W., &amp; Kanik, I. (2002). Investigation of drift gas selectivity in high resolution ion mobility spectrometry with mass spectrometry detection. </w:t>
      </w:r>
      <w:r w:rsidRPr="00F738BB">
        <w:rPr>
          <w:rFonts w:ascii="Calibri" w:hAnsi="Calibri" w:cs="Calibri"/>
          <w:i/>
          <w:iCs/>
          <w:noProof/>
          <w:sz w:val="24"/>
          <w:szCs w:val="24"/>
        </w:rPr>
        <w:t>Journal of the American Society for Mass Spectrometry</w:t>
      </w:r>
      <w:r w:rsidRPr="00F738BB">
        <w:rPr>
          <w:rFonts w:ascii="Calibri" w:hAnsi="Calibri" w:cs="Calibri"/>
          <w:noProof/>
          <w:sz w:val="24"/>
          <w:szCs w:val="24"/>
        </w:rPr>
        <w:t xml:space="preserve">, </w:t>
      </w:r>
      <w:r w:rsidRPr="00F738BB">
        <w:rPr>
          <w:rFonts w:ascii="Calibri" w:hAnsi="Calibri" w:cs="Calibri"/>
          <w:i/>
          <w:iCs/>
          <w:noProof/>
          <w:sz w:val="24"/>
          <w:szCs w:val="24"/>
        </w:rPr>
        <w:t>13</w:t>
      </w:r>
      <w:r w:rsidRPr="00F738BB">
        <w:rPr>
          <w:rFonts w:ascii="Calibri" w:hAnsi="Calibri" w:cs="Calibri"/>
          <w:noProof/>
          <w:sz w:val="24"/>
          <w:szCs w:val="24"/>
        </w:rPr>
        <w:t>(4), 300–307. https://doi.org/10.1016/S1044-0305(01)00366-X</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Mayer, A. M. (2006). Polyphenol oxidases in plants and fungi: Going places? A review. </w:t>
      </w:r>
      <w:r w:rsidRPr="00F738BB">
        <w:rPr>
          <w:rFonts w:ascii="Calibri" w:hAnsi="Calibri" w:cs="Calibri"/>
          <w:i/>
          <w:iCs/>
          <w:noProof/>
          <w:sz w:val="24"/>
          <w:szCs w:val="24"/>
        </w:rPr>
        <w:t>Phytochemistry</w:t>
      </w:r>
      <w:r w:rsidRPr="00F738BB">
        <w:rPr>
          <w:rFonts w:ascii="Calibri" w:hAnsi="Calibri" w:cs="Calibri"/>
          <w:noProof/>
          <w:sz w:val="24"/>
          <w:szCs w:val="24"/>
        </w:rPr>
        <w:t xml:space="preserve">, </w:t>
      </w:r>
      <w:r w:rsidRPr="00F738BB">
        <w:rPr>
          <w:rFonts w:ascii="Calibri" w:hAnsi="Calibri" w:cs="Calibri"/>
          <w:i/>
          <w:iCs/>
          <w:noProof/>
          <w:sz w:val="24"/>
          <w:szCs w:val="24"/>
        </w:rPr>
        <w:t>67</w:t>
      </w:r>
      <w:r w:rsidRPr="00F738BB">
        <w:rPr>
          <w:rFonts w:ascii="Calibri" w:hAnsi="Calibri" w:cs="Calibri"/>
          <w:noProof/>
          <w:sz w:val="24"/>
          <w:szCs w:val="24"/>
        </w:rPr>
        <w:t>(21), 2318–2331. https://doi.org/10.1016/j.phytochem.2006.08.006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McDougall, Gordon J. Stewart, D. (2005). The inhibitory effects of berry polyphenols on digestive enzymes. </w:t>
      </w:r>
      <w:r w:rsidRPr="00F738BB">
        <w:rPr>
          <w:rFonts w:ascii="Calibri" w:hAnsi="Calibri" w:cs="Calibri"/>
          <w:i/>
          <w:iCs/>
          <w:noProof/>
          <w:sz w:val="24"/>
          <w:szCs w:val="24"/>
        </w:rPr>
        <w:t>BioFactors</w:t>
      </w:r>
      <w:r w:rsidRPr="00F738BB">
        <w:rPr>
          <w:rFonts w:ascii="Calibri" w:hAnsi="Calibri" w:cs="Calibri"/>
          <w:noProof/>
          <w:sz w:val="24"/>
          <w:szCs w:val="24"/>
        </w:rPr>
        <w:t xml:space="preserve">, </w:t>
      </w:r>
      <w:r w:rsidRPr="00F738BB">
        <w:rPr>
          <w:rFonts w:ascii="Calibri" w:hAnsi="Calibri" w:cs="Calibri"/>
          <w:i/>
          <w:iCs/>
          <w:noProof/>
          <w:sz w:val="24"/>
          <w:szCs w:val="24"/>
        </w:rPr>
        <w:t>23</w:t>
      </w:r>
      <w:r w:rsidRPr="00F738BB">
        <w:rPr>
          <w:rFonts w:ascii="Calibri" w:hAnsi="Calibri" w:cs="Calibri"/>
          <w:noProof/>
          <w:sz w:val="24"/>
          <w:szCs w:val="24"/>
        </w:rPr>
        <w:t>(4), 189–195.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Meenakshi Nagdeve. (2019). 10 Amazing Benefits of White Tea | Organic Facts. Retrieved July 2, 2019, from www website: https://www.organicfacts.net/health-benefits/beverage/white-tea.html</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Menet, M. C., Sang, S., Yang, C. S., Ho, C. T., &amp; Rosen, R. T. (2004). Analysis of Theaflavins and Thearubigins from Black Tea Extract by MALDI-TOF Mass Spectrometry. </w:t>
      </w:r>
      <w:r w:rsidRPr="00F738BB">
        <w:rPr>
          <w:rFonts w:ascii="Calibri" w:hAnsi="Calibri" w:cs="Calibri"/>
          <w:i/>
          <w:iCs/>
          <w:noProof/>
          <w:sz w:val="24"/>
          <w:szCs w:val="24"/>
        </w:rPr>
        <w:t xml:space="preserve">Journal of </w:t>
      </w:r>
      <w:r w:rsidRPr="00F738BB">
        <w:rPr>
          <w:rFonts w:ascii="Calibri" w:hAnsi="Calibri" w:cs="Calibri"/>
          <w:i/>
          <w:iCs/>
          <w:noProof/>
          <w:sz w:val="24"/>
          <w:szCs w:val="24"/>
        </w:rPr>
        <w:lastRenderedPageBreak/>
        <w:t>Agricultural and Food Chemistry</w:t>
      </w:r>
      <w:r w:rsidRPr="00F738BB">
        <w:rPr>
          <w:rFonts w:ascii="Calibri" w:hAnsi="Calibri" w:cs="Calibri"/>
          <w:noProof/>
          <w:sz w:val="24"/>
          <w:szCs w:val="24"/>
        </w:rPr>
        <w:t xml:space="preserve">, </w:t>
      </w:r>
      <w:r w:rsidRPr="00F738BB">
        <w:rPr>
          <w:rFonts w:ascii="Calibri" w:hAnsi="Calibri" w:cs="Calibri"/>
          <w:i/>
          <w:iCs/>
          <w:noProof/>
          <w:sz w:val="24"/>
          <w:szCs w:val="24"/>
        </w:rPr>
        <w:t>52</w:t>
      </w:r>
      <w:r w:rsidRPr="00F738BB">
        <w:rPr>
          <w:rFonts w:ascii="Calibri" w:hAnsi="Calibri" w:cs="Calibri"/>
          <w:noProof/>
          <w:sz w:val="24"/>
          <w:szCs w:val="24"/>
        </w:rPr>
        <w:t>(9), 2455–2461. https://doi.org/10.1021/jf035427e</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Meng, S., Cao, J., Feng, Q., Peng, J., &amp; Hu, Y. (2013). Roles of chlorogenic acid on regulating glucose and lipids metabolism: A review. </w:t>
      </w:r>
      <w:r w:rsidRPr="00F738BB">
        <w:rPr>
          <w:rFonts w:ascii="Calibri" w:hAnsi="Calibri" w:cs="Calibri"/>
          <w:i/>
          <w:iCs/>
          <w:noProof/>
          <w:sz w:val="24"/>
          <w:szCs w:val="24"/>
        </w:rPr>
        <w:t>Evidence-Based Complementary and Alternative Medicine</w:t>
      </w:r>
      <w:r w:rsidRPr="00F738BB">
        <w:rPr>
          <w:rFonts w:ascii="Calibri" w:hAnsi="Calibri" w:cs="Calibri"/>
          <w:noProof/>
          <w:sz w:val="24"/>
          <w:szCs w:val="24"/>
        </w:rPr>
        <w:t xml:space="preserve">, </w:t>
      </w:r>
      <w:r w:rsidRPr="00F738BB">
        <w:rPr>
          <w:rFonts w:ascii="Calibri" w:hAnsi="Calibri" w:cs="Calibri"/>
          <w:i/>
          <w:iCs/>
          <w:noProof/>
          <w:sz w:val="24"/>
          <w:szCs w:val="24"/>
        </w:rPr>
        <w:t>2013</w:t>
      </w:r>
      <w:r w:rsidRPr="00F738BB">
        <w:rPr>
          <w:rFonts w:ascii="Calibri" w:hAnsi="Calibri" w:cs="Calibri"/>
          <w:noProof/>
          <w:sz w:val="24"/>
          <w:szCs w:val="24"/>
        </w:rPr>
        <w:t>. https://doi.org/10.1155/2013/801457</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Miettinen, M., Holthofer, H., Lehto, V., &amp; Miettinen, A. (1982). </w:t>
      </w:r>
      <w:r w:rsidRPr="00F738BB">
        <w:rPr>
          <w:rFonts w:ascii="Calibri" w:hAnsi="Calibri" w:cs="Calibri"/>
          <w:i/>
          <w:iCs/>
          <w:noProof/>
          <w:sz w:val="24"/>
          <w:szCs w:val="24"/>
        </w:rPr>
        <w:t>Ulex europaeus / Lectin as a Marker for Tumors Derived from Endothelial Cells</w:t>
      </w:r>
      <w:r w:rsidRPr="00F738BB">
        <w:rPr>
          <w:rFonts w:ascii="Calibri" w:hAnsi="Calibri" w:cs="Calibri"/>
          <w:noProof/>
          <w:sz w:val="24"/>
          <w:szCs w:val="24"/>
        </w:rPr>
        <w:t>. 32–36.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Milchakova, N., Illustrated, A., &amp; Guide, F. (2011). </w:t>
      </w:r>
      <w:r w:rsidRPr="00F738BB">
        <w:rPr>
          <w:rFonts w:ascii="Calibri" w:hAnsi="Calibri" w:cs="Calibri"/>
          <w:i/>
          <w:iCs/>
          <w:noProof/>
          <w:sz w:val="24"/>
          <w:szCs w:val="24"/>
        </w:rPr>
        <w:t>MARINE PLANTS</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Mill, O. L., Antunes-ricardo, M., García-cayuela, T., &amp; Ibañez, E. (2019). Enzyme-assisted in situ supercritical fluid extraction of isorhamnetin conjugates from Opuntia ficus-indica (L.) Mill Marilena Antunes-Ricardo. </w:t>
      </w:r>
      <w:r w:rsidRPr="00F738BB">
        <w:rPr>
          <w:rFonts w:ascii="Calibri" w:hAnsi="Calibri" w:cs="Calibri"/>
          <w:i/>
          <w:iCs/>
          <w:noProof/>
          <w:sz w:val="24"/>
          <w:szCs w:val="24"/>
        </w:rPr>
        <w:t>Institute of Food Science Research</w:t>
      </w:r>
      <w:r w:rsidRPr="00F738BB">
        <w:rPr>
          <w:rFonts w:ascii="Calibri" w:hAnsi="Calibri" w:cs="Calibri"/>
          <w:noProof/>
          <w:sz w:val="24"/>
          <w:szCs w:val="24"/>
        </w:rPr>
        <w:t>, 71–72.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Miller, J. N., &amp; Miller, J. C. (2010). </w:t>
      </w:r>
      <w:r w:rsidRPr="00F738BB">
        <w:rPr>
          <w:rFonts w:ascii="Calibri" w:hAnsi="Calibri" w:cs="Calibri"/>
          <w:i/>
          <w:iCs/>
          <w:noProof/>
          <w:sz w:val="24"/>
          <w:szCs w:val="24"/>
        </w:rPr>
        <w:t>Statistics and Chemometrics for Analytical Chemistry Dr Jane Miller completed</w:t>
      </w:r>
      <w:r w:rsidRPr="00F738BB">
        <w:rPr>
          <w:rFonts w:ascii="Calibri" w:hAnsi="Calibri" w:cs="Calibri"/>
          <w:noProof/>
          <w:sz w:val="24"/>
          <w:szCs w:val="24"/>
        </w:rPr>
        <w:t>. Retrieved from http://197.14.51.10:81/pmb/CHIMIE/0273730428.pdf</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Mizukami, Y., Sawai, Y., &amp; Yamaguchi, Y. (2007). Simultaneous analysis of catechins, gallic acid, strictinin, and purine alkaloids in green tea by using catechol as an internal standard. </w:t>
      </w:r>
      <w:r w:rsidRPr="00F738BB">
        <w:rPr>
          <w:rFonts w:ascii="Calibri" w:hAnsi="Calibri" w:cs="Calibri"/>
          <w:i/>
          <w:iCs/>
          <w:noProof/>
          <w:sz w:val="24"/>
          <w:szCs w:val="24"/>
        </w:rPr>
        <w:t>Journal of Agricultural and Food Chemistry</w:t>
      </w:r>
      <w:r w:rsidRPr="00F738BB">
        <w:rPr>
          <w:rFonts w:ascii="Calibri" w:hAnsi="Calibri" w:cs="Calibri"/>
          <w:noProof/>
          <w:sz w:val="24"/>
          <w:szCs w:val="24"/>
        </w:rPr>
        <w:t xml:space="preserve">, </w:t>
      </w:r>
      <w:r w:rsidRPr="00F738BB">
        <w:rPr>
          <w:rFonts w:ascii="Calibri" w:hAnsi="Calibri" w:cs="Calibri"/>
          <w:i/>
          <w:iCs/>
          <w:noProof/>
          <w:sz w:val="24"/>
          <w:szCs w:val="24"/>
        </w:rPr>
        <w:t>55</w:t>
      </w:r>
      <w:r w:rsidRPr="00F738BB">
        <w:rPr>
          <w:rFonts w:ascii="Calibri" w:hAnsi="Calibri" w:cs="Calibri"/>
          <w:noProof/>
          <w:sz w:val="24"/>
          <w:szCs w:val="24"/>
        </w:rPr>
        <w:t>(13), 4957–4964. https://doi.org/10.1021/jf070323f</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Namal Senanayake, S. P. J. (2013). Green tea extract: Chemistry, antioxidant properties and food applications - A review. </w:t>
      </w:r>
      <w:r w:rsidRPr="00F738BB">
        <w:rPr>
          <w:rFonts w:ascii="Calibri" w:hAnsi="Calibri" w:cs="Calibri"/>
          <w:i/>
          <w:iCs/>
          <w:noProof/>
          <w:sz w:val="24"/>
          <w:szCs w:val="24"/>
        </w:rPr>
        <w:t>Journal of Functional Foods</w:t>
      </w:r>
      <w:r w:rsidRPr="00F738BB">
        <w:rPr>
          <w:rFonts w:ascii="Calibri" w:hAnsi="Calibri" w:cs="Calibri"/>
          <w:noProof/>
          <w:sz w:val="24"/>
          <w:szCs w:val="24"/>
        </w:rPr>
        <w:t xml:space="preserve">, </w:t>
      </w:r>
      <w:r w:rsidRPr="00F738BB">
        <w:rPr>
          <w:rFonts w:ascii="Calibri" w:hAnsi="Calibri" w:cs="Calibri"/>
          <w:i/>
          <w:iCs/>
          <w:noProof/>
          <w:sz w:val="24"/>
          <w:szCs w:val="24"/>
        </w:rPr>
        <w:t>5</w:t>
      </w:r>
      <w:r w:rsidRPr="00F738BB">
        <w:rPr>
          <w:rFonts w:ascii="Calibri" w:hAnsi="Calibri" w:cs="Calibri"/>
          <w:noProof/>
          <w:sz w:val="24"/>
          <w:szCs w:val="24"/>
        </w:rPr>
        <w:t>(4), 1529–1541. https://doi.org/10.1016/j.jff.2013.08.011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Newman, D. J., &amp; Cragg, G. M. (2012). Natural Products as Sources of New Drugs from 1981 to 2010. </w:t>
      </w:r>
      <w:r w:rsidRPr="00F738BB">
        <w:rPr>
          <w:rFonts w:ascii="Calibri" w:hAnsi="Calibri" w:cs="Calibri"/>
          <w:i/>
          <w:iCs/>
          <w:noProof/>
          <w:sz w:val="24"/>
          <w:szCs w:val="24"/>
        </w:rPr>
        <w:t>ACS Central Science</w:t>
      </w:r>
      <w:r w:rsidRPr="00F738BB">
        <w:rPr>
          <w:rFonts w:ascii="Calibri" w:hAnsi="Calibri" w:cs="Calibri"/>
          <w:noProof/>
          <w:sz w:val="24"/>
          <w:szCs w:val="24"/>
        </w:rPr>
        <w:t xml:space="preserve">, </w:t>
      </w:r>
      <w:r w:rsidRPr="00F738BB">
        <w:rPr>
          <w:rFonts w:ascii="Calibri" w:hAnsi="Calibri" w:cs="Calibri"/>
          <w:i/>
          <w:iCs/>
          <w:noProof/>
          <w:sz w:val="24"/>
          <w:szCs w:val="24"/>
        </w:rPr>
        <w:t>1</w:t>
      </w:r>
      <w:r w:rsidRPr="00F738BB">
        <w:rPr>
          <w:rFonts w:ascii="Calibri" w:hAnsi="Calibri" w:cs="Calibri"/>
          <w:noProof/>
          <w:sz w:val="24"/>
          <w:szCs w:val="24"/>
        </w:rPr>
        <w:t>(7). https://doi.org/10.1021/np200906s</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Newman, D. J., &amp; Cragg, G. M. (2016). Natural Products as Sources of New Drugs from 1981 to 2014. </w:t>
      </w:r>
      <w:r w:rsidRPr="00F738BB">
        <w:rPr>
          <w:rFonts w:ascii="Calibri" w:hAnsi="Calibri" w:cs="Calibri"/>
          <w:i/>
          <w:iCs/>
          <w:noProof/>
          <w:sz w:val="24"/>
          <w:szCs w:val="24"/>
        </w:rPr>
        <w:t>Journal of Natural Products</w:t>
      </w:r>
      <w:r w:rsidRPr="00F738BB">
        <w:rPr>
          <w:rFonts w:ascii="Calibri" w:hAnsi="Calibri" w:cs="Calibri"/>
          <w:noProof/>
          <w:sz w:val="24"/>
          <w:szCs w:val="24"/>
        </w:rPr>
        <w:t xml:space="preserve">, </w:t>
      </w:r>
      <w:r w:rsidRPr="00F738BB">
        <w:rPr>
          <w:rFonts w:ascii="Calibri" w:hAnsi="Calibri" w:cs="Calibri"/>
          <w:i/>
          <w:iCs/>
          <w:noProof/>
          <w:sz w:val="24"/>
          <w:szCs w:val="24"/>
        </w:rPr>
        <w:t>79</w:t>
      </w:r>
      <w:r w:rsidRPr="00F738BB">
        <w:rPr>
          <w:rFonts w:ascii="Calibri" w:hAnsi="Calibri" w:cs="Calibri"/>
          <w:noProof/>
          <w:sz w:val="24"/>
          <w:szCs w:val="24"/>
        </w:rPr>
        <w:t>(3), 629–661. https://doi.org/10.1021/acs.jnatprod.5b01055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Ni, K., Wang, J., Zhang, Q., Yi, X., Ma, L., Shi, Y., &amp; Ruan, J. (2018). Multi-element composition and isotopic signatures for the geographical origin discrimination of green tea in China: A case study of Xihu Longjing. </w:t>
      </w:r>
      <w:r w:rsidRPr="00F738BB">
        <w:rPr>
          <w:rFonts w:ascii="Calibri" w:hAnsi="Calibri" w:cs="Calibri"/>
          <w:i/>
          <w:iCs/>
          <w:noProof/>
          <w:sz w:val="24"/>
          <w:szCs w:val="24"/>
        </w:rPr>
        <w:t>Journal of Food Composition and Analysis</w:t>
      </w:r>
      <w:r w:rsidRPr="00F738BB">
        <w:rPr>
          <w:rFonts w:ascii="Calibri" w:hAnsi="Calibri" w:cs="Calibri"/>
          <w:noProof/>
          <w:sz w:val="24"/>
          <w:szCs w:val="24"/>
        </w:rPr>
        <w:t xml:space="preserve">, </w:t>
      </w:r>
      <w:r w:rsidRPr="00F738BB">
        <w:rPr>
          <w:rFonts w:ascii="Calibri" w:hAnsi="Calibri" w:cs="Calibri"/>
          <w:i/>
          <w:iCs/>
          <w:noProof/>
          <w:sz w:val="24"/>
          <w:szCs w:val="24"/>
        </w:rPr>
        <w:lastRenderedPageBreak/>
        <w:t>67</w:t>
      </w:r>
      <w:r w:rsidRPr="00F738BB">
        <w:rPr>
          <w:rFonts w:ascii="Calibri" w:hAnsi="Calibri" w:cs="Calibri"/>
          <w:noProof/>
          <w:sz w:val="24"/>
          <w:szCs w:val="24"/>
        </w:rPr>
        <w:t>(September 2017), 104–109. https://doi.org/10.1016/j.jfca.2018.01.005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Nićiforović, N., &amp; Abramovič, H. (2014). Sinapic acid and its derivatives: Natural sources and bioactivity. </w:t>
      </w:r>
      <w:r w:rsidRPr="00F738BB">
        <w:rPr>
          <w:rFonts w:ascii="Calibri" w:hAnsi="Calibri" w:cs="Calibri"/>
          <w:i/>
          <w:iCs/>
          <w:noProof/>
          <w:sz w:val="24"/>
          <w:szCs w:val="24"/>
        </w:rPr>
        <w:t>Comprehensive Reviews in Food Science and Food Safety</w:t>
      </w:r>
      <w:r w:rsidRPr="00F738BB">
        <w:rPr>
          <w:rFonts w:ascii="Calibri" w:hAnsi="Calibri" w:cs="Calibri"/>
          <w:noProof/>
          <w:sz w:val="24"/>
          <w:szCs w:val="24"/>
        </w:rPr>
        <w:t xml:space="preserve">, </w:t>
      </w:r>
      <w:r w:rsidRPr="00F738BB">
        <w:rPr>
          <w:rFonts w:ascii="Calibri" w:hAnsi="Calibri" w:cs="Calibri"/>
          <w:i/>
          <w:iCs/>
          <w:noProof/>
          <w:sz w:val="24"/>
          <w:szCs w:val="24"/>
        </w:rPr>
        <w:t>13</w:t>
      </w:r>
      <w:r w:rsidRPr="00F738BB">
        <w:rPr>
          <w:rFonts w:ascii="Calibri" w:hAnsi="Calibri" w:cs="Calibri"/>
          <w:noProof/>
          <w:sz w:val="24"/>
          <w:szCs w:val="24"/>
        </w:rPr>
        <w:t>(1), 34–51. https://doi.org/10.1111/1541-4337.12041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NØrbÆk, R., &amp; Kondo, T. (1998). Anthocyanins from flowers of Crocus (Iridaceae). </w:t>
      </w:r>
      <w:r w:rsidRPr="00F738BB">
        <w:rPr>
          <w:rFonts w:ascii="Calibri" w:hAnsi="Calibri" w:cs="Calibri"/>
          <w:i/>
          <w:iCs/>
          <w:noProof/>
          <w:sz w:val="24"/>
          <w:szCs w:val="24"/>
        </w:rPr>
        <w:t>Phytochemistry</w:t>
      </w:r>
      <w:r w:rsidRPr="00F738BB">
        <w:rPr>
          <w:rFonts w:ascii="Calibri" w:hAnsi="Calibri" w:cs="Calibri"/>
          <w:noProof/>
          <w:sz w:val="24"/>
          <w:szCs w:val="24"/>
        </w:rPr>
        <w:t xml:space="preserve">, </w:t>
      </w:r>
      <w:r w:rsidRPr="00F738BB">
        <w:rPr>
          <w:rFonts w:ascii="Calibri" w:hAnsi="Calibri" w:cs="Calibri"/>
          <w:i/>
          <w:iCs/>
          <w:noProof/>
          <w:sz w:val="24"/>
          <w:szCs w:val="24"/>
        </w:rPr>
        <w:t>47</w:t>
      </w:r>
      <w:r w:rsidRPr="00F738BB">
        <w:rPr>
          <w:rFonts w:ascii="Calibri" w:hAnsi="Calibri" w:cs="Calibri"/>
          <w:noProof/>
          <w:sz w:val="24"/>
          <w:szCs w:val="24"/>
        </w:rPr>
        <w:t>(5), 861–864. https://doi.org/10.1016/S0031-9422(97)00625-0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Obuchowicz, J., Engelhardt, U. H., &amp; Donnelly, K. (2011). Flavanol database for green and black teas utilising ISO 14502-1 and ISO 14502-2 as analytical tools. </w:t>
      </w:r>
      <w:r w:rsidRPr="00F738BB">
        <w:rPr>
          <w:rFonts w:ascii="Calibri" w:hAnsi="Calibri" w:cs="Calibri"/>
          <w:i/>
          <w:iCs/>
          <w:noProof/>
          <w:sz w:val="24"/>
          <w:szCs w:val="24"/>
        </w:rPr>
        <w:t>Journal of Food Composition and Analysis</w:t>
      </w:r>
      <w:r w:rsidRPr="00F738BB">
        <w:rPr>
          <w:rFonts w:ascii="Calibri" w:hAnsi="Calibri" w:cs="Calibri"/>
          <w:noProof/>
          <w:sz w:val="24"/>
          <w:szCs w:val="24"/>
        </w:rPr>
        <w:t xml:space="preserve">, </w:t>
      </w:r>
      <w:r w:rsidRPr="00F738BB">
        <w:rPr>
          <w:rFonts w:ascii="Calibri" w:hAnsi="Calibri" w:cs="Calibri"/>
          <w:i/>
          <w:iCs/>
          <w:noProof/>
          <w:sz w:val="24"/>
          <w:szCs w:val="24"/>
        </w:rPr>
        <w:t>24</w:t>
      </w:r>
      <w:r w:rsidRPr="00F738BB">
        <w:rPr>
          <w:rFonts w:ascii="Calibri" w:hAnsi="Calibri" w:cs="Calibri"/>
          <w:noProof/>
          <w:sz w:val="24"/>
          <w:szCs w:val="24"/>
        </w:rPr>
        <w:t>(3), 411–417. https://doi.org/10.1016/j.jfca.2010.07.006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Oh, Y.S., I. K. L. and S. M. B. (1990). </w:t>
      </w:r>
      <w:r w:rsidRPr="00F738BB">
        <w:rPr>
          <w:rFonts w:ascii="Calibri" w:hAnsi="Calibri" w:cs="Calibri"/>
          <w:i/>
          <w:iCs/>
          <w:noProof/>
          <w:sz w:val="24"/>
          <w:szCs w:val="24"/>
        </w:rPr>
        <w:t>Oh, Y.S., I.K. Lee and S.M. Boo. 1990. Korean economic seaweeds for food, medical and industrial usesKorean_J_Phycol_5-1_04.pdf</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Otto, M. (2016). Matthias Otto: Chemometrics: statistics and computer application in analytical chemistry, 3rd ed. In </w:t>
      </w:r>
      <w:r w:rsidRPr="00F738BB">
        <w:rPr>
          <w:rFonts w:ascii="Calibri" w:hAnsi="Calibri" w:cs="Calibri"/>
          <w:i/>
          <w:iCs/>
          <w:noProof/>
          <w:sz w:val="24"/>
          <w:szCs w:val="24"/>
        </w:rPr>
        <w:t>Analytical and Bioanalytical Chemistry</w:t>
      </w:r>
      <w:r w:rsidRPr="00F738BB">
        <w:rPr>
          <w:rFonts w:ascii="Calibri" w:hAnsi="Calibri" w:cs="Calibri"/>
          <w:noProof/>
          <w:sz w:val="24"/>
          <w:szCs w:val="24"/>
        </w:rPr>
        <w:t xml:space="preserve"> (Vol. 409). https://doi.org/10.1007/s00216-017-0503-7</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Ou, K., &amp; Gu, L. (2014). Absorption and metabolism of proanthocyanidins. </w:t>
      </w:r>
      <w:r w:rsidRPr="00F738BB">
        <w:rPr>
          <w:rFonts w:ascii="Calibri" w:hAnsi="Calibri" w:cs="Calibri"/>
          <w:i/>
          <w:iCs/>
          <w:noProof/>
          <w:sz w:val="24"/>
          <w:szCs w:val="24"/>
        </w:rPr>
        <w:t>Journal of Functional Foods</w:t>
      </w:r>
      <w:r w:rsidRPr="00F738BB">
        <w:rPr>
          <w:rFonts w:ascii="Calibri" w:hAnsi="Calibri" w:cs="Calibri"/>
          <w:noProof/>
          <w:sz w:val="24"/>
          <w:szCs w:val="24"/>
        </w:rPr>
        <w:t xml:space="preserve">, </w:t>
      </w:r>
      <w:r w:rsidRPr="00F738BB">
        <w:rPr>
          <w:rFonts w:ascii="Calibri" w:hAnsi="Calibri" w:cs="Calibri"/>
          <w:i/>
          <w:iCs/>
          <w:noProof/>
          <w:sz w:val="24"/>
          <w:szCs w:val="24"/>
        </w:rPr>
        <w:t>7</w:t>
      </w:r>
      <w:r w:rsidRPr="00F738BB">
        <w:rPr>
          <w:rFonts w:ascii="Calibri" w:hAnsi="Calibri" w:cs="Calibri"/>
          <w:noProof/>
          <w:sz w:val="24"/>
          <w:szCs w:val="24"/>
        </w:rPr>
        <w:t>(1), 43–53. https://doi.org/10.1016/j.jff.2013.08.004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Owuor, P.O., Orchard, J.E. and McDowell, I. (1994). Changes in the quality parameters of clonal black tea due to fermentation time. J. Sci. Food Agric. 64(3): 319-326. Owuor,. </w:t>
      </w:r>
      <w:r w:rsidRPr="00F738BB">
        <w:rPr>
          <w:rFonts w:ascii="Calibri" w:hAnsi="Calibri" w:cs="Calibri"/>
          <w:i/>
          <w:iCs/>
          <w:noProof/>
          <w:sz w:val="24"/>
          <w:szCs w:val="24"/>
        </w:rPr>
        <w:t>J. Sci. Food Agric. 64(3): 319-326.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Pandey, R., Chandra, P., Arya, K. R., &amp; Kumar, B. (2014). Development and validation of an ultra high performance liquid chromatography electrospray ionization tandem mass spectrometry method for the simultaneous determination of selected flavonoids in Ginkgo biloba. </w:t>
      </w:r>
      <w:r w:rsidRPr="00F738BB">
        <w:rPr>
          <w:rFonts w:ascii="Calibri" w:hAnsi="Calibri" w:cs="Calibri"/>
          <w:i/>
          <w:iCs/>
          <w:noProof/>
          <w:sz w:val="24"/>
          <w:szCs w:val="24"/>
        </w:rPr>
        <w:t>Journal of Separation Science</w:t>
      </w:r>
      <w:r w:rsidRPr="00F738BB">
        <w:rPr>
          <w:rFonts w:ascii="Calibri" w:hAnsi="Calibri" w:cs="Calibri"/>
          <w:noProof/>
          <w:sz w:val="24"/>
          <w:szCs w:val="24"/>
        </w:rPr>
        <w:t xml:space="preserve">, </w:t>
      </w:r>
      <w:r w:rsidRPr="00F738BB">
        <w:rPr>
          <w:rFonts w:ascii="Calibri" w:hAnsi="Calibri" w:cs="Calibri"/>
          <w:i/>
          <w:iCs/>
          <w:noProof/>
          <w:sz w:val="24"/>
          <w:szCs w:val="24"/>
        </w:rPr>
        <w:t>37</w:t>
      </w:r>
      <w:r w:rsidRPr="00F738BB">
        <w:rPr>
          <w:rFonts w:ascii="Calibri" w:hAnsi="Calibri" w:cs="Calibri"/>
          <w:noProof/>
          <w:sz w:val="24"/>
          <w:szCs w:val="24"/>
        </w:rPr>
        <w:t>(24), 3610–3618. https://doi.org/10.1002/jssc.201400853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Panickar, K. S. (2013). Effects of dietary polyphenols on neuroregulatory factors and pathways that mediate food intake and energy regulation in obesity. </w:t>
      </w:r>
      <w:r w:rsidRPr="00F738BB">
        <w:rPr>
          <w:rFonts w:ascii="Calibri" w:hAnsi="Calibri" w:cs="Calibri"/>
          <w:i/>
          <w:iCs/>
          <w:noProof/>
          <w:sz w:val="24"/>
          <w:szCs w:val="24"/>
        </w:rPr>
        <w:t>Molecular Nutrition and Food Research</w:t>
      </w:r>
      <w:r w:rsidRPr="00F738BB">
        <w:rPr>
          <w:rFonts w:ascii="Calibri" w:hAnsi="Calibri" w:cs="Calibri"/>
          <w:noProof/>
          <w:sz w:val="24"/>
          <w:szCs w:val="24"/>
        </w:rPr>
        <w:t xml:space="preserve">, </w:t>
      </w:r>
      <w:r w:rsidRPr="00F738BB">
        <w:rPr>
          <w:rFonts w:ascii="Calibri" w:hAnsi="Calibri" w:cs="Calibri"/>
          <w:i/>
          <w:iCs/>
          <w:noProof/>
          <w:sz w:val="24"/>
          <w:szCs w:val="24"/>
        </w:rPr>
        <w:t>57</w:t>
      </w:r>
      <w:r w:rsidRPr="00F738BB">
        <w:rPr>
          <w:rFonts w:ascii="Calibri" w:hAnsi="Calibri" w:cs="Calibri"/>
          <w:noProof/>
          <w:sz w:val="24"/>
          <w:szCs w:val="24"/>
        </w:rPr>
        <w:t>(1), 34–47. https://doi.org/10.1002/mnfr.201200431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Peña-Méndez, E. M., Havel, J., &amp; Patocka, J. (2014). </w:t>
      </w:r>
      <w:r w:rsidRPr="00F738BB">
        <w:rPr>
          <w:rFonts w:ascii="Calibri" w:hAnsi="Calibri" w:cs="Calibri"/>
          <w:i/>
          <w:iCs/>
          <w:noProof/>
          <w:sz w:val="24"/>
          <w:szCs w:val="24"/>
        </w:rPr>
        <w:t xml:space="preserve">Humic substances-compounds of still </w:t>
      </w:r>
      <w:r w:rsidRPr="00F738BB">
        <w:rPr>
          <w:rFonts w:ascii="Calibri" w:hAnsi="Calibri" w:cs="Calibri"/>
          <w:i/>
          <w:iCs/>
          <w:noProof/>
          <w:sz w:val="24"/>
          <w:szCs w:val="24"/>
        </w:rPr>
        <w:lastRenderedPageBreak/>
        <w:t>unknown structure: applications in agriculture, industry, environment, and biomedicine Mass spectrometry for cell and tissue profiling View project No project View project</w:t>
      </w:r>
      <w:r w:rsidRPr="00F738BB">
        <w:rPr>
          <w:rFonts w:ascii="Calibri" w:hAnsi="Calibri" w:cs="Calibri"/>
          <w:noProof/>
          <w:sz w:val="24"/>
          <w:szCs w:val="24"/>
        </w:rPr>
        <w:t>. (July 2014). https://doi.org/10.32725/jab.2005.002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Peng, C. X., Liu, J., Liu, H. R., Zhou, H. J., &amp; Gong, J. S. (2013). Influence of different fermentation raw materials on pyrolyzates of Pu-erh tea theabrownin by Curie-point pyrolysis-gas chromatography-mass spectroscopy. </w:t>
      </w:r>
      <w:r w:rsidRPr="00F738BB">
        <w:rPr>
          <w:rFonts w:ascii="Calibri" w:hAnsi="Calibri" w:cs="Calibri"/>
          <w:i/>
          <w:iCs/>
          <w:noProof/>
          <w:sz w:val="24"/>
          <w:szCs w:val="24"/>
        </w:rPr>
        <w:t>International Journal of Biological Macromolecules</w:t>
      </w:r>
      <w:r w:rsidRPr="00F738BB">
        <w:rPr>
          <w:rFonts w:ascii="Calibri" w:hAnsi="Calibri" w:cs="Calibri"/>
          <w:noProof/>
          <w:sz w:val="24"/>
          <w:szCs w:val="24"/>
        </w:rPr>
        <w:t xml:space="preserve">, </w:t>
      </w:r>
      <w:r w:rsidRPr="00F738BB">
        <w:rPr>
          <w:rFonts w:ascii="Calibri" w:hAnsi="Calibri" w:cs="Calibri"/>
          <w:i/>
          <w:iCs/>
          <w:noProof/>
          <w:sz w:val="24"/>
          <w:szCs w:val="24"/>
        </w:rPr>
        <w:t>54</w:t>
      </w:r>
      <w:r w:rsidRPr="00F738BB">
        <w:rPr>
          <w:rFonts w:ascii="Calibri" w:hAnsi="Calibri" w:cs="Calibri"/>
          <w:noProof/>
          <w:sz w:val="24"/>
          <w:szCs w:val="24"/>
        </w:rPr>
        <w:t>(1), 197–203. https://doi.org/10.1016/j.ijbiomac.2012.12.021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Pereira, L. (2014). </w:t>
      </w:r>
      <w:r w:rsidRPr="00F738BB">
        <w:rPr>
          <w:rFonts w:ascii="Calibri" w:hAnsi="Calibri" w:cs="Calibri"/>
          <w:i/>
          <w:iCs/>
          <w:noProof/>
          <w:sz w:val="24"/>
          <w:szCs w:val="24"/>
        </w:rPr>
        <w:t>A review of the nutrient composition of selected edible seaweeds</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Petti, S., &amp; Scully, C. (2009). Polyphenols, oral health and disease: A review. </w:t>
      </w:r>
      <w:r w:rsidRPr="00F738BB">
        <w:rPr>
          <w:rFonts w:ascii="Calibri" w:hAnsi="Calibri" w:cs="Calibri"/>
          <w:i/>
          <w:iCs/>
          <w:noProof/>
          <w:sz w:val="24"/>
          <w:szCs w:val="24"/>
        </w:rPr>
        <w:t>Journal of Dentistry</w:t>
      </w:r>
      <w:r w:rsidRPr="00F738BB">
        <w:rPr>
          <w:rFonts w:ascii="Calibri" w:hAnsi="Calibri" w:cs="Calibri"/>
          <w:noProof/>
          <w:sz w:val="24"/>
          <w:szCs w:val="24"/>
        </w:rPr>
        <w:t xml:space="preserve">, </w:t>
      </w:r>
      <w:r w:rsidRPr="00F738BB">
        <w:rPr>
          <w:rFonts w:ascii="Calibri" w:hAnsi="Calibri" w:cs="Calibri"/>
          <w:i/>
          <w:iCs/>
          <w:noProof/>
          <w:sz w:val="24"/>
          <w:szCs w:val="24"/>
        </w:rPr>
        <w:t>37</w:t>
      </w:r>
      <w:r w:rsidRPr="00F738BB">
        <w:rPr>
          <w:rFonts w:ascii="Calibri" w:hAnsi="Calibri" w:cs="Calibri"/>
          <w:noProof/>
          <w:sz w:val="24"/>
          <w:szCs w:val="24"/>
        </w:rPr>
        <w:t>(6), 413–423. https://doi.org/10.1016/J.JDENT.2009.02.003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Piazzon, A., Vrhovsek, U., Masuero, D., Mattivi, F., Mandoj, F., &amp; Nardini, M. (2012). Antioxidant activity of phenolic acids and their metabolites: Synthesis and antioxidant properties of the sulfate derivatives of ferulic and caffeic acids and of the acyl glucuronide of ferulic acid. </w:t>
      </w:r>
      <w:r w:rsidRPr="00F738BB">
        <w:rPr>
          <w:rFonts w:ascii="Calibri" w:hAnsi="Calibri" w:cs="Calibri"/>
          <w:i/>
          <w:iCs/>
          <w:noProof/>
          <w:sz w:val="24"/>
          <w:szCs w:val="24"/>
        </w:rPr>
        <w:t>Journal of Agricultural and Food Chemistry</w:t>
      </w:r>
      <w:r w:rsidRPr="00F738BB">
        <w:rPr>
          <w:rFonts w:ascii="Calibri" w:hAnsi="Calibri" w:cs="Calibri"/>
          <w:noProof/>
          <w:sz w:val="24"/>
          <w:szCs w:val="24"/>
        </w:rPr>
        <w:t xml:space="preserve">, </w:t>
      </w:r>
      <w:r w:rsidRPr="00F738BB">
        <w:rPr>
          <w:rFonts w:ascii="Calibri" w:hAnsi="Calibri" w:cs="Calibri"/>
          <w:i/>
          <w:iCs/>
          <w:noProof/>
          <w:sz w:val="24"/>
          <w:szCs w:val="24"/>
        </w:rPr>
        <w:t>60</w:t>
      </w:r>
      <w:r w:rsidRPr="00F738BB">
        <w:rPr>
          <w:rFonts w:ascii="Calibri" w:hAnsi="Calibri" w:cs="Calibri"/>
          <w:noProof/>
          <w:sz w:val="24"/>
          <w:szCs w:val="24"/>
        </w:rPr>
        <w:t>(50), 12312–12323. https://doi.org/10.1021/jf304076z</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Piccolo, A. (2001). THE SUPRAMOLECULAR STRUCTURE OF HUMIC SUBSTANCES. </w:t>
      </w:r>
      <w:r w:rsidRPr="00F738BB">
        <w:rPr>
          <w:rFonts w:ascii="Calibri" w:hAnsi="Calibri" w:cs="Calibri"/>
          <w:i/>
          <w:iCs/>
          <w:noProof/>
          <w:sz w:val="24"/>
          <w:szCs w:val="24"/>
        </w:rPr>
        <w:t>Soil Science</w:t>
      </w:r>
      <w:r w:rsidRPr="00F738BB">
        <w:rPr>
          <w:rFonts w:ascii="Calibri" w:hAnsi="Calibri" w:cs="Calibri"/>
          <w:noProof/>
          <w:sz w:val="24"/>
          <w:szCs w:val="24"/>
        </w:rPr>
        <w:t xml:space="preserve">, </w:t>
      </w:r>
      <w:r w:rsidRPr="00F738BB">
        <w:rPr>
          <w:rFonts w:ascii="Calibri" w:hAnsi="Calibri" w:cs="Calibri"/>
          <w:i/>
          <w:iCs/>
          <w:noProof/>
          <w:sz w:val="24"/>
          <w:szCs w:val="24"/>
        </w:rPr>
        <w:t>166</w:t>
      </w:r>
      <w:r w:rsidRPr="00F738BB">
        <w:rPr>
          <w:rFonts w:ascii="Calibri" w:hAnsi="Calibri" w:cs="Calibri"/>
          <w:noProof/>
          <w:sz w:val="24"/>
          <w:szCs w:val="24"/>
        </w:rPr>
        <w:t>(11). Retrieved from https://journals.lww.com/soilsci/Fulltext/2001/11000/THE_SUPRAMOLECULAR_STRUCTURE_OF_HUMIC_SUBSTANCES.7.aspx</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Powell, C., Clifford, M. N., Opie, S. C., Ford, M. A., Robertson, A., &amp; Gibson, C. L. (1993). Tea cream formation: The contribution of black tea phenolic pigments determined by HPLC. </w:t>
      </w:r>
      <w:r w:rsidRPr="00F738BB">
        <w:rPr>
          <w:rFonts w:ascii="Calibri" w:hAnsi="Calibri" w:cs="Calibri"/>
          <w:i/>
          <w:iCs/>
          <w:noProof/>
          <w:sz w:val="24"/>
          <w:szCs w:val="24"/>
        </w:rPr>
        <w:t>Journal of the Science of Food and Agriculture</w:t>
      </w:r>
      <w:r w:rsidRPr="00F738BB">
        <w:rPr>
          <w:rFonts w:ascii="Calibri" w:hAnsi="Calibri" w:cs="Calibri"/>
          <w:noProof/>
          <w:sz w:val="24"/>
          <w:szCs w:val="24"/>
        </w:rPr>
        <w:t xml:space="preserve">, </w:t>
      </w:r>
      <w:r w:rsidRPr="00F738BB">
        <w:rPr>
          <w:rFonts w:ascii="Calibri" w:hAnsi="Calibri" w:cs="Calibri"/>
          <w:i/>
          <w:iCs/>
          <w:noProof/>
          <w:sz w:val="24"/>
          <w:szCs w:val="24"/>
        </w:rPr>
        <w:t>63</w:t>
      </w:r>
      <w:r w:rsidRPr="00F738BB">
        <w:rPr>
          <w:rFonts w:ascii="Calibri" w:hAnsi="Calibri" w:cs="Calibri"/>
          <w:noProof/>
          <w:sz w:val="24"/>
          <w:szCs w:val="24"/>
        </w:rPr>
        <w:t>(1), 77–86. https://doi.org/10.1002/jsfa.2740630113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Pripdeevech, P., &amp; Machan, T. (2011). Fingerprint of volatile flavour constituents and antioxidant activities of teas from Thailand.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125</w:t>
      </w:r>
      <w:r w:rsidRPr="00F738BB">
        <w:rPr>
          <w:rFonts w:ascii="Calibri" w:hAnsi="Calibri" w:cs="Calibri"/>
          <w:noProof/>
          <w:sz w:val="24"/>
          <w:szCs w:val="24"/>
        </w:rPr>
        <w:t>(2), 797–802. https://doi.org/10.1016/j.foodchem.2010.09.074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Quiñones, M., Miguel, M., &amp; Aleixandre, A. (2013). Beneficial effects of polyphenols on cardiovascular disease. </w:t>
      </w:r>
      <w:r w:rsidRPr="00F738BB">
        <w:rPr>
          <w:rFonts w:ascii="Calibri" w:hAnsi="Calibri" w:cs="Calibri"/>
          <w:i/>
          <w:iCs/>
          <w:noProof/>
          <w:sz w:val="24"/>
          <w:szCs w:val="24"/>
        </w:rPr>
        <w:t>Pharmacological Research</w:t>
      </w:r>
      <w:r w:rsidRPr="00F738BB">
        <w:rPr>
          <w:rFonts w:ascii="Calibri" w:hAnsi="Calibri" w:cs="Calibri"/>
          <w:noProof/>
          <w:sz w:val="24"/>
          <w:szCs w:val="24"/>
        </w:rPr>
        <w:t xml:space="preserve">, </w:t>
      </w:r>
      <w:r w:rsidRPr="00F738BB">
        <w:rPr>
          <w:rFonts w:ascii="Calibri" w:hAnsi="Calibri" w:cs="Calibri"/>
          <w:i/>
          <w:iCs/>
          <w:noProof/>
          <w:sz w:val="24"/>
          <w:szCs w:val="24"/>
        </w:rPr>
        <w:t>68</w:t>
      </w:r>
      <w:r w:rsidRPr="00F738BB">
        <w:rPr>
          <w:rFonts w:ascii="Calibri" w:hAnsi="Calibri" w:cs="Calibri"/>
          <w:noProof/>
          <w:sz w:val="24"/>
          <w:szCs w:val="24"/>
        </w:rPr>
        <w:t>(1), 125–131. https://doi.org/10.1016/j.phrs.2012.10.018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lastRenderedPageBreak/>
        <w:t xml:space="preserve">Ramanathan, L., &amp; Das, N. P. (1992). Studies on the Control of Lipid Oxidation in Ground Fish by Some Polyphenolic Natural Products. </w:t>
      </w:r>
      <w:r w:rsidRPr="00F738BB">
        <w:rPr>
          <w:rFonts w:ascii="Calibri" w:hAnsi="Calibri" w:cs="Calibri"/>
          <w:i/>
          <w:iCs/>
          <w:noProof/>
          <w:sz w:val="24"/>
          <w:szCs w:val="24"/>
        </w:rPr>
        <w:t>Journal of Agricultural and Food Chemistry</w:t>
      </w:r>
      <w:r w:rsidRPr="00F738BB">
        <w:rPr>
          <w:rFonts w:ascii="Calibri" w:hAnsi="Calibri" w:cs="Calibri"/>
          <w:noProof/>
          <w:sz w:val="24"/>
          <w:szCs w:val="24"/>
        </w:rPr>
        <w:t xml:space="preserve">, </w:t>
      </w:r>
      <w:r w:rsidRPr="00F738BB">
        <w:rPr>
          <w:rFonts w:ascii="Calibri" w:hAnsi="Calibri" w:cs="Calibri"/>
          <w:i/>
          <w:iCs/>
          <w:noProof/>
          <w:sz w:val="24"/>
          <w:szCs w:val="24"/>
        </w:rPr>
        <w:t>40</w:t>
      </w:r>
      <w:r w:rsidRPr="00F738BB">
        <w:rPr>
          <w:rFonts w:ascii="Calibri" w:hAnsi="Calibri" w:cs="Calibri"/>
          <w:noProof/>
          <w:sz w:val="24"/>
          <w:szCs w:val="24"/>
        </w:rPr>
        <w:t>(1), 17–21. https://doi.org/10.1021/jf00013a004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Rashid, K., Wachira, F. N., Nyabuga, J. N., Wanyonyi, B., Murilla, G., &amp; Isaac, A. O. (2013). Kenyan purple tea anthocyanins ability to cross the blood brain barrier and reinforce brain antioxidant capacity in mice. </w:t>
      </w:r>
      <w:r w:rsidRPr="00F738BB">
        <w:rPr>
          <w:rFonts w:ascii="Calibri" w:hAnsi="Calibri" w:cs="Calibri"/>
          <w:i/>
          <w:iCs/>
          <w:noProof/>
          <w:sz w:val="24"/>
          <w:szCs w:val="24"/>
        </w:rPr>
        <w:t>Nutritional Neuroscience</w:t>
      </w:r>
      <w:r w:rsidRPr="00F738BB">
        <w:rPr>
          <w:rFonts w:ascii="Calibri" w:hAnsi="Calibri" w:cs="Calibri"/>
          <w:noProof/>
          <w:sz w:val="24"/>
          <w:szCs w:val="24"/>
        </w:rPr>
        <w:t xml:space="preserve">, </w:t>
      </w:r>
      <w:r w:rsidRPr="00F738BB">
        <w:rPr>
          <w:rFonts w:ascii="Calibri" w:hAnsi="Calibri" w:cs="Calibri"/>
          <w:i/>
          <w:iCs/>
          <w:noProof/>
          <w:sz w:val="24"/>
          <w:szCs w:val="24"/>
        </w:rPr>
        <w:t>17</w:t>
      </w:r>
      <w:r w:rsidRPr="00F738BB">
        <w:rPr>
          <w:rFonts w:ascii="Calibri" w:hAnsi="Calibri" w:cs="Calibri"/>
          <w:noProof/>
          <w:sz w:val="24"/>
          <w:szCs w:val="24"/>
        </w:rPr>
        <w:t>(4), 178–185. https://doi.org/10.1179/1476830513y.0000000081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Rasouli, O., Ahmadi, N., Rashidi Monfared, S., &amp; Sefidkon, F. (2018). Physiological, phytochemicals and molecular analysis of color and scent of different landrace of Rosa damascena during flower development stages. </w:t>
      </w:r>
      <w:r w:rsidRPr="00F738BB">
        <w:rPr>
          <w:rFonts w:ascii="Calibri" w:hAnsi="Calibri" w:cs="Calibri"/>
          <w:i/>
          <w:iCs/>
          <w:noProof/>
          <w:sz w:val="24"/>
          <w:szCs w:val="24"/>
        </w:rPr>
        <w:t>Scientia Horticulturae</w:t>
      </w:r>
      <w:r w:rsidRPr="00F738BB">
        <w:rPr>
          <w:rFonts w:ascii="Calibri" w:hAnsi="Calibri" w:cs="Calibri"/>
          <w:noProof/>
          <w:sz w:val="24"/>
          <w:szCs w:val="24"/>
        </w:rPr>
        <w:t xml:space="preserve">, </w:t>
      </w:r>
      <w:r w:rsidRPr="00F738BB">
        <w:rPr>
          <w:rFonts w:ascii="Calibri" w:hAnsi="Calibri" w:cs="Calibri"/>
          <w:i/>
          <w:iCs/>
          <w:noProof/>
          <w:sz w:val="24"/>
          <w:szCs w:val="24"/>
        </w:rPr>
        <w:t>231</w:t>
      </w:r>
      <w:r w:rsidRPr="00F738BB">
        <w:rPr>
          <w:rFonts w:ascii="Calibri" w:hAnsi="Calibri" w:cs="Calibri"/>
          <w:noProof/>
          <w:sz w:val="24"/>
          <w:szCs w:val="24"/>
        </w:rPr>
        <w:t>(November 2017), 144–150. https://doi.org/10.1016/j.scienta.2017.12.010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Redestig, H., Szymanski, J., Hirai, M. Y. et al. (2011). </w:t>
      </w:r>
      <w:r w:rsidRPr="00F738BB">
        <w:rPr>
          <w:rFonts w:ascii="Calibri" w:hAnsi="Calibri" w:cs="Calibri"/>
          <w:i/>
          <w:iCs/>
          <w:noProof/>
          <w:sz w:val="24"/>
          <w:szCs w:val="24"/>
        </w:rPr>
        <w:t>Data integration, metabolic networks and systems biology.</w:t>
      </w:r>
      <w:r w:rsidRPr="00F738BB">
        <w:rPr>
          <w:rFonts w:ascii="Calibri" w:hAnsi="Calibri" w:cs="Calibri"/>
          <w:noProof/>
          <w:sz w:val="24"/>
          <w:szCs w:val="24"/>
        </w:rPr>
        <w:t xml:space="preserve"> (R.D. Hall, Ed.). Blackwell Publishing Ltd., Oxford, UK.</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Renaud, S., &amp; de Lorgeril, M. (1992). Wine, alcohol, platelets, and the French paradox for coronary heart disease. </w:t>
      </w:r>
      <w:r w:rsidRPr="00F738BB">
        <w:rPr>
          <w:rFonts w:ascii="Calibri" w:hAnsi="Calibri" w:cs="Calibri"/>
          <w:i/>
          <w:iCs/>
          <w:noProof/>
          <w:sz w:val="24"/>
          <w:szCs w:val="24"/>
        </w:rPr>
        <w:t>The Lancet</w:t>
      </w:r>
      <w:r w:rsidRPr="00F738BB">
        <w:rPr>
          <w:rFonts w:ascii="Calibri" w:hAnsi="Calibri" w:cs="Calibri"/>
          <w:noProof/>
          <w:sz w:val="24"/>
          <w:szCs w:val="24"/>
        </w:rPr>
        <w:t xml:space="preserve">, </w:t>
      </w:r>
      <w:r w:rsidRPr="00F738BB">
        <w:rPr>
          <w:rFonts w:ascii="Calibri" w:hAnsi="Calibri" w:cs="Calibri"/>
          <w:i/>
          <w:iCs/>
          <w:noProof/>
          <w:sz w:val="24"/>
          <w:szCs w:val="24"/>
        </w:rPr>
        <w:t>339</w:t>
      </w:r>
      <w:r w:rsidRPr="00F738BB">
        <w:rPr>
          <w:rFonts w:ascii="Calibri" w:hAnsi="Calibri" w:cs="Calibri"/>
          <w:noProof/>
          <w:sz w:val="24"/>
          <w:szCs w:val="24"/>
        </w:rPr>
        <w:t>(8808), 1523–1526. https://doi.org/10.1016/0140-6736(92)91277-F</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Rietz, B., Isensee, H., Strobach, H., Makdessi, S., &amp; Jacob, R. (1993). </w:t>
      </w:r>
      <w:r w:rsidRPr="00F738BB">
        <w:rPr>
          <w:rFonts w:ascii="Calibri" w:hAnsi="Calibri" w:cs="Calibri"/>
          <w:i/>
          <w:iCs/>
          <w:noProof/>
          <w:sz w:val="24"/>
          <w:szCs w:val="24"/>
        </w:rPr>
        <w:t>Cardioprotective actions of wild garlic ( Anium ursinum ) in ischemia and reperfusion</w:t>
      </w:r>
      <w:r w:rsidRPr="00F738BB">
        <w:rPr>
          <w:rFonts w:ascii="Calibri" w:hAnsi="Calibri" w:cs="Calibri"/>
          <w:noProof/>
          <w:sz w:val="24"/>
          <w:szCs w:val="24"/>
        </w:rPr>
        <w:t>. 143–150.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Rigano, F., Tranchida, P. Q., Dugo, P., &amp; Mondello, L. (2019). High-performance liquid chromatography combined with electron ionization mass spectrometry: A review. </w:t>
      </w:r>
      <w:r w:rsidRPr="00F738BB">
        <w:rPr>
          <w:rFonts w:ascii="Calibri" w:hAnsi="Calibri" w:cs="Calibri"/>
          <w:i/>
          <w:iCs/>
          <w:noProof/>
          <w:sz w:val="24"/>
          <w:szCs w:val="24"/>
        </w:rPr>
        <w:t>TrAC - Trends in Analytical Chemistry</w:t>
      </w:r>
      <w:r w:rsidRPr="00F738BB">
        <w:rPr>
          <w:rFonts w:ascii="Calibri" w:hAnsi="Calibri" w:cs="Calibri"/>
          <w:noProof/>
          <w:sz w:val="24"/>
          <w:szCs w:val="24"/>
        </w:rPr>
        <w:t xml:space="preserve">, </w:t>
      </w:r>
      <w:r w:rsidRPr="00F738BB">
        <w:rPr>
          <w:rFonts w:ascii="Calibri" w:hAnsi="Calibri" w:cs="Calibri"/>
          <w:i/>
          <w:iCs/>
          <w:noProof/>
          <w:sz w:val="24"/>
          <w:szCs w:val="24"/>
        </w:rPr>
        <w:t>118</w:t>
      </w:r>
      <w:r w:rsidRPr="00F738BB">
        <w:rPr>
          <w:rFonts w:ascii="Calibri" w:hAnsi="Calibri" w:cs="Calibri"/>
          <w:noProof/>
          <w:sz w:val="24"/>
          <w:szCs w:val="24"/>
        </w:rPr>
        <w:t>, 112–122. https://doi.org/10.1016/j.trac.2019.05.032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Rivero, R. M., Ruiz, J. M., Garcı, P. C., Lo, L. R., Sa, E., &amp; Romero, L. (2001). </w:t>
      </w:r>
      <w:r w:rsidRPr="00F738BB">
        <w:rPr>
          <w:rFonts w:ascii="Calibri" w:hAnsi="Calibri" w:cs="Calibri"/>
          <w:i/>
          <w:iCs/>
          <w:noProof/>
          <w:sz w:val="24"/>
          <w:szCs w:val="24"/>
        </w:rPr>
        <w:t>Resistance to cold and heat stress:polyphenolics</w:t>
      </w:r>
      <w:r w:rsidRPr="00F738BB">
        <w:rPr>
          <w:rFonts w:ascii="Calibri" w:hAnsi="Calibri" w:cs="Calibri"/>
          <w:noProof/>
          <w:sz w:val="24"/>
          <w:szCs w:val="24"/>
        </w:rPr>
        <w:t xml:space="preserve">. </w:t>
      </w:r>
      <w:r w:rsidRPr="00F738BB">
        <w:rPr>
          <w:rFonts w:ascii="Calibri" w:hAnsi="Calibri" w:cs="Calibri"/>
          <w:i/>
          <w:iCs/>
          <w:noProof/>
          <w:sz w:val="24"/>
          <w:szCs w:val="24"/>
        </w:rPr>
        <w:t>160</w:t>
      </w:r>
      <w:r w:rsidRPr="00F738BB">
        <w:rPr>
          <w:rFonts w:ascii="Calibri" w:hAnsi="Calibri" w:cs="Calibri"/>
          <w:noProof/>
          <w:sz w:val="24"/>
          <w:szCs w:val="24"/>
        </w:rPr>
        <w:t>, 315–321.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Rizvi, K. B. P. and S. I. (2009). Plant polyphenols as dietary antioxidants in human health and disease. </w:t>
      </w:r>
      <w:r w:rsidRPr="00F738BB">
        <w:rPr>
          <w:rFonts w:ascii="Calibri" w:hAnsi="Calibri" w:cs="Calibri"/>
          <w:i/>
          <w:iCs/>
          <w:noProof/>
          <w:sz w:val="24"/>
          <w:szCs w:val="24"/>
        </w:rPr>
        <w:t>Oxidative Medicine and Cellular Longevity</w:t>
      </w:r>
      <w:r w:rsidRPr="00F738BB">
        <w:rPr>
          <w:rFonts w:ascii="Calibri" w:hAnsi="Calibri" w:cs="Calibri"/>
          <w:noProof/>
          <w:sz w:val="24"/>
          <w:szCs w:val="24"/>
        </w:rPr>
        <w:t xml:space="preserve">, </w:t>
      </w:r>
      <w:r w:rsidRPr="00F738BB">
        <w:rPr>
          <w:rFonts w:ascii="Calibri" w:hAnsi="Calibri" w:cs="Calibri"/>
          <w:i/>
          <w:iCs/>
          <w:noProof/>
          <w:sz w:val="24"/>
          <w:szCs w:val="24"/>
        </w:rPr>
        <w:t>25</w:t>
      </w:r>
      <w:r w:rsidRPr="00F738BB">
        <w:rPr>
          <w:rFonts w:ascii="Calibri" w:hAnsi="Calibri" w:cs="Calibri"/>
          <w:noProof/>
          <w:sz w:val="24"/>
          <w:szCs w:val="24"/>
        </w:rPr>
        <w:t>, 270–278.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Roberts, C. (1954). </w:t>
      </w:r>
      <w:r w:rsidRPr="00F738BB">
        <w:rPr>
          <w:rFonts w:ascii="Calibri" w:hAnsi="Calibri" w:cs="Calibri"/>
          <w:i/>
          <w:iCs/>
          <w:noProof/>
          <w:sz w:val="24"/>
          <w:szCs w:val="24"/>
        </w:rPr>
        <w:t>TheogallinPolyphenolOccurringInTea_ARCartwright(1954).pdf</w:t>
      </w:r>
      <w:r w:rsidRPr="00F738BB">
        <w:rPr>
          <w:rFonts w:ascii="Calibri" w:hAnsi="Calibri" w:cs="Calibri"/>
          <w:noProof/>
          <w:sz w:val="24"/>
          <w:szCs w:val="24"/>
        </w:rPr>
        <w:t>. 593–597.</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Robertson, A. 1983b. (1983). Robertson, A. 1983b. Effect of catechin concentration on the </w:t>
      </w:r>
      <w:r w:rsidRPr="00F738BB">
        <w:rPr>
          <w:rFonts w:ascii="Calibri" w:hAnsi="Calibri" w:cs="Calibri"/>
          <w:noProof/>
          <w:sz w:val="24"/>
          <w:szCs w:val="24"/>
        </w:rPr>
        <w:lastRenderedPageBreak/>
        <w:t xml:space="preserve">formation of black tea polyphenols during in vitro oxidation. Phytochem. 22(4): 897-903. </w:t>
      </w:r>
      <w:r w:rsidRPr="00F738BB">
        <w:rPr>
          <w:rFonts w:ascii="Calibri" w:hAnsi="Calibri" w:cs="Calibri"/>
          <w:i/>
          <w:iCs/>
          <w:noProof/>
          <w:sz w:val="24"/>
          <w:szCs w:val="24"/>
        </w:rPr>
        <w:t>Phytochem. 22(4): 897-903.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Rocchetti, G., Giuberti, G., Lucchini, F., &amp; Lucini, L. (2020). Polyphenols and Sesquiterpene Lactones from Artichoke Heads: Modulation of Starch Digestion, Gut Bioaccessibility, and Bioavailability following In Vitro Digestion and Large Intestine Fermentation. </w:t>
      </w:r>
      <w:r w:rsidRPr="00F738BB">
        <w:rPr>
          <w:rFonts w:ascii="Calibri" w:hAnsi="Calibri" w:cs="Calibri"/>
          <w:i/>
          <w:iCs/>
          <w:noProof/>
          <w:sz w:val="24"/>
          <w:szCs w:val="24"/>
        </w:rPr>
        <w:t>Antioxidants</w:t>
      </w:r>
      <w:r w:rsidRPr="00F738BB">
        <w:rPr>
          <w:rFonts w:ascii="Calibri" w:hAnsi="Calibri" w:cs="Calibri"/>
          <w:noProof/>
          <w:sz w:val="24"/>
          <w:szCs w:val="24"/>
        </w:rPr>
        <w:t xml:space="preserve">, </w:t>
      </w:r>
      <w:r w:rsidRPr="00F738BB">
        <w:rPr>
          <w:rFonts w:ascii="Calibri" w:hAnsi="Calibri" w:cs="Calibri"/>
          <w:i/>
          <w:iCs/>
          <w:noProof/>
          <w:sz w:val="24"/>
          <w:szCs w:val="24"/>
        </w:rPr>
        <w:t>9</w:t>
      </w:r>
      <w:r w:rsidRPr="00F738BB">
        <w:rPr>
          <w:rFonts w:ascii="Calibri" w:hAnsi="Calibri" w:cs="Calibri"/>
          <w:noProof/>
          <w:sz w:val="24"/>
          <w:szCs w:val="24"/>
        </w:rPr>
        <w:t>(4), 306. https://doi.org/10.3390/antiox9040306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Rodríguez-Bernaldo de Quirós, A., Lage-Yusty, M. A., &amp; López-Hernández, J. (2010). Determination of phenolic compounds in macroalgae for human consumption.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121</w:t>
      </w:r>
      <w:r w:rsidRPr="00F738BB">
        <w:rPr>
          <w:rFonts w:ascii="Calibri" w:hAnsi="Calibri" w:cs="Calibri"/>
          <w:noProof/>
          <w:sz w:val="24"/>
          <w:szCs w:val="24"/>
        </w:rPr>
        <w:t>(2), 634–638. https://doi.org/10.1016/j.foodchem.2009.12.078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Rotelli, A. E., Guardia, T., Juárez, A. O., De La Rocha, N. E., &amp; Pelzer, L. E. (2003). Comparative study of flavonoids in experimental models of inflammation. </w:t>
      </w:r>
      <w:r w:rsidRPr="00F738BB">
        <w:rPr>
          <w:rFonts w:ascii="Calibri" w:hAnsi="Calibri" w:cs="Calibri"/>
          <w:i/>
          <w:iCs/>
          <w:noProof/>
          <w:sz w:val="24"/>
          <w:szCs w:val="24"/>
        </w:rPr>
        <w:t>Pharmacological Research</w:t>
      </w:r>
      <w:r w:rsidRPr="00F738BB">
        <w:rPr>
          <w:rFonts w:ascii="Calibri" w:hAnsi="Calibri" w:cs="Calibri"/>
          <w:noProof/>
          <w:sz w:val="24"/>
          <w:szCs w:val="24"/>
        </w:rPr>
        <w:t xml:space="preserve">, </w:t>
      </w:r>
      <w:r w:rsidRPr="00F738BB">
        <w:rPr>
          <w:rFonts w:ascii="Calibri" w:hAnsi="Calibri" w:cs="Calibri"/>
          <w:i/>
          <w:iCs/>
          <w:noProof/>
          <w:sz w:val="24"/>
          <w:szCs w:val="24"/>
        </w:rPr>
        <w:t>48</w:t>
      </w:r>
      <w:r w:rsidRPr="00F738BB">
        <w:rPr>
          <w:rFonts w:ascii="Calibri" w:hAnsi="Calibri" w:cs="Calibri"/>
          <w:noProof/>
          <w:sz w:val="24"/>
          <w:szCs w:val="24"/>
        </w:rPr>
        <w:t>(6), 601–606. https://doi.org/10.1016/S1043-6618(03)00225-1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Rubert, J., Zachariasova, M., &amp; Hajslova, J. (2015). Advances in high-resolution mass spectrometry based on metabolomics studies for food – a review. </w:t>
      </w:r>
      <w:r w:rsidRPr="00F738BB">
        <w:rPr>
          <w:rFonts w:ascii="Calibri" w:hAnsi="Calibri" w:cs="Calibri"/>
          <w:i/>
          <w:iCs/>
          <w:noProof/>
          <w:sz w:val="24"/>
          <w:szCs w:val="24"/>
        </w:rPr>
        <w:t>Food Additives and Contaminants - Part A Chemistry, Analysis, Control, Exposure and Risk Assessment</w:t>
      </w:r>
      <w:r w:rsidRPr="00F738BB">
        <w:rPr>
          <w:rFonts w:ascii="Calibri" w:hAnsi="Calibri" w:cs="Calibri"/>
          <w:noProof/>
          <w:sz w:val="24"/>
          <w:szCs w:val="24"/>
        </w:rPr>
        <w:t xml:space="preserve">, </w:t>
      </w:r>
      <w:r w:rsidRPr="00F738BB">
        <w:rPr>
          <w:rFonts w:ascii="Calibri" w:hAnsi="Calibri" w:cs="Calibri"/>
          <w:i/>
          <w:iCs/>
          <w:noProof/>
          <w:sz w:val="24"/>
          <w:szCs w:val="24"/>
        </w:rPr>
        <w:t>32</w:t>
      </w:r>
      <w:r w:rsidRPr="00F738BB">
        <w:rPr>
          <w:rFonts w:ascii="Calibri" w:hAnsi="Calibri" w:cs="Calibri"/>
          <w:noProof/>
          <w:sz w:val="24"/>
          <w:szCs w:val="24"/>
        </w:rPr>
        <w:t>(10), 1685–1708. https://doi.org/10.1080/19440049.2015.1084539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S.Lutfallah. (2009). General Health Benefits of Black Tea: Thearubigins and Theaflavins « Tea Scapes’ Blog. Retrieved July 2, 2019, from www website: https://teascapes.wordpress.com/2009/06/06/general-health-benefits-of-black-tea-thearubigins-and-theaflavins/</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Sajilata, M. G., Bajaj, P. R., &amp; Singhal, R. S. (2008). Tea polyphenols as nutraceuticals. </w:t>
      </w:r>
      <w:r w:rsidRPr="00F738BB">
        <w:rPr>
          <w:rFonts w:ascii="Calibri" w:hAnsi="Calibri" w:cs="Calibri"/>
          <w:i/>
          <w:iCs/>
          <w:noProof/>
          <w:sz w:val="24"/>
          <w:szCs w:val="24"/>
        </w:rPr>
        <w:t>Comprehensive Reviews in Food Science and Food Safety</w:t>
      </w:r>
      <w:r w:rsidRPr="00F738BB">
        <w:rPr>
          <w:rFonts w:ascii="Calibri" w:hAnsi="Calibri" w:cs="Calibri"/>
          <w:noProof/>
          <w:sz w:val="24"/>
          <w:szCs w:val="24"/>
        </w:rPr>
        <w:t xml:space="preserve">, </w:t>
      </w:r>
      <w:r w:rsidRPr="00F738BB">
        <w:rPr>
          <w:rFonts w:ascii="Calibri" w:hAnsi="Calibri" w:cs="Calibri"/>
          <w:i/>
          <w:iCs/>
          <w:noProof/>
          <w:sz w:val="24"/>
          <w:szCs w:val="24"/>
        </w:rPr>
        <w:t>7</w:t>
      </w:r>
      <w:r w:rsidRPr="00F738BB">
        <w:rPr>
          <w:rFonts w:ascii="Calibri" w:hAnsi="Calibri" w:cs="Calibri"/>
          <w:noProof/>
          <w:sz w:val="24"/>
          <w:szCs w:val="24"/>
        </w:rPr>
        <w:t>(3), 229–254. https://doi.org/10.1111/j.1541-4337.2008.00043.x</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Sang, S., Lambert, J. D., Ho, C. T., &amp; Yang, C. S. (2011). The chemistry and biotransformation of tea constituents. </w:t>
      </w:r>
      <w:r w:rsidRPr="00F738BB">
        <w:rPr>
          <w:rFonts w:ascii="Calibri" w:hAnsi="Calibri" w:cs="Calibri"/>
          <w:i/>
          <w:iCs/>
          <w:noProof/>
          <w:sz w:val="24"/>
          <w:szCs w:val="24"/>
        </w:rPr>
        <w:t>Pharmacological Research</w:t>
      </w:r>
      <w:r w:rsidRPr="00F738BB">
        <w:rPr>
          <w:rFonts w:ascii="Calibri" w:hAnsi="Calibri" w:cs="Calibri"/>
          <w:noProof/>
          <w:sz w:val="24"/>
          <w:szCs w:val="24"/>
        </w:rPr>
        <w:t xml:space="preserve">, </w:t>
      </w:r>
      <w:r w:rsidRPr="00F738BB">
        <w:rPr>
          <w:rFonts w:ascii="Calibri" w:hAnsi="Calibri" w:cs="Calibri"/>
          <w:i/>
          <w:iCs/>
          <w:noProof/>
          <w:sz w:val="24"/>
          <w:szCs w:val="24"/>
        </w:rPr>
        <w:t>64</w:t>
      </w:r>
      <w:r w:rsidRPr="00F738BB">
        <w:rPr>
          <w:rFonts w:ascii="Calibri" w:hAnsi="Calibri" w:cs="Calibri"/>
          <w:noProof/>
          <w:sz w:val="24"/>
          <w:szCs w:val="24"/>
        </w:rPr>
        <w:t>(2), 87–99. https://doi.org/10.1016/j.phrs.2011.02.007</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Santana-Rios, G., Orner, G. A., Amantana, A., Provost, C., Wu, S. Y., &amp; Dashwood, R. H. (2001). Potent antimutagenic activity of white tea in comparison with green tea in the Salmonella assay. </w:t>
      </w:r>
      <w:r w:rsidRPr="00F738BB">
        <w:rPr>
          <w:rFonts w:ascii="Calibri" w:hAnsi="Calibri" w:cs="Calibri"/>
          <w:i/>
          <w:iCs/>
          <w:noProof/>
          <w:sz w:val="24"/>
          <w:szCs w:val="24"/>
        </w:rPr>
        <w:t xml:space="preserve">Mutation Research - Genetic Toxicology and Environmental </w:t>
      </w:r>
      <w:r w:rsidRPr="00F738BB">
        <w:rPr>
          <w:rFonts w:ascii="Calibri" w:hAnsi="Calibri" w:cs="Calibri"/>
          <w:i/>
          <w:iCs/>
          <w:noProof/>
          <w:sz w:val="24"/>
          <w:szCs w:val="24"/>
        </w:rPr>
        <w:lastRenderedPageBreak/>
        <w:t>Mutagenesis</w:t>
      </w:r>
      <w:r w:rsidRPr="00F738BB">
        <w:rPr>
          <w:rFonts w:ascii="Calibri" w:hAnsi="Calibri" w:cs="Calibri"/>
          <w:noProof/>
          <w:sz w:val="24"/>
          <w:szCs w:val="24"/>
        </w:rPr>
        <w:t xml:space="preserve">, </w:t>
      </w:r>
      <w:r w:rsidRPr="00F738BB">
        <w:rPr>
          <w:rFonts w:ascii="Calibri" w:hAnsi="Calibri" w:cs="Calibri"/>
          <w:i/>
          <w:iCs/>
          <w:noProof/>
          <w:sz w:val="24"/>
          <w:szCs w:val="24"/>
        </w:rPr>
        <w:t>495</w:t>
      </w:r>
      <w:r w:rsidRPr="00F738BB">
        <w:rPr>
          <w:rFonts w:ascii="Calibri" w:hAnsi="Calibri" w:cs="Calibri"/>
          <w:noProof/>
          <w:sz w:val="24"/>
          <w:szCs w:val="24"/>
        </w:rPr>
        <w:t>(1–2), 61–74. https://doi.org/10.1016/S1383-5718(01)00200-5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Schoonees, A., Visser, J., Musekiwa, A., &amp; Volmink, J. (2012). Pycnogenol® (extract of French maritime pine bark) for the treatment of chronic disorders. </w:t>
      </w:r>
      <w:r w:rsidRPr="00F738BB">
        <w:rPr>
          <w:rFonts w:ascii="Calibri" w:hAnsi="Calibri" w:cs="Calibri"/>
          <w:i/>
          <w:iCs/>
          <w:noProof/>
          <w:sz w:val="24"/>
          <w:szCs w:val="24"/>
        </w:rPr>
        <w:t>Cochrane Database of Systematic Reviews</w:t>
      </w:r>
      <w:r w:rsidRPr="00F738BB">
        <w:rPr>
          <w:rFonts w:ascii="Calibri" w:hAnsi="Calibri" w:cs="Calibri"/>
          <w:noProof/>
          <w:sz w:val="24"/>
          <w:szCs w:val="24"/>
        </w:rPr>
        <w:t>, (4). https://doi.org/10.1002/14651858.CD008294.pub4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Schwen, R. J., Nguyen, L., &amp; Jackson, R. L. (2012). Elucidation of the metabolic pathway of S-equol in rat, monkey and man. </w:t>
      </w:r>
      <w:r w:rsidRPr="00F738BB">
        <w:rPr>
          <w:rFonts w:ascii="Calibri" w:hAnsi="Calibri" w:cs="Calibri"/>
          <w:i/>
          <w:iCs/>
          <w:noProof/>
          <w:sz w:val="24"/>
          <w:szCs w:val="24"/>
        </w:rPr>
        <w:t>Food and Chemical Toxicology</w:t>
      </w:r>
      <w:r w:rsidRPr="00F738BB">
        <w:rPr>
          <w:rFonts w:ascii="Calibri" w:hAnsi="Calibri" w:cs="Calibri"/>
          <w:noProof/>
          <w:sz w:val="24"/>
          <w:szCs w:val="24"/>
        </w:rPr>
        <w:t xml:space="preserve">, </w:t>
      </w:r>
      <w:r w:rsidRPr="00F738BB">
        <w:rPr>
          <w:rFonts w:ascii="Calibri" w:hAnsi="Calibri" w:cs="Calibri"/>
          <w:i/>
          <w:iCs/>
          <w:noProof/>
          <w:sz w:val="24"/>
          <w:szCs w:val="24"/>
        </w:rPr>
        <w:t>50</w:t>
      </w:r>
      <w:r w:rsidRPr="00F738BB">
        <w:rPr>
          <w:rFonts w:ascii="Calibri" w:hAnsi="Calibri" w:cs="Calibri"/>
          <w:noProof/>
          <w:sz w:val="24"/>
          <w:szCs w:val="24"/>
        </w:rPr>
        <w:t>(6), 2074–2083. https://doi.org/10.1016/j.fct.2012.03.048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Serra, A., Romero, M., Valls, J., &amp; Blade, C. (2009). Bioavailability of procyanidin dimers and trimers and matrix food effects in in vitro and in vivo models British Journal of Nutrition. </w:t>
      </w:r>
      <w:r w:rsidRPr="00F738BB">
        <w:rPr>
          <w:rFonts w:ascii="Calibri" w:hAnsi="Calibri" w:cs="Calibri"/>
          <w:i/>
          <w:iCs/>
          <w:noProof/>
          <w:sz w:val="24"/>
          <w:szCs w:val="24"/>
        </w:rPr>
        <w:t>British Journal of Nutrition</w:t>
      </w:r>
      <w:r w:rsidRPr="00F738BB">
        <w:rPr>
          <w:rFonts w:ascii="Calibri" w:hAnsi="Calibri" w:cs="Calibri"/>
          <w:noProof/>
          <w:sz w:val="24"/>
          <w:szCs w:val="24"/>
        </w:rPr>
        <w:t>, (2010), 944–952. https://doi.org/10.1017/S0007114509992741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Shevchuk, A., Jayasinghe, L., &amp; Kuhnert, N. (2018). Differentiation of black tea infusions according to origin, processing and botanical varieties using multivariate statistical analysis of LC-MS data. </w:t>
      </w:r>
      <w:r w:rsidRPr="00F738BB">
        <w:rPr>
          <w:rFonts w:ascii="Calibri" w:hAnsi="Calibri" w:cs="Calibri"/>
          <w:i/>
          <w:iCs/>
          <w:noProof/>
          <w:sz w:val="24"/>
          <w:szCs w:val="24"/>
        </w:rPr>
        <w:t>Food Research International</w:t>
      </w:r>
      <w:r w:rsidRPr="00F738BB">
        <w:rPr>
          <w:rFonts w:ascii="Calibri" w:hAnsi="Calibri" w:cs="Calibri"/>
          <w:noProof/>
          <w:sz w:val="24"/>
          <w:szCs w:val="24"/>
        </w:rPr>
        <w:t xml:space="preserve">, </w:t>
      </w:r>
      <w:r w:rsidRPr="00F738BB">
        <w:rPr>
          <w:rFonts w:ascii="Calibri" w:hAnsi="Calibri" w:cs="Calibri"/>
          <w:i/>
          <w:iCs/>
          <w:noProof/>
          <w:sz w:val="24"/>
          <w:szCs w:val="24"/>
        </w:rPr>
        <w:t>109</w:t>
      </w:r>
      <w:r w:rsidRPr="00F738BB">
        <w:rPr>
          <w:rFonts w:ascii="Calibri" w:hAnsi="Calibri" w:cs="Calibri"/>
          <w:noProof/>
          <w:sz w:val="24"/>
          <w:szCs w:val="24"/>
        </w:rPr>
        <w:t>(March), 387–402. https://doi.org/10.1016/j.foodres.2018.03.059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Shimoda, H., Hitoe, S., Nakamura, S., &amp; Matsuda, H. (2015). Purple tea and its extract suppress diet-induced fat accumulation in mice and human subjects by inhibiting fat absorption and enhancing hepatic carnitine palmitoyltransferase expression. </w:t>
      </w:r>
      <w:r w:rsidRPr="00F738BB">
        <w:rPr>
          <w:rFonts w:ascii="Calibri" w:hAnsi="Calibri" w:cs="Calibri"/>
          <w:i/>
          <w:iCs/>
          <w:noProof/>
          <w:sz w:val="24"/>
          <w:szCs w:val="24"/>
        </w:rPr>
        <w:t>International Journal of Biomedical Science</w:t>
      </w:r>
      <w:r w:rsidRPr="00F738BB">
        <w:rPr>
          <w:rFonts w:ascii="Calibri" w:hAnsi="Calibri" w:cs="Calibri"/>
          <w:noProof/>
          <w:sz w:val="24"/>
          <w:szCs w:val="24"/>
        </w:rPr>
        <w:t xml:space="preserve">, </w:t>
      </w:r>
      <w:r w:rsidRPr="00F738BB">
        <w:rPr>
          <w:rFonts w:ascii="Calibri" w:hAnsi="Calibri" w:cs="Calibri"/>
          <w:i/>
          <w:iCs/>
          <w:noProof/>
          <w:sz w:val="24"/>
          <w:szCs w:val="24"/>
        </w:rPr>
        <w:t>11</w:t>
      </w:r>
      <w:r w:rsidRPr="00F738BB">
        <w:rPr>
          <w:rFonts w:ascii="Calibri" w:hAnsi="Calibri" w:cs="Calibri"/>
          <w:noProof/>
          <w:sz w:val="24"/>
          <w:szCs w:val="24"/>
        </w:rPr>
        <w:t>(2), 67–75.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Shun-jun Xu1, 2, Liu Yang3, Xing Zeng3, M. Z. and Z. W. (2006). Characterization of compounds in the Chinese herbal drug Mu-Dan-Pi by liquid chromatography coupled to electrospray ionization mass spectrometry. </w:t>
      </w:r>
      <w:r w:rsidRPr="00F738BB">
        <w:rPr>
          <w:rFonts w:ascii="Calibri" w:hAnsi="Calibri" w:cs="Calibri"/>
          <w:i/>
          <w:iCs/>
          <w:noProof/>
          <w:sz w:val="24"/>
          <w:szCs w:val="24"/>
        </w:rPr>
        <w:t>Rapid Communications in Mass Spectrometry : RCM</w:t>
      </w:r>
      <w:r w:rsidRPr="00F738BB">
        <w:rPr>
          <w:rFonts w:ascii="Calibri" w:hAnsi="Calibri" w:cs="Calibri"/>
          <w:noProof/>
          <w:sz w:val="24"/>
          <w:szCs w:val="24"/>
        </w:rPr>
        <w:t>. https://doi.org/10.1002/rcm</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Stewart, D., Shepherd, L.V.T., Hall, R. D. et al. (2011). </w:t>
      </w:r>
      <w:r w:rsidRPr="00F738BB">
        <w:rPr>
          <w:rFonts w:ascii="Calibri" w:hAnsi="Calibri" w:cs="Calibri"/>
          <w:i/>
          <w:iCs/>
          <w:noProof/>
          <w:sz w:val="24"/>
          <w:szCs w:val="24"/>
        </w:rPr>
        <w:t>Crops and tasty, nutritious food – how can metabolomics help?</w:t>
      </w:r>
      <w:r w:rsidRPr="00F738BB">
        <w:rPr>
          <w:rFonts w:ascii="Calibri" w:hAnsi="Calibri" w:cs="Calibri"/>
          <w:noProof/>
          <w:sz w:val="24"/>
          <w:szCs w:val="24"/>
        </w:rPr>
        <w:t xml:space="preserve"> Blackwell Publishing Ltd., Oxford, UK.</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Sutton, R., &amp; Sposito, G. (2005). Molecular structure in soil humic substances: The new view. </w:t>
      </w:r>
      <w:r w:rsidRPr="00F738BB">
        <w:rPr>
          <w:rFonts w:ascii="Calibri" w:hAnsi="Calibri" w:cs="Calibri"/>
          <w:i/>
          <w:iCs/>
          <w:noProof/>
          <w:sz w:val="24"/>
          <w:szCs w:val="24"/>
        </w:rPr>
        <w:t>Environmental Science and Technology</w:t>
      </w:r>
      <w:r w:rsidRPr="00F738BB">
        <w:rPr>
          <w:rFonts w:ascii="Calibri" w:hAnsi="Calibri" w:cs="Calibri"/>
          <w:noProof/>
          <w:sz w:val="24"/>
          <w:szCs w:val="24"/>
        </w:rPr>
        <w:t xml:space="preserve">, </w:t>
      </w:r>
      <w:r w:rsidRPr="00F738BB">
        <w:rPr>
          <w:rFonts w:ascii="Calibri" w:hAnsi="Calibri" w:cs="Calibri"/>
          <w:i/>
          <w:iCs/>
          <w:noProof/>
          <w:sz w:val="24"/>
          <w:szCs w:val="24"/>
        </w:rPr>
        <w:t>39</w:t>
      </w:r>
      <w:r w:rsidRPr="00F738BB">
        <w:rPr>
          <w:rFonts w:ascii="Calibri" w:hAnsi="Calibri" w:cs="Calibri"/>
          <w:noProof/>
          <w:sz w:val="24"/>
          <w:szCs w:val="24"/>
        </w:rPr>
        <w:t>(23), 9009–9015. https://doi.org/10.1021/es050778q</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lastRenderedPageBreak/>
        <w:t xml:space="preserve">Takeo, T. and Baker, J. E. (1973). Takeo, T. and Baker, J.E.1973. Changes in multiple forms of polyphenol oxidase during maturation of tea leaves. Phytochem. 12: 21-24. </w:t>
      </w:r>
      <w:r w:rsidRPr="00F738BB">
        <w:rPr>
          <w:rFonts w:ascii="Calibri" w:hAnsi="Calibri" w:cs="Calibri"/>
          <w:i/>
          <w:iCs/>
          <w:noProof/>
          <w:sz w:val="24"/>
          <w:szCs w:val="24"/>
        </w:rPr>
        <w:t>Phytochem. 12: 21-24.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Takino, Y., Imagawa, H., Horikawa, H., &amp; Tanaka, A. (1964). Studies on the mechanism of the oxidation of tea leaf catechins. </w:t>
      </w:r>
      <w:r w:rsidRPr="00F738BB">
        <w:rPr>
          <w:rFonts w:ascii="Calibri" w:hAnsi="Calibri" w:cs="Calibri"/>
          <w:i/>
          <w:iCs/>
          <w:noProof/>
          <w:sz w:val="24"/>
          <w:szCs w:val="24"/>
        </w:rPr>
        <w:t>Agricultural and Biological Chemistry</w:t>
      </w:r>
      <w:r w:rsidRPr="00F738BB">
        <w:rPr>
          <w:rFonts w:ascii="Calibri" w:hAnsi="Calibri" w:cs="Calibri"/>
          <w:noProof/>
          <w:sz w:val="24"/>
          <w:szCs w:val="24"/>
        </w:rPr>
        <w:t xml:space="preserve">, </w:t>
      </w:r>
      <w:r w:rsidRPr="00F738BB">
        <w:rPr>
          <w:rFonts w:ascii="Calibri" w:hAnsi="Calibri" w:cs="Calibri"/>
          <w:i/>
          <w:iCs/>
          <w:noProof/>
          <w:sz w:val="24"/>
          <w:szCs w:val="24"/>
        </w:rPr>
        <w:t>28</w:t>
      </w:r>
      <w:r w:rsidRPr="00F738BB">
        <w:rPr>
          <w:rFonts w:ascii="Calibri" w:hAnsi="Calibri" w:cs="Calibri"/>
          <w:noProof/>
          <w:sz w:val="24"/>
          <w:szCs w:val="24"/>
        </w:rPr>
        <w:t>(1), 64–71. https://doi.org/10.1080/00021369.1964.10858200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Tatti, S., Stockfleth, E., Beutner, K. R., Tawfik, H., Elsasser, U., Weyrauch, P., &amp; Mescheder, A. (2010). Polyphenon E®: A new treatment for external anogenital warts. </w:t>
      </w:r>
      <w:r w:rsidRPr="00F738BB">
        <w:rPr>
          <w:rFonts w:ascii="Calibri" w:hAnsi="Calibri" w:cs="Calibri"/>
          <w:i/>
          <w:iCs/>
          <w:noProof/>
          <w:sz w:val="24"/>
          <w:szCs w:val="24"/>
        </w:rPr>
        <w:t>British Journal of Dermatology</w:t>
      </w:r>
      <w:r w:rsidRPr="00F738BB">
        <w:rPr>
          <w:rFonts w:ascii="Calibri" w:hAnsi="Calibri" w:cs="Calibri"/>
          <w:noProof/>
          <w:sz w:val="24"/>
          <w:szCs w:val="24"/>
        </w:rPr>
        <w:t xml:space="preserve">, </w:t>
      </w:r>
      <w:r w:rsidRPr="00F738BB">
        <w:rPr>
          <w:rFonts w:ascii="Calibri" w:hAnsi="Calibri" w:cs="Calibri"/>
          <w:i/>
          <w:iCs/>
          <w:noProof/>
          <w:sz w:val="24"/>
          <w:szCs w:val="24"/>
        </w:rPr>
        <w:t>162</w:t>
      </w:r>
      <w:r w:rsidRPr="00F738BB">
        <w:rPr>
          <w:rFonts w:ascii="Calibri" w:hAnsi="Calibri" w:cs="Calibri"/>
          <w:noProof/>
          <w:sz w:val="24"/>
          <w:szCs w:val="24"/>
        </w:rPr>
        <w:t>(1), 176–184. https://doi.org/10.1111/j.1365-2133.2009.09375.x</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Togari, N., Kobayashi, A., &amp; Aishima, T. (1995). Pattern recognition applied to gas chromatographic profiles of volatile components in three tea categories. </w:t>
      </w:r>
      <w:r w:rsidRPr="00F738BB">
        <w:rPr>
          <w:rFonts w:ascii="Calibri" w:hAnsi="Calibri" w:cs="Calibri"/>
          <w:i/>
          <w:iCs/>
          <w:noProof/>
          <w:sz w:val="24"/>
          <w:szCs w:val="24"/>
        </w:rPr>
        <w:t>Food Research International</w:t>
      </w:r>
      <w:r w:rsidRPr="00F738BB">
        <w:rPr>
          <w:rFonts w:ascii="Calibri" w:hAnsi="Calibri" w:cs="Calibri"/>
          <w:noProof/>
          <w:sz w:val="24"/>
          <w:szCs w:val="24"/>
        </w:rPr>
        <w:t xml:space="preserve">, </w:t>
      </w:r>
      <w:r w:rsidRPr="00F738BB">
        <w:rPr>
          <w:rFonts w:ascii="Calibri" w:hAnsi="Calibri" w:cs="Calibri"/>
          <w:i/>
          <w:iCs/>
          <w:noProof/>
          <w:sz w:val="24"/>
          <w:szCs w:val="24"/>
        </w:rPr>
        <w:t>28</w:t>
      </w:r>
      <w:r w:rsidRPr="00F738BB">
        <w:rPr>
          <w:rFonts w:ascii="Calibri" w:hAnsi="Calibri" w:cs="Calibri"/>
          <w:noProof/>
          <w:sz w:val="24"/>
          <w:szCs w:val="24"/>
        </w:rPr>
        <w:t>(5), 495–502. https://doi.org/10.1016/0963-9969(95)00029-1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Tomczyk, N., Wallace, A., Richardson, K., Grzyb, A., &amp; Wildgoose GOA, J. L. (2013). </w:t>
      </w:r>
      <w:r w:rsidRPr="00F738BB">
        <w:rPr>
          <w:rFonts w:ascii="Calibri" w:hAnsi="Calibri" w:cs="Calibri"/>
          <w:i/>
          <w:iCs/>
          <w:noProof/>
          <w:sz w:val="24"/>
          <w:szCs w:val="24"/>
        </w:rPr>
        <w:t>Targeted Hi-Res Quantification on Synapt G2-Si</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Trygg, J., &amp; Wold, S. (2002). Orthogonal projections to latent structures (O-PLS). </w:t>
      </w:r>
      <w:r w:rsidRPr="00F738BB">
        <w:rPr>
          <w:rFonts w:ascii="Calibri" w:hAnsi="Calibri" w:cs="Calibri"/>
          <w:i/>
          <w:iCs/>
          <w:noProof/>
          <w:sz w:val="24"/>
          <w:szCs w:val="24"/>
        </w:rPr>
        <w:t>Journal of Chemometrics</w:t>
      </w:r>
      <w:r w:rsidRPr="00F738BB">
        <w:rPr>
          <w:rFonts w:ascii="Calibri" w:hAnsi="Calibri" w:cs="Calibri"/>
          <w:noProof/>
          <w:sz w:val="24"/>
          <w:szCs w:val="24"/>
        </w:rPr>
        <w:t xml:space="preserve">, </w:t>
      </w:r>
      <w:r w:rsidRPr="00F738BB">
        <w:rPr>
          <w:rFonts w:ascii="Calibri" w:hAnsi="Calibri" w:cs="Calibri"/>
          <w:i/>
          <w:iCs/>
          <w:noProof/>
          <w:sz w:val="24"/>
          <w:szCs w:val="24"/>
        </w:rPr>
        <w:t>16</w:t>
      </w:r>
      <w:r w:rsidRPr="00F738BB">
        <w:rPr>
          <w:rFonts w:ascii="Calibri" w:hAnsi="Calibri" w:cs="Calibri"/>
          <w:noProof/>
          <w:sz w:val="24"/>
          <w:szCs w:val="24"/>
        </w:rPr>
        <w:t>(3), 119–128. https://doi.org/10.1002/cem.695</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Tzounis, X., Vulevic, J., Kuhnle, G. G. C., George, T., Leonczak, J., Gibson, G. R., … Spencer, J. P. E. (2008). Flavanol monomer-induced changes to the human faecal microflora. </w:t>
      </w:r>
      <w:r w:rsidRPr="00F738BB">
        <w:rPr>
          <w:rFonts w:ascii="Calibri" w:hAnsi="Calibri" w:cs="Calibri"/>
          <w:i/>
          <w:iCs/>
          <w:noProof/>
          <w:sz w:val="24"/>
          <w:szCs w:val="24"/>
        </w:rPr>
        <w:t>British Journal of Nutrition</w:t>
      </w:r>
      <w:r w:rsidRPr="00F738BB">
        <w:rPr>
          <w:rFonts w:ascii="Calibri" w:hAnsi="Calibri" w:cs="Calibri"/>
          <w:noProof/>
          <w:sz w:val="24"/>
          <w:szCs w:val="24"/>
        </w:rPr>
        <w:t>, (2008), 782–792. https://doi.org/10.1017/S0007114507853384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Umetrics. (2016). Analysis, Multivariate Questions, Frequently Asked. </w:t>
      </w:r>
      <w:r w:rsidRPr="00F738BB">
        <w:rPr>
          <w:rFonts w:ascii="Calibri" w:hAnsi="Calibri" w:cs="Calibri"/>
          <w:i/>
          <w:iCs/>
          <w:noProof/>
          <w:sz w:val="24"/>
          <w:szCs w:val="24"/>
        </w:rPr>
        <w:t>Umetrics Knowledge Base</w:t>
      </w:r>
      <w:r w:rsidRPr="00F738BB">
        <w:rPr>
          <w:rFonts w:ascii="Calibri" w:hAnsi="Calibri" w:cs="Calibri"/>
          <w:noProof/>
          <w:sz w:val="24"/>
          <w:szCs w:val="24"/>
        </w:rPr>
        <w:t>, 1–9. Retrieved from https://umetrics.com/sites/default/files/kb/multivariate_faq.pdf</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Umetrics. (2019). The trending role of artificial intelligence in the pharmaceutical industry. Retrieved from Umetrics Suite Blog website: https://blog.umetrics.com/the-trending-role-of-artificial-intelligence-in-the-pharmaceutical-industry?utm_campaign=Blog&amp;utm_source=hs_email&amp;utm_medium=email&amp;utm_content=77338742&amp;_hsenc=p2ANqtz--ZLnWmwOYEGFUsAjrZqr7atkdDsDInfSu2pSBi20quSJL-GB9Ytu70vqT_xiD4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lastRenderedPageBreak/>
        <w:t xml:space="preserve">Uzogara, S. G. (2017). Obesity epidemic, medical and quality of life consequences: A review. </w:t>
      </w:r>
      <w:r w:rsidRPr="00F738BB">
        <w:rPr>
          <w:rFonts w:ascii="Calibri" w:hAnsi="Calibri" w:cs="Calibri"/>
          <w:i/>
          <w:iCs/>
          <w:noProof/>
          <w:sz w:val="24"/>
          <w:szCs w:val="24"/>
        </w:rPr>
        <w:t>International Journal of Public Health Research</w:t>
      </w:r>
      <w:r w:rsidRPr="00F738BB">
        <w:rPr>
          <w:rFonts w:ascii="Calibri" w:hAnsi="Calibri" w:cs="Calibri"/>
          <w:noProof/>
          <w:sz w:val="24"/>
          <w:szCs w:val="24"/>
        </w:rPr>
        <w:t xml:space="preserve">, </w:t>
      </w:r>
      <w:r w:rsidRPr="00F738BB">
        <w:rPr>
          <w:rFonts w:ascii="Calibri" w:hAnsi="Calibri" w:cs="Calibri"/>
          <w:i/>
          <w:iCs/>
          <w:noProof/>
          <w:sz w:val="24"/>
          <w:szCs w:val="24"/>
        </w:rPr>
        <w:t>5</w:t>
      </w:r>
      <w:r w:rsidRPr="00F738BB">
        <w:rPr>
          <w:rFonts w:ascii="Calibri" w:hAnsi="Calibri" w:cs="Calibri"/>
          <w:noProof/>
          <w:sz w:val="24"/>
          <w:szCs w:val="24"/>
        </w:rPr>
        <w:t>(1), 1–12. https://doi.org/7180284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van Duynhoven, J., van Velzen, E., &amp; Jacobs, D. M. (2017). Nutrikinetic assessment of polyphenol exposure. </w:t>
      </w:r>
      <w:r w:rsidRPr="00F738BB">
        <w:rPr>
          <w:rFonts w:ascii="Calibri" w:hAnsi="Calibri" w:cs="Calibri"/>
          <w:i/>
          <w:iCs/>
          <w:noProof/>
          <w:sz w:val="24"/>
          <w:szCs w:val="24"/>
        </w:rPr>
        <w:t>Current Opinion in Food Science</w:t>
      </w:r>
      <w:r w:rsidRPr="00F738BB">
        <w:rPr>
          <w:rFonts w:ascii="Calibri" w:hAnsi="Calibri" w:cs="Calibri"/>
          <w:noProof/>
          <w:sz w:val="24"/>
          <w:szCs w:val="24"/>
        </w:rPr>
        <w:t xml:space="preserve">, </w:t>
      </w:r>
      <w:r w:rsidRPr="00F738BB">
        <w:rPr>
          <w:rFonts w:ascii="Calibri" w:hAnsi="Calibri" w:cs="Calibri"/>
          <w:i/>
          <w:iCs/>
          <w:noProof/>
          <w:sz w:val="24"/>
          <w:szCs w:val="24"/>
        </w:rPr>
        <w:t>16</w:t>
      </w:r>
      <w:r w:rsidRPr="00F738BB">
        <w:rPr>
          <w:rFonts w:ascii="Calibri" w:hAnsi="Calibri" w:cs="Calibri"/>
          <w:noProof/>
          <w:sz w:val="24"/>
          <w:szCs w:val="24"/>
        </w:rPr>
        <w:t>, 88–95. https://doi.org/10.1016/j.cofs.2017.09.004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Van Het Hof, K. H., Kivits, G. A. A., Weststrate, J. A., &amp; Tijburg, L. B. M. (1998). Bioavailability of catechins from tea: The effect of milk. </w:t>
      </w:r>
      <w:r w:rsidRPr="00F738BB">
        <w:rPr>
          <w:rFonts w:ascii="Calibri" w:hAnsi="Calibri" w:cs="Calibri"/>
          <w:i/>
          <w:iCs/>
          <w:noProof/>
          <w:sz w:val="24"/>
          <w:szCs w:val="24"/>
        </w:rPr>
        <w:t>European Journal of Clinical Nutrition</w:t>
      </w:r>
      <w:r w:rsidRPr="00F738BB">
        <w:rPr>
          <w:rFonts w:ascii="Calibri" w:hAnsi="Calibri" w:cs="Calibri"/>
          <w:noProof/>
          <w:sz w:val="24"/>
          <w:szCs w:val="24"/>
        </w:rPr>
        <w:t xml:space="preserve">, </w:t>
      </w:r>
      <w:r w:rsidRPr="00F738BB">
        <w:rPr>
          <w:rFonts w:ascii="Calibri" w:hAnsi="Calibri" w:cs="Calibri"/>
          <w:i/>
          <w:iCs/>
          <w:noProof/>
          <w:sz w:val="24"/>
          <w:szCs w:val="24"/>
        </w:rPr>
        <w:t>52</w:t>
      </w:r>
      <w:r w:rsidRPr="00F738BB">
        <w:rPr>
          <w:rFonts w:ascii="Calibri" w:hAnsi="Calibri" w:cs="Calibri"/>
          <w:noProof/>
          <w:sz w:val="24"/>
          <w:szCs w:val="24"/>
        </w:rPr>
        <w:t>(5), 356–359. https://doi.org/10.1038/sj.ejcn.1600568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Verhoeven, H. A., Ric de Vos, C. H., Bino, R. J., &amp; Hall, R. D. (2006). Plant metabolomics strategies based upon quadrupole time of flight mass spectrometry (QTOF-MS). In </w:t>
      </w:r>
      <w:r w:rsidRPr="00F738BB">
        <w:rPr>
          <w:rFonts w:ascii="Calibri" w:hAnsi="Calibri" w:cs="Calibri"/>
          <w:i/>
          <w:iCs/>
          <w:noProof/>
          <w:sz w:val="24"/>
          <w:szCs w:val="24"/>
        </w:rPr>
        <w:t>Biotechnology in Agriculture and Forestry</w:t>
      </w:r>
      <w:r w:rsidRPr="00F738BB">
        <w:rPr>
          <w:rFonts w:ascii="Calibri" w:hAnsi="Calibri" w:cs="Calibri"/>
          <w:noProof/>
          <w:sz w:val="24"/>
          <w:szCs w:val="24"/>
        </w:rPr>
        <w:t xml:space="preserve"> (Vol. 57). https://doi.org/10.1007/3-540-29782-0_3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Vos, F., Crespy, V., Chaffaut, L., Mennen, L., Knox, C., &amp; Neveu, V. (2010). </w:t>
      </w:r>
      <w:r w:rsidRPr="00F738BB">
        <w:rPr>
          <w:rFonts w:ascii="Calibri" w:hAnsi="Calibri" w:cs="Calibri"/>
          <w:i/>
          <w:iCs/>
          <w:noProof/>
          <w:sz w:val="24"/>
          <w:szCs w:val="24"/>
        </w:rPr>
        <w:t>Original Article Phenol-Explorer : an online comprehensive database on polyphenol contents in foods</w:t>
      </w:r>
      <w:r w:rsidRPr="00F738BB">
        <w:rPr>
          <w:rFonts w:ascii="Calibri" w:hAnsi="Calibri" w:cs="Calibri"/>
          <w:noProof/>
          <w:sz w:val="24"/>
          <w:szCs w:val="24"/>
        </w:rPr>
        <w:t xml:space="preserve">. </w:t>
      </w:r>
      <w:r w:rsidRPr="00F738BB">
        <w:rPr>
          <w:rFonts w:ascii="Calibri" w:hAnsi="Calibri" w:cs="Calibri"/>
          <w:i/>
          <w:iCs/>
          <w:noProof/>
          <w:sz w:val="24"/>
          <w:szCs w:val="24"/>
        </w:rPr>
        <w:t>2010</w:t>
      </w:r>
      <w:r w:rsidRPr="00F738BB">
        <w:rPr>
          <w:rFonts w:ascii="Calibri" w:hAnsi="Calibri" w:cs="Calibri"/>
          <w:noProof/>
          <w:sz w:val="24"/>
          <w:szCs w:val="24"/>
        </w:rPr>
        <w:t>, 1–9. https://doi.org/10.1093/database/bap024</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Wang, K., Liu, F., Liu, Z., Huang, J., Xu, Z., Li, Y., … Yang, X. (2010). Analysis of chemical components in oolong tea in relation to perceived quality. </w:t>
      </w:r>
      <w:r w:rsidRPr="00F738BB">
        <w:rPr>
          <w:rFonts w:ascii="Calibri" w:hAnsi="Calibri" w:cs="Calibri"/>
          <w:i/>
          <w:iCs/>
          <w:noProof/>
          <w:sz w:val="24"/>
          <w:szCs w:val="24"/>
        </w:rPr>
        <w:t>International Journal of Food Science and Technology</w:t>
      </w:r>
      <w:r w:rsidRPr="00F738BB">
        <w:rPr>
          <w:rFonts w:ascii="Calibri" w:hAnsi="Calibri" w:cs="Calibri"/>
          <w:noProof/>
          <w:sz w:val="24"/>
          <w:szCs w:val="24"/>
        </w:rPr>
        <w:t xml:space="preserve">, </w:t>
      </w:r>
      <w:r w:rsidRPr="00F738BB">
        <w:rPr>
          <w:rFonts w:ascii="Calibri" w:hAnsi="Calibri" w:cs="Calibri"/>
          <w:i/>
          <w:iCs/>
          <w:noProof/>
          <w:sz w:val="24"/>
          <w:szCs w:val="24"/>
        </w:rPr>
        <w:t>45</w:t>
      </w:r>
      <w:r w:rsidRPr="00F738BB">
        <w:rPr>
          <w:rFonts w:ascii="Calibri" w:hAnsi="Calibri" w:cs="Calibri"/>
          <w:noProof/>
          <w:sz w:val="24"/>
          <w:szCs w:val="24"/>
        </w:rPr>
        <w:t>(5), 913–920. https://doi.org/10.1111/j.1365-2621.2010.02224.x</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Wang, K., &amp; Ruan, J. (2009). Analysis of chemical components in green tea in relation with perceived quality, a case study with Longjing teas. </w:t>
      </w:r>
      <w:r w:rsidRPr="00F738BB">
        <w:rPr>
          <w:rFonts w:ascii="Calibri" w:hAnsi="Calibri" w:cs="Calibri"/>
          <w:i/>
          <w:iCs/>
          <w:noProof/>
          <w:sz w:val="24"/>
          <w:szCs w:val="24"/>
        </w:rPr>
        <w:t>International Journal of Food Science and Technology</w:t>
      </w:r>
      <w:r w:rsidRPr="00F738BB">
        <w:rPr>
          <w:rFonts w:ascii="Calibri" w:hAnsi="Calibri" w:cs="Calibri"/>
          <w:noProof/>
          <w:sz w:val="24"/>
          <w:szCs w:val="24"/>
        </w:rPr>
        <w:t xml:space="preserve">, </w:t>
      </w:r>
      <w:r w:rsidRPr="00F738BB">
        <w:rPr>
          <w:rFonts w:ascii="Calibri" w:hAnsi="Calibri" w:cs="Calibri"/>
          <w:i/>
          <w:iCs/>
          <w:noProof/>
          <w:sz w:val="24"/>
          <w:szCs w:val="24"/>
        </w:rPr>
        <w:t>44</w:t>
      </w:r>
      <w:r w:rsidRPr="00F738BB">
        <w:rPr>
          <w:rFonts w:ascii="Calibri" w:hAnsi="Calibri" w:cs="Calibri"/>
          <w:noProof/>
          <w:sz w:val="24"/>
          <w:szCs w:val="24"/>
        </w:rPr>
        <w:t>(12), 2476–2484. https://doi.org/10.1111/j.1365-2621.2009.02040.x</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Wang, Q., Gong, J., Chisti, Y., &amp; Sirisansaneeyakul, S. (2014). Bioconversion of tea polyphenols to bioactive theabrownins by Aspergillus fumigatus. </w:t>
      </w:r>
      <w:r w:rsidRPr="00F738BB">
        <w:rPr>
          <w:rFonts w:ascii="Calibri" w:hAnsi="Calibri" w:cs="Calibri"/>
          <w:i/>
          <w:iCs/>
          <w:noProof/>
          <w:sz w:val="24"/>
          <w:szCs w:val="24"/>
        </w:rPr>
        <w:t>Biotechnology Letters</w:t>
      </w:r>
      <w:r w:rsidRPr="00F738BB">
        <w:rPr>
          <w:rFonts w:ascii="Calibri" w:hAnsi="Calibri" w:cs="Calibri"/>
          <w:noProof/>
          <w:sz w:val="24"/>
          <w:szCs w:val="24"/>
        </w:rPr>
        <w:t xml:space="preserve">, </w:t>
      </w:r>
      <w:r w:rsidRPr="00F738BB">
        <w:rPr>
          <w:rFonts w:ascii="Calibri" w:hAnsi="Calibri" w:cs="Calibri"/>
          <w:i/>
          <w:iCs/>
          <w:noProof/>
          <w:sz w:val="24"/>
          <w:szCs w:val="24"/>
        </w:rPr>
        <w:t>36</w:t>
      </w:r>
      <w:r w:rsidRPr="00F738BB">
        <w:rPr>
          <w:rFonts w:ascii="Calibri" w:hAnsi="Calibri" w:cs="Calibri"/>
          <w:noProof/>
          <w:sz w:val="24"/>
          <w:szCs w:val="24"/>
        </w:rPr>
        <w:t>(12), 2515–2522. https://doi.org/10.1007/s10529-014-1632-0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Wang, W., Zhang, S., Lv, L., &amp; Sang, S. (2018). A new method to prepare and redefine black tea thearubigins. </w:t>
      </w:r>
      <w:r w:rsidRPr="00F738BB">
        <w:rPr>
          <w:rFonts w:ascii="Calibri" w:hAnsi="Calibri" w:cs="Calibri"/>
          <w:i/>
          <w:iCs/>
          <w:noProof/>
          <w:sz w:val="24"/>
          <w:szCs w:val="24"/>
        </w:rPr>
        <w:t>Journal of Chromatography A</w:t>
      </w:r>
      <w:r w:rsidRPr="00F738BB">
        <w:rPr>
          <w:rFonts w:ascii="Calibri" w:hAnsi="Calibri" w:cs="Calibri"/>
          <w:noProof/>
          <w:sz w:val="24"/>
          <w:szCs w:val="24"/>
        </w:rPr>
        <w:t xml:space="preserve">, </w:t>
      </w:r>
      <w:r w:rsidRPr="00F738BB">
        <w:rPr>
          <w:rFonts w:ascii="Calibri" w:hAnsi="Calibri" w:cs="Calibri"/>
          <w:i/>
          <w:iCs/>
          <w:noProof/>
          <w:sz w:val="24"/>
          <w:szCs w:val="24"/>
        </w:rPr>
        <w:t>1563</w:t>
      </w:r>
      <w:r w:rsidRPr="00F738BB">
        <w:rPr>
          <w:rFonts w:ascii="Calibri" w:hAnsi="Calibri" w:cs="Calibri"/>
          <w:noProof/>
          <w:sz w:val="24"/>
          <w:szCs w:val="24"/>
        </w:rPr>
        <w:t>, 82–88. https://doi.org/10.1016/j.chroma.2018.05.060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lastRenderedPageBreak/>
        <w:t xml:space="preserve">Waterhouse, A. L., Sacks, G. L., &amp; Jeffery, D. W. (2016a). </w:t>
      </w:r>
      <w:r w:rsidRPr="00F738BB">
        <w:rPr>
          <w:rFonts w:ascii="Calibri" w:hAnsi="Calibri" w:cs="Calibri"/>
          <w:i/>
          <w:iCs/>
          <w:noProof/>
          <w:sz w:val="24"/>
          <w:szCs w:val="24"/>
        </w:rPr>
        <w:t>Understanding Wine Chemistry</w:t>
      </w:r>
      <w:r w:rsidRPr="00F738BB">
        <w:rPr>
          <w:rFonts w:ascii="Calibri" w:hAnsi="Calibri" w:cs="Calibri"/>
          <w:noProof/>
          <w:sz w:val="24"/>
          <w:szCs w:val="24"/>
        </w:rPr>
        <w:t>. https://doi.org/10.1002/9781118730720</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Waterhouse, A. L., Sacks, G. L., &amp; Jeffery, D. W. (2016b). </w:t>
      </w:r>
      <w:r w:rsidRPr="00F738BB">
        <w:rPr>
          <w:rFonts w:ascii="Calibri" w:hAnsi="Calibri" w:cs="Calibri"/>
          <w:i/>
          <w:iCs/>
          <w:noProof/>
          <w:sz w:val="24"/>
          <w:szCs w:val="24"/>
        </w:rPr>
        <w:t>Understanding Wine Chemistry</w:t>
      </w:r>
      <w:r w:rsidRPr="00F738BB">
        <w:rPr>
          <w:rFonts w:ascii="Calibri" w:hAnsi="Calibri" w:cs="Calibri"/>
          <w:noProof/>
          <w:sz w:val="24"/>
          <w:szCs w:val="24"/>
        </w:rPr>
        <w:t>.</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Watson, Preedy, S. Z. (2014). </w:t>
      </w:r>
      <w:r w:rsidRPr="00F738BB">
        <w:rPr>
          <w:rFonts w:ascii="Calibri" w:hAnsi="Calibri" w:cs="Calibri"/>
          <w:i/>
          <w:iCs/>
          <w:noProof/>
          <w:sz w:val="24"/>
          <w:szCs w:val="24"/>
        </w:rPr>
        <w:t>Polyphenols in Human Health and Disease</w:t>
      </w:r>
      <w:r w:rsidRPr="00F738BB">
        <w:rPr>
          <w:rFonts w:ascii="Calibri" w:hAnsi="Calibri" w:cs="Calibri"/>
          <w:noProof/>
          <w:sz w:val="24"/>
          <w:szCs w:val="24"/>
        </w:rPr>
        <w:t xml:space="preserve"> (Vol. 1). Academic Press.</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Weerawatanakorn, M., Hung, W. L., Pan, M. H., Li, S., Li, D., Wan, X., &amp; Ho, C. T. (2015). Chemistry and health beneficial effects of oolong tea and theasinensins. </w:t>
      </w:r>
      <w:r w:rsidRPr="00F738BB">
        <w:rPr>
          <w:rFonts w:ascii="Calibri" w:hAnsi="Calibri" w:cs="Calibri"/>
          <w:i/>
          <w:iCs/>
          <w:noProof/>
          <w:sz w:val="24"/>
          <w:szCs w:val="24"/>
        </w:rPr>
        <w:t>Food Science and Human Wellness</w:t>
      </w:r>
      <w:r w:rsidRPr="00F738BB">
        <w:rPr>
          <w:rFonts w:ascii="Calibri" w:hAnsi="Calibri" w:cs="Calibri"/>
          <w:noProof/>
          <w:sz w:val="24"/>
          <w:szCs w:val="24"/>
        </w:rPr>
        <w:t xml:space="preserve">, </w:t>
      </w:r>
      <w:r w:rsidRPr="00F738BB">
        <w:rPr>
          <w:rFonts w:ascii="Calibri" w:hAnsi="Calibri" w:cs="Calibri"/>
          <w:i/>
          <w:iCs/>
          <w:noProof/>
          <w:sz w:val="24"/>
          <w:szCs w:val="24"/>
        </w:rPr>
        <w:t>4</w:t>
      </w:r>
      <w:r w:rsidRPr="00F738BB">
        <w:rPr>
          <w:rFonts w:ascii="Calibri" w:hAnsi="Calibri" w:cs="Calibri"/>
          <w:noProof/>
          <w:sz w:val="24"/>
          <w:szCs w:val="24"/>
        </w:rPr>
        <w:t>(4), 133–146. https://doi.org/10.1016/j.fshw.2015.10.002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Williamson, G., &amp; Manach, C. (2005). Bioavailability and bioefficacy of polyphenols in humans.II.Review of 93 intervention studies. </w:t>
      </w:r>
      <w:r w:rsidRPr="00F738BB">
        <w:rPr>
          <w:rFonts w:ascii="Calibri" w:hAnsi="Calibri" w:cs="Calibri"/>
          <w:i/>
          <w:iCs/>
          <w:noProof/>
          <w:sz w:val="24"/>
          <w:szCs w:val="24"/>
        </w:rPr>
        <w:t>Am J Clin Nutr</w:t>
      </w:r>
      <w:r w:rsidRPr="00F738BB">
        <w:rPr>
          <w:rFonts w:ascii="Calibri" w:hAnsi="Calibri" w:cs="Calibri"/>
          <w:noProof/>
          <w:sz w:val="24"/>
          <w:szCs w:val="24"/>
        </w:rPr>
        <w:t xml:space="preserve">, </w:t>
      </w:r>
      <w:r w:rsidRPr="00F738BB">
        <w:rPr>
          <w:rFonts w:ascii="Calibri" w:hAnsi="Calibri" w:cs="Calibri"/>
          <w:i/>
          <w:iCs/>
          <w:noProof/>
          <w:sz w:val="24"/>
          <w:szCs w:val="24"/>
        </w:rPr>
        <w:t>81</w:t>
      </w:r>
      <w:r w:rsidRPr="00F738BB">
        <w:rPr>
          <w:rFonts w:ascii="Calibri" w:hAnsi="Calibri" w:cs="Calibri"/>
          <w:noProof/>
          <w:sz w:val="24"/>
          <w:szCs w:val="24"/>
        </w:rPr>
        <w:t>, 243S-255S. https://doi.org/81/1/230S [pii]</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Wold, S., Esbensen, K., &amp; Geladi, P. (1987). Principal Component Analysis. </w:t>
      </w:r>
      <w:r w:rsidRPr="00F738BB">
        <w:rPr>
          <w:rFonts w:ascii="Calibri" w:hAnsi="Calibri" w:cs="Calibri"/>
          <w:i/>
          <w:iCs/>
          <w:noProof/>
          <w:sz w:val="24"/>
          <w:szCs w:val="24"/>
        </w:rPr>
        <w:t>Chemometrics and Intelligent Laboratory Systems</w:t>
      </w:r>
      <w:r w:rsidRPr="00F738BB">
        <w:rPr>
          <w:rFonts w:ascii="Calibri" w:hAnsi="Calibri" w:cs="Calibri"/>
          <w:noProof/>
          <w:sz w:val="24"/>
          <w:szCs w:val="24"/>
        </w:rPr>
        <w:t xml:space="preserve">, </w:t>
      </w:r>
      <w:r w:rsidRPr="00F738BB">
        <w:rPr>
          <w:rFonts w:ascii="Calibri" w:hAnsi="Calibri" w:cs="Calibri"/>
          <w:i/>
          <w:iCs/>
          <w:noProof/>
          <w:sz w:val="24"/>
          <w:szCs w:val="24"/>
        </w:rPr>
        <w:t>2</w:t>
      </w:r>
      <w:r w:rsidRPr="00F738BB">
        <w:rPr>
          <w:rFonts w:ascii="Calibri" w:hAnsi="Calibri" w:cs="Calibri"/>
          <w:noProof/>
          <w:sz w:val="24"/>
          <w:szCs w:val="24"/>
        </w:rPr>
        <w:t>(June 2001), 37–52. https://doi.org/10.1016/0169-7439(87)80084-9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Worley, B., &amp; Powers, R. (2015). Multivariate Analysis in Metabolomics. </w:t>
      </w:r>
      <w:r w:rsidRPr="00F738BB">
        <w:rPr>
          <w:rFonts w:ascii="Calibri" w:hAnsi="Calibri" w:cs="Calibri"/>
          <w:i/>
          <w:iCs/>
          <w:noProof/>
          <w:sz w:val="24"/>
          <w:szCs w:val="24"/>
        </w:rPr>
        <w:t>Current Metabolomics</w:t>
      </w:r>
      <w:r w:rsidRPr="00F738BB">
        <w:rPr>
          <w:rFonts w:ascii="Calibri" w:hAnsi="Calibri" w:cs="Calibri"/>
          <w:noProof/>
          <w:sz w:val="24"/>
          <w:szCs w:val="24"/>
        </w:rPr>
        <w:t xml:space="preserve">, </w:t>
      </w:r>
      <w:r w:rsidRPr="00F738BB">
        <w:rPr>
          <w:rFonts w:ascii="Calibri" w:hAnsi="Calibri" w:cs="Calibri"/>
          <w:i/>
          <w:iCs/>
          <w:noProof/>
          <w:sz w:val="24"/>
          <w:szCs w:val="24"/>
        </w:rPr>
        <w:t>1</w:t>
      </w:r>
      <w:r w:rsidRPr="00F738BB">
        <w:rPr>
          <w:rFonts w:ascii="Calibri" w:hAnsi="Calibri" w:cs="Calibri"/>
          <w:noProof/>
          <w:sz w:val="24"/>
          <w:szCs w:val="24"/>
        </w:rPr>
        <w:t>(1), 92–107. https://doi.org/10.2174/2213235X11301010092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Wright, J. (2009). </w:t>
      </w:r>
      <w:r w:rsidRPr="00F738BB">
        <w:rPr>
          <w:rFonts w:ascii="Calibri" w:hAnsi="Calibri" w:cs="Calibri"/>
          <w:i/>
          <w:iCs/>
          <w:noProof/>
          <w:sz w:val="24"/>
          <w:szCs w:val="24"/>
        </w:rPr>
        <w:t>Edible Seashore</w:t>
      </w:r>
      <w:r w:rsidRPr="00F738BB">
        <w:rPr>
          <w:rFonts w:ascii="Calibri" w:hAnsi="Calibri" w:cs="Calibri"/>
          <w:noProof/>
          <w:sz w:val="24"/>
          <w:szCs w:val="24"/>
        </w:rPr>
        <w:t>. Bloomsbury Publishing PLC.</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Yamauchi, S., SUGAHARA, T., NAKASHIMA, Y., OKADA, A., AKIYAMA, K., KISHIDA, T., … MASUDA, T. (2006). Radical and Superoxide Scavenging Activities of Matairesinol and Oxidized Matairesinol. </w:t>
      </w:r>
      <w:r w:rsidRPr="00F738BB">
        <w:rPr>
          <w:rFonts w:ascii="Calibri" w:hAnsi="Calibri" w:cs="Calibri"/>
          <w:i/>
          <w:iCs/>
          <w:noProof/>
          <w:sz w:val="24"/>
          <w:szCs w:val="24"/>
        </w:rPr>
        <w:t>Bioscience, Biotechnology, and Biochemistry</w:t>
      </w:r>
      <w:r w:rsidRPr="00F738BB">
        <w:rPr>
          <w:rFonts w:ascii="Calibri" w:hAnsi="Calibri" w:cs="Calibri"/>
          <w:noProof/>
          <w:sz w:val="24"/>
          <w:szCs w:val="24"/>
        </w:rPr>
        <w:t xml:space="preserve">, </w:t>
      </w:r>
      <w:r w:rsidRPr="00F738BB">
        <w:rPr>
          <w:rFonts w:ascii="Calibri" w:hAnsi="Calibri" w:cs="Calibri"/>
          <w:i/>
          <w:iCs/>
          <w:noProof/>
          <w:sz w:val="24"/>
          <w:szCs w:val="24"/>
        </w:rPr>
        <w:t>70</w:t>
      </w:r>
      <w:r w:rsidRPr="00F738BB">
        <w:rPr>
          <w:rFonts w:ascii="Calibri" w:hAnsi="Calibri" w:cs="Calibri"/>
          <w:noProof/>
          <w:sz w:val="24"/>
          <w:szCs w:val="24"/>
        </w:rPr>
        <w:t>(8), 1934–1940. https://doi.org/10.1271/bbb.60096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Yang, B. (2004). Horses, Silver, and Cowries: Yunnan in Global Perspective. </w:t>
      </w:r>
      <w:r w:rsidRPr="00F738BB">
        <w:rPr>
          <w:rFonts w:ascii="Calibri" w:hAnsi="Calibri" w:cs="Calibri"/>
          <w:i/>
          <w:iCs/>
          <w:noProof/>
          <w:sz w:val="24"/>
          <w:szCs w:val="24"/>
        </w:rPr>
        <w:t>Journal of World History</w:t>
      </w:r>
      <w:r w:rsidRPr="00F738BB">
        <w:rPr>
          <w:rFonts w:ascii="Calibri" w:hAnsi="Calibri" w:cs="Calibri"/>
          <w:noProof/>
          <w:sz w:val="24"/>
          <w:szCs w:val="24"/>
        </w:rPr>
        <w:t>, Vol. 15, pp. 281–322. https://doi.org/10.2307/20079276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Yassin, G. H., Koek, J. H., &amp; Kuhnert, N. (2015). Model system-based mechanistic studies of black tea thearubigin formation. </w:t>
      </w:r>
      <w:r w:rsidRPr="00F738BB">
        <w:rPr>
          <w:rFonts w:ascii="Calibri" w:hAnsi="Calibri" w:cs="Calibri"/>
          <w:i/>
          <w:iCs/>
          <w:noProof/>
          <w:sz w:val="24"/>
          <w:szCs w:val="24"/>
        </w:rPr>
        <w:t>Food Chemistry</w:t>
      </w:r>
      <w:r w:rsidRPr="00F738BB">
        <w:rPr>
          <w:rFonts w:ascii="Calibri" w:hAnsi="Calibri" w:cs="Calibri"/>
          <w:noProof/>
          <w:sz w:val="24"/>
          <w:szCs w:val="24"/>
        </w:rPr>
        <w:t xml:space="preserve">, </w:t>
      </w:r>
      <w:r w:rsidRPr="00F738BB">
        <w:rPr>
          <w:rFonts w:ascii="Calibri" w:hAnsi="Calibri" w:cs="Calibri"/>
          <w:i/>
          <w:iCs/>
          <w:noProof/>
          <w:sz w:val="24"/>
          <w:szCs w:val="24"/>
        </w:rPr>
        <w:t>180</w:t>
      </w:r>
      <w:r w:rsidRPr="00F738BB">
        <w:rPr>
          <w:rFonts w:ascii="Calibri" w:hAnsi="Calibri" w:cs="Calibri"/>
          <w:noProof/>
          <w:sz w:val="24"/>
          <w:szCs w:val="24"/>
        </w:rPr>
        <w:t>, 272–279. https://doi.org/10.1016/j.foodchem.2015.01.108</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Yesil-Celiktas, O., Ganzera, M., Akgun, I., Sevimli, C., Korkmaza, K. S., &amp; Bedira, E. (2009). Determination of polyphenolic constituents and biological activities of bark extracts </w:t>
      </w:r>
      <w:r w:rsidRPr="00F738BB">
        <w:rPr>
          <w:rFonts w:ascii="Calibri" w:hAnsi="Calibri" w:cs="Calibri"/>
          <w:noProof/>
          <w:sz w:val="24"/>
          <w:szCs w:val="24"/>
        </w:rPr>
        <w:lastRenderedPageBreak/>
        <w:t xml:space="preserve">from different Pinus species. </w:t>
      </w:r>
      <w:r w:rsidRPr="00F738BB">
        <w:rPr>
          <w:rFonts w:ascii="Calibri" w:hAnsi="Calibri" w:cs="Calibri"/>
          <w:i/>
          <w:iCs/>
          <w:noProof/>
          <w:sz w:val="24"/>
          <w:szCs w:val="24"/>
        </w:rPr>
        <w:t>Journal of the Science of Food and Agriculture</w:t>
      </w:r>
      <w:r w:rsidRPr="00F738BB">
        <w:rPr>
          <w:rFonts w:ascii="Calibri" w:hAnsi="Calibri" w:cs="Calibri"/>
          <w:noProof/>
          <w:sz w:val="24"/>
          <w:szCs w:val="24"/>
        </w:rPr>
        <w:t xml:space="preserve">, </w:t>
      </w:r>
      <w:r w:rsidRPr="00F738BB">
        <w:rPr>
          <w:rFonts w:ascii="Calibri" w:hAnsi="Calibri" w:cs="Calibri"/>
          <w:i/>
          <w:iCs/>
          <w:noProof/>
          <w:sz w:val="24"/>
          <w:szCs w:val="24"/>
        </w:rPr>
        <w:t>89</w:t>
      </w:r>
      <w:r w:rsidRPr="00F738BB">
        <w:rPr>
          <w:rFonts w:ascii="Calibri" w:hAnsi="Calibri" w:cs="Calibri"/>
          <w:noProof/>
          <w:sz w:val="24"/>
          <w:szCs w:val="24"/>
        </w:rPr>
        <w:t>(8), 1339–1345. https://doi.org/10.1002/jsfa.3591</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Yi, T., Zhu, L., Peng, W. L., He, X. C., Chen, H. L., Li, J., … Chen, H. B. (2015). Comparison of ten major constituents in seven types of processed tea using HPLC-DAD-MS followed by principal component and hierarchical cluster analysis. </w:t>
      </w:r>
      <w:r w:rsidRPr="00F738BB">
        <w:rPr>
          <w:rFonts w:ascii="Calibri" w:hAnsi="Calibri" w:cs="Calibri"/>
          <w:i/>
          <w:iCs/>
          <w:noProof/>
          <w:sz w:val="24"/>
          <w:szCs w:val="24"/>
        </w:rPr>
        <w:t>LWT - Food Science and Technology</w:t>
      </w:r>
      <w:r w:rsidRPr="00F738BB">
        <w:rPr>
          <w:rFonts w:ascii="Calibri" w:hAnsi="Calibri" w:cs="Calibri"/>
          <w:noProof/>
          <w:sz w:val="24"/>
          <w:szCs w:val="24"/>
        </w:rPr>
        <w:t xml:space="preserve">, </w:t>
      </w:r>
      <w:r w:rsidRPr="00F738BB">
        <w:rPr>
          <w:rFonts w:ascii="Calibri" w:hAnsi="Calibri" w:cs="Calibri"/>
          <w:i/>
          <w:iCs/>
          <w:noProof/>
          <w:sz w:val="24"/>
          <w:szCs w:val="24"/>
        </w:rPr>
        <w:t>62</w:t>
      </w:r>
      <w:r w:rsidRPr="00F738BB">
        <w:rPr>
          <w:rFonts w:ascii="Calibri" w:hAnsi="Calibri" w:cs="Calibri"/>
          <w:noProof/>
          <w:sz w:val="24"/>
          <w:szCs w:val="24"/>
        </w:rPr>
        <w:t>(1), 194–201. https://doi.org/10.1016/j.lwt.2015.01.003</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Younes, M., Aggett, P., Aguilar, F., Crebelli, R., Dusemund, B., Filipič, M., … Wright, M. (2018). Scientific opinion on the safety of green tea catechins. </w:t>
      </w:r>
      <w:r w:rsidRPr="00F738BB">
        <w:rPr>
          <w:rFonts w:ascii="Calibri" w:hAnsi="Calibri" w:cs="Calibri"/>
          <w:i/>
          <w:iCs/>
          <w:noProof/>
          <w:sz w:val="24"/>
          <w:szCs w:val="24"/>
        </w:rPr>
        <w:t>EFSA Journal</w:t>
      </w:r>
      <w:r w:rsidRPr="00F738BB">
        <w:rPr>
          <w:rFonts w:ascii="Calibri" w:hAnsi="Calibri" w:cs="Calibri"/>
          <w:noProof/>
          <w:sz w:val="24"/>
          <w:szCs w:val="24"/>
        </w:rPr>
        <w:t xml:space="preserve">, </w:t>
      </w:r>
      <w:r w:rsidRPr="00F738BB">
        <w:rPr>
          <w:rFonts w:ascii="Calibri" w:hAnsi="Calibri" w:cs="Calibri"/>
          <w:i/>
          <w:iCs/>
          <w:noProof/>
          <w:sz w:val="24"/>
          <w:szCs w:val="24"/>
        </w:rPr>
        <w:t>16</w:t>
      </w:r>
      <w:r w:rsidRPr="00F738BB">
        <w:rPr>
          <w:rFonts w:ascii="Calibri" w:hAnsi="Calibri" w:cs="Calibri"/>
          <w:noProof/>
          <w:sz w:val="24"/>
          <w:szCs w:val="24"/>
        </w:rPr>
        <w:t>(4). https://doi.org/10.2903/j.efsa.2018.5239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Yue, T., Chen, R., Chen, D., Liu, J., Xie, K., &amp; Dai, J. (2019). Enzymatic Synthesis of Bioactive O-Glucuronides Using Plant Glucuronosyltransferases. </w:t>
      </w:r>
      <w:r w:rsidRPr="00F738BB">
        <w:rPr>
          <w:rFonts w:ascii="Calibri" w:hAnsi="Calibri" w:cs="Calibri"/>
          <w:i/>
          <w:iCs/>
          <w:noProof/>
          <w:sz w:val="24"/>
          <w:szCs w:val="24"/>
        </w:rPr>
        <w:t>Journal of Agricultural and Food Chemistry</w:t>
      </w:r>
      <w:r w:rsidRPr="00F738BB">
        <w:rPr>
          <w:rFonts w:ascii="Calibri" w:hAnsi="Calibri" w:cs="Calibri"/>
          <w:noProof/>
          <w:sz w:val="24"/>
          <w:szCs w:val="24"/>
        </w:rPr>
        <w:t xml:space="preserve">, </w:t>
      </w:r>
      <w:r w:rsidRPr="00F738BB">
        <w:rPr>
          <w:rFonts w:ascii="Calibri" w:hAnsi="Calibri" w:cs="Calibri"/>
          <w:i/>
          <w:iCs/>
          <w:noProof/>
          <w:sz w:val="24"/>
          <w:szCs w:val="24"/>
        </w:rPr>
        <w:t>67</w:t>
      </w:r>
      <w:r w:rsidRPr="00F738BB">
        <w:rPr>
          <w:rFonts w:ascii="Calibri" w:hAnsi="Calibri" w:cs="Calibri"/>
          <w:noProof/>
          <w:sz w:val="24"/>
          <w:szCs w:val="24"/>
        </w:rPr>
        <w:t>(22), 6275–6284. https://doi.org/10.1021/acs.jafc.9b01769</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Zaveri, N. T. (2006). Green tea and its polyphenolic catechins: Medicinal uses in cancer and noncancer applications. </w:t>
      </w:r>
      <w:r w:rsidRPr="00F738BB">
        <w:rPr>
          <w:rFonts w:ascii="Calibri" w:hAnsi="Calibri" w:cs="Calibri"/>
          <w:i/>
          <w:iCs/>
          <w:noProof/>
          <w:sz w:val="24"/>
          <w:szCs w:val="24"/>
        </w:rPr>
        <w:t>Life Sciences</w:t>
      </w:r>
      <w:r w:rsidRPr="00F738BB">
        <w:rPr>
          <w:rFonts w:ascii="Calibri" w:hAnsi="Calibri" w:cs="Calibri"/>
          <w:noProof/>
          <w:sz w:val="24"/>
          <w:szCs w:val="24"/>
        </w:rPr>
        <w:t xml:space="preserve">, </w:t>
      </w:r>
      <w:r w:rsidRPr="00F738BB">
        <w:rPr>
          <w:rFonts w:ascii="Calibri" w:hAnsi="Calibri" w:cs="Calibri"/>
          <w:i/>
          <w:iCs/>
          <w:noProof/>
          <w:sz w:val="24"/>
          <w:szCs w:val="24"/>
        </w:rPr>
        <w:t>78</w:t>
      </w:r>
      <w:r w:rsidRPr="00F738BB">
        <w:rPr>
          <w:rFonts w:ascii="Calibri" w:hAnsi="Calibri" w:cs="Calibri"/>
          <w:noProof/>
          <w:sz w:val="24"/>
          <w:szCs w:val="24"/>
        </w:rPr>
        <w:t>(18), 2073–2080. https://doi.org/10.1016/j.lfs.2005.12.006</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Zengin, G., Aumeeruddy, M. Z., Diuzheva, A., Jekő, J., Cziáky, Z., Yıldıztugay, A., … Mahomoodally, M. F. (2019). A comprehensive appraisal on Crocus chrysanthus (Herb.) Herb. flower extracts with HPLC–MS/MS profiles, antioxidant and enzyme inhibitory properties. </w:t>
      </w:r>
      <w:r w:rsidRPr="00F738BB">
        <w:rPr>
          <w:rFonts w:ascii="Calibri" w:hAnsi="Calibri" w:cs="Calibri"/>
          <w:i/>
          <w:iCs/>
          <w:noProof/>
          <w:sz w:val="24"/>
          <w:szCs w:val="24"/>
        </w:rPr>
        <w:t>Journal of Pharmaceutical and Biomedical Analysis</w:t>
      </w:r>
      <w:r w:rsidRPr="00F738BB">
        <w:rPr>
          <w:rFonts w:ascii="Calibri" w:hAnsi="Calibri" w:cs="Calibri"/>
          <w:noProof/>
          <w:sz w:val="24"/>
          <w:szCs w:val="24"/>
        </w:rPr>
        <w:t xml:space="preserve">, </w:t>
      </w:r>
      <w:r w:rsidRPr="00F738BB">
        <w:rPr>
          <w:rFonts w:ascii="Calibri" w:hAnsi="Calibri" w:cs="Calibri"/>
          <w:i/>
          <w:iCs/>
          <w:noProof/>
          <w:sz w:val="24"/>
          <w:szCs w:val="24"/>
        </w:rPr>
        <w:t>164</w:t>
      </w:r>
      <w:r w:rsidRPr="00F738BB">
        <w:rPr>
          <w:rFonts w:ascii="Calibri" w:hAnsi="Calibri" w:cs="Calibri"/>
          <w:noProof/>
          <w:sz w:val="24"/>
          <w:szCs w:val="24"/>
        </w:rPr>
        <w:t>, 581–589. https://doi.org/10.1016/j.jpba.2018.11.022</w:t>
      </w: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Zhang, B., Cai, J., Duan, C.-Q., Reeves, M. J., &amp; He, F. (2015). A Review of Polyphenolics in Oak Woods. </w:t>
      </w:r>
      <w:r w:rsidRPr="00F738BB">
        <w:rPr>
          <w:rFonts w:ascii="Calibri" w:hAnsi="Calibri" w:cs="Calibri"/>
          <w:i/>
          <w:iCs/>
          <w:noProof/>
          <w:sz w:val="24"/>
          <w:szCs w:val="24"/>
        </w:rPr>
        <w:t>Int. J. Mol. Sci</w:t>
      </w:r>
      <w:r w:rsidRPr="00F738BB">
        <w:rPr>
          <w:rFonts w:ascii="Calibri" w:hAnsi="Calibri" w:cs="Calibri"/>
          <w:noProof/>
          <w:sz w:val="24"/>
          <w:szCs w:val="24"/>
        </w:rPr>
        <w:t xml:space="preserve">, </w:t>
      </w:r>
      <w:r w:rsidRPr="00F738BB">
        <w:rPr>
          <w:rFonts w:ascii="Calibri" w:hAnsi="Calibri" w:cs="Calibri"/>
          <w:i/>
          <w:iCs/>
          <w:noProof/>
          <w:sz w:val="24"/>
          <w:szCs w:val="24"/>
        </w:rPr>
        <w:t>16</w:t>
      </w:r>
      <w:r w:rsidRPr="00F738BB">
        <w:rPr>
          <w:rFonts w:ascii="Calibri" w:hAnsi="Calibri" w:cs="Calibri"/>
          <w:noProof/>
          <w:sz w:val="24"/>
          <w:szCs w:val="24"/>
        </w:rPr>
        <w:t>, 6978–7014. https://doi.org/10.3390/ijms16046978</w:t>
      </w:r>
    </w:p>
    <w:p w:rsidR="00F738BB" w:rsidRDefault="00F738BB" w:rsidP="00F738BB">
      <w:pPr>
        <w:widowControl w:val="0"/>
        <w:autoSpaceDE w:val="0"/>
        <w:autoSpaceDN w:val="0"/>
        <w:adjustRightInd w:val="0"/>
        <w:spacing w:line="360" w:lineRule="auto"/>
        <w:ind w:left="480" w:hanging="480"/>
        <w:rPr>
          <w:rFonts w:ascii="Calibri" w:hAnsi="Calibri" w:cs="Calibri"/>
          <w:noProof/>
          <w:sz w:val="24"/>
          <w:szCs w:val="24"/>
        </w:rPr>
      </w:pPr>
      <w:r w:rsidRPr="00F738BB">
        <w:rPr>
          <w:rFonts w:ascii="Calibri" w:hAnsi="Calibri" w:cs="Calibri"/>
          <w:noProof/>
          <w:sz w:val="24"/>
          <w:szCs w:val="24"/>
        </w:rPr>
        <w:t xml:space="preserve">Zhang, Y. Z., Xu, F., Dong, J., Liang, J., Hashi, Y., Shang, M. Y., … Cai, S. Q. (2012). Profiling and identification of the metabolites of calycosin in rat hepatic 9000×g supernatant incubation system and the metabolites of calycosin-7-O-β-d-glucoside in rat urine by HPLC-DAD-ESI-IT-TOF-MS n technique. </w:t>
      </w:r>
      <w:r w:rsidRPr="00F738BB">
        <w:rPr>
          <w:rFonts w:ascii="Calibri" w:hAnsi="Calibri" w:cs="Calibri"/>
          <w:i/>
          <w:iCs/>
          <w:noProof/>
          <w:sz w:val="24"/>
          <w:szCs w:val="24"/>
        </w:rPr>
        <w:t>Journal of Pharmaceutical and Biomedical Analysis</w:t>
      </w:r>
      <w:r w:rsidRPr="00F738BB">
        <w:rPr>
          <w:rFonts w:ascii="Calibri" w:hAnsi="Calibri" w:cs="Calibri"/>
          <w:noProof/>
          <w:sz w:val="24"/>
          <w:szCs w:val="24"/>
        </w:rPr>
        <w:t xml:space="preserve">, </w:t>
      </w:r>
      <w:r w:rsidRPr="00F738BB">
        <w:rPr>
          <w:rFonts w:ascii="Calibri" w:hAnsi="Calibri" w:cs="Calibri"/>
          <w:i/>
          <w:iCs/>
          <w:noProof/>
          <w:sz w:val="24"/>
          <w:szCs w:val="24"/>
        </w:rPr>
        <w:t>70</w:t>
      </w:r>
      <w:r w:rsidRPr="00F738BB">
        <w:rPr>
          <w:rFonts w:ascii="Calibri" w:hAnsi="Calibri" w:cs="Calibri"/>
          <w:noProof/>
          <w:sz w:val="24"/>
          <w:szCs w:val="24"/>
        </w:rPr>
        <w:t>, 425–439. https://doi.org/10.1016/j.jpba.2012.06.006</w:t>
      </w:r>
    </w:p>
    <w:p w:rsidR="000475BE" w:rsidRPr="00F738BB" w:rsidRDefault="000475BE" w:rsidP="00F738BB">
      <w:pPr>
        <w:widowControl w:val="0"/>
        <w:autoSpaceDE w:val="0"/>
        <w:autoSpaceDN w:val="0"/>
        <w:adjustRightInd w:val="0"/>
        <w:spacing w:line="360" w:lineRule="auto"/>
        <w:ind w:left="480" w:hanging="480"/>
        <w:rPr>
          <w:rFonts w:ascii="Calibri" w:hAnsi="Calibri" w:cs="Calibri"/>
          <w:noProof/>
          <w:sz w:val="24"/>
          <w:szCs w:val="24"/>
        </w:rPr>
      </w:pPr>
    </w:p>
    <w:p w:rsidR="00F738BB" w:rsidRPr="00F738BB" w:rsidRDefault="00F738BB" w:rsidP="00F738BB">
      <w:pPr>
        <w:widowControl w:val="0"/>
        <w:autoSpaceDE w:val="0"/>
        <w:autoSpaceDN w:val="0"/>
        <w:adjustRightInd w:val="0"/>
        <w:spacing w:line="360" w:lineRule="auto"/>
        <w:ind w:left="480" w:hanging="480"/>
        <w:rPr>
          <w:rFonts w:ascii="Calibri" w:hAnsi="Calibri" w:cs="Calibri"/>
          <w:noProof/>
          <w:sz w:val="24"/>
        </w:rPr>
      </w:pPr>
      <w:r w:rsidRPr="00F738BB">
        <w:rPr>
          <w:rFonts w:ascii="Calibri" w:hAnsi="Calibri" w:cs="Calibri"/>
          <w:noProof/>
          <w:sz w:val="24"/>
          <w:szCs w:val="24"/>
        </w:rPr>
        <w:lastRenderedPageBreak/>
        <w:t xml:space="preserve">Zubia, M., Robledo, D., &amp; Freile-Pelegrin, Y. (2007). Antioxidant activities in tropical marine macroalgae from the Yucatan Peninsula, Mexico. </w:t>
      </w:r>
      <w:r w:rsidRPr="00F738BB">
        <w:rPr>
          <w:rFonts w:ascii="Calibri" w:hAnsi="Calibri" w:cs="Calibri"/>
          <w:i/>
          <w:iCs/>
          <w:noProof/>
          <w:sz w:val="24"/>
          <w:szCs w:val="24"/>
        </w:rPr>
        <w:t>Journal of Applied Phycology</w:t>
      </w:r>
      <w:r w:rsidRPr="00F738BB">
        <w:rPr>
          <w:rFonts w:ascii="Calibri" w:hAnsi="Calibri" w:cs="Calibri"/>
          <w:noProof/>
          <w:sz w:val="24"/>
          <w:szCs w:val="24"/>
        </w:rPr>
        <w:t xml:space="preserve">, </w:t>
      </w:r>
      <w:r w:rsidRPr="00F738BB">
        <w:rPr>
          <w:rFonts w:ascii="Calibri" w:hAnsi="Calibri" w:cs="Calibri"/>
          <w:i/>
          <w:iCs/>
          <w:noProof/>
          <w:sz w:val="24"/>
          <w:szCs w:val="24"/>
        </w:rPr>
        <w:t>19</w:t>
      </w:r>
      <w:r w:rsidRPr="00F738BB">
        <w:rPr>
          <w:rFonts w:ascii="Calibri" w:hAnsi="Calibri" w:cs="Calibri"/>
          <w:noProof/>
          <w:sz w:val="24"/>
          <w:szCs w:val="24"/>
        </w:rPr>
        <w:t>(5), 449–458. https://doi.org/10.1007/s10811-006-9152-5</w:t>
      </w:r>
    </w:p>
    <w:p w:rsidR="00CF1D1E" w:rsidRPr="00CF1D1E" w:rsidRDefault="00CF1D1E" w:rsidP="00CF1D1E">
      <w:pPr>
        <w:spacing w:line="360" w:lineRule="auto"/>
        <w:ind w:left="720"/>
        <w:rPr>
          <w:rFonts w:ascii="Calibri" w:eastAsia="Calibri" w:hAnsi="Calibri" w:cs="Times New Roman"/>
          <w:sz w:val="24"/>
          <w:szCs w:val="24"/>
        </w:rPr>
      </w:pPr>
      <w:r w:rsidRPr="00CF1D1E">
        <w:rPr>
          <w:rFonts w:ascii="Calibri" w:eastAsia="Calibri" w:hAnsi="Calibri" w:cs="Times New Roman"/>
          <w:sz w:val="24"/>
          <w:szCs w:val="24"/>
        </w:rPr>
        <w:fldChar w:fldCharType="end"/>
      </w:r>
    </w:p>
    <w:p w:rsidR="00CF1D1E" w:rsidRPr="00CF1D1E" w:rsidRDefault="00CF1D1E" w:rsidP="00CF1D1E">
      <w:pPr>
        <w:rPr>
          <w:rFonts w:ascii="Calibri" w:eastAsia="Calibri" w:hAnsi="Calibri" w:cs="Times New Roman"/>
          <w:sz w:val="24"/>
          <w:szCs w:val="24"/>
        </w:rPr>
      </w:pPr>
      <w:r w:rsidRPr="00CF1D1E">
        <w:rPr>
          <w:rFonts w:ascii="Calibri" w:eastAsia="Calibri" w:hAnsi="Calibri" w:cs="Times New Roman"/>
          <w:sz w:val="24"/>
          <w:szCs w:val="24"/>
        </w:rPr>
        <w:br w:type="page"/>
      </w:r>
    </w:p>
    <w:p w:rsidR="00CF1D1E" w:rsidRPr="00CC6AA3" w:rsidRDefault="00CF1D1E" w:rsidP="00CF1D1E">
      <w:pPr>
        <w:rPr>
          <w:rFonts w:ascii="Calibri" w:eastAsia="Calibri" w:hAnsi="Calibri" w:cs="Times New Roman"/>
          <w:sz w:val="96"/>
          <w:szCs w:val="96"/>
          <w:highlight w:val="lightGray"/>
        </w:rPr>
      </w:pPr>
      <w:r w:rsidRPr="00CC6AA3">
        <w:rPr>
          <w:rFonts w:ascii="Calibri" w:eastAsia="Calibri" w:hAnsi="Calibri" w:cs="Times New Roman"/>
          <w:sz w:val="96"/>
          <w:szCs w:val="96"/>
          <w:highlight w:val="lightGray"/>
        </w:rPr>
        <w:lastRenderedPageBreak/>
        <w:t>Appendices</w:t>
      </w:r>
    </w:p>
    <w:p w:rsidR="00CF1D1E" w:rsidRPr="00CF1D1E" w:rsidRDefault="00CF1D1E" w:rsidP="00CF1D1E">
      <w:pPr>
        <w:rPr>
          <w:rFonts w:ascii="Calibri" w:eastAsia="Calibri" w:hAnsi="Calibri" w:cs="Times New Roman"/>
          <w:sz w:val="144"/>
          <w:szCs w:val="144"/>
          <w:highlight w:val="lightGray"/>
        </w:rPr>
      </w:pPr>
      <w:r w:rsidRPr="00CF1D1E">
        <w:rPr>
          <w:rFonts w:ascii="Calibri" w:eastAsia="Calibri" w:hAnsi="Calibri" w:cs="Times New Roman"/>
          <w:sz w:val="144"/>
          <w:szCs w:val="144"/>
          <w:highlight w:val="lightGray"/>
        </w:rPr>
        <w:br w:type="page"/>
      </w:r>
    </w:p>
    <w:p w:rsidR="00CF1D1E" w:rsidRPr="00CF1D1E" w:rsidRDefault="00CF1D1E" w:rsidP="00CF1D1E">
      <w:pPr>
        <w:numPr>
          <w:ilvl w:val="0"/>
          <w:numId w:val="9"/>
        </w:numPr>
        <w:contextualSpacing/>
        <w:rPr>
          <w:rFonts w:ascii="Calibri" w:eastAsia="Calibri" w:hAnsi="Calibri" w:cs="Times New Roman"/>
          <w:b/>
          <w:bCs/>
          <w:sz w:val="44"/>
          <w:szCs w:val="44"/>
        </w:rPr>
      </w:pPr>
      <w:r w:rsidRPr="00CF1D1E">
        <w:rPr>
          <w:rFonts w:ascii="Calibri" w:eastAsia="Calibri" w:hAnsi="Calibri" w:cs="Times New Roman"/>
          <w:b/>
          <w:bCs/>
          <w:sz w:val="44"/>
          <w:szCs w:val="44"/>
        </w:rPr>
        <w:lastRenderedPageBreak/>
        <w:t>Appendices for Chapter 1 (A1)</w:t>
      </w:r>
    </w:p>
    <w:p w:rsidR="00CF1D1E" w:rsidRPr="00CF1D1E" w:rsidRDefault="00CF1D1E" w:rsidP="00CF1D1E">
      <w:pPr>
        <w:autoSpaceDE w:val="0"/>
        <w:autoSpaceDN w:val="0"/>
        <w:adjustRightInd w:val="0"/>
        <w:spacing w:after="0" w:line="720" w:lineRule="auto"/>
        <w:ind w:left="360"/>
        <w:rPr>
          <w:rFonts w:ascii="Calibri" w:eastAsia="Calibri" w:hAnsi="Calibri" w:cs="Times New Roman"/>
          <w:b/>
          <w:color w:val="000000"/>
          <w:sz w:val="36"/>
          <w:szCs w:val="36"/>
        </w:rPr>
      </w:pPr>
      <w:r w:rsidRPr="00CF1D1E">
        <w:rPr>
          <w:rFonts w:ascii="Calibri" w:eastAsia="Calibri" w:hAnsi="Calibri" w:cs="Times New Roman"/>
          <w:b/>
          <w:color w:val="000000"/>
          <w:sz w:val="36"/>
          <w:szCs w:val="36"/>
        </w:rPr>
        <w:t>1.31 Synapt G2-Si Untargeted Method (HDMS</w:t>
      </w:r>
      <w:r w:rsidRPr="00CF1D1E">
        <w:rPr>
          <w:rFonts w:ascii="Calibri" w:eastAsia="Calibri" w:hAnsi="Calibri" w:cs="Times New Roman"/>
          <w:b/>
          <w:color w:val="000000"/>
          <w:sz w:val="36"/>
          <w:szCs w:val="36"/>
          <w:vertAlign w:val="superscript"/>
        </w:rPr>
        <w:t>e</w:t>
      </w:r>
      <w:r w:rsidRPr="00CF1D1E">
        <w:rPr>
          <w:rFonts w:ascii="Calibri" w:eastAsia="Calibri" w:hAnsi="Calibri" w:cs="Times New Roman"/>
          <w:b/>
          <w:color w:val="000000"/>
          <w:sz w:val="36"/>
          <w:szCs w:val="36"/>
        </w:rPr>
        <w:t xml:space="preserve">)     </w:t>
      </w:r>
    </w:p>
    <w:tbl>
      <w:tblPr>
        <w:tblW w:w="8222" w:type="dxa"/>
        <w:tblLook w:val="04A0" w:firstRow="1" w:lastRow="0" w:firstColumn="1" w:lastColumn="0" w:noHBand="0" w:noVBand="1"/>
      </w:tblPr>
      <w:tblGrid>
        <w:gridCol w:w="1701"/>
        <w:gridCol w:w="1276"/>
        <w:gridCol w:w="1164"/>
        <w:gridCol w:w="1164"/>
        <w:gridCol w:w="1216"/>
        <w:gridCol w:w="1701"/>
      </w:tblGrid>
      <w:tr w:rsidR="00CF1D1E" w:rsidRPr="00CF1D1E" w:rsidTr="00C8289C">
        <w:trPr>
          <w:trHeight w:val="300"/>
        </w:trPr>
        <w:tc>
          <w:tcPr>
            <w:tcW w:w="1701" w:type="dxa"/>
            <w:tcBorders>
              <w:top w:val="nil"/>
              <w:left w:val="nil"/>
              <w:right w:val="nil"/>
            </w:tcBorders>
            <w:shd w:val="clear" w:color="auto" w:fill="auto"/>
            <w:noWrap/>
            <w:vAlign w:val="bottom"/>
            <w:hideMark/>
          </w:tcPr>
          <w:p w:rsidR="00CF1D1E" w:rsidRPr="00CF1D1E" w:rsidRDefault="00CF1D1E" w:rsidP="00CF1D1E">
            <w:pPr>
              <w:spacing w:after="0" w:line="240" w:lineRule="auto"/>
              <w:rPr>
                <w:rFonts w:ascii="Times New Roman" w:eastAsia="Times New Roman" w:hAnsi="Times New Roman" w:cs="Times New Roman"/>
                <w:sz w:val="24"/>
                <w:szCs w:val="24"/>
                <w:lang w:eastAsia="en-GB"/>
              </w:rPr>
            </w:pPr>
          </w:p>
        </w:tc>
        <w:tc>
          <w:tcPr>
            <w:tcW w:w="1276" w:type="dxa"/>
            <w:tcBorders>
              <w:top w:val="nil"/>
              <w:left w:val="nil"/>
              <w:right w:val="nil"/>
            </w:tcBorders>
            <w:shd w:val="clear" w:color="auto" w:fill="auto"/>
            <w:noWrap/>
            <w:vAlign w:val="bottom"/>
            <w:hideMark/>
          </w:tcPr>
          <w:p w:rsidR="00CF1D1E" w:rsidRPr="00CF1D1E" w:rsidRDefault="00CF1D1E" w:rsidP="00CF1D1E">
            <w:pPr>
              <w:spacing w:after="0" w:line="240" w:lineRule="auto"/>
              <w:rPr>
                <w:rFonts w:ascii="Times New Roman" w:eastAsia="Times New Roman" w:hAnsi="Times New Roman" w:cs="Times New Roman"/>
                <w:sz w:val="20"/>
                <w:szCs w:val="20"/>
                <w:lang w:eastAsia="en-GB"/>
              </w:rPr>
            </w:pPr>
          </w:p>
        </w:tc>
        <w:tc>
          <w:tcPr>
            <w:tcW w:w="1164" w:type="dxa"/>
            <w:tcBorders>
              <w:top w:val="nil"/>
              <w:left w:val="nil"/>
              <w:right w:val="nil"/>
            </w:tcBorders>
            <w:shd w:val="clear" w:color="auto" w:fill="auto"/>
            <w:noWrap/>
            <w:vAlign w:val="bottom"/>
            <w:hideMark/>
          </w:tcPr>
          <w:p w:rsidR="00CF1D1E" w:rsidRPr="00CF1D1E" w:rsidRDefault="00CF1D1E" w:rsidP="00CF1D1E">
            <w:pPr>
              <w:spacing w:after="0" w:line="240" w:lineRule="auto"/>
              <w:rPr>
                <w:rFonts w:ascii="Times New Roman" w:eastAsia="Times New Roman" w:hAnsi="Times New Roman" w:cs="Times New Roman"/>
                <w:sz w:val="20"/>
                <w:szCs w:val="20"/>
                <w:lang w:eastAsia="en-GB"/>
              </w:rPr>
            </w:pPr>
          </w:p>
        </w:tc>
        <w:tc>
          <w:tcPr>
            <w:tcW w:w="1164" w:type="dxa"/>
            <w:tcBorders>
              <w:top w:val="nil"/>
              <w:left w:val="nil"/>
              <w:right w:val="nil"/>
            </w:tcBorders>
            <w:shd w:val="clear" w:color="auto" w:fill="auto"/>
            <w:noWrap/>
            <w:vAlign w:val="bottom"/>
            <w:hideMark/>
          </w:tcPr>
          <w:p w:rsidR="00CF1D1E" w:rsidRPr="00CF1D1E" w:rsidRDefault="00CF1D1E" w:rsidP="00CF1D1E">
            <w:pPr>
              <w:spacing w:after="0" w:line="240" w:lineRule="auto"/>
              <w:rPr>
                <w:rFonts w:ascii="Times New Roman" w:eastAsia="Times New Roman" w:hAnsi="Times New Roman" w:cs="Times New Roman"/>
                <w:sz w:val="20"/>
                <w:szCs w:val="20"/>
                <w:lang w:eastAsia="en-GB"/>
              </w:rPr>
            </w:pPr>
          </w:p>
        </w:tc>
        <w:tc>
          <w:tcPr>
            <w:tcW w:w="1216" w:type="dxa"/>
            <w:tcBorders>
              <w:top w:val="nil"/>
              <w:left w:val="nil"/>
              <w:right w:val="nil"/>
            </w:tcBorders>
            <w:shd w:val="clear" w:color="auto" w:fill="auto"/>
            <w:noWrap/>
            <w:vAlign w:val="bottom"/>
            <w:hideMark/>
          </w:tcPr>
          <w:p w:rsidR="00CF1D1E" w:rsidRPr="00CF1D1E" w:rsidRDefault="00CF1D1E" w:rsidP="00CF1D1E">
            <w:pPr>
              <w:spacing w:after="0" w:line="240" w:lineRule="auto"/>
              <w:rPr>
                <w:rFonts w:ascii="Times New Roman" w:eastAsia="Times New Roman" w:hAnsi="Times New Roman" w:cs="Times New Roman"/>
                <w:sz w:val="20"/>
                <w:szCs w:val="20"/>
                <w:lang w:eastAsia="en-GB"/>
              </w:rPr>
            </w:pPr>
          </w:p>
        </w:tc>
        <w:tc>
          <w:tcPr>
            <w:tcW w:w="1701" w:type="dxa"/>
            <w:tcBorders>
              <w:top w:val="nil"/>
              <w:left w:val="nil"/>
              <w:right w:val="nil"/>
            </w:tcBorders>
            <w:shd w:val="clear" w:color="auto" w:fill="auto"/>
            <w:noWrap/>
            <w:vAlign w:val="bottom"/>
            <w:hideMark/>
          </w:tcPr>
          <w:p w:rsidR="00CF1D1E" w:rsidRPr="00CF1D1E" w:rsidRDefault="00CF1D1E" w:rsidP="00CF1D1E">
            <w:pPr>
              <w:spacing w:after="0" w:line="240" w:lineRule="auto"/>
              <w:rPr>
                <w:rFonts w:ascii="Times New Roman" w:eastAsia="Times New Roman" w:hAnsi="Times New Roman" w:cs="Times New Roman"/>
                <w:sz w:val="20"/>
                <w:szCs w:val="20"/>
                <w:lang w:eastAsia="en-GB"/>
              </w:rPr>
            </w:pPr>
          </w:p>
        </w:tc>
      </w:tr>
      <w:tr w:rsidR="00CF1D1E" w:rsidRPr="00CF1D1E" w:rsidTr="00C8289C">
        <w:trPr>
          <w:trHeight w:val="300"/>
        </w:trPr>
        <w:tc>
          <w:tcPr>
            <w:tcW w:w="1701" w:type="dxa"/>
            <w:tcBorders>
              <w:top w:val="nil"/>
              <w:left w:val="nil"/>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2440" w:type="dxa"/>
            <w:gridSpan w:val="2"/>
            <w:tcBorders>
              <w:top w:val="nil"/>
              <w:left w:val="single" w:sz="4" w:space="0" w:color="auto"/>
              <w:bottom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Bark Extracts</w:t>
            </w:r>
          </w:p>
        </w:tc>
        <w:tc>
          <w:tcPr>
            <w:tcW w:w="1164" w:type="dxa"/>
            <w:tcBorders>
              <w:top w:val="nil"/>
              <w:bottom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216" w:type="dxa"/>
            <w:tcBorders>
              <w:top w:val="nil"/>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701" w:type="dxa"/>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r>
      <w:tr w:rsidR="00CF1D1E" w:rsidRPr="00CF1D1E" w:rsidTr="00C8289C">
        <w:trPr>
          <w:trHeight w:val="300"/>
        </w:trPr>
        <w:tc>
          <w:tcPr>
            <w:tcW w:w="1701" w:type="dxa"/>
            <w:tcBorders>
              <w:top w:val="nil"/>
              <w:left w:val="nil"/>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RT  &amp; m/z</w:t>
            </w:r>
          </w:p>
        </w:tc>
        <w:tc>
          <w:tcPr>
            <w:tcW w:w="1276" w:type="dxa"/>
            <w:tcBorders>
              <w:top w:val="single" w:sz="4" w:space="0" w:color="auto"/>
              <w:left w:val="single" w:sz="4" w:space="0" w:color="auto"/>
              <w:bottom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LPP002</w:t>
            </w:r>
          </w:p>
        </w:tc>
        <w:tc>
          <w:tcPr>
            <w:tcW w:w="1164" w:type="dxa"/>
            <w:tcBorders>
              <w:top w:val="single" w:sz="4" w:space="0" w:color="auto"/>
              <w:bottom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LPP003</w:t>
            </w:r>
          </w:p>
        </w:tc>
        <w:tc>
          <w:tcPr>
            <w:tcW w:w="1164" w:type="dxa"/>
            <w:tcBorders>
              <w:top w:val="single" w:sz="4" w:space="0" w:color="auto"/>
              <w:bottom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LPP004</w:t>
            </w:r>
          </w:p>
        </w:tc>
        <w:tc>
          <w:tcPr>
            <w:tcW w:w="1216" w:type="dxa"/>
            <w:tcBorders>
              <w:top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LPP005</w:t>
            </w:r>
          </w:p>
        </w:tc>
        <w:tc>
          <w:tcPr>
            <w:tcW w:w="1701" w:type="dxa"/>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1.16_179.0348</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15.29964</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16.562936</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9.1626701</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18.212147</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1.52_119.0497</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0.5482623</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0.4984471</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1.52_163.0395</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1.6549111</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6.9002808</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1.1094853</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3.6714322</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1.79_255.0660</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1.6816498</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0.2626908</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0.9721209</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1.3998981</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1.97_477.0685</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83.893115</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193.11915</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2812.2017</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209.15826</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CSID24844949</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1.16_135.0447</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9.2808621</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9.7827484</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7.2722075</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9.3000287</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CSID10181341</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2.69_221.0820</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3.2436965</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1.5429652</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0.9984806</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1.6382772</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CSID23254884</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1.38_355.1194</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1.9897534</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1.1584562</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0.4869967</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1.34_477.1036</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2.1039539</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2.0803423</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0.2659958</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1.7595958</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1.44_287.0918</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4.1649063</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31.573062</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7.6467476</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4.0138049</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0.41_675.1912</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16.109242</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21.673587</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16.301077</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19.829939</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0.64_575.1192</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254.78553</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336.97241</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264.94365</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305.96024</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0.40_577.1359</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292.79806</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395.07203</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311.351</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334.31515</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2.02_257.0819</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2.2100077</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0.5678123</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0.1332823</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1.1160427</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CSID30777607</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0.62_397.0937</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54.761534</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78.213634</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68.536725</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69.926218</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0.40_575.1189</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77.695365</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102.29403</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80.303921</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91.806751</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1.53_269.0816</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0.0367921</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2.7736153</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0.2374944</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1.0641785</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0.64_577.1363</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735.66999</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1007.462</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745.33818</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841.12708</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1.94_255.0662</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0.0588479</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1.123371</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3.8510835</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0.7293906</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1.35_319.0826</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0.5310438</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1.3194452</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0.0064628</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0.6728377</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2.42_431.0984</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14.771094</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0.3034937</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197.33503</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1.43_255.0660</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2.9648848</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0.8368749</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1.6040949</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2.856637</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3.72_271.0615</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0.7159644</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11.360624</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0.2233804</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2.11_311.0561</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22.143059</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296.00905</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5.0745796</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14.95862</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2.23_461.1091</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105.29797</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391.08875</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10.757521</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7.9487203</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1.51_301.0363</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1285.8417</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2074.2465</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275.53359</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2015.5282</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CSID4444051</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1.44_319.0833</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2.6771111</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0.8886369</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0.0800954</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0.6202889</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0.91_243.0667</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21.128407</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14.258092</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7.7977579</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18.499721</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1.92_355.1181</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7.4778051</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15.911648</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14.433638</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19.205046</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1.95_267.0661</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4.2448415</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3.4484065</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20.710726</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8.6729107</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CSID391108</w:t>
            </w:r>
          </w:p>
        </w:tc>
      </w:tr>
      <w:tr w:rsidR="00CF1D1E" w:rsidRPr="00CF1D1E" w:rsidTr="00C8289C">
        <w:trPr>
          <w:trHeight w:val="300"/>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1.64_477.0687</w:t>
            </w:r>
          </w:p>
        </w:tc>
        <w:tc>
          <w:tcPr>
            <w:tcW w:w="127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2007.6082</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105.80013</w:t>
            </w:r>
          </w:p>
        </w:tc>
        <w:tc>
          <w:tcPr>
            <w:tcW w:w="1164"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31.545388</w:t>
            </w:r>
          </w:p>
        </w:tc>
        <w:tc>
          <w:tcPr>
            <w:tcW w:w="1216"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2078.1288</w:t>
            </w:r>
          </w:p>
        </w:tc>
        <w:tc>
          <w:tcPr>
            <w:tcW w:w="1701"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CSID24844949</w:t>
            </w:r>
          </w:p>
        </w:tc>
      </w:tr>
    </w:tbl>
    <w:p w:rsidR="00CF1D1E" w:rsidRPr="00CF1D1E" w:rsidRDefault="00CF1D1E" w:rsidP="00CF1D1E">
      <w:pPr>
        <w:numPr>
          <w:ilvl w:val="0"/>
          <w:numId w:val="9"/>
        </w:numPr>
        <w:spacing w:after="0" w:line="240" w:lineRule="auto"/>
        <w:contextualSpacing/>
        <w:rPr>
          <w:rFonts w:ascii="Calibri" w:eastAsia="Times New Roman" w:hAnsi="Calibri" w:cs="Times New Roman"/>
          <w:color w:val="000000"/>
          <w:lang w:eastAsia="en-GB"/>
        </w:rPr>
        <w:sectPr w:rsidR="00CF1D1E" w:rsidRPr="00CF1D1E" w:rsidSect="00C8289C">
          <w:pgSz w:w="11906" w:h="16838" w:code="9"/>
          <w:pgMar w:top="1440" w:right="1440" w:bottom="1440" w:left="1440" w:header="709" w:footer="709" w:gutter="0"/>
          <w:cols w:space="708"/>
          <w:docGrid w:linePitch="360"/>
        </w:sectPr>
      </w:pPr>
    </w:p>
    <w:tbl>
      <w:tblPr>
        <w:tblW w:w="8080" w:type="dxa"/>
        <w:tblBorders>
          <w:insideV w:val="single" w:sz="4" w:space="0" w:color="auto"/>
        </w:tblBorders>
        <w:tblLook w:val="04A0" w:firstRow="1" w:lastRow="0" w:firstColumn="1" w:lastColumn="0" w:noHBand="0" w:noVBand="1"/>
      </w:tblPr>
      <w:tblGrid>
        <w:gridCol w:w="1560"/>
        <w:gridCol w:w="1134"/>
        <w:gridCol w:w="1275"/>
        <w:gridCol w:w="1134"/>
        <w:gridCol w:w="1276"/>
        <w:gridCol w:w="1701"/>
      </w:tblGrid>
      <w:tr w:rsidR="00CF1D1E" w:rsidRPr="00CF1D1E" w:rsidTr="00C8289C">
        <w:trPr>
          <w:trHeight w:val="300"/>
        </w:trPr>
        <w:tc>
          <w:tcPr>
            <w:tcW w:w="1560" w:type="dxa"/>
            <w:tcBorders>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 </w:t>
            </w:r>
          </w:p>
        </w:tc>
        <w:tc>
          <w:tcPr>
            <w:tcW w:w="2409" w:type="dxa"/>
            <w:gridSpan w:val="2"/>
            <w:tcBorders>
              <w:left w:val="single" w:sz="4" w:space="0" w:color="auto"/>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Bark Extracts</w:t>
            </w:r>
          </w:p>
        </w:tc>
        <w:tc>
          <w:tcPr>
            <w:tcW w:w="1134" w:type="dxa"/>
            <w:tcBorders>
              <w:left w:val="nil"/>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276" w:type="dxa"/>
            <w:tcBorders>
              <w:left w:val="nil"/>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701" w:type="dxa"/>
            <w:tcBorders>
              <w:left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r>
      <w:tr w:rsidR="00CF1D1E" w:rsidRPr="00CF1D1E" w:rsidTr="00C8289C">
        <w:trPr>
          <w:trHeight w:val="300"/>
        </w:trPr>
        <w:tc>
          <w:tcPr>
            <w:tcW w:w="1560"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RT  &amp; m/z</w:t>
            </w:r>
          </w:p>
        </w:tc>
        <w:tc>
          <w:tcPr>
            <w:tcW w:w="1134" w:type="dxa"/>
            <w:tcBorders>
              <w:top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LPP002</w:t>
            </w:r>
          </w:p>
        </w:tc>
        <w:tc>
          <w:tcPr>
            <w:tcW w:w="1275" w:type="dxa"/>
            <w:tcBorders>
              <w:top w:val="single" w:sz="4" w:space="0" w:color="auto"/>
              <w:left w:val="nil"/>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xml:space="preserve">  LPP003</w:t>
            </w:r>
          </w:p>
        </w:tc>
        <w:tc>
          <w:tcPr>
            <w:tcW w:w="1134" w:type="dxa"/>
            <w:tcBorders>
              <w:top w:val="single" w:sz="4" w:space="0" w:color="auto"/>
              <w:left w:val="nil"/>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LPP004</w:t>
            </w:r>
          </w:p>
        </w:tc>
        <w:tc>
          <w:tcPr>
            <w:tcW w:w="1276" w:type="dxa"/>
            <w:tcBorders>
              <w:top w:val="single" w:sz="4" w:space="0" w:color="auto"/>
              <w:lef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LPP005</w:t>
            </w:r>
          </w:p>
        </w:tc>
        <w:tc>
          <w:tcPr>
            <w:tcW w:w="1701" w:type="dxa"/>
            <w:tcBorders>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bl>
    <w:tbl>
      <w:tblPr>
        <w:tblpPr w:leftFromText="180" w:rightFromText="180" w:vertAnchor="page" w:horzAnchor="margin" w:tblpY="2062"/>
        <w:tblW w:w="8110" w:type="dxa"/>
        <w:tblBorders>
          <w:insideV w:val="single" w:sz="4" w:space="0" w:color="auto"/>
        </w:tblBorders>
        <w:tblLook w:val="04A0" w:firstRow="1" w:lastRow="0" w:firstColumn="1" w:lastColumn="0" w:noHBand="0" w:noVBand="1"/>
      </w:tblPr>
      <w:tblGrid>
        <w:gridCol w:w="1560"/>
        <w:gridCol w:w="1164"/>
        <w:gridCol w:w="1245"/>
        <w:gridCol w:w="1164"/>
        <w:gridCol w:w="1276"/>
        <w:gridCol w:w="1701"/>
      </w:tblGrid>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2.50_441.0827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1.7127881</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1.6993877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2.5103901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0.0208578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CSID30777630</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1.66_295.0982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2.2581818</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2.9221386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0.5790257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4.5378801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2.14_591.1719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5.6527051</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9.8254361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15.206334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9.4368262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0.63_539.0997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4.6315176</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5.6378076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4.9839761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4.4709992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1.19_327.0860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42.226924</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14.411518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15.454633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45.36738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1.25_363.1075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6.1866523</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8.3418184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3.9413444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8.2711516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1.36_287.0917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0.792527</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26.385723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5.0138098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4.8241578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1.71_313.1095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30.772964</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75.06292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16.531576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35.870618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2.15_313.1085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13.463525</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30.30172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54.265814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5.9962605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2.33_447.1297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2.5393167</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3.0716423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13.511497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5.2072963</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CSID10290</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2.26_477.1026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6.9220864</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77.361576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394.58569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2.6579067</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2.88_441.0828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0.6521538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0.048373</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CSID97034</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2.02_297.0764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3.7998122</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2.2528065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12.201644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8.9318395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2.74_243.1384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108.40652</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163.04974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24.573932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168.4839</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CSID28982</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1.80_559.1246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10.523003</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28.664651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13.745814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9.2189707</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1.87_359.0775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0.1854955</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17.274356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21.379029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4.4429916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2.33_463.0872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3.8536292</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0.6970367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132.03651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0.8173378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CSID4444361</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1.43_465.1047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65.407015</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325.50728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57.291963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173.95912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CSID30777621</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2.39_497.1085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21.957497</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2.1384608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770.44195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2.620833</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1.57_497.1086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79.082077</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183.61423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14.123433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80.642358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0.93_481.0988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554.92874</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693.2833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511.30888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597.18496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CSID30777581</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2.02_397.0914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0.9574665</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0.9013558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1.192385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2.5012724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1.83_715.1724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1.18_313.1094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13.618223</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4.8649925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6.7374344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13.950145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1.99_447.0937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536.71536</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619.25831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50.475024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555.8872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CSID30777622</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0.93_455.1343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35.218804</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35.207656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26.471851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38.65527</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CSID388690</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1.80_431.0988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2.4832675</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5.8605981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6.9604607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2.5216526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1.60_947.1710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CSID4444973</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1.62_297.0769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17.222915</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35.992364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6.9557197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22.825038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2.11_559.1258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2.1935158</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14.770463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18.703398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9.1401678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2.44_357.1333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8.224344</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4.6892799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15.195406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0.0729749</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1.59_419.1718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3.6675788</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14.9443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0.2086627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4.752234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CSID30776738</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2.39_295.0611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0.5217086</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95.425578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6.3805794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1.1173792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1.43_283.0962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3.1455851</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1.7403654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0.2021827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4.2371431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bl>
    <w:p w:rsidR="00CF1D1E" w:rsidRPr="00CF1D1E" w:rsidRDefault="00CF1D1E" w:rsidP="00CF1D1E">
      <w:pPr>
        <w:spacing w:after="0" w:line="240" w:lineRule="auto"/>
        <w:rPr>
          <w:rFonts w:ascii="Calibri" w:eastAsia="Times New Roman" w:hAnsi="Calibri" w:cs="Times New Roman"/>
          <w:color w:val="000000"/>
          <w:lang w:eastAsia="en-GB"/>
        </w:rPr>
        <w:sectPr w:rsidR="00CF1D1E" w:rsidRPr="00CF1D1E" w:rsidSect="00C8289C">
          <w:pgSz w:w="11906" w:h="16838" w:code="9"/>
          <w:pgMar w:top="1440" w:right="567" w:bottom="1440" w:left="1440" w:header="709" w:footer="709" w:gutter="0"/>
          <w:cols w:space="708"/>
          <w:docGrid w:linePitch="360"/>
        </w:sectPr>
      </w:pPr>
    </w:p>
    <w:tbl>
      <w:tblPr>
        <w:tblpPr w:leftFromText="180" w:rightFromText="180" w:vertAnchor="text" w:horzAnchor="margin" w:tblpY="-123"/>
        <w:tblW w:w="8080" w:type="dxa"/>
        <w:tblLook w:val="04A0" w:firstRow="1" w:lastRow="0" w:firstColumn="1" w:lastColumn="0" w:noHBand="0" w:noVBand="1"/>
      </w:tblPr>
      <w:tblGrid>
        <w:gridCol w:w="1560"/>
        <w:gridCol w:w="1275"/>
        <w:gridCol w:w="1306"/>
        <w:gridCol w:w="1164"/>
        <w:gridCol w:w="1074"/>
        <w:gridCol w:w="1701"/>
      </w:tblGrid>
      <w:tr w:rsidR="00CF1D1E" w:rsidRPr="00CF1D1E" w:rsidTr="00C8289C">
        <w:trPr>
          <w:trHeight w:val="300"/>
        </w:trPr>
        <w:tc>
          <w:tcPr>
            <w:tcW w:w="1560" w:type="dxa"/>
            <w:tcBorders>
              <w:top w:val="nil"/>
              <w:left w:val="nil"/>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 </w:t>
            </w:r>
          </w:p>
        </w:tc>
        <w:tc>
          <w:tcPr>
            <w:tcW w:w="2581" w:type="dxa"/>
            <w:gridSpan w:val="2"/>
            <w:tcBorders>
              <w:top w:val="nil"/>
              <w:left w:val="single" w:sz="4" w:space="0" w:color="auto"/>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Bark Extracts</w:t>
            </w:r>
          </w:p>
        </w:tc>
        <w:tc>
          <w:tcPr>
            <w:tcW w:w="1164" w:type="dxa"/>
            <w:tcBorders>
              <w:top w:val="nil"/>
              <w:left w:val="nil"/>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074" w:type="dxa"/>
            <w:tcBorders>
              <w:top w:val="nil"/>
              <w:left w:val="nil"/>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701" w:type="dxa"/>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r>
      <w:tr w:rsidR="00CF1D1E" w:rsidRPr="00CF1D1E" w:rsidTr="00C8289C">
        <w:trPr>
          <w:trHeight w:val="300"/>
        </w:trPr>
        <w:tc>
          <w:tcPr>
            <w:tcW w:w="1560" w:type="dxa"/>
            <w:tcBorders>
              <w:top w:val="nil"/>
              <w:left w:val="nil"/>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RT  &amp; m/z</w:t>
            </w:r>
          </w:p>
        </w:tc>
        <w:tc>
          <w:tcPr>
            <w:tcW w:w="1275" w:type="dxa"/>
            <w:tcBorders>
              <w:top w:val="single" w:sz="4" w:space="0" w:color="auto"/>
              <w:left w:val="single" w:sz="4" w:space="0" w:color="auto"/>
              <w:bottom w:val="nil"/>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LPP002</w:t>
            </w:r>
          </w:p>
        </w:tc>
        <w:tc>
          <w:tcPr>
            <w:tcW w:w="1306" w:type="dxa"/>
            <w:tcBorders>
              <w:top w:val="single" w:sz="4" w:space="0" w:color="auto"/>
              <w:left w:val="nil"/>
              <w:bottom w:val="nil"/>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LPP003</w:t>
            </w:r>
          </w:p>
        </w:tc>
        <w:tc>
          <w:tcPr>
            <w:tcW w:w="1164" w:type="dxa"/>
            <w:tcBorders>
              <w:top w:val="single" w:sz="4" w:space="0" w:color="auto"/>
              <w:left w:val="nil"/>
              <w:bottom w:val="nil"/>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LPP004</w:t>
            </w:r>
          </w:p>
        </w:tc>
        <w:tc>
          <w:tcPr>
            <w:tcW w:w="1074" w:type="dxa"/>
            <w:tcBorders>
              <w:top w:val="single" w:sz="4" w:space="0" w:color="auto"/>
              <w:left w:val="nil"/>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LPP005</w:t>
            </w:r>
          </w:p>
        </w:tc>
        <w:tc>
          <w:tcPr>
            <w:tcW w:w="1701" w:type="dxa"/>
            <w:tcBorders>
              <w:top w:val="nil"/>
              <w:left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bl>
    <w:tbl>
      <w:tblPr>
        <w:tblpPr w:leftFromText="180" w:rightFromText="180" w:vertAnchor="page" w:horzAnchor="margin" w:tblpY="1963"/>
        <w:tblW w:w="8080" w:type="dxa"/>
        <w:tblBorders>
          <w:insideV w:val="single" w:sz="4" w:space="0" w:color="auto"/>
        </w:tblBorders>
        <w:tblLook w:val="04A0" w:firstRow="1" w:lastRow="0" w:firstColumn="1" w:lastColumn="0" w:noHBand="0" w:noVBand="1"/>
      </w:tblPr>
      <w:tblGrid>
        <w:gridCol w:w="1560"/>
        <w:gridCol w:w="1164"/>
        <w:gridCol w:w="1245"/>
        <w:gridCol w:w="1164"/>
        <w:gridCol w:w="1246"/>
        <w:gridCol w:w="1701"/>
      </w:tblGrid>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1.61_189.0549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0.5840255</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9.6970387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0.9090162</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0.5930532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CSID35015219</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1.70_319.0814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2.9937527</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5.2042982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0.5096346</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2.7157404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0.77_305.0662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16.930402</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25.05202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15.522531</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25.176573</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1.76_335.1510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52.129207</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42.146353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1.063993</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66.942422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1.79_269.0818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16.990931</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1.1027744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1.1428861</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17.425953</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1.23_273.0766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1.7717158</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2.2000317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2.1286517</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1.2193824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CSID19283896</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2.77_327.0869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3.5378209</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2.5584796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0.6940128</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7.2881155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1.84_327.0878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1.9702955</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56.08713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16.87684</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0.1618418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3.00_271.0969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1.0409584</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4.899469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0.9505012</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0.2302568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CSID26367754</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0.41_735.2175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15.432538</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19.744267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16.576555</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18.6972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CSID7975151</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2.54_311.0575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10.839538</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0.4976174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8.0530862</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0.5644245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2.31_359.0769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2.7708648</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1.7262556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3.0899872</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16.418461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3.04_257.0809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113.58917</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154.59049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120.39977</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0.419691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CSID26368740</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1.90_369.0614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0.2705108</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4.5893205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5.9905975</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3.1050694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3.29_327.0879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0.3671435</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0.0131008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0.0022438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1.53_283.0982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0.5475254</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3.9919983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0.4267307</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2.6110712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1.08_577.1344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28.037798</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29.141089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51.326128</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28.33417</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0"/>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2.32_603.0785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23.778237</w:t>
            </w:r>
          </w:p>
        </w:tc>
        <w:tc>
          <w:tcPr>
            <w:tcW w:w="1245"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1576.001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84.803774</w:t>
            </w:r>
          </w:p>
        </w:tc>
        <w:tc>
          <w:tcPr>
            <w:tcW w:w="124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54.799333</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CSID4444051</w:t>
            </w:r>
          </w:p>
        </w:tc>
      </w:tr>
    </w:tbl>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24"/>
          <w:szCs w:val="24"/>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24"/>
          <w:szCs w:val="24"/>
        </w:rPr>
      </w:pP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24"/>
          <w:szCs w:val="24"/>
        </w:rPr>
      </w:pP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24"/>
          <w:szCs w:val="24"/>
        </w:rPr>
      </w:pP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24"/>
          <w:szCs w:val="24"/>
        </w:rPr>
      </w:pP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Tab.A1-001 </w:t>
      </w:r>
      <w:r w:rsidR="00346024">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 scoring results after processing HDMS</w:t>
      </w:r>
      <w:r w:rsidRPr="00EE7CE7">
        <w:rPr>
          <w:rFonts w:ascii="Calibri" w:eastAsia="Calibri" w:hAnsi="Calibri" w:cs="Times New Roman"/>
          <w:color w:val="000000"/>
          <w:sz w:val="20"/>
          <w:szCs w:val="20"/>
          <w:vertAlign w:val="superscript"/>
        </w:rPr>
        <w:t>e</w:t>
      </w:r>
      <w:r w:rsidRPr="00CF1D1E">
        <w:rPr>
          <w:rFonts w:ascii="Calibri" w:eastAsia="Calibri" w:hAnsi="Calibri" w:cs="Times New Roman"/>
          <w:color w:val="000000"/>
          <w:sz w:val="20"/>
          <w:szCs w:val="20"/>
        </w:rPr>
        <w:t xml:space="preserve"> data through Progenesis QI. This data relates to the 4 replicates of the lodge pole pine extract compared to blanks.</w:t>
      </w:r>
    </w:p>
    <w:p w:rsidR="00CF1D1E" w:rsidRPr="00CF1D1E" w:rsidRDefault="00CF1D1E" w:rsidP="00CF1D1E">
      <w:pPr>
        <w:autoSpaceDE w:val="0"/>
        <w:autoSpaceDN w:val="0"/>
        <w:adjustRightInd w:val="0"/>
        <w:spacing w:after="0" w:line="720" w:lineRule="auto"/>
        <w:rPr>
          <w:rFonts w:ascii="Calibri" w:eastAsia="Calibri" w:hAnsi="Calibri" w:cs="Times New Roman"/>
          <w:b/>
          <w:color w:val="000000"/>
          <w:sz w:val="24"/>
          <w:szCs w:val="24"/>
        </w:rPr>
      </w:pPr>
    </w:p>
    <w:p w:rsidR="00CF1D1E" w:rsidRPr="00CF1D1E" w:rsidRDefault="00CF1D1E" w:rsidP="00CF1D1E">
      <w:pPr>
        <w:rPr>
          <w:rFonts w:ascii="Calibri" w:eastAsia="Calibri" w:hAnsi="Calibri" w:cs="Times New Roman"/>
          <w:b/>
          <w:color w:val="000000"/>
          <w:sz w:val="24"/>
          <w:szCs w:val="24"/>
        </w:rPr>
      </w:pPr>
      <w:r w:rsidRPr="00CF1D1E">
        <w:rPr>
          <w:rFonts w:ascii="Calibri" w:eastAsia="Calibri" w:hAnsi="Calibri" w:cs="Times New Roman"/>
          <w:b/>
        </w:rPr>
        <w:br w:type="page"/>
      </w:r>
    </w:p>
    <w:tbl>
      <w:tblPr>
        <w:tblW w:w="8953" w:type="dxa"/>
        <w:tblLook w:val="04A0" w:firstRow="1" w:lastRow="0" w:firstColumn="1" w:lastColumn="0" w:noHBand="0" w:noVBand="1"/>
      </w:tblPr>
      <w:tblGrid>
        <w:gridCol w:w="1560"/>
        <w:gridCol w:w="1417"/>
        <w:gridCol w:w="1387"/>
        <w:gridCol w:w="172"/>
        <w:gridCol w:w="993"/>
        <w:gridCol w:w="283"/>
        <w:gridCol w:w="1418"/>
        <w:gridCol w:w="1559"/>
        <w:gridCol w:w="164"/>
      </w:tblGrid>
      <w:tr w:rsidR="00CF1D1E" w:rsidRPr="00CF1D1E" w:rsidTr="00C8289C">
        <w:trPr>
          <w:trHeight w:val="300"/>
        </w:trPr>
        <w:tc>
          <w:tcPr>
            <w:tcW w:w="1560" w:type="dxa"/>
            <w:tcBorders>
              <w:top w:val="nil"/>
              <w:left w:val="nil"/>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 </w:t>
            </w:r>
          </w:p>
        </w:tc>
        <w:tc>
          <w:tcPr>
            <w:tcW w:w="1417" w:type="dxa"/>
            <w:tcBorders>
              <w:top w:val="nil"/>
              <w:left w:val="single" w:sz="4" w:space="0" w:color="auto"/>
              <w:bottom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Bark extracts</w:t>
            </w:r>
          </w:p>
        </w:tc>
        <w:tc>
          <w:tcPr>
            <w:tcW w:w="1559" w:type="dxa"/>
            <w:gridSpan w:val="2"/>
            <w:tcBorders>
              <w:top w:val="nil"/>
              <w:bottom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993" w:type="dxa"/>
            <w:tcBorders>
              <w:top w:val="nil"/>
              <w:bottom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701" w:type="dxa"/>
            <w:gridSpan w:val="2"/>
            <w:tcBorders>
              <w:top w:val="nil"/>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723" w:type="dxa"/>
            <w:gridSpan w:val="2"/>
            <w:tcBorders>
              <w:top w:val="nil"/>
              <w:left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r>
      <w:tr w:rsidR="00CF1D1E" w:rsidRPr="00CF1D1E" w:rsidTr="00C8289C">
        <w:trPr>
          <w:trHeight w:val="300"/>
        </w:trPr>
        <w:tc>
          <w:tcPr>
            <w:tcW w:w="1560" w:type="dxa"/>
            <w:tcBorders>
              <w:top w:val="nil"/>
              <w:left w:val="nil"/>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RT &amp; m/z</w:t>
            </w:r>
          </w:p>
        </w:tc>
        <w:tc>
          <w:tcPr>
            <w:tcW w:w="1417" w:type="dxa"/>
            <w:tcBorders>
              <w:top w:val="single" w:sz="4" w:space="0" w:color="auto"/>
              <w:left w:val="single" w:sz="4" w:space="0" w:color="auto"/>
              <w:bottom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xml:space="preserve"> OAK002</w:t>
            </w:r>
          </w:p>
        </w:tc>
        <w:tc>
          <w:tcPr>
            <w:tcW w:w="1387" w:type="dxa"/>
            <w:tcBorders>
              <w:top w:val="single" w:sz="4" w:space="0" w:color="auto"/>
              <w:bottom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OAK003</w:t>
            </w:r>
          </w:p>
        </w:tc>
        <w:tc>
          <w:tcPr>
            <w:tcW w:w="1165" w:type="dxa"/>
            <w:gridSpan w:val="2"/>
            <w:tcBorders>
              <w:top w:val="single" w:sz="4" w:space="0" w:color="auto"/>
              <w:bottom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OAK004</w:t>
            </w:r>
          </w:p>
        </w:tc>
        <w:tc>
          <w:tcPr>
            <w:tcW w:w="1701" w:type="dxa"/>
            <w:gridSpan w:val="2"/>
            <w:tcBorders>
              <w:top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xml:space="preserve">      OAK005</w:t>
            </w:r>
          </w:p>
        </w:tc>
        <w:tc>
          <w:tcPr>
            <w:tcW w:w="1723" w:type="dxa"/>
            <w:gridSpan w:val="2"/>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1.16_179.0348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35.98358061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32.22308076</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36.67318267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21.93905253</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1.52_119.0497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0.79419957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0.544571278</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0.496515715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0.34374464</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1.52_163.0395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4.91448347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7.774668462</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4.63616236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3.058341915</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1.79_255.0660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2.193115203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0.249165821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1.861787422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0.030129032</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1.97_477.0685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13.41563152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3.652731654</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15.34150519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9.201634465</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CSID24844949</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1.16_135.0447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14.57254425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11.11026987</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15.52777821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10.4893096</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CSID10181341</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2.69_221.0820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582.0351906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487.4523975</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546.6115863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408.7217587</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CSID23254884</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1.38_355.1194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4.410432383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2.588185087</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4.385671436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5.271624305</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1.34_477.1036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2.917742681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1.641894477</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3.195796062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1.633186614</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1.44_287.0918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31.09335959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3.790375311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30.38720378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8.024989854</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0.41_675.1912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4.997591341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4.204300701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3.056431007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3.828677585</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0.64_575.1192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43.63441623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17.82659829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36.66895983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39.95235938</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0.40_577.1359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56.6445815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45.18007951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55.24088084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57.12790952</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2.02_257.0819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1.437910757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0.002990094</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0.527335015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0.296220546</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CSID30777607</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0.62_397.0937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13.91707512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6.474658413</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11.61297216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12.19863633</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0.40_575.1189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21.61423798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11.69358106</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12.33763337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10.02575345</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1.53_269.0816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3.021277988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1.95854949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2.631314037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0.57860944</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00"/>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0.64_577.1363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125.5451343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79.90818233</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122.4667675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109.5908939</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1.94_255.0662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11.39447769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1.885896689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12.53048707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6.096936383</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1.35_319.0826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7.117133382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4.031065738</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9.114064413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9.16847995</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2.42_431.0984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1.34200498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1.043433252</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1.4321987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0.328629551</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1.43_255.0660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4.560643479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3.086707755</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4.266987782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2.227674904</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3.72_271.0615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420.1877309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344.7054306</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394.8988768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312.1145741</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2.11_311.0561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31.04824295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2.916540719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29.75560649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8.67903439</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2.23_461.1091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10.17293822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6.029523715</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7.818427918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4.705175747</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5213F4" w:rsidRDefault="00CF1D1E" w:rsidP="00CF1D1E">
            <w:pPr>
              <w:spacing w:after="0" w:line="240" w:lineRule="auto"/>
              <w:rPr>
                <w:rFonts w:ascii="Calibri" w:eastAsia="Times New Roman" w:hAnsi="Calibri" w:cs="Times New Roman"/>
                <w:color w:val="000000"/>
                <w:highlight w:val="yellow"/>
                <w:lang w:eastAsia="en-GB"/>
              </w:rPr>
            </w:pPr>
            <w:r w:rsidRPr="005213F4">
              <w:rPr>
                <w:rFonts w:ascii="Calibri" w:eastAsia="Times New Roman" w:hAnsi="Calibri" w:cs="Times New Roman"/>
                <w:color w:val="000000"/>
                <w:highlight w:val="yellow"/>
                <w:lang w:eastAsia="en-GB"/>
              </w:rPr>
              <w:t>1.51_301.0363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5213F4" w:rsidRDefault="00CF1D1E" w:rsidP="00CF1D1E">
            <w:pPr>
              <w:spacing w:after="0" w:line="240" w:lineRule="auto"/>
              <w:jc w:val="right"/>
              <w:rPr>
                <w:rFonts w:ascii="Calibri" w:eastAsia="Times New Roman" w:hAnsi="Calibri" w:cs="Times New Roman"/>
                <w:color w:val="000000"/>
                <w:highlight w:val="yellow"/>
                <w:lang w:eastAsia="en-GB"/>
              </w:rPr>
            </w:pPr>
            <w:r w:rsidRPr="005213F4">
              <w:rPr>
                <w:rFonts w:ascii="Calibri" w:eastAsia="Times New Roman" w:hAnsi="Calibri" w:cs="Times New Roman"/>
                <w:color w:val="000000"/>
                <w:highlight w:val="yellow"/>
                <w:lang w:eastAsia="en-GB"/>
              </w:rPr>
              <w:t>137.5063764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5213F4" w:rsidRDefault="00CF1D1E" w:rsidP="00CF1D1E">
            <w:pPr>
              <w:spacing w:after="0" w:line="240" w:lineRule="auto"/>
              <w:jc w:val="right"/>
              <w:rPr>
                <w:rFonts w:ascii="Calibri" w:eastAsia="Times New Roman" w:hAnsi="Calibri" w:cs="Times New Roman"/>
                <w:color w:val="000000"/>
                <w:highlight w:val="yellow"/>
                <w:lang w:eastAsia="en-GB"/>
              </w:rPr>
            </w:pPr>
            <w:r w:rsidRPr="005213F4">
              <w:rPr>
                <w:rFonts w:ascii="Calibri" w:eastAsia="Times New Roman" w:hAnsi="Calibri" w:cs="Times New Roman"/>
                <w:color w:val="000000"/>
                <w:highlight w:val="yellow"/>
                <w:lang w:eastAsia="en-GB"/>
              </w:rPr>
              <w:t>64.59614814</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5213F4" w:rsidRDefault="00CF1D1E" w:rsidP="00CF1D1E">
            <w:pPr>
              <w:spacing w:after="0" w:line="240" w:lineRule="auto"/>
              <w:jc w:val="right"/>
              <w:rPr>
                <w:rFonts w:ascii="Calibri" w:eastAsia="Times New Roman" w:hAnsi="Calibri" w:cs="Times New Roman"/>
                <w:color w:val="000000"/>
                <w:highlight w:val="yellow"/>
                <w:lang w:eastAsia="en-GB"/>
              </w:rPr>
            </w:pPr>
            <w:r w:rsidRPr="005213F4">
              <w:rPr>
                <w:rFonts w:ascii="Calibri" w:eastAsia="Times New Roman" w:hAnsi="Calibri" w:cs="Times New Roman"/>
                <w:color w:val="000000"/>
                <w:highlight w:val="yellow"/>
                <w:lang w:eastAsia="en-GB"/>
              </w:rPr>
              <w:t>133.3462899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5213F4" w:rsidRDefault="00CF1D1E" w:rsidP="00CF1D1E">
            <w:pPr>
              <w:spacing w:after="0" w:line="240" w:lineRule="auto"/>
              <w:jc w:val="right"/>
              <w:rPr>
                <w:rFonts w:ascii="Calibri" w:eastAsia="Times New Roman" w:hAnsi="Calibri" w:cs="Times New Roman"/>
                <w:color w:val="000000"/>
                <w:highlight w:val="yellow"/>
                <w:lang w:eastAsia="en-GB"/>
              </w:rPr>
            </w:pPr>
            <w:r w:rsidRPr="005213F4">
              <w:rPr>
                <w:rFonts w:ascii="Calibri" w:eastAsia="Times New Roman" w:hAnsi="Calibri" w:cs="Times New Roman"/>
                <w:color w:val="000000"/>
                <w:highlight w:val="yellow"/>
                <w:lang w:eastAsia="en-GB"/>
              </w:rPr>
              <w:t>91.82065618</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5213F4" w:rsidRDefault="00CF1D1E" w:rsidP="00CF1D1E">
            <w:pPr>
              <w:spacing w:after="0" w:line="240" w:lineRule="auto"/>
              <w:rPr>
                <w:rFonts w:ascii="Calibri" w:eastAsia="Times New Roman" w:hAnsi="Calibri" w:cs="Times New Roman"/>
                <w:color w:val="000000"/>
                <w:highlight w:val="yellow"/>
                <w:lang w:eastAsia="en-GB"/>
              </w:rPr>
            </w:pPr>
            <w:r w:rsidRPr="005213F4">
              <w:rPr>
                <w:rFonts w:ascii="Calibri" w:eastAsia="Times New Roman" w:hAnsi="Calibri" w:cs="Times New Roman"/>
                <w:color w:val="000000"/>
                <w:highlight w:val="yellow"/>
                <w:lang w:eastAsia="en-GB"/>
              </w:rPr>
              <w:t>CSID4444051</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1.44_319.0833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12.6273078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4.130895185</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10.94931923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6.342098456</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0.91_243.0667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8.134672339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5.724742996</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9.955426282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3.032935558</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1.92_355.1181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25.84738782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29.13662778</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24.3201949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13.33557858</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1.95_267.0661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6.784649715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2.322900899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4.889766572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2.87615845</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CSID391108</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1.64_477.0687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24.87212818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40.08705531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26.20085901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24.12942332</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CSID24844949</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2.50_441.0827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23.66727519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1.247388206</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23.40560265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17.53361073</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CSID30777630</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1.66_295.0982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1.708505131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4.528309555</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1.270280122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1.213761551</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2.14_591.1719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17.33824432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5.598279901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12.96406394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12.29723155</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0.63_539.0997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1.101575269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0.3096636</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1.003585762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0.640365125</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1.19_327.0860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79.48905516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37.08218277</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83.92359102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40.05487508</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1.25_363.1075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27.00294128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19.52523561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26.67935747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13.88652947</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1.36_287.0917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17.08034202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3.253540971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17.21827932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29.52273367</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1.71_313.1095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22.28879943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50.88251433</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24.17888867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24.48956034</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2.15_313.1085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8.581384894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10.44232938</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6.253169816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13.05484722</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2.33_447.1297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10.14220146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4.168287429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9.458390173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3.894311402</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CSID10290</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2.26_477.1026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1.558033516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2.031062264</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3.597778862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1.153004848</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2.88_441.0828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0.113119705</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0.350845392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0.141120293</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CSID97034</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2.02_297.0764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3.181055594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10.05894995</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3.24477135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1.706638959</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2.74_243.1384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1.19588561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0.705222559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0.873554642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1.765149507</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CSID28982</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1.80_559.1246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36.86936755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21.55156078</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32.14702941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5.467473727</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1.87_359.0775</w:t>
            </w:r>
          </w:p>
        </w:tc>
        <w:tc>
          <w:tcPr>
            <w:tcW w:w="1417" w:type="dxa"/>
            <w:tcBorders>
              <w:top w:val="nil"/>
              <w:left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187.4082552</w:t>
            </w:r>
          </w:p>
        </w:tc>
        <w:tc>
          <w:tcPr>
            <w:tcW w:w="1387" w:type="dxa"/>
            <w:tcBorders>
              <w:top w:val="nil"/>
              <w:left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15.40726602</w:t>
            </w:r>
          </w:p>
        </w:tc>
        <w:tc>
          <w:tcPr>
            <w:tcW w:w="1448" w:type="dxa"/>
            <w:gridSpan w:val="3"/>
            <w:tcBorders>
              <w:top w:val="nil"/>
              <w:left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172.5251252</w:t>
            </w:r>
          </w:p>
        </w:tc>
        <w:tc>
          <w:tcPr>
            <w:tcW w:w="1418" w:type="dxa"/>
            <w:tcBorders>
              <w:top w:val="nil"/>
              <w:left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22.07388373</w:t>
            </w:r>
          </w:p>
        </w:tc>
        <w:tc>
          <w:tcPr>
            <w:tcW w:w="1723" w:type="dxa"/>
            <w:gridSpan w:val="2"/>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 </w:t>
            </w:r>
          </w:p>
        </w:tc>
        <w:tc>
          <w:tcPr>
            <w:tcW w:w="1417" w:type="dxa"/>
            <w:tcBorders>
              <w:top w:val="nil"/>
              <w:left w:val="single" w:sz="4" w:space="0" w:color="auto"/>
              <w:bottom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Bark extracts</w:t>
            </w:r>
          </w:p>
        </w:tc>
        <w:tc>
          <w:tcPr>
            <w:tcW w:w="1387" w:type="dxa"/>
            <w:tcBorders>
              <w:top w:val="nil"/>
              <w:bottom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448" w:type="dxa"/>
            <w:gridSpan w:val="3"/>
            <w:tcBorders>
              <w:top w:val="nil"/>
              <w:bottom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418" w:type="dxa"/>
            <w:tcBorders>
              <w:top w:val="nil"/>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559" w:type="dxa"/>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RT &amp; m/z</w:t>
            </w:r>
          </w:p>
        </w:tc>
        <w:tc>
          <w:tcPr>
            <w:tcW w:w="1417" w:type="dxa"/>
            <w:tcBorders>
              <w:top w:val="single" w:sz="4" w:space="0" w:color="auto"/>
              <w:left w:val="single" w:sz="4" w:space="0" w:color="auto"/>
              <w:bottom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OAK002</w:t>
            </w:r>
          </w:p>
        </w:tc>
        <w:tc>
          <w:tcPr>
            <w:tcW w:w="1387" w:type="dxa"/>
            <w:tcBorders>
              <w:top w:val="single" w:sz="4" w:space="0" w:color="auto"/>
              <w:bottom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OAK003</w:t>
            </w:r>
          </w:p>
        </w:tc>
        <w:tc>
          <w:tcPr>
            <w:tcW w:w="1448" w:type="dxa"/>
            <w:gridSpan w:val="3"/>
            <w:tcBorders>
              <w:top w:val="single" w:sz="4" w:space="0" w:color="auto"/>
              <w:bottom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OAK004</w:t>
            </w:r>
          </w:p>
        </w:tc>
        <w:tc>
          <w:tcPr>
            <w:tcW w:w="1418" w:type="dxa"/>
            <w:tcBorders>
              <w:top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OAK005</w:t>
            </w:r>
          </w:p>
        </w:tc>
        <w:tc>
          <w:tcPr>
            <w:tcW w:w="1559" w:type="dxa"/>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2.39_497.1085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3.432870334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0.709665589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1.670676809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0.733206078</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1.57_497.1086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31.31014922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39.19261674</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25.180877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17.05963974</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0.93_481.0988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43.52080636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34.72969796</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42.6658124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27.37429043</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CSID30777581</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2.02_397.0914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1.97886484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1.01279819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1.886412688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1.351825681</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1.83_715.1724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1.18_313.1094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11.09683808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6.92540798</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13.2821961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7.680116471</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1.99_447.0937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80.92450776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61.38046844</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72.90993709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68.50283567</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CSID30777622</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0.93_455.1343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26.25462133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34.2305951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28.60315562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10.49693953</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CSID388690</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1.80_431.0988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37.88264962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40.98613139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40.69072391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18.59817529</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1.60_947.1710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CSID4444973</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1.62_297.0769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38.32758753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60.98584745</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36.72306583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33.67552107</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2.11_559.1258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20.96473227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2.900055176</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21.49192245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7.317698934</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5213F4" w:rsidRDefault="00CF1D1E" w:rsidP="00CF1D1E">
            <w:pPr>
              <w:spacing w:after="0" w:line="240" w:lineRule="auto"/>
              <w:rPr>
                <w:rFonts w:ascii="Calibri" w:eastAsia="Times New Roman" w:hAnsi="Calibri" w:cs="Times New Roman"/>
                <w:color w:val="000000"/>
                <w:highlight w:val="cyan"/>
                <w:lang w:eastAsia="en-GB"/>
              </w:rPr>
            </w:pPr>
            <w:r w:rsidRPr="005213F4">
              <w:rPr>
                <w:rFonts w:ascii="Calibri" w:eastAsia="Times New Roman" w:hAnsi="Calibri" w:cs="Times New Roman"/>
                <w:color w:val="000000"/>
                <w:highlight w:val="cyan"/>
                <w:lang w:eastAsia="en-GB"/>
              </w:rPr>
              <w:t>2.44_357.1333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5213F4" w:rsidRDefault="00CF1D1E" w:rsidP="00CF1D1E">
            <w:pPr>
              <w:spacing w:after="0" w:line="240" w:lineRule="auto"/>
              <w:jc w:val="right"/>
              <w:rPr>
                <w:rFonts w:ascii="Calibri" w:eastAsia="Times New Roman" w:hAnsi="Calibri" w:cs="Times New Roman"/>
                <w:color w:val="000000"/>
                <w:highlight w:val="cyan"/>
                <w:lang w:eastAsia="en-GB"/>
              </w:rPr>
            </w:pPr>
            <w:r w:rsidRPr="005213F4">
              <w:rPr>
                <w:rFonts w:ascii="Calibri" w:eastAsia="Times New Roman" w:hAnsi="Calibri" w:cs="Times New Roman"/>
                <w:color w:val="000000"/>
                <w:highlight w:val="cyan"/>
                <w:lang w:eastAsia="en-GB"/>
              </w:rPr>
              <w:t>26.77106469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5213F4" w:rsidRDefault="00CF1D1E" w:rsidP="00CF1D1E">
            <w:pPr>
              <w:spacing w:after="0" w:line="240" w:lineRule="auto"/>
              <w:jc w:val="right"/>
              <w:rPr>
                <w:rFonts w:ascii="Calibri" w:eastAsia="Times New Roman" w:hAnsi="Calibri" w:cs="Times New Roman"/>
                <w:color w:val="000000"/>
                <w:highlight w:val="cyan"/>
                <w:lang w:eastAsia="en-GB"/>
              </w:rPr>
            </w:pPr>
            <w:r w:rsidRPr="005213F4">
              <w:rPr>
                <w:rFonts w:ascii="Calibri" w:eastAsia="Times New Roman" w:hAnsi="Calibri" w:cs="Times New Roman"/>
                <w:color w:val="000000"/>
                <w:highlight w:val="cyan"/>
                <w:lang w:eastAsia="en-GB"/>
              </w:rPr>
              <w:t>6.316199518</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5213F4" w:rsidRDefault="00CF1D1E" w:rsidP="00CF1D1E">
            <w:pPr>
              <w:spacing w:after="0" w:line="240" w:lineRule="auto"/>
              <w:jc w:val="right"/>
              <w:rPr>
                <w:rFonts w:ascii="Calibri" w:eastAsia="Times New Roman" w:hAnsi="Calibri" w:cs="Times New Roman"/>
                <w:color w:val="000000"/>
                <w:highlight w:val="cyan"/>
                <w:lang w:eastAsia="en-GB"/>
              </w:rPr>
            </w:pPr>
            <w:r w:rsidRPr="005213F4">
              <w:rPr>
                <w:rFonts w:ascii="Calibri" w:eastAsia="Times New Roman" w:hAnsi="Calibri" w:cs="Times New Roman"/>
                <w:color w:val="000000"/>
                <w:highlight w:val="cyan"/>
                <w:lang w:eastAsia="en-GB"/>
              </w:rPr>
              <w:t>30.3191045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5213F4" w:rsidRDefault="00CF1D1E" w:rsidP="00CF1D1E">
            <w:pPr>
              <w:spacing w:after="0" w:line="240" w:lineRule="auto"/>
              <w:jc w:val="right"/>
              <w:rPr>
                <w:rFonts w:ascii="Calibri" w:eastAsia="Times New Roman" w:hAnsi="Calibri" w:cs="Times New Roman"/>
                <w:color w:val="000000"/>
                <w:highlight w:val="cyan"/>
                <w:lang w:eastAsia="en-GB"/>
              </w:rPr>
            </w:pPr>
            <w:r w:rsidRPr="005213F4">
              <w:rPr>
                <w:rFonts w:ascii="Calibri" w:eastAsia="Times New Roman" w:hAnsi="Calibri" w:cs="Times New Roman"/>
                <w:color w:val="000000"/>
                <w:highlight w:val="cyan"/>
                <w:lang w:eastAsia="en-GB"/>
              </w:rPr>
              <w:t>10.82745144</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5213F4" w:rsidRDefault="00CF1D1E" w:rsidP="00CF1D1E">
            <w:pPr>
              <w:spacing w:after="0" w:line="240" w:lineRule="auto"/>
              <w:rPr>
                <w:rFonts w:ascii="Calibri" w:eastAsia="Times New Roman" w:hAnsi="Calibri" w:cs="Times New Roman"/>
                <w:color w:val="000000"/>
                <w:highlight w:val="cyan"/>
                <w:lang w:eastAsia="en-GB"/>
              </w:rPr>
            </w:pPr>
            <w:r w:rsidRPr="005213F4">
              <w:rPr>
                <w:rFonts w:ascii="Calibri" w:eastAsia="Times New Roman" w:hAnsi="Calibri" w:cs="Times New Roman"/>
                <w:color w:val="000000"/>
                <w:highlight w:val="cyan"/>
                <w:lang w:eastAsia="en-GB"/>
              </w:rPr>
              <w:t>CSID106491</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1.59_419.1718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18.36944135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842.4030114</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18.63270719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15.83390514</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CSID30776738</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2.39_295.0611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62.51503079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0.494987081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63.22737769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8.394350489</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1.43_283.0962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3.591145803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3.189752783</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2.6474564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2.815502805</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1.61_189.0549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11.02429507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8.135013417</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12.4719234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9.988613075</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CSID35015219</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1.70_319.0814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7.821507845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14.34352109</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9.248491136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6.901079825</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0.77_305.0662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32.98017335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12.50523216</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28.78333548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29.58184218</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1.76_335.1510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13.37473791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51.44250818</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13.53449766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14.10321057</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1.79_269.0818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3.374369624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8.723166528</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1.048268304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2.985604009</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1.23_273.0766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5.130653129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3.442740241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5.273127528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1.184513139</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CSID19283896</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2.77_327.0869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14.27534418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9.906393763</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6.246559059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3.905654771</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1.84_327.0878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18.60764663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4.635346795</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17.43569261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1.392576678</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3.00_271.0969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0.008652936</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CSID26367754</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0.41_735.2175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4.306977413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4.429407244</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4.129079663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3.62973133</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CSID7975151</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2.54_311.0575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2.608658244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0.81421668</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0.710059517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0.203903472</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2.31_359.0769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4.743225912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1.692366036</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4.425103945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5.766443266</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3.04_257.0809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128.538584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109.1387224</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121.3244652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91.49909246</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CSID26368740</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1.90_369.0614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28.57284908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22.15215577</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36.21047551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9.152690654</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3.29_327.0879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239.0406071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7.275642592</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221.0422685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156.9107114</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1.53_283.0982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1.42710371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4.43054</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1.978471277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0.763269377</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1.08_577.1344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21.79233235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25.32486841</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26.3180653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15.93092867</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gridAfter w:val="1"/>
          <w:wAfter w:w="164" w:type="dxa"/>
          <w:trHeight w:val="29"/>
        </w:trPr>
        <w:tc>
          <w:tcPr>
            <w:tcW w:w="1560"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2.32_603.0785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0.972353149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48" w:type="dxa"/>
            <w:gridSpan w:val="3"/>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0.609299632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1.734234304</w:t>
            </w:r>
          </w:p>
        </w:tc>
        <w:tc>
          <w:tcPr>
            <w:tcW w:w="1559"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CSID4444051</w:t>
            </w:r>
          </w:p>
        </w:tc>
      </w:tr>
    </w:tbl>
    <w:p w:rsidR="00CF1D1E" w:rsidRPr="00CF1D1E" w:rsidRDefault="00CF1D1E" w:rsidP="00CF1D1E">
      <w:pPr>
        <w:autoSpaceDE w:val="0"/>
        <w:autoSpaceDN w:val="0"/>
        <w:adjustRightInd w:val="0"/>
        <w:spacing w:after="0" w:line="720" w:lineRule="auto"/>
        <w:ind w:left="1080"/>
        <w:rPr>
          <w:rFonts w:ascii="Calibri" w:eastAsia="Calibri" w:hAnsi="Calibri" w:cs="Times New Roman"/>
          <w:b/>
          <w:color w:val="000000"/>
          <w:sz w:val="24"/>
          <w:szCs w:val="24"/>
        </w:rPr>
      </w:pPr>
    </w:p>
    <w:p w:rsidR="00CF1D1E" w:rsidRPr="00CF1D1E" w:rsidRDefault="00CF1D1E" w:rsidP="005213F4">
      <w:pPr>
        <w:autoSpaceDE w:val="0"/>
        <w:autoSpaceDN w:val="0"/>
        <w:adjustRightInd w:val="0"/>
        <w:spacing w:after="0" w:line="360"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Tab.A1-002 </w:t>
      </w:r>
      <w:r w:rsidR="00346024">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 scoring results after processing</w:t>
      </w:r>
      <w:r w:rsidRPr="00CF1D1E">
        <w:rPr>
          <w:rFonts w:ascii="Times New Roman" w:eastAsia="Calibri" w:hAnsi="Times New Roman" w:cs="Times New Roman"/>
          <w:color w:val="000000"/>
          <w:sz w:val="20"/>
          <w:szCs w:val="20"/>
        </w:rPr>
        <w:t xml:space="preserve"> </w:t>
      </w:r>
      <w:r w:rsidRPr="00CF1D1E">
        <w:rPr>
          <w:rFonts w:ascii="Calibri" w:eastAsia="Calibri" w:hAnsi="Calibri" w:cs="Times New Roman"/>
          <w:color w:val="000000"/>
          <w:sz w:val="20"/>
          <w:szCs w:val="20"/>
        </w:rPr>
        <w:t>HDMS</w:t>
      </w:r>
      <w:r w:rsidRPr="00EE7CE7">
        <w:rPr>
          <w:rFonts w:ascii="Calibri" w:eastAsia="Calibri" w:hAnsi="Calibri" w:cs="Times New Roman"/>
          <w:color w:val="000000"/>
          <w:sz w:val="20"/>
          <w:szCs w:val="20"/>
          <w:vertAlign w:val="superscript"/>
        </w:rPr>
        <w:t>e</w:t>
      </w:r>
      <w:r w:rsidRPr="00CF1D1E">
        <w:rPr>
          <w:rFonts w:ascii="Calibri" w:eastAsia="Calibri" w:hAnsi="Calibri" w:cs="Times New Roman"/>
          <w:color w:val="000000"/>
          <w:sz w:val="20"/>
          <w:szCs w:val="20"/>
        </w:rPr>
        <w:t xml:space="preserve"> data through Progenesis QI. This data relates to the 4 repeats of the oak extract compared to blanks.</w:t>
      </w:r>
      <w:r w:rsidR="00973685">
        <w:rPr>
          <w:rFonts w:ascii="Calibri" w:eastAsia="Calibri" w:hAnsi="Calibri" w:cs="Times New Roman"/>
          <w:color w:val="000000"/>
          <w:sz w:val="20"/>
          <w:szCs w:val="20"/>
        </w:rPr>
        <w:t xml:space="preserve"> Quercetin highlighted in </w:t>
      </w:r>
      <w:r w:rsidR="005213F4">
        <w:rPr>
          <w:rFonts w:ascii="Calibri" w:eastAsia="Calibri" w:hAnsi="Calibri" w:cs="Times New Roman"/>
          <w:color w:val="000000"/>
          <w:sz w:val="20"/>
          <w:szCs w:val="20"/>
        </w:rPr>
        <w:t>yellow</w:t>
      </w:r>
      <w:r w:rsidR="00973685">
        <w:rPr>
          <w:rFonts w:ascii="Calibri" w:eastAsia="Calibri" w:hAnsi="Calibri" w:cs="Times New Roman"/>
          <w:color w:val="000000"/>
          <w:sz w:val="20"/>
          <w:szCs w:val="20"/>
        </w:rPr>
        <w:t>.</w:t>
      </w:r>
      <w:r w:rsidR="005213F4">
        <w:rPr>
          <w:rFonts w:ascii="Calibri" w:eastAsia="Calibri" w:hAnsi="Calibri" w:cs="Times New Roman"/>
          <w:color w:val="000000"/>
          <w:sz w:val="20"/>
          <w:szCs w:val="20"/>
        </w:rPr>
        <w:t xml:space="preserve"> Matairesinol highlighted in blue.</w:t>
      </w: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
    <w:p w:rsidR="00CF1D1E" w:rsidRPr="00CF1D1E" w:rsidRDefault="00CF1D1E" w:rsidP="00CF1D1E">
      <w:pPr>
        <w:rPr>
          <w:rFonts w:ascii="Calibri" w:eastAsia="Calibri" w:hAnsi="Calibri" w:cs="Times New Roman"/>
          <w:color w:val="000000"/>
          <w:sz w:val="20"/>
          <w:szCs w:val="20"/>
        </w:rPr>
      </w:pPr>
      <w:r w:rsidRPr="00CF1D1E">
        <w:rPr>
          <w:rFonts w:ascii="Calibri" w:eastAsia="Calibri" w:hAnsi="Calibri" w:cs="Times New Roman"/>
          <w:sz w:val="20"/>
          <w:szCs w:val="20"/>
        </w:rPr>
        <w:br w:type="page"/>
      </w:r>
    </w:p>
    <w:tbl>
      <w:tblPr>
        <w:tblW w:w="9072" w:type="dxa"/>
        <w:tblBorders>
          <w:insideV w:val="single" w:sz="4" w:space="0" w:color="auto"/>
        </w:tblBorders>
        <w:tblLook w:val="04A0" w:firstRow="1" w:lastRow="0" w:firstColumn="1" w:lastColumn="0" w:noHBand="0" w:noVBand="1"/>
      </w:tblPr>
      <w:tblGrid>
        <w:gridCol w:w="1701"/>
        <w:gridCol w:w="1418"/>
        <w:gridCol w:w="1387"/>
        <w:gridCol w:w="1448"/>
        <w:gridCol w:w="1417"/>
        <w:gridCol w:w="1701"/>
      </w:tblGrid>
      <w:tr w:rsidR="00CF1D1E" w:rsidRPr="00CF1D1E" w:rsidTr="00C8289C">
        <w:trPr>
          <w:trHeight w:val="300"/>
        </w:trPr>
        <w:tc>
          <w:tcPr>
            <w:tcW w:w="1701" w:type="dxa"/>
            <w:tcBorders>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 </w:t>
            </w:r>
          </w:p>
        </w:tc>
        <w:tc>
          <w:tcPr>
            <w:tcW w:w="1418" w:type="dxa"/>
            <w:tcBorders>
              <w:left w:val="single" w:sz="4" w:space="0" w:color="auto"/>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Bark Extracts</w:t>
            </w:r>
          </w:p>
        </w:tc>
        <w:tc>
          <w:tcPr>
            <w:tcW w:w="1387" w:type="dxa"/>
            <w:tcBorders>
              <w:left w:val="nil"/>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448" w:type="dxa"/>
            <w:tcBorders>
              <w:left w:val="nil"/>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417" w:type="dxa"/>
            <w:tcBorders>
              <w:left w:val="nil"/>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701" w:type="dxa"/>
            <w:tcBorders>
              <w:left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r>
      <w:tr w:rsidR="00CF1D1E" w:rsidRPr="00CF1D1E" w:rsidTr="00C8289C">
        <w:trPr>
          <w:trHeight w:val="300"/>
        </w:trPr>
        <w:tc>
          <w:tcPr>
            <w:tcW w:w="1701" w:type="dxa"/>
            <w:tcBorders>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RT &amp; m/z</w:t>
            </w:r>
          </w:p>
        </w:tc>
        <w:tc>
          <w:tcPr>
            <w:tcW w:w="1418" w:type="dxa"/>
            <w:tcBorders>
              <w:top w:val="single" w:sz="4" w:space="0" w:color="auto"/>
              <w:left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SP002</w:t>
            </w:r>
          </w:p>
        </w:tc>
        <w:tc>
          <w:tcPr>
            <w:tcW w:w="1387" w:type="dxa"/>
            <w:tcBorders>
              <w:top w:val="single" w:sz="4" w:space="0" w:color="auto"/>
              <w:left w:val="nil"/>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SP003</w:t>
            </w:r>
          </w:p>
        </w:tc>
        <w:tc>
          <w:tcPr>
            <w:tcW w:w="1448" w:type="dxa"/>
            <w:tcBorders>
              <w:top w:val="single" w:sz="4" w:space="0" w:color="auto"/>
              <w:left w:val="nil"/>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SP004</w:t>
            </w:r>
          </w:p>
        </w:tc>
        <w:tc>
          <w:tcPr>
            <w:tcW w:w="1417" w:type="dxa"/>
            <w:tcBorders>
              <w:top w:val="single" w:sz="4" w:space="0" w:color="auto"/>
              <w:left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SP005</w:t>
            </w:r>
          </w:p>
        </w:tc>
        <w:tc>
          <w:tcPr>
            <w:tcW w:w="1701" w:type="dxa"/>
            <w:tcBorders>
              <w:left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1.16_179.0348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32.52386735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26.37865428</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18.07675133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23.08516064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1.52_119.0497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1.600755496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1.793296617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1.036186042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1.285078461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1.52_163.0395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6.279021776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5.001731397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4.46033104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2.642873224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1.79_255.0660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1.952430939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1.110983618</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4.228055339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0.428173681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1.97_477.0685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10.8480912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8.963488267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0.9847538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5.926898016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CSID24844949</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1.16_135.0447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27.45312637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24.30646155</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18.56897863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19.09611943</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CSID10181341</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2.69_221.0820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33.61851069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30.77753545</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21.93606046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23.54056069</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CSID23254884</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1.38_355.1194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17.05426127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15.94116275</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14.16103336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0.015697628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1.34_477.1036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0.137885778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0.452113682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0.247065486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1.071452479</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1.44_287.0918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92.33756769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82.42168853</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58.36479932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2.682645771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0.41_675.1912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0.241409431</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0.143586742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0.64_575.1192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1458.136519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1320.570153</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1102.111403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1107.614641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0.40_577.1359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11.59284127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10.39670661</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6.728768124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8.399246388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2.02_257.0819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1.69929606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0.644716179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0.056579035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0.145953849</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CSID30777607</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0.62_397.0937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0.929448917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0.078280195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0.530666805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0.40_575.1189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13.70039264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10.67499176</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8.146203701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9.394657537</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1.53_269.0816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8.286868552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7.103719459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5.088008873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1.376992649</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0.64_577.1363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5611.501172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5272.039127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3904.47989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3954.975864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1.94_255.0662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100.7471637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95.78811347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0.074608627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75.60919326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1.35_319.0826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3.644444248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3.87140894</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2.513310534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76.5504243</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2.42_431.0984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0.57639801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2.04387547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1.210024682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1.43_255.0660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8.553338985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6.038445236</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6.154437902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11.4936224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3.72_271.0615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13.09714753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10.79980959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8.327379877</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2.11_311.0561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3.56419047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3.574528509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0.001096435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2.548195709</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2.23_461.1091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295.4652987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274.7557278</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4.389535403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210.4657152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1.51_301.0363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544.7076641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521.4870463</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418.5146357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478.6084968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CSID4444051</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1.44_319.0833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105.8459791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97.2743697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72.86998167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1.484521255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0.91_243.0667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1.764119059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2.244014179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0.558033957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1.527879841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1.92_355.1181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51.87380641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54.42911291</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0.272960818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57.66278745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1.95_267.0661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119.586132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112.5721579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0.079543957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89.36321062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CSID391108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1.64_477.0687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0.302228817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5.093810514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0.674861381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CSID24844949</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2.50_441.0827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0.073589665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0.21481012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0.184342246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0.051133372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CSID30777630</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1.66_295.0982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0.118396058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0.282511172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22.55471056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2.14_591.1719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23.05080332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24.63572534</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3.13197988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14.43160131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0.63_539.0997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7.065495583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7.464682094</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4.813989214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6.020053767</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1.19_327.0860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14.31320186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13.08202294</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10.8937527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14.590204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1.25_363.1075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26.60415574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23.73618645</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17.9596938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14.06428026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1.36_287.0917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65.17810751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65.81396582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45.97730354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68.04200296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1.71_313.1095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78.97367348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83.05481238</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140.9334237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17.24873242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2.15_313.1085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102.061436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94.65688184</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6.740971495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73.39118554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2.33_447.1297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6.031985588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4.253038219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1.09490507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4.880652918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CSID10290</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2.26_477.1026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2.429801671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0.975436222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0.212107576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1.585507121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2.88_441.0828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0.038369572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0.158425271</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CSID97034</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2.02_297.0764</w:t>
            </w:r>
          </w:p>
        </w:tc>
        <w:tc>
          <w:tcPr>
            <w:tcW w:w="1418" w:type="dxa"/>
            <w:tcBorders>
              <w:bottom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58.15835685</w:t>
            </w:r>
          </w:p>
        </w:tc>
        <w:tc>
          <w:tcPr>
            <w:tcW w:w="1387" w:type="dxa"/>
            <w:tcBorders>
              <w:bottom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55.02590253</w:t>
            </w:r>
          </w:p>
        </w:tc>
        <w:tc>
          <w:tcPr>
            <w:tcW w:w="1448" w:type="dxa"/>
            <w:tcBorders>
              <w:bottom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0.709399291</w:t>
            </w:r>
          </w:p>
        </w:tc>
        <w:tc>
          <w:tcPr>
            <w:tcW w:w="1417" w:type="dxa"/>
            <w:tcBorders>
              <w:bottom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2.397704358</w:t>
            </w:r>
          </w:p>
        </w:tc>
        <w:tc>
          <w:tcPr>
            <w:tcW w:w="1701" w:type="dxa"/>
            <w:tcBorders>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00"/>
        </w:trPr>
        <w:tc>
          <w:tcPr>
            <w:tcW w:w="1701" w:type="dxa"/>
            <w:tcBorders>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 </w:t>
            </w:r>
          </w:p>
        </w:tc>
        <w:tc>
          <w:tcPr>
            <w:tcW w:w="1418" w:type="dxa"/>
            <w:tcBorders>
              <w:left w:val="single" w:sz="4" w:space="0" w:color="auto"/>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Bark Extracts</w:t>
            </w:r>
          </w:p>
        </w:tc>
        <w:tc>
          <w:tcPr>
            <w:tcW w:w="1387" w:type="dxa"/>
            <w:tcBorders>
              <w:left w:val="nil"/>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448" w:type="dxa"/>
            <w:tcBorders>
              <w:left w:val="nil"/>
              <w:bottom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417" w:type="dxa"/>
            <w:tcBorders>
              <w:left w:val="nil"/>
              <w:bottom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c>
          <w:tcPr>
            <w:tcW w:w="1701" w:type="dxa"/>
            <w:tcBorders>
              <w:left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w:t>
            </w:r>
          </w:p>
        </w:tc>
      </w:tr>
      <w:tr w:rsidR="00CF1D1E" w:rsidRPr="00CF1D1E" w:rsidTr="00C8289C">
        <w:trPr>
          <w:trHeight w:val="300"/>
        </w:trPr>
        <w:tc>
          <w:tcPr>
            <w:tcW w:w="1701" w:type="dxa"/>
            <w:tcBorders>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RT &amp; m/z</w:t>
            </w:r>
          </w:p>
        </w:tc>
        <w:tc>
          <w:tcPr>
            <w:tcW w:w="1418" w:type="dxa"/>
            <w:tcBorders>
              <w:top w:val="single" w:sz="4" w:space="0" w:color="auto"/>
              <w:left w:val="single" w:sz="4" w:space="0" w:color="auto"/>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SP002</w:t>
            </w:r>
          </w:p>
        </w:tc>
        <w:tc>
          <w:tcPr>
            <w:tcW w:w="1387" w:type="dxa"/>
            <w:tcBorders>
              <w:top w:val="single" w:sz="4" w:space="0" w:color="auto"/>
              <w:left w:val="nil"/>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SP003</w:t>
            </w:r>
          </w:p>
        </w:tc>
        <w:tc>
          <w:tcPr>
            <w:tcW w:w="1448" w:type="dxa"/>
            <w:tcBorders>
              <w:top w:val="single" w:sz="4" w:space="0" w:color="auto"/>
              <w:left w:val="nil"/>
              <w:right w:val="nil"/>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SP004</w:t>
            </w:r>
          </w:p>
        </w:tc>
        <w:tc>
          <w:tcPr>
            <w:tcW w:w="1417" w:type="dxa"/>
            <w:tcBorders>
              <w:top w:val="single" w:sz="4" w:space="0" w:color="auto"/>
              <w:left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SP005</w:t>
            </w:r>
          </w:p>
        </w:tc>
        <w:tc>
          <w:tcPr>
            <w:tcW w:w="1701" w:type="dxa"/>
            <w:tcBorders>
              <w:left w:val="single" w:sz="4" w:space="0" w:color="auto"/>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1.87_359.0775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1.621124015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2.186138022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0.368021207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0.735993457</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2.33_463.0872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1.211717922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0.525263559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2.14715122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CSID4444361</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1.43_465.1047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298.6822639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275.5931899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198.4740913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216.9098269</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CSID30777621</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2.39_497.1085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1.740346022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1.76478145</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0.375468079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0.756361011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1.57_497.1086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24.31528416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22.86098078</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34.92300808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14.83546798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0.93_481.0988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6.689313805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5.267978593</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9.570439539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9.499937413</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CSID30777581</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2.02_397.0914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12.69076911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11.44244547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0.146300801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0.654731244</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1.83_715.1724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1.18_313.1094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23.48273713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18.14731779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14.95765987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11.18561549</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1.99_447.0937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529.5972093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508.3779863</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2.31223742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393.0008533</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CSID30777622</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0.93_455.1343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750.7929481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698.6587939</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423.397877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493.0013096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CSID388690</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1.80_431.0988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0.563872879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0.329798804</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83.62335103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0.754343257</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1.60_947.1710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CSID4444973</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1.62_297.0769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5.106390535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2.344460888</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74.14102401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23.32747632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2.11_559.1258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100.7821734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98.79826276</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2.37915962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59.48385868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2.44_357.1333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1.275032461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2.498987104</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22.11734673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0.974616581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1.59_419.1718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1.46094891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1.786643191</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1.948402178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1.493658577</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CSID30776738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2.39_295.0611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11.73752202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10.23273581</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8.024252156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1.43_283.0962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5.521699138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4.988935302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3.801345269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11.74175366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1.61_189.0549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2.306168437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2.036147915</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1.314618953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CSID35015219</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1.70_319.0814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47.36878403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45.28424972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0.738156362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0.723443795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0.77_305.0662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1.444908079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2.814023841</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3.726027119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2.162093761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1.76_335.1510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0.039057058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0.523086056</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1.135698085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1.79_269.0818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2.55068406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1.92261922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0.426831523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9.79026052</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1.23_273.0766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0.922699381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0.520881795</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0.431523022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0.147222201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CSID19283896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2.77_327.0869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0.336875309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0.695453144</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0.058933311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0.583218631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1.84_327.0878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37.96110159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37.94173076</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11.53105861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1.888911195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3.00_271.0969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78.39981923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67.25532482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53.73213147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56.12673776</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CSID26367754</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0.41_735.2175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0.384449384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0.341972013</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0.08630538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0.404709285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CSID7975151</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2.54_311.0575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0.520650824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0.299428586</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0.350322074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0.037283671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2.31_359.0769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0.810239365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0.549076713</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0.430784913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0.99454728</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3.04_257.0809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5.662906695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5.033687352</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3.793087542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4.33796745</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CSID26368740</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1.90_369.0614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0.720485093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0.216557491</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3.29_327.0879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0.002293174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1.53_283.0982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14.17540488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11.14137957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9.630567027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1.787558651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1.08_577.1344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183.8890242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174.9350497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108.6958684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118.571771</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2.32_603.0785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35.89231583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31.65963127</w:t>
            </w:r>
          </w:p>
        </w:tc>
        <w:tc>
          <w:tcPr>
            <w:tcW w:w="144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1.909175422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36.38938159</w:t>
            </w:r>
          </w:p>
        </w:tc>
        <w:tc>
          <w:tcPr>
            <w:tcW w:w="1701" w:type="dxa"/>
            <w:tcBorders>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CSID4444051</w:t>
            </w:r>
          </w:p>
        </w:tc>
      </w:tr>
    </w:tbl>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Tab.A1-003 </w:t>
      </w:r>
      <w:r w:rsidR="005629D7">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 scoring results after processing</w:t>
      </w:r>
      <w:r w:rsidRPr="00CF1D1E">
        <w:rPr>
          <w:rFonts w:ascii="Times New Roman" w:eastAsia="Calibri" w:hAnsi="Times New Roman" w:cs="Times New Roman"/>
          <w:color w:val="000000"/>
          <w:sz w:val="20"/>
          <w:szCs w:val="20"/>
        </w:rPr>
        <w:t xml:space="preserve"> </w:t>
      </w:r>
      <w:r w:rsidRPr="00CF1D1E">
        <w:rPr>
          <w:rFonts w:ascii="Calibri" w:eastAsia="Calibri" w:hAnsi="Calibri" w:cs="Times New Roman"/>
          <w:color w:val="000000"/>
          <w:sz w:val="20"/>
          <w:szCs w:val="20"/>
        </w:rPr>
        <w:t>HDMS</w:t>
      </w:r>
      <w:r w:rsidRPr="00EE7CE7">
        <w:rPr>
          <w:rFonts w:ascii="Calibri" w:eastAsia="Calibri" w:hAnsi="Calibri" w:cs="Times New Roman"/>
          <w:color w:val="000000"/>
          <w:sz w:val="20"/>
          <w:szCs w:val="20"/>
          <w:vertAlign w:val="superscript"/>
        </w:rPr>
        <w:t>e</w:t>
      </w:r>
      <w:r w:rsidRPr="00CF1D1E">
        <w:rPr>
          <w:rFonts w:ascii="Calibri" w:eastAsia="Calibri" w:hAnsi="Calibri" w:cs="Times New Roman"/>
          <w:color w:val="000000"/>
          <w:sz w:val="20"/>
          <w:szCs w:val="20"/>
        </w:rPr>
        <w:t xml:space="preserve"> data through Progenesis QI.</w:t>
      </w: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This data relates to the 4 replicates of the Scots pine extract compared to blanks.</w:t>
      </w:r>
    </w:p>
    <w:p w:rsidR="00CF1D1E" w:rsidRPr="00CF1D1E" w:rsidRDefault="00CF1D1E" w:rsidP="00CF1D1E">
      <w:pPr>
        <w:rPr>
          <w:rFonts w:ascii="Calibri" w:eastAsia="Calibri" w:hAnsi="Calibri" w:cs="Times New Roman"/>
          <w:color w:val="000000"/>
          <w:sz w:val="20"/>
          <w:szCs w:val="20"/>
        </w:rPr>
      </w:pPr>
      <w:r w:rsidRPr="00CF1D1E">
        <w:rPr>
          <w:rFonts w:ascii="Calibri" w:eastAsia="Calibri" w:hAnsi="Calibri" w:cs="Times New Roman"/>
          <w:sz w:val="20"/>
          <w:szCs w:val="20"/>
        </w:rPr>
        <w:br w:type="page"/>
      </w:r>
    </w:p>
    <w:tbl>
      <w:tblPr>
        <w:tblW w:w="8828" w:type="dxa"/>
        <w:tblLook w:val="04A0" w:firstRow="1" w:lastRow="0" w:firstColumn="1" w:lastColumn="0" w:noHBand="0" w:noVBand="1"/>
      </w:tblPr>
      <w:tblGrid>
        <w:gridCol w:w="1701"/>
        <w:gridCol w:w="1418"/>
        <w:gridCol w:w="1417"/>
        <w:gridCol w:w="1387"/>
        <w:gridCol w:w="1387"/>
        <w:gridCol w:w="1518"/>
      </w:tblGrid>
      <w:tr w:rsidR="00CF1D1E" w:rsidRPr="00CF1D1E" w:rsidTr="00C8289C">
        <w:trPr>
          <w:trHeight w:val="253"/>
        </w:trPr>
        <w:tc>
          <w:tcPr>
            <w:tcW w:w="1701" w:type="dxa"/>
            <w:tcBorders>
              <w:top w:val="nil"/>
              <w:left w:val="nil"/>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418" w:type="dxa"/>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PYCNO002</w:t>
            </w:r>
          </w:p>
        </w:tc>
        <w:tc>
          <w:tcPr>
            <w:tcW w:w="1417" w:type="dxa"/>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PYCNO003</w:t>
            </w:r>
          </w:p>
        </w:tc>
        <w:tc>
          <w:tcPr>
            <w:tcW w:w="1387" w:type="dxa"/>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PYCNO004</w:t>
            </w:r>
          </w:p>
        </w:tc>
        <w:tc>
          <w:tcPr>
            <w:tcW w:w="1387" w:type="dxa"/>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PYCNO005</w:t>
            </w:r>
          </w:p>
        </w:tc>
        <w:tc>
          <w:tcPr>
            <w:tcW w:w="1518" w:type="dxa"/>
            <w:tcBorders>
              <w:top w:val="nil"/>
              <w:left w:val="single" w:sz="4" w:space="0" w:color="auto"/>
              <w:bottom w:val="nil"/>
              <w:right w:val="single" w:sz="4" w:space="0" w:color="auto"/>
            </w:tcBorders>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1.16_179.0348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51.82455289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43.16016814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59.16546854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54.60574416</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1.52_163.0395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3.753009223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0.540203636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4.336766862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4.212750524</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1.52_119.0497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13.54150946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2.824835556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12.25853393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12.66214498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1.79_255.0660</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0.043389443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0.064977376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1.97_477.0685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3.106276415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1.865038456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2.872343236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2.690783319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CSID24844949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1.16_135.0447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55.34734052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44.23140726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58.04228632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56.70001651</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CSID10181341</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2.69_221.0820</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0.120494747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0.088134434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0.013667294</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CSID23254884</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2.22_207.0659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CSID35015219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1.38_355.1194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0.66433611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0.212034877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0.348136193</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1.34_477.1036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147.1906943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41.95572309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98.82055483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156.4410428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1.44_287.0918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2.91392171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4.491315628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3.092178294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9.906707622</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0.41_675.1912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0.135720564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0.773640758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0.178366299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0.23187635</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0.64_575.1192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157.0693406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80.83659699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169.6681497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140.5557497</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0.40_577.1359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651.639176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472.0469455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641.0574248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610.8662588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2.02_257.0819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1.225143844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17.73700304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0.480771038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0.621098598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0.62_397.0937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0.055826784</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0.40_575.1189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124.6239553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88.74906861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122.9688211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132.6876548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1.53_269.0816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0.510180283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0.156342515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0.277821385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0.833800659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0.64_577.1363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780.5155537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438.7711411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784.5875263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679.5252988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1.94_255.0662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3.868819729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4.487719498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4.626748522</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1.35_319.0826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0.695181699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0.25088868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0.649016208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0.449326588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2.42_431.0984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0.386408593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0.151663086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0.527480579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1.65_1159.3506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559.6310526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6.260782924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549.305765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511.7775029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CSID390868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3.36_297.0757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0.028833538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0.001112882</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1.43_255.0660</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0.986711755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0.382571722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0.475609478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1.067627768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CSID154076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3.72_271.0615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0.980536001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0.212116976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0.252770382</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2.11_311.0561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0.103316453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0.178603836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0.057142046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0.281200093</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2.23_461.1091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35.88336939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51.15073544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53.75908897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35.17135864</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1.51_301.0363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527.702506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136.3419097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515.5172825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597.3855027</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CSID4444051</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1.44_319.0833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0.338971023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0.116020005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0.084589494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0.254354047</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0.91_243.0667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0.525580143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0.36674561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0.673075255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1.308679277</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1.92_355.1181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3.653707508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0.112548803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5.921043309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2.690868377</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1.95_267.0661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5.067873765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0.004684418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6.065922164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5.20998285</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CSID391108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1.64_477.0687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0.274672521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0.734418266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0.518284119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0.098842848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CSID24844949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2.50_441.0827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0.208100342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0.047318599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0.403493242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0.284522178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CSID30777630</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1.66_295.0982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2.14_591.1719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508.4229187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157.2461354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505.8682116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451.5254549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0.63_539.0997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1.047221494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0.022273661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0.285208843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0.159429239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1.19_327.0860</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19.76878711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11.62355415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33.49448375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19.81264223</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1.25_363.1075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6.149661665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2.205241369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4.402734749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7.13250209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1.71_313.1095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0.709378788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6.981470228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0.65179456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3.680924984</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1.36_287.0917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26.07985023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3.205691521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5.465141226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16.38347381</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2.15_313.1085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6.540516561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5.121146411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6.835253514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8.269954108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2.26_477.1026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0.068881783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4.060763365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2.335458091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0.174707323</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2.33_447.1297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121.2045332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91.25132052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127.3916891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105.0800617</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CSID10290</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2.88_441.0828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22.2574056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6.052292274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20.8245673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18.47659675</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CSID97034</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2.02_297.0764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2.257571311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0.738394753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0.87299355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3.161200326</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2.74_243.1384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1.444003717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1.616979863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2.37346134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2.956396184</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CSID28982</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1.80_559.1246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0.780385824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0.996606429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0.543465999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1.87_359.0775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1.425042983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0.046755087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1.299874683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1.036982432</w:t>
            </w:r>
          </w:p>
        </w:tc>
        <w:tc>
          <w:tcPr>
            <w:tcW w:w="1518" w:type="dxa"/>
            <w:tcBorders>
              <w:top w:val="nil"/>
              <w:left w:val="single" w:sz="4" w:space="0" w:color="auto"/>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253"/>
        </w:trPr>
        <w:tc>
          <w:tcPr>
            <w:tcW w:w="1701" w:type="dxa"/>
            <w:tcBorders>
              <w:top w:val="nil"/>
              <w:left w:val="nil"/>
              <w:bottom w:val="nil"/>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418" w:type="dxa"/>
            <w:tcBorders>
              <w:top w:val="nil"/>
              <w:left w:val="single" w:sz="4" w:space="0" w:color="auto"/>
              <w:bottom w:val="nil"/>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PYCNO002</w:t>
            </w:r>
          </w:p>
        </w:tc>
        <w:tc>
          <w:tcPr>
            <w:tcW w:w="1417" w:type="dxa"/>
            <w:tcBorders>
              <w:top w:val="nil"/>
              <w:left w:val="single" w:sz="4" w:space="0" w:color="auto"/>
              <w:bottom w:val="nil"/>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PYCNO003</w:t>
            </w:r>
          </w:p>
        </w:tc>
        <w:tc>
          <w:tcPr>
            <w:tcW w:w="1387" w:type="dxa"/>
            <w:tcBorders>
              <w:top w:val="nil"/>
              <w:left w:val="single" w:sz="4" w:space="0" w:color="auto"/>
              <w:bottom w:val="nil"/>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PYCNO004</w:t>
            </w:r>
          </w:p>
        </w:tc>
        <w:tc>
          <w:tcPr>
            <w:tcW w:w="1387" w:type="dxa"/>
            <w:tcBorders>
              <w:top w:val="nil"/>
              <w:left w:val="single" w:sz="4" w:space="0" w:color="auto"/>
              <w:bottom w:val="nil"/>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PYCNO005</w:t>
            </w:r>
          </w:p>
        </w:tc>
        <w:tc>
          <w:tcPr>
            <w:tcW w:w="1518" w:type="dxa"/>
            <w:tcBorders>
              <w:top w:val="nil"/>
              <w:left w:val="single" w:sz="4" w:space="0" w:color="auto"/>
              <w:bottom w:val="nil"/>
              <w:right w:val="single" w:sz="4" w:space="0" w:color="auto"/>
            </w:tcBorders>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2.33_463.0872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0.576741817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0.374926927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0.817086471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1.028721722</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CSID4444361</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2.39_497.1085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1.268728587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0.874994415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0.612288371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0.868465338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1.43_465.1047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1040.619076</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428.4006407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797.9154639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1045.539731</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CSID30777621</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3.98_895.1931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1.57_497.1086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3.335171953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1.486643948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2.669788196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1.965810169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0.93_481.0988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1.200135037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16.03070605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2.982086721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2.537954114</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CSID30777581</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2.02_397.0914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0.826187611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0.429706952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0.003992422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1.054013214</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1.83_715.1724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1.18_313.1094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0.756452889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1.047554584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3.002193196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1.585930527</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3.00_603.1495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0.258115912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CSID65234</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1.99_447.0937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98.13391603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29.85403971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98.20937794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94.20910825</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CSID30777622</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0.93_455.1343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36.16289143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83.47442685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59.28526446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58.46856792</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CSID388690</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1.80_431.0988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0.559258681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5.201838845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0.734465354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0.571392932</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1.60_947.1710</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CSID4444973</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1.62_297.0769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0.002744185</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1.73273348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0.181433549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0.079045221</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2.11_559.1258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1.592146014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1.271373725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1.218786774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1.595380681</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1.59_419.1718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0.204463609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0.081059526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0.273061415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0.295082389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CSID30776738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2.44_357.1333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0.557066692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0.222708833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0.133618161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0.208346808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2.39_295.0611</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0.044646411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0.031995639</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0.115807528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1.70_319.0814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0.045990554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0.160058563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0.40115513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0.184251899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CSID154086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1.43_283.0962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0.607710572</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0.161254412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0.686941248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1.881574783</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1.61_189.0549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0.531981309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0.669948638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0.317285614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0.086858238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CSID35015219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1.76_335.1510</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0.77_305.0662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0.845684484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0.030098766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0.781351562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0.59691789</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1.23_273.0766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2.52272459</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0.36241791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4.432469218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2.365432275</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CSID19283896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1.79_269.0818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0.17614592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2.77_327.0869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37.34606891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32.36468701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42.21213616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41.0277236</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1.84_327.0878</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1.565230097</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0.098737012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0.573324186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0.902135008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3.63_297.0766</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0.097209248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0.373116217</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3.00_271.0969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0.139078084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0.056525652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0.090804947</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0.135945915</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CSID26367754</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0.41_735.2175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0.084783386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CSID7975151</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2.22_631.1823</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2.54_311.0575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0.04923388</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1.90_369.0614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0.010559168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0.048085324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0.188001453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2.31_359.0769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18.59937934</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14.56090332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25.06298784</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18.34011938</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3.29_327.0879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1.715773371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1.501231006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2.597788273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1.135218627</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3.04_257.0809</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1.249900963</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1.343746905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2.226540945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1.768975916</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CSID26368740</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1.53_283.0982</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1.014852248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0.236369916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0.521331712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0.852990006</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3.70_627.1487</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9.755514073</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25.17409076</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8.522729846</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1.08_577.1344</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38.55651688</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146.6478502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83.26382032</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81.08887803</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253"/>
        </w:trPr>
        <w:tc>
          <w:tcPr>
            <w:tcW w:w="1701" w:type="dxa"/>
            <w:tcBorders>
              <w:top w:val="nil"/>
              <w:left w:val="nil"/>
              <w:bottom w:val="nil"/>
              <w:right w:val="single" w:sz="4" w:space="0" w:color="auto"/>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2.32_603.0785</w:t>
            </w:r>
          </w:p>
        </w:tc>
        <w:tc>
          <w:tcPr>
            <w:tcW w:w="14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0.571361391</w:t>
            </w:r>
          </w:p>
        </w:tc>
        <w:tc>
          <w:tcPr>
            <w:tcW w:w="141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0.429580495</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0.335520001</w:t>
            </w:r>
          </w:p>
        </w:tc>
        <w:tc>
          <w:tcPr>
            <w:tcW w:w="1387"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0.238930751</w:t>
            </w:r>
          </w:p>
        </w:tc>
        <w:tc>
          <w:tcPr>
            <w:tcW w:w="1518" w:type="dxa"/>
            <w:tcBorders>
              <w:top w:val="nil"/>
              <w:left w:val="single" w:sz="4" w:space="0" w:color="auto"/>
              <w:bottom w:val="nil"/>
              <w:right w:val="single" w:sz="4" w:space="0" w:color="auto"/>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CSID4444051</w:t>
            </w:r>
          </w:p>
        </w:tc>
      </w:tr>
      <w:tr w:rsidR="00CF1D1E" w:rsidRPr="00CF1D1E" w:rsidTr="00C8289C">
        <w:trPr>
          <w:trHeight w:val="253"/>
        </w:trPr>
        <w:tc>
          <w:tcPr>
            <w:tcW w:w="1701" w:type="dxa"/>
            <w:tcBorders>
              <w:top w:val="nil"/>
              <w:left w:val="nil"/>
              <w:bottom w:val="nil"/>
              <w:right w:val="nil"/>
            </w:tcBorders>
            <w:shd w:val="clear" w:color="auto" w:fill="auto"/>
            <w:noWrap/>
            <w:vAlign w:val="bottom"/>
          </w:tcPr>
          <w:p w:rsidR="00CF1D1E" w:rsidRPr="00CF1D1E" w:rsidRDefault="00CF1D1E" w:rsidP="00CF1D1E">
            <w:pPr>
              <w:spacing w:after="0" w:line="240" w:lineRule="auto"/>
              <w:jc w:val="right"/>
              <w:rPr>
                <w:rFonts w:ascii="Calibri" w:eastAsia="Times New Roman" w:hAnsi="Calibri" w:cs="Times New Roman"/>
                <w:color w:val="000000"/>
                <w:lang w:eastAsia="en-GB"/>
              </w:rPr>
            </w:pPr>
          </w:p>
        </w:tc>
        <w:tc>
          <w:tcPr>
            <w:tcW w:w="1418" w:type="dxa"/>
            <w:tcBorders>
              <w:top w:val="nil"/>
              <w:left w:val="nil"/>
              <w:bottom w:val="nil"/>
              <w:right w:val="nil"/>
            </w:tcBorders>
            <w:shd w:val="clear" w:color="auto" w:fill="auto"/>
            <w:noWrap/>
            <w:vAlign w:val="bottom"/>
          </w:tcPr>
          <w:p w:rsidR="00CF1D1E" w:rsidRPr="00CF1D1E" w:rsidRDefault="00CF1D1E" w:rsidP="00CF1D1E">
            <w:pPr>
              <w:spacing w:after="0" w:line="240" w:lineRule="auto"/>
              <w:jc w:val="right"/>
              <w:rPr>
                <w:rFonts w:ascii="Calibri" w:eastAsia="Times New Roman" w:hAnsi="Calibri" w:cs="Times New Roman"/>
                <w:color w:val="000000"/>
                <w:lang w:eastAsia="en-GB"/>
              </w:rPr>
            </w:pPr>
          </w:p>
        </w:tc>
        <w:tc>
          <w:tcPr>
            <w:tcW w:w="1417" w:type="dxa"/>
            <w:tcBorders>
              <w:top w:val="nil"/>
              <w:left w:val="nil"/>
              <w:bottom w:val="nil"/>
              <w:right w:val="nil"/>
            </w:tcBorders>
            <w:shd w:val="clear" w:color="auto" w:fill="auto"/>
            <w:noWrap/>
            <w:vAlign w:val="bottom"/>
          </w:tcPr>
          <w:p w:rsidR="00CF1D1E" w:rsidRPr="00CF1D1E" w:rsidRDefault="00CF1D1E" w:rsidP="00CF1D1E">
            <w:pPr>
              <w:spacing w:after="0" w:line="240" w:lineRule="auto"/>
              <w:jc w:val="right"/>
              <w:rPr>
                <w:rFonts w:ascii="Calibri" w:eastAsia="Times New Roman" w:hAnsi="Calibri" w:cs="Times New Roman"/>
                <w:color w:val="000000"/>
                <w:lang w:eastAsia="en-GB"/>
              </w:rPr>
            </w:pPr>
          </w:p>
        </w:tc>
        <w:tc>
          <w:tcPr>
            <w:tcW w:w="1387" w:type="dxa"/>
            <w:tcBorders>
              <w:top w:val="nil"/>
              <w:left w:val="nil"/>
              <w:bottom w:val="nil"/>
              <w:right w:val="nil"/>
            </w:tcBorders>
            <w:shd w:val="clear" w:color="auto" w:fill="auto"/>
            <w:noWrap/>
            <w:vAlign w:val="bottom"/>
          </w:tcPr>
          <w:p w:rsidR="00CF1D1E" w:rsidRPr="00CF1D1E" w:rsidRDefault="00CF1D1E" w:rsidP="00CF1D1E">
            <w:pPr>
              <w:spacing w:after="0" w:line="240" w:lineRule="auto"/>
              <w:jc w:val="right"/>
              <w:rPr>
                <w:rFonts w:ascii="Calibri" w:eastAsia="Times New Roman" w:hAnsi="Calibri" w:cs="Times New Roman"/>
                <w:color w:val="000000"/>
                <w:lang w:eastAsia="en-GB"/>
              </w:rPr>
            </w:pPr>
          </w:p>
        </w:tc>
        <w:tc>
          <w:tcPr>
            <w:tcW w:w="1387" w:type="dxa"/>
            <w:tcBorders>
              <w:top w:val="nil"/>
              <w:left w:val="nil"/>
              <w:bottom w:val="nil"/>
              <w:right w:val="nil"/>
            </w:tcBorders>
            <w:shd w:val="clear" w:color="auto" w:fill="auto"/>
            <w:noWrap/>
            <w:vAlign w:val="bottom"/>
          </w:tcPr>
          <w:p w:rsidR="00CF1D1E" w:rsidRPr="00CF1D1E" w:rsidRDefault="00CF1D1E" w:rsidP="00CF1D1E">
            <w:pPr>
              <w:spacing w:after="0" w:line="240" w:lineRule="auto"/>
              <w:jc w:val="right"/>
              <w:rPr>
                <w:rFonts w:ascii="Calibri" w:eastAsia="Times New Roman" w:hAnsi="Calibri" w:cs="Times New Roman"/>
                <w:color w:val="000000"/>
                <w:lang w:eastAsia="en-GB"/>
              </w:rPr>
            </w:pPr>
          </w:p>
        </w:tc>
        <w:tc>
          <w:tcPr>
            <w:tcW w:w="1518" w:type="dxa"/>
            <w:tcBorders>
              <w:top w:val="nil"/>
              <w:left w:val="nil"/>
              <w:bottom w:val="nil"/>
              <w:right w:val="nil"/>
            </w:tcBorders>
            <w:shd w:val="clear" w:color="auto" w:fill="auto"/>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p>
        </w:tc>
      </w:tr>
    </w:tbl>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Tab.A1-004 </w:t>
      </w:r>
      <w:r w:rsidR="005629D7">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 scoring results after processing</w:t>
      </w:r>
      <w:r w:rsidRPr="00CF1D1E">
        <w:rPr>
          <w:rFonts w:ascii="Times New Roman" w:eastAsia="Calibri" w:hAnsi="Times New Roman" w:cs="Times New Roman"/>
          <w:color w:val="000000"/>
          <w:sz w:val="20"/>
          <w:szCs w:val="20"/>
        </w:rPr>
        <w:t xml:space="preserve"> </w:t>
      </w:r>
      <w:r w:rsidRPr="00CF1D1E">
        <w:rPr>
          <w:rFonts w:ascii="Calibri" w:eastAsia="Calibri" w:hAnsi="Calibri" w:cs="Times New Roman"/>
          <w:color w:val="000000"/>
          <w:sz w:val="20"/>
          <w:szCs w:val="20"/>
        </w:rPr>
        <w:t>HDMS</w:t>
      </w:r>
      <w:r w:rsidRPr="00EE7CE7">
        <w:rPr>
          <w:rFonts w:ascii="Calibri" w:eastAsia="Calibri" w:hAnsi="Calibri" w:cs="Times New Roman"/>
          <w:color w:val="000000"/>
          <w:sz w:val="20"/>
          <w:szCs w:val="20"/>
          <w:vertAlign w:val="superscript"/>
        </w:rPr>
        <w:t>e</w:t>
      </w:r>
      <w:r w:rsidRPr="00CF1D1E">
        <w:rPr>
          <w:rFonts w:ascii="Calibri" w:eastAsia="Calibri" w:hAnsi="Calibri" w:cs="Times New Roman"/>
          <w:color w:val="000000"/>
          <w:sz w:val="20"/>
          <w:szCs w:val="20"/>
        </w:rPr>
        <w:t xml:space="preserve"> data through Progenesis QI. This data relates to the 4 replicates of Pycnogenol extract compared to blanks. This was used as a reference to a known product.</w:t>
      </w:r>
    </w:p>
    <w:p w:rsidR="00CF1D1E" w:rsidRDefault="00CF1D1E" w:rsidP="00CF1D1E">
      <w:pPr>
        <w:autoSpaceDE w:val="0"/>
        <w:autoSpaceDN w:val="0"/>
        <w:adjustRightInd w:val="0"/>
        <w:spacing w:after="0" w:line="360" w:lineRule="auto"/>
        <w:jc w:val="both"/>
        <w:rPr>
          <w:rFonts w:ascii="Calibri" w:eastAsia="Calibri" w:hAnsi="Calibri" w:cs="Times New Roman"/>
          <w:color w:val="000000"/>
          <w:sz w:val="20"/>
          <w:szCs w:val="20"/>
        </w:rPr>
      </w:pPr>
    </w:p>
    <w:p w:rsidR="00B110B1" w:rsidRDefault="00B110B1" w:rsidP="00CF1D1E">
      <w:pPr>
        <w:autoSpaceDE w:val="0"/>
        <w:autoSpaceDN w:val="0"/>
        <w:adjustRightInd w:val="0"/>
        <w:spacing w:after="0" w:line="360" w:lineRule="auto"/>
        <w:jc w:val="both"/>
        <w:rPr>
          <w:rFonts w:ascii="Calibri" w:eastAsia="Calibri" w:hAnsi="Calibri" w:cs="Times New Roman"/>
          <w:color w:val="000000"/>
          <w:sz w:val="20"/>
          <w:szCs w:val="20"/>
        </w:rPr>
      </w:pPr>
    </w:p>
    <w:p w:rsidR="00B110B1" w:rsidRDefault="00B110B1" w:rsidP="00CF1D1E">
      <w:pPr>
        <w:autoSpaceDE w:val="0"/>
        <w:autoSpaceDN w:val="0"/>
        <w:adjustRightInd w:val="0"/>
        <w:spacing w:after="0" w:line="360" w:lineRule="auto"/>
        <w:jc w:val="both"/>
        <w:rPr>
          <w:rFonts w:ascii="Calibri" w:eastAsia="Calibri" w:hAnsi="Calibri" w:cs="Times New Roman"/>
          <w:color w:val="000000"/>
          <w:sz w:val="20"/>
          <w:szCs w:val="20"/>
        </w:rPr>
      </w:pPr>
    </w:p>
    <w:p w:rsidR="00B110B1" w:rsidRDefault="00B110B1" w:rsidP="00CF1D1E">
      <w:pPr>
        <w:autoSpaceDE w:val="0"/>
        <w:autoSpaceDN w:val="0"/>
        <w:adjustRightInd w:val="0"/>
        <w:spacing w:after="0" w:line="360" w:lineRule="auto"/>
        <w:jc w:val="both"/>
        <w:rPr>
          <w:rFonts w:ascii="Calibri" w:eastAsia="Calibri" w:hAnsi="Calibri" w:cs="Times New Roman"/>
          <w:color w:val="000000"/>
          <w:sz w:val="20"/>
          <w:szCs w:val="20"/>
        </w:rPr>
      </w:pPr>
      <w:r>
        <w:rPr>
          <w:rFonts w:ascii="Calibri" w:eastAsia="Calibri" w:hAnsi="Calibri" w:cs="Times New Roman"/>
          <w:noProof/>
          <w:color w:val="000000"/>
          <w:sz w:val="20"/>
          <w:szCs w:val="20"/>
          <w:lang w:eastAsia="en-GB"/>
        </w:rPr>
        <w:lastRenderedPageBreak/>
        <w:drawing>
          <wp:inline distT="0" distB="0" distL="0" distR="0">
            <wp:extent cx="5731510" cy="164211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rk extracts power analysis 010220.png"/>
                    <pic:cNvPicPr/>
                  </pic:nvPicPr>
                  <pic:blipFill>
                    <a:blip r:embed="rId212">
                      <a:extLst>
                        <a:ext uri="{28A0092B-C50C-407E-A947-70E740481C1C}">
                          <a14:useLocalDpi xmlns:a14="http://schemas.microsoft.com/office/drawing/2010/main" val="0"/>
                        </a:ext>
                      </a:extLst>
                    </a:blip>
                    <a:stretch>
                      <a:fillRect/>
                    </a:stretch>
                  </pic:blipFill>
                  <pic:spPr>
                    <a:xfrm>
                      <a:off x="0" y="0"/>
                      <a:ext cx="5731510" cy="1642110"/>
                    </a:xfrm>
                    <a:prstGeom prst="rect">
                      <a:avLst/>
                    </a:prstGeom>
                  </pic:spPr>
                </pic:pic>
              </a:graphicData>
            </a:graphic>
          </wp:inline>
        </w:drawing>
      </w:r>
    </w:p>
    <w:p w:rsidR="00B110B1" w:rsidRDefault="00B110B1" w:rsidP="00CF1D1E">
      <w:pPr>
        <w:autoSpaceDE w:val="0"/>
        <w:autoSpaceDN w:val="0"/>
        <w:adjustRightInd w:val="0"/>
        <w:spacing w:after="0" w:line="360" w:lineRule="auto"/>
        <w:jc w:val="both"/>
        <w:rPr>
          <w:rFonts w:ascii="Calibri" w:eastAsia="Calibri" w:hAnsi="Calibri" w:cs="Times New Roman"/>
          <w:color w:val="000000"/>
          <w:sz w:val="20"/>
          <w:szCs w:val="20"/>
        </w:rPr>
      </w:pPr>
      <w:r>
        <w:rPr>
          <w:rFonts w:ascii="Calibri" w:eastAsia="Calibri" w:hAnsi="Calibri" w:cs="Times New Roman"/>
          <w:color w:val="000000"/>
          <w:sz w:val="20"/>
          <w:szCs w:val="20"/>
        </w:rPr>
        <w:t>Fig</w:t>
      </w:r>
      <w:r w:rsidRPr="00CF1D1E">
        <w:rPr>
          <w:rFonts w:ascii="Calibri" w:eastAsia="Calibri" w:hAnsi="Calibri" w:cs="Times New Roman"/>
          <w:color w:val="000000"/>
          <w:sz w:val="20"/>
          <w:szCs w:val="20"/>
        </w:rPr>
        <w:t>.A1-001</w:t>
      </w:r>
      <w:r>
        <w:rPr>
          <w:rFonts w:ascii="Calibri" w:eastAsia="Calibri" w:hAnsi="Calibri" w:cs="Times New Roman"/>
          <w:color w:val="000000"/>
          <w:sz w:val="20"/>
          <w:szCs w:val="20"/>
        </w:rPr>
        <w:t xml:space="preserve"> Power analysis graph of bark extract data</w:t>
      </w:r>
    </w:p>
    <w:p w:rsidR="00B110B1" w:rsidRDefault="00B110B1" w:rsidP="00CF1D1E">
      <w:pPr>
        <w:autoSpaceDE w:val="0"/>
        <w:autoSpaceDN w:val="0"/>
        <w:adjustRightInd w:val="0"/>
        <w:spacing w:after="0" w:line="360" w:lineRule="auto"/>
        <w:jc w:val="both"/>
        <w:rPr>
          <w:rFonts w:ascii="Calibri" w:eastAsia="Calibri" w:hAnsi="Calibri" w:cs="Times New Roman"/>
          <w:color w:val="000000"/>
          <w:sz w:val="20"/>
          <w:szCs w:val="20"/>
        </w:rPr>
      </w:pPr>
    </w:p>
    <w:p w:rsidR="00B110B1" w:rsidRPr="00CF1D1E" w:rsidRDefault="00B110B1" w:rsidP="00CF1D1E">
      <w:pPr>
        <w:autoSpaceDE w:val="0"/>
        <w:autoSpaceDN w:val="0"/>
        <w:adjustRightInd w:val="0"/>
        <w:spacing w:after="0" w:line="360" w:lineRule="auto"/>
        <w:jc w:val="both"/>
        <w:rPr>
          <w:rFonts w:ascii="Calibri" w:eastAsia="Calibri" w:hAnsi="Calibri" w:cs="Times New Roman"/>
          <w:color w:val="000000"/>
          <w:sz w:val="20"/>
          <w:szCs w:val="20"/>
        </w:rPr>
      </w:pPr>
    </w:p>
    <w:p w:rsidR="00CF1D1E" w:rsidRDefault="00CF1D1E" w:rsidP="005629D7">
      <w:pPr>
        <w:rPr>
          <w:rFonts w:ascii="Calibri" w:eastAsia="Calibri" w:hAnsi="Calibri" w:cs="Times New Roman"/>
          <w:color w:val="000000"/>
          <w:sz w:val="20"/>
          <w:szCs w:val="20"/>
        </w:rPr>
      </w:pPr>
    </w:p>
    <w:p w:rsidR="00B110B1" w:rsidRDefault="00B110B1" w:rsidP="005629D7">
      <w:pPr>
        <w:rPr>
          <w:rFonts w:ascii="Calibri" w:eastAsia="Calibri" w:hAnsi="Calibri" w:cs="Times New Roman"/>
          <w:color w:val="000000"/>
          <w:sz w:val="20"/>
          <w:szCs w:val="20"/>
        </w:rPr>
      </w:pPr>
    </w:p>
    <w:p w:rsidR="00B110B1" w:rsidRDefault="00B110B1" w:rsidP="005629D7">
      <w:pPr>
        <w:rPr>
          <w:rFonts w:ascii="Calibri" w:eastAsia="Calibri" w:hAnsi="Calibri" w:cs="Times New Roman"/>
          <w:color w:val="000000"/>
          <w:sz w:val="20"/>
          <w:szCs w:val="20"/>
        </w:rPr>
      </w:pPr>
    </w:p>
    <w:p w:rsidR="00B110B1" w:rsidRDefault="00B110B1" w:rsidP="005629D7">
      <w:pPr>
        <w:rPr>
          <w:rFonts w:ascii="Calibri" w:eastAsia="Calibri" w:hAnsi="Calibri" w:cs="Times New Roman"/>
          <w:color w:val="000000"/>
          <w:sz w:val="20"/>
          <w:szCs w:val="20"/>
        </w:rPr>
      </w:pPr>
    </w:p>
    <w:p w:rsidR="00B110B1" w:rsidRPr="00CF1D1E" w:rsidRDefault="00B110B1" w:rsidP="005629D7">
      <w:pPr>
        <w:rPr>
          <w:rFonts w:ascii="Calibri" w:eastAsia="Calibri" w:hAnsi="Calibri" w:cs="Times New Roman"/>
          <w:color w:val="000000"/>
          <w:sz w:val="20"/>
          <w:szCs w:val="20"/>
        </w:rPr>
      </w:pPr>
    </w:p>
    <w:p w:rsidR="00CF1D1E" w:rsidRPr="00CF1D1E" w:rsidRDefault="00CF1D1E" w:rsidP="00CF1D1E">
      <w:pPr>
        <w:numPr>
          <w:ilvl w:val="0"/>
          <w:numId w:val="10"/>
        </w:numPr>
        <w:contextualSpacing/>
        <w:rPr>
          <w:rFonts w:ascii="Calibri" w:eastAsia="Calibri" w:hAnsi="Calibri" w:cs="Times New Roman"/>
          <w:b/>
          <w:bCs/>
          <w:sz w:val="44"/>
          <w:szCs w:val="44"/>
        </w:rPr>
      </w:pPr>
      <w:r w:rsidRPr="00CF1D1E">
        <w:rPr>
          <w:rFonts w:ascii="Calibri" w:eastAsia="Calibri" w:hAnsi="Calibri" w:cs="Times New Roman"/>
          <w:b/>
          <w:bCs/>
          <w:sz w:val="44"/>
          <w:szCs w:val="44"/>
        </w:rPr>
        <w:t>Appendices for Chapter 2 (A2)</w:t>
      </w:r>
    </w:p>
    <w:p w:rsidR="00CF1D1E" w:rsidRPr="00CF1D1E" w:rsidRDefault="00CF1D1E" w:rsidP="00CF1D1E">
      <w:pPr>
        <w:ind w:left="360"/>
        <w:rPr>
          <w:rFonts w:ascii="Calibri" w:eastAsia="Calibri" w:hAnsi="Calibri" w:cs="Times New Roman"/>
          <w:b/>
          <w:bCs/>
          <w:sz w:val="44"/>
          <w:szCs w:val="44"/>
        </w:rPr>
      </w:pPr>
    </w:p>
    <w:p w:rsidR="00CF1D1E" w:rsidRPr="00CF1D1E" w:rsidRDefault="00CF1D1E" w:rsidP="00CF1D1E">
      <w:pPr>
        <w:ind w:left="360"/>
        <w:rPr>
          <w:rFonts w:ascii="Calibri" w:eastAsia="Calibri" w:hAnsi="Calibri" w:cs="Times New Roman"/>
          <w:b/>
          <w:bCs/>
          <w:sz w:val="36"/>
          <w:szCs w:val="36"/>
        </w:rPr>
      </w:pPr>
      <w:r w:rsidRPr="00CF1D1E">
        <w:rPr>
          <w:rFonts w:ascii="Calibri" w:eastAsia="Calibri" w:hAnsi="Calibri" w:cs="Times New Roman"/>
          <w:b/>
          <w:bCs/>
          <w:sz w:val="36"/>
          <w:szCs w:val="36"/>
        </w:rPr>
        <w:t>2.31 Synapt G2-Si Untargeted Method (HDMS</w:t>
      </w:r>
      <w:r w:rsidRPr="00291367">
        <w:rPr>
          <w:rFonts w:ascii="Calibri" w:eastAsia="Calibri" w:hAnsi="Calibri" w:cs="Times New Roman"/>
          <w:b/>
          <w:bCs/>
          <w:sz w:val="36"/>
          <w:szCs w:val="36"/>
          <w:vertAlign w:val="superscript"/>
        </w:rPr>
        <w:t>e</w:t>
      </w:r>
      <w:r w:rsidRPr="00CF1D1E">
        <w:rPr>
          <w:rFonts w:ascii="Calibri" w:eastAsia="Calibri" w:hAnsi="Calibri" w:cs="Times New Roman"/>
          <w:b/>
          <w:bCs/>
          <w:sz w:val="36"/>
          <w:szCs w:val="36"/>
        </w:rPr>
        <w:t xml:space="preserve">)               </w:t>
      </w: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r w:rsidRPr="00CF1D1E">
        <w:rPr>
          <w:rFonts w:ascii="Calibri" w:eastAsia="Calibri" w:hAnsi="Calibri" w:cs="Times New Roman"/>
          <w:b/>
          <w:bCs/>
          <w:sz w:val="44"/>
          <w:szCs w:val="44"/>
        </w:rPr>
        <w:br w:type="page"/>
      </w:r>
    </w:p>
    <w:tbl>
      <w:tblPr>
        <w:tblpPr w:leftFromText="180" w:rightFromText="180" w:vertAnchor="page" w:horzAnchor="margin" w:tblpXSpec="center" w:tblpY="1242"/>
        <w:tblW w:w="8080" w:type="dxa"/>
        <w:tblBorders>
          <w:right w:val="single" w:sz="4" w:space="0" w:color="auto"/>
          <w:insideV w:val="single" w:sz="4" w:space="0" w:color="auto"/>
        </w:tblBorders>
        <w:tblLook w:val="04A0" w:firstRow="1" w:lastRow="0" w:firstColumn="1" w:lastColumn="0" w:noHBand="0" w:noVBand="1"/>
      </w:tblPr>
      <w:tblGrid>
        <w:gridCol w:w="1701"/>
        <w:gridCol w:w="1134"/>
        <w:gridCol w:w="1164"/>
        <w:gridCol w:w="1164"/>
        <w:gridCol w:w="1164"/>
        <w:gridCol w:w="1753"/>
      </w:tblGrid>
      <w:tr w:rsidR="00CF1D1E" w:rsidRPr="00CF1D1E" w:rsidTr="00C8289C">
        <w:trPr>
          <w:trHeight w:val="311"/>
        </w:trPr>
        <w:tc>
          <w:tcPr>
            <w:tcW w:w="1701"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134"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Alex0001</w:t>
            </w:r>
          </w:p>
        </w:tc>
        <w:tc>
          <w:tcPr>
            <w:tcW w:w="1164"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Alexs0002</w:t>
            </w:r>
          </w:p>
        </w:tc>
        <w:tc>
          <w:tcPr>
            <w:tcW w:w="1164"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Alex0003</w:t>
            </w:r>
          </w:p>
        </w:tc>
        <w:tc>
          <w:tcPr>
            <w:tcW w:w="1164"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Alex0004</w:t>
            </w:r>
          </w:p>
        </w:tc>
        <w:tc>
          <w:tcPr>
            <w:tcW w:w="1753"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2.33_399.1085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4.701038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1.9176185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5.1273376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5.2455284</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1.88_339.1225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1.106273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1.4068451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0.0141288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1.72_609.1456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CSID4444362</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0.43_367.1051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43.66663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54.841785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44.380348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51.054173</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1.82_489.1041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0.7979318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1.61_367.1026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886.2138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941.83915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846.0446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902.87897</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1.42_579.1713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0.0418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CSID390868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2.14_445.0793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0.8926346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2.53_545.1640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0.30657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2.00_591.1705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1.92_516.1267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0.000253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0.246454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0.5911314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0.2811654</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2.48_707.1806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0.0004246</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1.79_923.2217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2.42_891.2330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2.09_711.1395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694.0536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760.39274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618.63529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657.37728</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2.72_1031.2433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1.75_831.2130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1.30_515.1189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29.76083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47.246472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33.066398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27.031872</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1.92_775.1524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1.9355618</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2.30_989.2149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1.47_815.1960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1.98_391.1384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32.48859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17.500458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7.0334803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1.2753402</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CSID13701</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1.70_711.1382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154.0435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165.05794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142.11749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180.59991</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1.22_339.0726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630.2215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728.04833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621.36648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679.343</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0.43_337.0567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13.54692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2.5707218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9.1447928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4.0696658</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2.33_511.1394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1.7741013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1.0703662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CSID553829</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2.29_365.1028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2.577372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10.96468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1.42_417.1196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0.024947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1.3640521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0.5162281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1.1933271</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1.54_923.2223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0.39_244.0370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95.33631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94.942308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98.442352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93.985167</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CSID25941971</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1.30_243.0654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1.447651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3.9528964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0.2650809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1.2647039</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1.52_339.0712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6.83016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2.2044819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8.8400206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7.2350123</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1.30_271.0616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0.7784946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1.78_599.1187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41.49939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48.396804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33.601018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43.241808</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2.49_387.1072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6.740069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10.258119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4.3939889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7.4727964</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1.44_743.2020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0.050046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0.62_809.1484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169.6765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211.90876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195.12715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208.28833</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1.97_489.1039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1.52_475.0876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5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CSID34552925</w:t>
            </w:r>
          </w:p>
        </w:tc>
      </w:tr>
    </w:tbl>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tbl>
      <w:tblPr>
        <w:tblpPr w:leftFromText="180" w:rightFromText="180" w:vertAnchor="text" w:horzAnchor="margin" w:tblpXSpec="right" w:tblpY="-19"/>
        <w:tblW w:w="8222" w:type="dxa"/>
        <w:tblBorders>
          <w:right w:val="single" w:sz="4" w:space="0" w:color="auto"/>
          <w:insideV w:val="single" w:sz="4" w:space="0" w:color="auto"/>
        </w:tblBorders>
        <w:tblLook w:val="04A0" w:firstRow="1" w:lastRow="0" w:firstColumn="1" w:lastColumn="0" w:noHBand="0" w:noVBand="1"/>
      </w:tblPr>
      <w:tblGrid>
        <w:gridCol w:w="1701"/>
        <w:gridCol w:w="1134"/>
        <w:gridCol w:w="1164"/>
        <w:gridCol w:w="1164"/>
        <w:gridCol w:w="1164"/>
        <w:gridCol w:w="1895"/>
      </w:tblGrid>
      <w:tr w:rsidR="00CF1D1E" w:rsidRPr="00CF1D1E" w:rsidTr="00C8289C">
        <w:trPr>
          <w:trHeight w:val="312"/>
        </w:trPr>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13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Alex0001</w:t>
            </w:r>
          </w:p>
        </w:tc>
        <w:tc>
          <w:tcPr>
            <w:tcW w:w="116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Alexs0002</w:t>
            </w:r>
          </w:p>
        </w:tc>
        <w:tc>
          <w:tcPr>
            <w:tcW w:w="116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Alex0003</w:t>
            </w:r>
          </w:p>
        </w:tc>
        <w:tc>
          <w:tcPr>
            <w:tcW w:w="116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Alex0004</w:t>
            </w:r>
          </w:p>
        </w:tc>
        <w:tc>
          <w:tcPr>
            <w:tcW w:w="1895"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1.76_915.1610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CSID58575</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1.31_145.0290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1.31_367.1044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2.564498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3.7554008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4.2084674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0.9495237</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1.47_607.1828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0.35_303.0871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82.6364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69.211305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66.466241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72.459999</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CSID13860434</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1.36_193.0502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39.6371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50.616557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38.380157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37.842285</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1.56_269.0822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0.110553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1.32_607.1831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1.89_835.2417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2.34_863.2021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1.79_595.0905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6.585256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2.6637086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5.1494263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3.3074356</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CSID4445092</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1.50_707.1811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7300.83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9311.2133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8118.0264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9205.2803</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2.02_415.1033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0.296069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0.1290761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0.2130017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0.907679</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1.64_477.1017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0.903905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2.2384249</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1.17_161.0239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33.5421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59.125303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20.678356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36.884118</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1.20_197.0447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CSID12693</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2.00_775.1479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1.91_119.0496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1.90_163.0393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2.08_707.1815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0.868275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5.641188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6.2540519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0.013386</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2.01_467.0966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0.8246625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2.06_923.2236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0.38_483.1825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0.126859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3.5982065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CSID82594</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2.73_835.2417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0.48_355.0673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1.439438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1.0486207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0.8661331</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0.39_501.1036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19.56519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18.765698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16.174995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23.900921</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0.52_263.0342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7.017884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10.339881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5.4308242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10.082799</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CSID4445117</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1.28_627.1496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1.59967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1.59_739.2057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1.6873339</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CSID57579554</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2.19_895.1953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0.39_735.2126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CSID10392638</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0.68_863.2015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0.83_371.0984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1036.197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1159.5929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988.80236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1158.0257</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1.86_297.0758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0.945943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3.2787223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0.2658183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1.12_449.1085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0.083991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3.0427786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1.1333998</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CSID8065632</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1.87_743.2022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1.28_625.1403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CSID4478806</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1.97_603.2252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7.28974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2.421975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3.1266375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1.5676484</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2.02_891.2341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12"/>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0.43_675.1948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8.693553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0.5570784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3.2258088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1.0308329</w:t>
            </w:r>
          </w:p>
        </w:tc>
        <w:tc>
          <w:tcPr>
            <w:tcW w:w="1895"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bl>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rPr>
          <w:rFonts w:ascii="Calibri" w:eastAsia="Calibri" w:hAnsi="Calibri" w:cs="Times New Roman"/>
          <w:sz w:val="24"/>
          <w:szCs w:val="24"/>
          <w:lang w:val="en"/>
        </w:rPr>
      </w:pPr>
    </w:p>
    <w:tbl>
      <w:tblPr>
        <w:tblpPr w:leftFromText="180" w:rightFromText="180" w:vertAnchor="page" w:horzAnchor="margin" w:tblpY="1442"/>
        <w:tblW w:w="8080" w:type="dxa"/>
        <w:tblBorders>
          <w:right w:val="single" w:sz="4" w:space="0" w:color="auto"/>
          <w:insideV w:val="single" w:sz="4" w:space="0" w:color="auto"/>
        </w:tblBorders>
        <w:tblLook w:val="04A0" w:firstRow="1" w:lastRow="0" w:firstColumn="1" w:lastColumn="0" w:noHBand="0" w:noVBand="1"/>
      </w:tblPr>
      <w:tblGrid>
        <w:gridCol w:w="1701"/>
        <w:gridCol w:w="1053"/>
        <w:gridCol w:w="1164"/>
        <w:gridCol w:w="1164"/>
        <w:gridCol w:w="1164"/>
        <w:gridCol w:w="1834"/>
      </w:tblGrid>
      <w:tr w:rsidR="00CF1D1E" w:rsidRPr="00CF1D1E" w:rsidTr="00C8289C">
        <w:trPr>
          <w:trHeight w:val="304"/>
        </w:trPr>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RT &amp; m/z</w:t>
            </w:r>
          </w:p>
        </w:tc>
        <w:tc>
          <w:tcPr>
            <w:tcW w:w="1053"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Alex0001</w:t>
            </w:r>
          </w:p>
        </w:tc>
        <w:tc>
          <w:tcPr>
            <w:tcW w:w="116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Alexs0002</w:t>
            </w:r>
          </w:p>
        </w:tc>
        <w:tc>
          <w:tcPr>
            <w:tcW w:w="116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Alex0003</w:t>
            </w:r>
          </w:p>
        </w:tc>
        <w:tc>
          <w:tcPr>
            <w:tcW w:w="116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Alex0004</w:t>
            </w:r>
          </w:p>
        </w:tc>
        <w:tc>
          <w:tcPr>
            <w:tcW w:w="183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1.35_417.0833</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58.76529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55.011027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73.892318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80.667391</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1.89_161.0236</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16.17224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17.484028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20.730559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23.390776</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0.40_959.3157</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9.729094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3.3699925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7.8295508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7.4603264</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CSID390957</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0.45_537.1026</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102.7145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104.51724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90.093911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96.559642</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CSID4945655</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0.88_611.1390</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241.6203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271.99645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256.12549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233.79424</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2.12_515.1177</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31.17645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46.673592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37.07595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26.950312</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1.06_497.1077</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6.986469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1.3899423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5.5384749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2.3340541</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0.33_503.2270</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5.498295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5.7151244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10.835963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12.829355</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2.27_193.0497</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23.71718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27.62315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28.754689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24.216895</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0.62_539.1714</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6.938578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4.7611413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2.3802012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5.9839834</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1.77_357.1340</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0.632603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1.5087113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2.4181653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1.0503226</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2.34_373.1289</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0.787392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0.566561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0.98_358.0893</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2.823892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1.7004045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4.6499118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5.1568792</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1.35_815.2009</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0.35_289.0717</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17.24301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16.989693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12.013181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15.257831</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0.40_455.1508</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0.070256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1.8447444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2.6685733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0.9866685</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CSID392875</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0.93_577.1350</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1.46_242.0499</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198.6296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246.87382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210.28397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263.50829</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2.56_445.0775</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24.1522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32.324658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19.90431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33.449746</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2.07_515.1180</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1.635489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14.52874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9.6908466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11.16748</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1.62_863.1787</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21.71859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31.146193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26.184547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31.321989</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1.36_515.1178</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15.77988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6.9688643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7.6091383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10.691323</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0.67_253.0493</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85.34597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85.694416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71.776894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88.427418</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2.22_399.1081</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1.87_417.0829</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2.228926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5.9401283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3.5428963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0.4042085</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0.71_495.1120</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72.28352</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69.923524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62.285148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68.869524</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CSID30777594</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0.63_497.1096</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224.0325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236.63385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212.08196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257.97702</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1.69_603.1022</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0.716187</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3.1251146</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CSID30777628</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1.75_415.1050</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5.138981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2.1181155</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2.513509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0.472962</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1.86_485.1069</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3.015504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7.3935498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4.7109704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5.1562515</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1.79_417.1211</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1.4473033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0.50_895.1975</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15.94193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11.224703</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17.105364</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14.193446</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2.23_515.1177</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1.7558551</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6.4184909</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0.327418</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1.64_829.2379</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CSID9753486</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2.96_857.3551</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0.8358</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CSID28481156</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2.21_1003.2144</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2.29_863.2895</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0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2.00_899.1796</w:t>
            </w:r>
          </w:p>
        </w:tc>
        <w:tc>
          <w:tcPr>
            <w:tcW w:w="1053"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6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3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bl>
    <w:p w:rsidR="00CF1D1E" w:rsidRPr="00CF1D1E" w:rsidRDefault="00CF1D1E" w:rsidP="00CF1D1E">
      <w:pPr>
        <w:spacing w:line="360" w:lineRule="auto"/>
        <w:rPr>
          <w:rFonts w:ascii="Calibri" w:eastAsia="Calibri" w:hAnsi="Calibri" w:cs="Times New Roman"/>
          <w:sz w:val="24"/>
          <w:szCs w:val="24"/>
          <w:lang w:val="en"/>
        </w:rPr>
      </w:pPr>
      <w:r w:rsidRPr="00CF1D1E">
        <w:rPr>
          <w:rFonts w:ascii="Calibri" w:eastAsia="Calibri" w:hAnsi="Calibri" w:cs="Times New Roman"/>
          <w:sz w:val="24"/>
          <w:szCs w:val="24"/>
          <w:lang w:val="en"/>
        </w:rPr>
        <w:t xml:space="preserve">  </w:t>
      </w: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b/>
          <w:bCs/>
          <w:sz w:val="44"/>
          <w:szCs w:val="44"/>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 xml:space="preserve">Tab.A2-001 </w:t>
      </w:r>
      <w:r w:rsidR="005629D7">
        <w:rPr>
          <w:rFonts w:ascii="Calibri" w:eastAsia="Calibri" w:hAnsi="Calibri" w:cs="Times New Roman"/>
          <w:sz w:val="20"/>
          <w:szCs w:val="20"/>
        </w:rPr>
        <w:t>H</w:t>
      </w:r>
      <w:r w:rsidRPr="00CF1D1E">
        <w:rPr>
          <w:rFonts w:ascii="Calibri" w:eastAsia="Calibri" w:hAnsi="Calibri" w:cs="Times New Roman"/>
          <w:sz w:val="20"/>
          <w:szCs w:val="20"/>
        </w:rPr>
        <w:t>ighest scoring results from processing HDMS</w:t>
      </w:r>
      <w:r w:rsidRPr="00EE7CE7">
        <w:rPr>
          <w:rFonts w:ascii="Calibri" w:eastAsia="Calibri" w:hAnsi="Calibri" w:cs="Times New Roman"/>
          <w:sz w:val="20"/>
          <w:szCs w:val="20"/>
          <w:vertAlign w:val="superscript"/>
        </w:rPr>
        <w:t>e</w:t>
      </w:r>
      <w:r w:rsidRPr="00CF1D1E">
        <w:rPr>
          <w:rFonts w:ascii="Calibri" w:eastAsia="Calibri" w:hAnsi="Calibri" w:cs="Times New Roman"/>
          <w:sz w:val="20"/>
          <w:szCs w:val="20"/>
        </w:rPr>
        <w:t xml:space="preserve"> data through Progenesis QI. This data relates to the 4 repeats of the Alexander extract compared to blanks.</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tbl>
      <w:tblPr>
        <w:tblpPr w:leftFromText="180" w:rightFromText="180" w:vertAnchor="page" w:horzAnchor="page" w:tblpX="2005" w:tblpY="1785"/>
        <w:tblW w:w="8647" w:type="dxa"/>
        <w:tblBorders>
          <w:right w:val="single" w:sz="4" w:space="0" w:color="auto"/>
          <w:insideV w:val="single" w:sz="4" w:space="0" w:color="auto"/>
        </w:tblBorders>
        <w:tblLook w:val="04A0" w:firstRow="1" w:lastRow="0" w:firstColumn="1" w:lastColumn="0" w:noHBand="0" w:noVBand="1"/>
      </w:tblPr>
      <w:tblGrid>
        <w:gridCol w:w="1664"/>
        <w:gridCol w:w="1387"/>
        <w:gridCol w:w="1387"/>
        <w:gridCol w:w="1387"/>
        <w:gridCol w:w="1276"/>
        <w:gridCol w:w="1546"/>
      </w:tblGrid>
      <w:tr w:rsidR="00CF1D1E" w:rsidRPr="00CF1D1E" w:rsidTr="00C8289C">
        <w:trPr>
          <w:trHeight w:val="309"/>
        </w:trPr>
        <w:tc>
          <w:tcPr>
            <w:tcW w:w="1664"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&amp;m/z</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Nettle0001</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Nettle0002</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Nettle0003</w:t>
            </w:r>
          </w:p>
        </w:tc>
        <w:tc>
          <w:tcPr>
            <w:tcW w:w="1276"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Nettle0004</w:t>
            </w:r>
          </w:p>
        </w:tc>
        <w:tc>
          <w:tcPr>
            <w:tcW w:w="1546"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2.33_399.1085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0.19992974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0.228158261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1.88_339.1225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3.030583868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3.065445102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1.72_609.1456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0.727579486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0.480770902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3.377448642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1.79696188</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CSID4444362</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0.43_367.1051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12.24529442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12.69848888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8.61178636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13.1800126</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1.82_489.1041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6.75295739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7.703270227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5.758155069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7.13394041</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1.61_367.1026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1390.702684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1270.251408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1420.728743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1392.58042</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1.42_579.1713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CSID390868</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2.14_445.0793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2.53_545.1640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2.00_591.1705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1.92_516.1267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4.06E-05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2.48_707.1806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0.753058278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7.891172576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2.5845798</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1.79_923.2217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2.42_891.2330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2.09_711.1395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257.1764401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276.1717323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300.091048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281.940601</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2.72_1031.2433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1.75_831.2130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0.823703988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2.481585942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1.30_515.1189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51.16924258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73.92234786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81.04910282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75.8882569</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1.92_775.1524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2.30_989.2149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1.47_815.1960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1.98_391.1384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0.56164582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0.368661603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0.497424239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1.50138463</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CSID13701</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1.70_711.1382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0.089412598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1.363565617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3.96002552</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1.22_339.0726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1833.204301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1691.87587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1803.186069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1744.48112</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0.43_337.0567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28.62301534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30.73056105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32.78077408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31.3220177</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2.33_511.1394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2.340951549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1.712487058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0.848760937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0.12185682</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CSID553829</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2.29_365.1028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0.777378886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0.26462338</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1.42_417.1196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1.54_923.2223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0.39_244.0370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108.8655248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119.415372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119.2828604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102.589098</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CSID25941971</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1.30_243.0654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0.547383302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1.52_339.0712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240.4658946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232.9194111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173.2685329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249.156471</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1.30_271.0616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0.005603375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0.033102574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1.78_599.1187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4.381530052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28.50414664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15.5431767</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2.49_387.1072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1.273557846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1.22931518</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1.44_743.2020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0.124375138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0.62_809.1484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309"/>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1.97_489.1039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27.466368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33.36498606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39.76608342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30.797104</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bl>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spacing w:line="360" w:lineRule="auto"/>
        <w:rPr>
          <w:rFonts w:ascii="Calibri" w:eastAsia="Calibri" w:hAnsi="Calibri" w:cs="Times New Roman"/>
          <w:noProof/>
          <w:lang w:eastAsia="en-GB"/>
        </w:rPr>
      </w:pPr>
      <w:r w:rsidRPr="00CF1D1E">
        <w:rPr>
          <w:rFonts w:ascii="Calibri" w:eastAsia="Calibri" w:hAnsi="Calibri" w:cs="Times New Roman"/>
          <w:sz w:val="24"/>
          <w:szCs w:val="24"/>
          <w:lang w:val="en"/>
        </w:rPr>
        <w:t xml:space="preserve">  </w:t>
      </w: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rPr>
          <w:rFonts w:ascii="Calibri" w:eastAsia="Calibri" w:hAnsi="Calibri" w:cs="Times New Roman"/>
          <w:noProof/>
          <w:lang w:eastAsia="en-GB"/>
        </w:rPr>
      </w:pPr>
      <w:r w:rsidRPr="00CF1D1E">
        <w:rPr>
          <w:rFonts w:ascii="Calibri" w:eastAsia="Calibri" w:hAnsi="Calibri" w:cs="Times New Roman"/>
          <w:noProof/>
          <w:lang w:eastAsia="en-GB"/>
        </w:rPr>
        <w:br w:type="page"/>
      </w:r>
    </w:p>
    <w:p w:rsidR="00CF1D1E" w:rsidRPr="00CF1D1E" w:rsidRDefault="00CF1D1E" w:rsidP="00CF1D1E">
      <w:pPr>
        <w:spacing w:line="360" w:lineRule="auto"/>
        <w:rPr>
          <w:rFonts w:ascii="Calibri" w:eastAsia="Calibri" w:hAnsi="Calibri" w:cs="Times New Roman"/>
          <w:noProof/>
          <w:lang w:eastAsia="en-GB"/>
        </w:rPr>
        <w:sectPr w:rsidR="00CF1D1E" w:rsidRPr="00CF1D1E" w:rsidSect="00C8289C">
          <w:pgSz w:w="11906" w:h="16838" w:code="9"/>
          <w:pgMar w:top="1440" w:right="1440" w:bottom="1440" w:left="1440" w:header="709" w:footer="709" w:gutter="0"/>
          <w:cols w:space="708"/>
          <w:docGrid w:linePitch="360"/>
        </w:sectPr>
      </w:pPr>
    </w:p>
    <w:tbl>
      <w:tblPr>
        <w:tblpPr w:leftFromText="180" w:rightFromText="180" w:vertAnchor="page" w:horzAnchor="margin" w:tblpY="1781"/>
        <w:tblW w:w="8789" w:type="dxa"/>
        <w:tblBorders>
          <w:right w:val="single" w:sz="4" w:space="0" w:color="auto"/>
          <w:insideV w:val="single" w:sz="4" w:space="0" w:color="auto"/>
        </w:tblBorders>
        <w:tblLook w:val="04A0" w:firstRow="1" w:lastRow="0" w:firstColumn="1" w:lastColumn="0" w:noHBand="0" w:noVBand="1"/>
      </w:tblPr>
      <w:tblGrid>
        <w:gridCol w:w="1701"/>
        <w:gridCol w:w="1418"/>
        <w:gridCol w:w="1417"/>
        <w:gridCol w:w="1387"/>
        <w:gridCol w:w="1307"/>
        <w:gridCol w:w="1559"/>
      </w:tblGrid>
      <w:tr w:rsidR="00CF1D1E" w:rsidRPr="00CF1D1E" w:rsidTr="00C8289C">
        <w:trPr>
          <w:trHeight w:val="310"/>
        </w:trPr>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&amp;m/z</w:t>
            </w:r>
          </w:p>
        </w:tc>
        <w:tc>
          <w:tcPr>
            <w:tcW w:w="1418"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Nettle0001</w:t>
            </w:r>
          </w:p>
        </w:tc>
        <w:tc>
          <w:tcPr>
            <w:tcW w:w="141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Nettle0002</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Nettle0003</w:t>
            </w:r>
          </w:p>
        </w:tc>
        <w:tc>
          <w:tcPr>
            <w:tcW w:w="130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Nettle0004</w:t>
            </w:r>
          </w:p>
        </w:tc>
        <w:tc>
          <w:tcPr>
            <w:tcW w:w="1559"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1.76_915.1610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CSID58575</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1.31_145.0290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6.872696837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5.196950609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3.716270277</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4.29724552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1.31_367.1044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2.874108622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0.038411014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0.094491304</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1.85497714</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1.47_607.1828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39.46386712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20.01592666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43.68450977</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49.7526172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0.35_303.0871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245.6895302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234.1149667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256.3352315</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210.183887</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CSID13860434</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1.36_193.0502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2.876280525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6.655405234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3.735728512</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3.5695808</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1.56_269.0822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1.647162167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3.170511053</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3.35621592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1.32_607.1831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3.703438873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1.842609033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5.958506639</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2.53801875</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1.89_835.2417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2.34_863.2021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1.79_595.0905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532.8396348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519.1777982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544.5591328</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565.415491</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CSID4445092</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1.50_707.1811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9626.540969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9615.854134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10767.21784</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10447.3965</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2.02_415.1033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11.22089499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14.62260512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8.148392747</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8.30552964</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1.64_477.1017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2.030908189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5.9755412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1.791686743</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14.3916026</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1.17_161.0239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0.387263405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2.069337706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2.132552665</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2.16273916</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1.20_197.0447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0.33943732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CSID12693</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2.00_775.1479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2.968088398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0.92296402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1.91_119.0496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28.17443394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25.4110361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1.150791234</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21.1334265</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1.90_163.0393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2.07368893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2.117937135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0.92625906</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2.08_707.1815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1.47936298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1.47953309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0.594591074</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2.51897634</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2.01_467.0966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0.022170555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0.407049279</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2.06_923.2236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2.604017033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7.632064079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0.645919508</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3.58836963</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0.38_483.1825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0.017711684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5.989122318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CSID82594</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2.73_835.2417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0.442963346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0.060629229</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2.51515515</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0.48_355.0673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38.48534277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30.8766193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55.19706589</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42.6628906</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0.39_501.1036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14.89576065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20.14326451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9.239821302</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19.1898177</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0.52_263.0342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192.3142133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185.9206804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201.6312246</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181.60263</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CSID4445117</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1.28_627.1496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4.858695513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3.576220461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12.25865118</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4.24658072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1.59_739.2057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1.530103731</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0.01662465</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CSID57579554</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2.19_895.1953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0.39_735.2126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0.494991954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1.941519455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0.724028628</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1.50931109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CSID10392638</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0.68_863.2015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0.83_371.0984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65.8263203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85.33507945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98.93914534</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98.2765496</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1.86_297.0758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0.69952946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0.62528679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1.695694745</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0.38062894</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1.12_449.1085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CSID8065632</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1.87_743.2022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1.28_625.1403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21.87978089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22.80971777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26.67783585</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14.8083852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CSID4478806</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1.97_603.2252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2.02_891.2341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0.107442605</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1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0.43_675.1948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0.250534237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3.811707214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4.459069132</w:t>
            </w:r>
          </w:p>
        </w:tc>
        <w:tc>
          <w:tcPr>
            <w:tcW w:w="130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bl>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line="360" w:lineRule="auto"/>
        <w:rPr>
          <w:rFonts w:ascii="Calibri" w:eastAsia="Calibri" w:hAnsi="Calibri" w:cs="Times New Roman"/>
          <w:noProof/>
          <w:lang w:eastAsia="en-GB"/>
        </w:rPr>
      </w:pPr>
    </w:p>
    <w:p w:rsidR="00CF1D1E" w:rsidRPr="00CF1D1E" w:rsidRDefault="00CF1D1E" w:rsidP="00CF1D1E">
      <w:pPr>
        <w:spacing w:after="0" w:line="240" w:lineRule="auto"/>
        <w:rPr>
          <w:rFonts w:ascii="Calibri" w:eastAsia="Times New Roman" w:hAnsi="Calibri" w:cs="Times New Roman"/>
          <w:color w:val="000000"/>
          <w:lang w:eastAsia="en-GB"/>
        </w:rPr>
        <w:sectPr w:rsidR="00CF1D1E" w:rsidRPr="00CF1D1E" w:rsidSect="00C8289C">
          <w:pgSz w:w="11906" w:h="16838" w:code="9"/>
          <w:pgMar w:top="1440" w:right="567" w:bottom="1440" w:left="1440" w:header="709" w:footer="709" w:gutter="0"/>
          <w:cols w:space="708"/>
          <w:docGrid w:linePitch="360"/>
        </w:sectPr>
      </w:pPr>
    </w:p>
    <w:tbl>
      <w:tblPr>
        <w:tblpPr w:leftFromText="180" w:rightFromText="180" w:vertAnchor="text" w:horzAnchor="page" w:tblpX="1941" w:tblpY="230"/>
        <w:tblW w:w="8647" w:type="dxa"/>
        <w:tblBorders>
          <w:right w:val="single" w:sz="4" w:space="0" w:color="auto"/>
          <w:insideV w:val="single" w:sz="4" w:space="0" w:color="auto"/>
        </w:tblBorders>
        <w:tblLook w:val="04A0" w:firstRow="1" w:lastRow="0" w:firstColumn="1" w:lastColumn="0" w:noHBand="0" w:noVBand="1"/>
      </w:tblPr>
      <w:tblGrid>
        <w:gridCol w:w="1664"/>
        <w:gridCol w:w="1387"/>
        <w:gridCol w:w="1387"/>
        <w:gridCol w:w="1387"/>
        <w:gridCol w:w="1276"/>
        <w:gridCol w:w="1546"/>
      </w:tblGrid>
      <w:tr w:rsidR="00CF1D1E" w:rsidRPr="00CF1D1E" w:rsidTr="00C8289C">
        <w:trPr>
          <w:trHeight w:val="305"/>
        </w:trPr>
        <w:tc>
          <w:tcPr>
            <w:tcW w:w="166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&amp;m/z</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Nettle0001</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Nettle0002</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Nettle0003</w:t>
            </w:r>
          </w:p>
        </w:tc>
        <w:tc>
          <w:tcPr>
            <w:tcW w:w="127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Nettle0004</w:t>
            </w:r>
          </w:p>
        </w:tc>
        <w:tc>
          <w:tcPr>
            <w:tcW w:w="154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1.35_417.0833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2.352606278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6.225758554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3.864559204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9.26387649</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1.89_161.0236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48.96580381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51.32137984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31.23508519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58.9103519</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0.40_959.3157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CSID390957</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0.45_537.1026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122.4711602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124.687516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139.2898091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108.743929</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CSID4945655</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0.88_611.1390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114.7563753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147.6265517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138.6043546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140.838621</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2.12_515.1177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18.69822699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19.94288271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23.23000523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28.5046694</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1.06_497.1077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118.9654199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21.85311166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25.94453925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0.97064835</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0.33_503.2270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41.53541881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37.77106261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36.5211905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35.7701492</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2.27_193.0497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326.0191302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337.7071668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316.6126178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334.970198</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0.62_539.1714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0.000527288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0.415882904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1.279833973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3.72517662</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1.77_357.1340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2.34_373.1289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0.98_358.0893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1.867983003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0.00342542</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1.35_815.2009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0.35_289.0717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56.45031749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49.95664466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58.91087258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48.8896343</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0.40_455.1508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0.543411965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0.594189041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1.413081363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1.47288319</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CSID392875</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0.93_577.1350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1.46_242.0499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2.56_445.0775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2.07_515.1180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2.061552628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4.403020165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1.449268521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1.15569686</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1.62_863.1787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1.36_515.1178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85.12681616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134.0785633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11.35730041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70.8929522</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0.67_253.0493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2.22_399.1081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0.991618898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1.87_417.0829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0.829670885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5.799260311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0.84453048</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0.71_495.1120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37.94430606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32.3924285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40.50684432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42.0253931</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CSID30777594</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0.63_497.1096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281.4103821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258.4813113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307.0368862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281.72553</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1.69_603.1022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0.000149546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0.020671437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CSID30777628</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1.75_415.1050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5.463243883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4.472371129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4.645561265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3.05773657</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1.86_485.1069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1.405918294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1.79_417.1211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0.50_895.1975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2.23_515.1177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5.33135288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5.602111941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7.46374455</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1.64_829.2379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CSID9753486</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2.96_857.3551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CSID28481156</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2.21_1003.2144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2.29_863.2895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05"/>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2.00_899.1796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bl>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Tab.A2-</w:t>
      </w:r>
      <w:r w:rsidRPr="00CF1D1E">
        <w:rPr>
          <w:rFonts w:ascii="Calibri" w:eastAsia="Calibri" w:hAnsi="Calibri" w:cs="Calibri"/>
          <w:color w:val="000000"/>
          <w:sz w:val="20"/>
          <w:szCs w:val="20"/>
        </w:rPr>
        <w:t>002</w:t>
      </w:r>
      <w:r w:rsidRPr="00CF1D1E">
        <w:rPr>
          <w:rFonts w:ascii="Times New Roman" w:eastAsia="Calibri" w:hAnsi="Times New Roman" w:cs="Times New Roman"/>
          <w:color w:val="000000"/>
          <w:sz w:val="20"/>
          <w:szCs w:val="20"/>
        </w:rPr>
        <w:t xml:space="preserve"> </w:t>
      </w:r>
      <w:r w:rsidR="005629D7">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 scoring results from processing HDMS</w:t>
      </w:r>
      <w:r w:rsidRPr="00CF1D1E">
        <w:rPr>
          <w:rFonts w:ascii="Calibri" w:eastAsia="Calibri" w:hAnsi="Calibri" w:cs="Times New Roman"/>
          <w:color w:val="000000"/>
          <w:sz w:val="20"/>
          <w:szCs w:val="20"/>
          <w:vertAlign w:val="superscript"/>
        </w:rPr>
        <w:t>e</w:t>
      </w:r>
      <w:r w:rsidRPr="00CF1D1E">
        <w:rPr>
          <w:rFonts w:ascii="Calibri" w:eastAsia="Calibri" w:hAnsi="Calibri" w:cs="Times New Roman"/>
          <w:color w:val="000000"/>
          <w:sz w:val="20"/>
          <w:szCs w:val="20"/>
        </w:rPr>
        <w:t xml:space="preserve"> data through Progenesis QI. This data relates to the 4 repeats of the Nettle extract compared to blanks.</w:t>
      </w:r>
    </w:p>
    <w:p w:rsidR="00CF1D1E" w:rsidRPr="00CF1D1E" w:rsidRDefault="00CF1D1E" w:rsidP="00CF1D1E">
      <w:pPr>
        <w:rPr>
          <w:rFonts w:ascii="Calibri" w:eastAsia="Calibri" w:hAnsi="Calibri" w:cs="Times New Roman"/>
          <w:color w:val="000000"/>
          <w:sz w:val="20"/>
          <w:szCs w:val="20"/>
        </w:rPr>
      </w:pPr>
      <w:r w:rsidRPr="00CF1D1E">
        <w:rPr>
          <w:rFonts w:ascii="Calibri" w:eastAsia="Calibri" w:hAnsi="Calibri" w:cs="Times New Roman"/>
          <w:sz w:val="20"/>
          <w:szCs w:val="20"/>
        </w:rPr>
        <w:br w:type="page"/>
      </w:r>
    </w:p>
    <w:tbl>
      <w:tblPr>
        <w:tblpPr w:leftFromText="180" w:rightFromText="180" w:vertAnchor="page" w:horzAnchor="margin" w:tblpY="1572"/>
        <w:tblW w:w="8647" w:type="dxa"/>
        <w:tblBorders>
          <w:right w:val="single" w:sz="4" w:space="0" w:color="auto"/>
          <w:insideV w:val="single" w:sz="4" w:space="0" w:color="auto"/>
        </w:tblBorders>
        <w:tblLook w:val="04A0" w:firstRow="1" w:lastRow="0" w:firstColumn="1" w:lastColumn="0" w:noHBand="0" w:noVBand="1"/>
      </w:tblPr>
      <w:tblGrid>
        <w:gridCol w:w="1664"/>
        <w:gridCol w:w="1387"/>
        <w:gridCol w:w="1387"/>
        <w:gridCol w:w="1276"/>
        <w:gridCol w:w="1387"/>
        <w:gridCol w:w="1546"/>
      </w:tblGrid>
      <w:tr w:rsidR="00CF1D1E" w:rsidRPr="00CF1D1E" w:rsidTr="00C8289C">
        <w:trPr>
          <w:trHeight w:val="312"/>
        </w:trPr>
        <w:tc>
          <w:tcPr>
            <w:tcW w:w="1664"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WG0001</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WG0002</w:t>
            </w:r>
          </w:p>
        </w:tc>
        <w:tc>
          <w:tcPr>
            <w:tcW w:w="1276"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WG0003</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WG0004</w:t>
            </w:r>
          </w:p>
        </w:tc>
        <w:tc>
          <w:tcPr>
            <w:tcW w:w="1546"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2.33_399.1085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1.88_339.1225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1.72_609.1456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33.82946259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43.9491138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34.3253594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58.76006738</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CSID4444362</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0.43_367.1051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100.378535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152.0214785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149.423514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176.9465951</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1.82_489.1041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24.88245124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8.613900699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5.09780784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6.634456519</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1.61_367.1026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58.47048069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73.70380879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91.7299251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87.17716553</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1.42_579.1713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1.783721916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1.019612114</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CSID390868</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2.14_445.0793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2.53_545.1640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2.00_591.1705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0.048773764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0.735338192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0.16486879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0.310065078</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1.92_516.1267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0.09253421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2.48_707.1806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1.79_923.2217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2.42_891.2330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2.09_711.1395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2.72_1031.2433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1.75_831.2130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0.431330189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1.198993824</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1.30_515.1189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1.92_775.1524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2.30_989.2149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10.43969107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0.78938176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0.68373363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1.817634321</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1.47_815.1960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1.404019979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1.98_391.1384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CSID13701</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1.70_711.1382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1.22_339.0726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2.245123943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0.08302805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0.690993364</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0.43_337.0567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2.33_511.1394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0.726276547</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CSID553829</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2.29_365.1028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0.039028764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1.00423124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1.42_417.1196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0.288455617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1.54_923.2223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0.39_244.0370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40.56678985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35.05409385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41.7367328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43.49449507</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CSID25941971</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1.30_243.0654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0.307865224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1.52_339.0712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0.000129234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0.420835353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0.0009429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1.30_271.0616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0.28568707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2.073097352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0.388786763</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1.78_599.1187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2.49_387.1072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0.040583575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1.44_743.2020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0.62_809.1484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17.46937647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23.02848322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19.1535163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25.32247779</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1.97_489.1039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527.144493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723.5360101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694.006263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803.9268043</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12"/>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1.52_475.0876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1.088963048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0.560522631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1.19857183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0.130035724</w:t>
            </w:r>
          </w:p>
        </w:tc>
        <w:tc>
          <w:tcPr>
            <w:tcW w:w="1546"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CSID34552925</w:t>
            </w:r>
          </w:p>
        </w:tc>
      </w:tr>
    </w:tbl>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
    <w:p w:rsidR="00CF1D1E" w:rsidRPr="00CF1D1E" w:rsidRDefault="00CF1D1E" w:rsidP="00CF1D1E">
      <w:pPr>
        <w:rPr>
          <w:rFonts w:ascii="Calibri" w:eastAsia="Calibri" w:hAnsi="Calibri" w:cs="Times New Roman"/>
          <w:b/>
          <w:bCs/>
          <w:sz w:val="44"/>
          <w:szCs w:val="44"/>
        </w:rPr>
      </w:pPr>
      <w:r w:rsidRPr="00CF1D1E">
        <w:rPr>
          <w:rFonts w:ascii="Calibri" w:eastAsia="Calibri" w:hAnsi="Calibri" w:cs="Times New Roman"/>
          <w:b/>
          <w:bCs/>
          <w:sz w:val="44"/>
          <w:szCs w:val="44"/>
        </w:rPr>
        <w:br w:type="page"/>
      </w:r>
    </w:p>
    <w:tbl>
      <w:tblPr>
        <w:tblpPr w:leftFromText="180" w:rightFromText="180" w:vertAnchor="page" w:horzAnchor="margin" w:tblpY="1375"/>
        <w:tblW w:w="8505" w:type="dxa"/>
        <w:tblBorders>
          <w:right w:val="single" w:sz="4" w:space="0" w:color="auto"/>
          <w:insideV w:val="single" w:sz="4" w:space="0" w:color="auto"/>
        </w:tblBorders>
        <w:tblLook w:val="04A0" w:firstRow="1" w:lastRow="0" w:firstColumn="1" w:lastColumn="0" w:noHBand="0" w:noVBand="1"/>
      </w:tblPr>
      <w:tblGrid>
        <w:gridCol w:w="1560"/>
        <w:gridCol w:w="1387"/>
        <w:gridCol w:w="1387"/>
        <w:gridCol w:w="1276"/>
        <w:gridCol w:w="1387"/>
        <w:gridCol w:w="1518"/>
      </w:tblGrid>
      <w:tr w:rsidR="00CF1D1E" w:rsidRPr="00CF1D1E" w:rsidTr="00C8289C">
        <w:trPr>
          <w:trHeight w:val="332"/>
        </w:trPr>
        <w:tc>
          <w:tcPr>
            <w:tcW w:w="1560"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WG0001</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WG0002</w:t>
            </w:r>
          </w:p>
        </w:tc>
        <w:tc>
          <w:tcPr>
            <w:tcW w:w="127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WG0003</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WG0004</w:t>
            </w:r>
          </w:p>
        </w:tc>
        <w:tc>
          <w:tcPr>
            <w:tcW w:w="1508"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1.76_915.1610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15.60891426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10.94453566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5.06494452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5.732321483</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CSID58575</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1.31_145.0290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799.0201773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1035.073496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1034.13482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1102.882746</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1.31_367.1044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2540.350964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3273.698997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3285.62745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3787.009762</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1.47_607.1828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0.35_303.0871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19.68993931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43.36284353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41.5046537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30.21131938</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CSID13860434</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1.36_193.0502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9.525035787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11.04906917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8.53932809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10.27782403</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1.56_269.0822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1.32_607.1831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1.89_835.2417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2.34_863.2021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1.79_595.0905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1.547496708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1.965367795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1.95836662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2.847580495</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CSID4445092</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1.50_707.1811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0.034049294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0.511548899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0.28835456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2.180997066</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2.02_415.1033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1.64_477.1017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0.038505145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1.17_161.0239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0.892510584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0.919800589</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1.20_197.0447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CSID12693</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2.00_775.1479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1.91_119.0496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14.1162779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24.36938238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20.7690653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24.19983318</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1.90_163.0393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7.884877503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6.060099796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6.41998047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11.95716381</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2.08_707.1815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2.01_467.0966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25.71895682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28.89699838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33.6010728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43.38848224</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2.06_923.2236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384.1496743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476.6847236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548.128167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568.6441012</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0.38_483.1825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0.241416167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CSID82594</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2.73_835.2417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0.00038749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0.48_355.0673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22.60310443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17.68319234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14.1498373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25.03299548</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0.39_501.1036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5.647509672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8.86314406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8.91385551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7.862906368</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0.52_263.0342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222.5673876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308.9607159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310.601551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336.6717055</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CSID4445117</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1.28_627.1496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13.35927674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13.21953584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14.0704313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11.89954275</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1.59_739.2057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1.045716571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CSID57579554</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2.19_895.1953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0.39_735.2126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1.093093455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2.010517357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0.03891385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0.749792753</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CSID10392638</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0.68_863.2015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11.18818944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6.507313935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10.1815856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3.249632223</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0.83_371.0984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1.825084381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1.402479845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4.27219602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3.094564257</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1.86_297.0758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1.12_449.1085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0.764621415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4.60114829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4.566157206</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CSID8065632</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1.87_743.2022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1.28_625.1403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3.569472688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3.241589397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0.88698656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0.068276331</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CSID4478806</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1.97_603.2252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2.02_891.2341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32"/>
        </w:trPr>
        <w:tc>
          <w:tcPr>
            <w:tcW w:w="1560"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0.43_675.1948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5.182133013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11.26863938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7.86646551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5.620869862</w:t>
            </w:r>
          </w:p>
        </w:tc>
        <w:tc>
          <w:tcPr>
            <w:tcW w:w="150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bl>
    <w:p w:rsidR="00CF1D1E" w:rsidRPr="00CF1D1E" w:rsidRDefault="00CF1D1E" w:rsidP="00CF1D1E">
      <w:pPr>
        <w:spacing w:line="360" w:lineRule="auto"/>
        <w:rPr>
          <w:rFonts w:ascii="Calibri" w:eastAsia="Calibri" w:hAnsi="Calibri" w:cs="Times New Roman"/>
          <w:sz w:val="24"/>
          <w:szCs w:val="24"/>
          <w:lang w:val="en"/>
        </w:rPr>
      </w:pPr>
    </w:p>
    <w:tbl>
      <w:tblPr>
        <w:tblpPr w:leftFromText="180" w:rightFromText="180" w:vertAnchor="text" w:horzAnchor="margin" w:tblpY="164"/>
        <w:tblW w:w="8789" w:type="dxa"/>
        <w:tblBorders>
          <w:right w:val="single" w:sz="4" w:space="0" w:color="auto"/>
          <w:insideV w:val="single" w:sz="4" w:space="0" w:color="auto"/>
        </w:tblBorders>
        <w:tblLook w:val="04A0" w:firstRow="1" w:lastRow="0" w:firstColumn="1" w:lastColumn="0" w:noHBand="0" w:noVBand="1"/>
      </w:tblPr>
      <w:tblGrid>
        <w:gridCol w:w="1668"/>
        <w:gridCol w:w="1387"/>
        <w:gridCol w:w="1387"/>
        <w:gridCol w:w="1276"/>
        <w:gridCol w:w="1387"/>
        <w:gridCol w:w="1684"/>
      </w:tblGrid>
      <w:tr w:rsidR="00CF1D1E" w:rsidRPr="00CF1D1E" w:rsidTr="00C8289C">
        <w:trPr>
          <w:trHeight w:val="315"/>
        </w:trPr>
        <w:tc>
          <w:tcPr>
            <w:tcW w:w="1668"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WG0001</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WG0002</w:t>
            </w:r>
          </w:p>
        </w:tc>
        <w:tc>
          <w:tcPr>
            <w:tcW w:w="127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WG0003</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WG0004</w:t>
            </w:r>
          </w:p>
        </w:tc>
        <w:tc>
          <w:tcPr>
            <w:tcW w:w="168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1.35_417.0833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3.368188656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0.782917301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1.06541025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2.310946799</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1.89_161.0236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0.40_959.3157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3.101952986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CSID390957</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0.45_537.1026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4.925026592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7.094930806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5.69508027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7.192759561</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CSID4945655</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0.88_611.1390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2.12_515.1177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1.469657151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1.17207232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1.06_497.1077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1.036406717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0.14902115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0.585825494</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0.33_503.2270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4.450357796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3.61059225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4.48506403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1.471686836</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2.27_193.0497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0.62_539.1714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0.220648016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0.480895547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0.42695656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0.943984865</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1.77_357.1340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2.319784763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1.556551277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2.34545732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2.112017253</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2.34_373.1289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0.98_358.0893n</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76.15110213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101.7449829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99.6788887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118.0950542</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1.35_815.2009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0.524008239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0.190408566</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0.35_289.0717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3.138820021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6.932578567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1.97477744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5.820519882</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0.40_455.1508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0.00082155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CSID392875</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0.93_577.1350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1.46_242.0499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2.56_445.0775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0.004427065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2.07_515.1180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1.62_863.1787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44.45840051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51.53027423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53.0641705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68.16409136</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1.36_515.1178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0.67_253.0493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2.22_399.1081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1.87_417.0829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0.71_495.1120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48.34087038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80.33481128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72.8407137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83.40145915</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CSID30777594</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0.63_497.1096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8.855953237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17.61641837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10.7486269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20.33035543</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1.69_603.1022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0.824553699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0.061709111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0.429416815</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CSID30777628</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1.75_415.1050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1.86_485.1069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0.071670507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0.004494942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0.00169284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0.21055094</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1.79_417.1211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0.50_895.1975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2.607793558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7.5056047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2.56421912</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2.23_515.1177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1.64_829.2379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CSID9753486</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2.96_857.3551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CSID28481156</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2.21_1003.2144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2.29_863.2895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0.00307022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15"/>
        </w:trPr>
        <w:tc>
          <w:tcPr>
            <w:tcW w:w="1668"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2.00_899.1796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684"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bl>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Calibri" w:eastAsia="Calibri" w:hAnsi="Calibri" w:cs="Calibri"/>
          <w:color w:val="000000"/>
          <w:sz w:val="20"/>
          <w:szCs w:val="20"/>
        </w:rPr>
        <w:t>Tab.A2-003</w:t>
      </w:r>
      <w:r w:rsidRPr="00CF1D1E">
        <w:rPr>
          <w:rFonts w:ascii="Times New Roman" w:eastAsia="Calibri" w:hAnsi="Times New Roman" w:cs="Times New Roman"/>
          <w:color w:val="000000"/>
          <w:sz w:val="20"/>
          <w:szCs w:val="20"/>
        </w:rPr>
        <w:t xml:space="preserve"> </w:t>
      </w:r>
      <w:r w:rsidR="005629D7">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 scoring results from processing HDMS</w:t>
      </w:r>
      <w:r w:rsidRPr="00CF1D1E">
        <w:rPr>
          <w:rFonts w:ascii="Calibri" w:eastAsia="Calibri" w:hAnsi="Calibri" w:cs="Times New Roman"/>
          <w:color w:val="000000"/>
          <w:sz w:val="20"/>
          <w:szCs w:val="20"/>
          <w:vertAlign w:val="superscript"/>
        </w:rPr>
        <w:t>e</w:t>
      </w:r>
      <w:r w:rsidRPr="00CF1D1E">
        <w:rPr>
          <w:rFonts w:ascii="Calibri" w:eastAsia="Calibri" w:hAnsi="Calibri" w:cs="Times New Roman"/>
          <w:color w:val="000000"/>
          <w:sz w:val="20"/>
          <w:szCs w:val="20"/>
        </w:rPr>
        <w:t xml:space="preserve"> data through Progenesis QI. This data relates to the 4 repeats of the Wild Garlic leaf extract compared to blanks.</w:t>
      </w:r>
    </w:p>
    <w:p w:rsidR="00CF1D1E" w:rsidRPr="00CF1D1E" w:rsidRDefault="00CF1D1E" w:rsidP="00CF1D1E">
      <w:pPr>
        <w:rPr>
          <w:rFonts w:ascii="Calibri" w:eastAsia="Calibri" w:hAnsi="Calibri" w:cs="Times New Roman"/>
          <w:color w:val="000000"/>
          <w:sz w:val="20"/>
          <w:szCs w:val="20"/>
        </w:rPr>
      </w:pPr>
      <w:r w:rsidRPr="00CF1D1E">
        <w:rPr>
          <w:rFonts w:ascii="Calibri" w:eastAsia="Calibri" w:hAnsi="Calibri" w:cs="Times New Roman"/>
          <w:sz w:val="20"/>
          <w:szCs w:val="20"/>
        </w:rPr>
        <w:br w:type="page"/>
      </w:r>
    </w:p>
    <w:tbl>
      <w:tblPr>
        <w:tblpPr w:leftFromText="180" w:rightFromText="180" w:vertAnchor="page" w:horzAnchor="margin" w:tblpY="1474"/>
        <w:tblW w:w="9072" w:type="dxa"/>
        <w:tblBorders>
          <w:right w:val="single" w:sz="4" w:space="0" w:color="auto"/>
          <w:insideV w:val="single" w:sz="4" w:space="0" w:color="auto"/>
        </w:tblBorders>
        <w:tblLook w:val="04A0" w:firstRow="1" w:lastRow="0" w:firstColumn="1" w:lastColumn="0" w:noHBand="0" w:noVBand="1"/>
      </w:tblPr>
      <w:tblGrid>
        <w:gridCol w:w="1701"/>
        <w:gridCol w:w="1418"/>
        <w:gridCol w:w="1417"/>
        <w:gridCol w:w="1418"/>
        <w:gridCol w:w="1387"/>
        <w:gridCol w:w="1731"/>
      </w:tblGrid>
      <w:tr w:rsidR="00CF1D1E" w:rsidRPr="00CF1D1E" w:rsidTr="00C8289C">
        <w:trPr>
          <w:trHeight w:val="314"/>
        </w:trPr>
        <w:tc>
          <w:tcPr>
            <w:tcW w:w="1701"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 xml:space="preserve"> RT &amp; m/z</w:t>
            </w:r>
          </w:p>
        </w:tc>
        <w:tc>
          <w:tcPr>
            <w:tcW w:w="1418"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GF0001</w:t>
            </w:r>
          </w:p>
        </w:tc>
        <w:tc>
          <w:tcPr>
            <w:tcW w:w="141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GF0002</w:t>
            </w:r>
          </w:p>
        </w:tc>
        <w:tc>
          <w:tcPr>
            <w:tcW w:w="1418"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GF0003</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GF0004</w:t>
            </w:r>
          </w:p>
        </w:tc>
        <w:tc>
          <w:tcPr>
            <w:tcW w:w="1731"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2.33_399.1085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3.18052658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0.890618305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0.157933924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2.190945693</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4"/>
        </w:trPr>
        <w:tc>
          <w:tcPr>
            <w:tcW w:w="1701" w:type="dxa"/>
            <w:shd w:val="clear" w:color="000000" w:fill="C6E0B4"/>
            <w:noWrap/>
            <w:vAlign w:val="bottom"/>
            <w:hideMark/>
          </w:tcPr>
          <w:p w:rsidR="00CF1D1E" w:rsidRPr="00973685" w:rsidRDefault="00CF1D1E" w:rsidP="00CF1D1E">
            <w:pPr>
              <w:spacing w:after="0" w:line="240" w:lineRule="auto"/>
              <w:rPr>
                <w:rFonts w:ascii="Calibri" w:eastAsia="Times New Roman" w:hAnsi="Calibri" w:cs="Times New Roman"/>
                <w:color w:val="000000"/>
                <w:highlight w:val="cyan"/>
                <w:lang w:eastAsia="en-GB"/>
              </w:rPr>
            </w:pPr>
            <w:r w:rsidRPr="00973685">
              <w:rPr>
                <w:rFonts w:ascii="Calibri" w:eastAsia="Times New Roman" w:hAnsi="Calibri" w:cs="Times New Roman"/>
                <w:color w:val="000000"/>
                <w:highlight w:val="cyan"/>
                <w:lang w:eastAsia="en-GB"/>
              </w:rPr>
              <w:t>1.88_339.1225</w:t>
            </w:r>
          </w:p>
        </w:tc>
        <w:tc>
          <w:tcPr>
            <w:tcW w:w="1418" w:type="dxa"/>
            <w:shd w:val="clear" w:color="auto" w:fill="auto"/>
            <w:noWrap/>
            <w:vAlign w:val="bottom"/>
            <w:hideMark/>
          </w:tcPr>
          <w:p w:rsidR="00CF1D1E" w:rsidRPr="00973685" w:rsidRDefault="00CF1D1E" w:rsidP="00CF1D1E">
            <w:pPr>
              <w:spacing w:after="0" w:line="240" w:lineRule="auto"/>
              <w:jc w:val="right"/>
              <w:rPr>
                <w:rFonts w:ascii="Calibri" w:eastAsia="Times New Roman" w:hAnsi="Calibri" w:cs="Times New Roman"/>
                <w:color w:val="000000"/>
                <w:highlight w:val="cyan"/>
                <w:lang w:eastAsia="en-GB"/>
              </w:rPr>
            </w:pPr>
            <w:r w:rsidRPr="00973685">
              <w:rPr>
                <w:rFonts w:ascii="Calibri" w:eastAsia="Times New Roman" w:hAnsi="Calibri" w:cs="Times New Roman"/>
                <w:color w:val="000000"/>
                <w:highlight w:val="cyan"/>
                <w:lang w:eastAsia="en-GB"/>
              </w:rPr>
              <w:t>75.61128675</w:t>
            </w:r>
          </w:p>
        </w:tc>
        <w:tc>
          <w:tcPr>
            <w:tcW w:w="1417" w:type="dxa"/>
            <w:shd w:val="clear" w:color="auto" w:fill="auto"/>
            <w:noWrap/>
            <w:vAlign w:val="bottom"/>
            <w:hideMark/>
          </w:tcPr>
          <w:p w:rsidR="00CF1D1E" w:rsidRPr="00973685" w:rsidRDefault="00CF1D1E" w:rsidP="00CF1D1E">
            <w:pPr>
              <w:spacing w:after="0" w:line="240" w:lineRule="auto"/>
              <w:jc w:val="right"/>
              <w:rPr>
                <w:rFonts w:ascii="Calibri" w:eastAsia="Times New Roman" w:hAnsi="Calibri" w:cs="Times New Roman"/>
                <w:color w:val="000000"/>
                <w:highlight w:val="cyan"/>
                <w:lang w:eastAsia="en-GB"/>
              </w:rPr>
            </w:pPr>
            <w:r w:rsidRPr="00973685">
              <w:rPr>
                <w:rFonts w:ascii="Calibri" w:eastAsia="Times New Roman" w:hAnsi="Calibri" w:cs="Times New Roman"/>
                <w:color w:val="000000"/>
                <w:highlight w:val="cyan"/>
                <w:lang w:eastAsia="en-GB"/>
              </w:rPr>
              <w:t>73.58153093</w:t>
            </w:r>
          </w:p>
        </w:tc>
        <w:tc>
          <w:tcPr>
            <w:tcW w:w="1418" w:type="dxa"/>
            <w:shd w:val="clear" w:color="auto" w:fill="auto"/>
            <w:noWrap/>
            <w:vAlign w:val="bottom"/>
            <w:hideMark/>
          </w:tcPr>
          <w:p w:rsidR="00CF1D1E" w:rsidRPr="00973685" w:rsidRDefault="00CF1D1E" w:rsidP="00CF1D1E">
            <w:pPr>
              <w:spacing w:after="0" w:line="240" w:lineRule="auto"/>
              <w:jc w:val="right"/>
              <w:rPr>
                <w:rFonts w:ascii="Calibri" w:eastAsia="Times New Roman" w:hAnsi="Calibri" w:cs="Times New Roman"/>
                <w:color w:val="000000"/>
                <w:highlight w:val="cyan"/>
                <w:lang w:eastAsia="en-GB"/>
              </w:rPr>
            </w:pPr>
            <w:r w:rsidRPr="00973685">
              <w:rPr>
                <w:rFonts w:ascii="Calibri" w:eastAsia="Times New Roman" w:hAnsi="Calibri" w:cs="Times New Roman"/>
                <w:color w:val="000000"/>
                <w:highlight w:val="cyan"/>
                <w:lang w:eastAsia="en-GB"/>
              </w:rPr>
              <w:t>73.82344474</w:t>
            </w:r>
          </w:p>
        </w:tc>
        <w:tc>
          <w:tcPr>
            <w:tcW w:w="1387" w:type="dxa"/>
            <w:shd w:val="clear" w:color="auto" w:fill="auto"/>
            <w:noWrap/>
            <w:vAlign w:val="bottom"/>
            <w:hideMark/>
          </w:tcPr>
          <w:p w:rsidR="00CF1D1E" w:rsidRPr="00973685" w:rsidRDefault="00CF1D1E" w:rsidP="00CF1D1E">
            <w:pPr>
              <w:spacing w:after="0" w:line="240" w:lineRule="auto"/>
              <w:jc w:val="right"/>
              <w:rPr>
                <w:rFonts w:ascii="Calibri" w:eastAsia="Times New Roman" w:hAnsi="Calibri" w:cs="Times New Roman"/>
                <w:color w:val="000000"/>
                <w:highlight w:val="cyan"/>
                <w:lang w:eastAsia="en-GB"/>
              </w:rPr>
            </w:pPr>
            <w:r w:rsidRPr="00973685">
              <w:rPr>
                <w:rFonts w:ascii="Calibri" w:eastAsia="Times New Roman" w:hAnsi="Calibri" w:cs="Times New Roman"/>
                <w:color w:val="000000"/>
                <w:highlight w:val="cyan"/>
                <w:lang w:eastAsia="en-GB"/>
              </w:rPr>
              <w:t>65.36198178</w:t>
            </w:r>
          </w:p>
        </w:tc>
        <w:tc>
          <w:tcPr>
            <w:tcW w:w="1731" w:type="dxa"/>
            <w:shd w:val="clear" w:color="auto" w:fill="auto"/>
            <w:noWrap/>
            <w:vAlign w:val="bottom"/>
            <w:hideMark/>
          </w:tcPr>
          <w:p w:rsidR="00CF1D1E" w:rsidRPr="00973685" w:rsidRDefault="00CF1D1E" w:rsidP="00CF1D1E">
            <w:pPr>
              <w:spacing w:after="0" w:line="240" w:lineRule="auto"/>
              <w:rPr>
                <w:rFonts w:ascii="Calibri" w:eastAsia="Times New Roman" w:hAnsi="Calibri" w:cs="Times New Roman"/>
                <w:color w:val="000000"/>
                <w:highlight w:val="cyan"/>
                <w:lang w:eastAsia="en-GB"/>
              </w:rPr>
            </w:pPr>
            <w:r w:rsidRPr="00973685">
              <w:rPr>
                <w:rFonts w:ascii="Calibri" w:eastAsia="Times New Roman" w:hAnsi="Calibri" w:cs="Times New Roman"/>
                <w:color w:val="000000"/>
                <w:highlight w:val="cyan"/>
                <w:lang w:eastAsia="en-GB"/>
              </w:rPr>
              <w:t>CSID106491</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1.72_609.1456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163.3512641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110.8153422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109.1027107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84.14881657</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CSID4444362</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0.43_367.1051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296.4719031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341.774616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311.2559384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306.066042</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1.82_489.1041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183.0030831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200.9615125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193.4421859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216.192312</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1.61_367.1026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0.745232523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0.260791112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1.42_579.1713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500.4942033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507.0120737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16.34398127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17.54456764</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CSID390868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2.14_445.0793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100.443679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107.9646286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115.0500998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257.7258509</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2.53_545.1640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0.221778473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2.901720667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3.179417262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1.076155985</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2.00_591.1705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30.53528159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29.93232161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41.80793333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26.34337714</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1.92_516.1267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74.9057732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75.35708016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78.71390767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70.76034541</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2.48_707.1806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183.9372338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146.4120321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172.0040985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179.9298402</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1.79_923.2217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26.18998498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31.73656999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23.34806214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2.911835161</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2.42_891.2330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663.8601375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658.6399202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606.0407211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626.8376972</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2.09_711.1395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767.291778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782.2298751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774.1589041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743.9634193</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2.72_1031.2433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1103.277048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770.4505344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823.091388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107.3051491</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1.75_831.2130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1430.189866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1381.917643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1497.483509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239.0146531</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1.30_515.1189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143.1052215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136.9661283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4.985123589</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1.92_775.1524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0.018496643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0.795688557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0.510556969</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2.30_989.2149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284.9268885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242.9227974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264.8838891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286.5205169</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1.47_815.1960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4.874595562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2.43833724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106.6913053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104.9544115</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1.98_391.1384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CSID13701</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1.70_711.1382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93.90719036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83.67767628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89.78334846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91.06093462</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1.22_339.0726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14.09045729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15.96949637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6.755405756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11.8616358</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0.43_337.0567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17.8823562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17.98992908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13.86700227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15.6916042</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2.33_511.1394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188.4988174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282.7255221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65.82833494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118.7995221</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CSID553829</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2.29_365.1028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0.193284817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0.056262997</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1.42_417.1196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1458.495412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1490.953305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8.882419693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5.27882233</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1.54_923.2223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32.51001615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39.79384964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4.07596971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0.75451387</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0.39_244.0370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29.14486429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26.54697239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17.79261113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22.27442022</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CSID25941971</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1.30_243.0654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513.2551178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530.4372672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2.35934326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96.12834897</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1.52_339.0712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6.046386892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7.709963891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3.701190423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7.966692623</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1.30_271.0616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1806.614208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1865.175074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1672.103627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1555.287667</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1.78_599.1187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1.738979979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2.49_387.1072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1.44_743.2020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2.599936171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2.534746548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12.17342855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47.55532147</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0.62_809.1484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2.386974797</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1.97_489.1039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136.2573446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148.8237209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80.90992891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106.6689243</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1.52_475.0876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48.7053793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45.45862233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42.42501375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54.97131528</w:t>
            </w:r>
          </w:p>
        </w:tc>
        <w:tc>
          <w:tcPr>
            <w:tcW w:w="173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CSID34552925</w:t>
            </w:r>
          </w:p>
        </w:tc>
      </w:tr>
    </w:tbl>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rPr>
          <w:rFonts w:ascii="Calibri" w:eastAsia="Calibri" w:hAnsi="Calibri" w:cs="Times New Roman"/>
          <w:sz w:val="24"/>
          <w:szCs w:val="24"/>
          <w:lang w:val="en"/>
        </w:rPr>
      </w:pPr>
    </w:p>
    <w:tbl>
      <w:tblPr>
        <w:tblpPr w:leftFromText="180" w:rightFromText="180" w:vertAnchor="page" w:horzAnchor="page" w:tblpX="1866" w:tblpY="1506"/>
        <w:tblW w:w="8647" w:type="dxa"/>
        <w:tblLook w:val="04A0" w:firstRow="1" w:lastRow="0" w:firstColumn="1" w:lastColumn="0" w:noHBand="0" w:noVBand="1"/>
      </w:tblPr>
      <w:tblGrid>
        <w:gridCol w:w="1560"/>
        <w:gridCol w:w="1417"/>
        <w:gridCol w:w="1387"/>
        <w:gridCol w:w="1387"/>
        <w:gridCol w:w="1387"/>
        <w:gridCol w:w="1518"/>
      </w:tblGrid>
      <w:tr w:rsidR="00CF1D1E" w:rsidRPr="00CF1D1E" w:rsidTr="00C8289C">
        <w:trPr>
          <w:trHeight w:val="315"/>
        </w:trPr>
        <w:tc>
          <w:tcPr>
            <w:tcW w:w="1560"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xml:space="preserve"> RT &amp; m/z</w:t>
            </w:r>
          </w:p>
        </w:tc>
        <w:tc>
          <w:tcPr>
            <w:tcW w:w="141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GF0001</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GF0002</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GF0003</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GF0004</w:t>
            </w:r>
          </w:p>
        </w:tc>
        <w:tc>
          <w:tcPr>
            <w:tcW w:w="1509"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1.76_915.1610</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66.70786582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22.56802697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17.01307339</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63.41496051</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CSID58575</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1.31_145.0290</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1.31_367.1044</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1.938079317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0.528245363</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1.848448456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1.171340296</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1.47_607.1828</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25.53063985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19.35498512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4.550392396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0.676981897</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0.35_303.0871</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19.98316892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20.82192116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19.26611715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24.34668231</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CSID13860434</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1.36_193.0502</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1041.389359</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1071.618198</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29.68187543</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16.25619607</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1.56_269.0822</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375.0389435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386.7227056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370.1379294</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370.4624573</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1.32_607.1831</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23.20449329</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23.04539254</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1.384499018</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0.581905051</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1.89_835.2417</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322.1501577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286.7988892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266.6757016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205.1055044</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2.34_863.2021</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7.888015512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3.57963754</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0.487546506</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1.79_595.0905</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0.064798192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1.328706337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2.197324812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3.141514492</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CSID4445092</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1.50_707.1811</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25.56844262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37.00550189</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83.90551942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59.2859068</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2.02_415.1033</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1269.618806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1197.665608</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1207.473262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1193.645115</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1.64_477.1017</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8.663562047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10.85424005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13.45465264</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12.88579335</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1.17_161.0239</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0.9017998</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1.20_197.0447</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CSID12693</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2.00_775.1479</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1.061002737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1.375713189</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1.91_119.0496</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228.3032651</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220.704747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201.5531428</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182.4337145</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1.90_163.0393</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41.03048827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41.4229895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40.14340082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34.73750375</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2.08_707.1815</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116.0474551</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96.08025348</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115.6123303</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119.2613283</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2.01_467.0966</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1.081585908</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0.814204466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2.872562923</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2.06_923.2236</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8095.082335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7999.428192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7559.131517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7850.982146</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0.38_483.1825</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19.76259949</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10.92468763</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13.54361089</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15.9445752</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CSID82594</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2.73_835.2417</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373.6008178</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286.0048516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285.0356201</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747.4635757</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0.48_355.0673</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6.273623761</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5.398525584</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3.791454513</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3.514909474</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0.39_501.1036</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3.615477336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7.52745646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3.711484534</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3.529696199</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0.52_263.0342</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3.441545303</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5.471482712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5.104509556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2.650326948</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CSID4445117</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1.28_627.1496</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56.45289646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52.52263127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165.9088324</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194.6872382</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1.59_739.2057</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87.86550476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84.47948294</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75.48479736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84.16759844</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CSID57579554</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2.19_895.1953</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63.41249597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63.25768716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72.00697495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138.8484005</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0.39_735.2126</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0.155416607</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CSID10392638</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0.68_863.2015</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0.787765418</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0.83_371.0984</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1.106794025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0.941870078</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0.496384982</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1.86_297.0758</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464.3698721</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456.5764455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427.0109382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483.6656151</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1.12_449.1085</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942.9903356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905.9566144</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881.2643746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818.8867071</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CSID8065632</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1.87_743.2022</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61.71931216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57.25333006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47.90063086</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53.44118456</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1.28_625.1403</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4.472090567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0.729287012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211.6533675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199.9863632</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CSID4478806</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1.97_603.2252</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2.02_891.2341</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14.42571377</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18.71281074</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16.25203185</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2.569602717</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15"/>
        </w:trPr>
        <w:tc>
          <w:tcPr>
            <w:tcW w:w="1560" w:type="dxa"/>
            <w:tcBorders>
              <w:top w:val="nil"/>
              <w:left w:val="nil"/>
              <w:bottom w:val="nil"/>
              <w:right w:val="nil"/>
            </w:tcBorders>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0.43_675.1948</w:t>
            </w:r>
          </w:p>
        </w:tc>
        <w:tc>
          <w:tcPr>
            <w:tcW w:w="141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9.185007402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8.327271812</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10.87542311</w:t>
            </w:r>
          </w:p>
        </w:tc>
        <w:tc>
          <w:tcPr>
            <w:tcW w:w="1387"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7.053865722</w:t>
            </w:r>
          </w:p>
        </w:tc>
        <w:tc>
          <w:tcPr>
            <w:tcW w:w="1509" w:type="dxa"/>
            <w:tcBorders>
              <w:top w:val="nil"/>
              <w:left w:val="nil"/>
              <w:bottom w:val="nil"/>
              <w:right w:val="nil"/>
            </w:tcBorders>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bl>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p w:rsidR="00CF1D1E" w:rsidRPr="00CF1D1E" w:rsidRDefault="00CF1D1E" w:rsidP="00CF1D1E">
      <w:pPr>
        <w:spacing w:line="360" w:lineRule="auto"/>
        <w:rPr>
          <w:rFonts w:ascii="Calibri" w:eastAsia="Calibri" w:hAnsi="Calibri" w:cs="Times New Roman"/>
          <w:sz w:val="24"/>
          <w:szCs w:val="24"/>
          <w:lang w:val="en"/>
        </w:rPr>
      </w:pPr>
    </w:p>
    <w:tbl>
      <w:tblPr>
        <w:tblpPr w:leftFromText="180" w:rightFromText="180" w:vertAnchor="page" w:horzAnchor="page" w:tblpX="1896" w:tblpY="1491"/>
        <w:tblW w:w="8789" w:type="dxa"/>
        <w:tblBorders>
          <w:right w:val="single" w:sz="4" w:space="0" w:color="auto"/>
          <w:insideV w:val="single" w:sz="4" w:space="0" w:color="auto"/>
        </w:tblBorders>
        <w:tblLook w:val="04A0" w:firstRow="1" w:lastRow="0" w:firstColumn="1" w:lastColumn="0" w:noHBand="0" w:noVBand="1"/>
      </w:tblPr>
      <w:tblGrid>
        <w:gridCol w:w="1664"/>
        <w:gridCol w:w="1387"/>
        <w:gridCol w:w="1387"/>
        <w:gridCol w:w="1387"/>
        <w:gridCol w:w="1387"/>
        <w:gridCol w:w="1577"/>
      </w:tblGrid>
      <w:tr w:rsidR="00CF1D1E" w:rsidRPr="00CF1D1E" w:rsidTr="00C8289C">
        <w:trPr>
          <w:trHeight w:val="313"/>
        </w:trPr>
        <w:tc>
          <w:tcPr>
            <w:tcW w:w="166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 xml:space="preserve"> RT &amp; m/z</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GF0001</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GF0002</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GF0003</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GF0004</w:t>
            </w:r>
          </w:p>
        </w:tc>
        <w:tc>
          <w:tcPr>
            <w:tcW w:w="157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1.35_417.0833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7.724067151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4.546257519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3.877980543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4.622080841</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1.89_161.0236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2.400653802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2.739595852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1.616395824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2.219276528</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0.40_959.3157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1.384509782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CSID390957</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0.45_537.1026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7.790060871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8.445222154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6.616643223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10.33221182</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CSID4945655</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0.88_611.1390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127.2750468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138.7623552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126.1963494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90.16826825</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2.12_515.1177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847.7824498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837.2077733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762.5042826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791.8546433</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1.06_497.1077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81.57431118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84.3992499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76.85031579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0.33_503.2270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2.27_193.0497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0.085866841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0.055473142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0.163213207</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0.62_539.1714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1.77_357.1340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1.53091098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4.969390834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5.171038912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2.34_373.1289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86.76892386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65.82262142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89.93665207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80.00204688</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0.98_358.0893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1.282083687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0.588578081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0.355822948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0.394524004</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1.35_815.2009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101.5586266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106.8197089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0.35_289.0717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0.557296606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1.75639511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0.842166644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2.88871963</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0.40_455.1508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1.514519386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1.381510336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1.015576374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2.016148957</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CSID392875</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0.93_577.1350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78.62225716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82.35758675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82.09316208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37.5311818</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1.46_242.0499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2.56_445.0775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11.91286443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44.50636052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22.58625657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14.4116122</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2.07_515.1180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1.659890613</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1.62_863.1787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1.016654768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5.56075831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91.54827883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85.36986882</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1.36_515.1178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133.5487543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86.79580842</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0.67_253.0493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2.15602626</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2.22_399.1081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54.69025414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39.12079083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52.24372127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46.07000654</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1.87_417.0829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0.00920932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0.000525208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0.368465616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0.270795773</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0.71_495.1120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24.50471388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30.96871959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36.73383843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27.75587021</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CSID30777594</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0.63_497.1096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11.67929693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15.04645812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11.60985633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12.91912196</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1.69_603.1022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0.092573932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0.037470182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CSID30777628</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1.75_415.1050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3290.49175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3335.279753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3202.904111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3188.057009</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1.86_485.1069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1.483969672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1.994656536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2.06795359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5.444390348</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1.79_417.1211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799.179078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876.5628166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638.9575927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29.65480077</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0.50_895.1975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2.23_515.1177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9.377191452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11.046997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20.52750289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4.159357857</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1.64_829.2379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26.49460427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25.59493815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18.94524154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21.62972203</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CSID9753486</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2.96_857.3551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0.886433246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0.215303285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1.31348604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20.54930682</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CSID28481156</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2.21_1003.2144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7443.255196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6705.468144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7234.09272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7255.272275</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2.29_863.2895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6.0709262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7.367512595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6.006409385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8.338433187</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13"/>
        </w:trPr>
        <w:tc>
          <w:tcPr>
            <w:tcW w:w="1664"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2.00_899.1796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505.2035792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526.9366207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514.1654791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516.7734841</w:t>
            </w:r>
          </w:p>
        </w:tc>
        <w:tc>
          <w:tcPr>
            <w:tcW w:w="1577"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bl>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Tab.A2-004</w:t>
      </w:r>
      <w:r w:rsidRPr="00CF1D1E">
        <w:rPr>
          <w:rFonts w:ascii="Times New Roman" w:eastAsia="Calibri" w:hAnsi="Times New Roman" w:cs="Times New Roman"/>
          <w:color w:val="000000"/>
          <w:sz w:val="20"/>
          <w:szCs w:val="20"/>
        </w:rPr>
        <w:t xml:space="preserve"> </w:t>
      </w:r>
      <w:r w:rsidR="005629D7">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 scoring results from processing HDMS</w:t>
      </w:r>
      <w:r w:rsidRPr="00CF1D1E">
        <w:rPr>
          <w:rFonts w:ascii="Calibri" w:eastAsia="Calibri" w:hAnsi="Calibri" w:cs="Times New Roman"/>
          <w:color w:val="000000"/>
          <w:sz w:val="20"/>
          <w:szCs w:val="20"/>
          <w:vertAlign w:val="superscript"/>
        </w:rPr>
        <w:t>e</w:t>
      </w:r>
      <w:r w:rsidR="005629D7">
        <w:rPr>
          <w:rFonts w:ascii="Calibri" w:eastAsia="Calibri" w:hAnsi="Calibri" w:cs="Times New Roman"/>
          <w:color w:val="000000"/>
          <w:sz w:val="20"/>
          <w:szCs w:val="20"/>
        </w:rPr>
        <w:t xml:space="preserve"> data through </w:t>
      </w:r>
      <w:r w:rsidRPr="00CF1D1E">
        <w:rPr>
          <w:rFonts w:ascii="Calibri" w:eastAsia="Calibri" w:hAnsi="Calibri" w:cs="Times New Roman"/>
          <w:color w:val="000000"/>
          <w:sz w:val="20"/>
          <w:szCs w:val="20"/>
        </w:rPr>
        <w:t>Progenesis QI. This data relates to the 4 repeats of the Gorse Flower extract compared to blanks.</w:t>
      </w:r>
      <w:r w:rsidR="00973685">
        <w:rPr>
          <w:rFonts w:ascii="Calibri" w:eastAsia="Calibri" w:hAnsi="Calibri" w:cs="Times New Roman"/>
          <w:color w:val="000000"/>
          <w:sz w:val="20"/>
          <w:szCs w:val="20"/>
        </w:rPr>
        <w:t xml:space="preserve"> Matairesinol highlighted in blue.</w:t>
      </w:r>
    </w:p>
    <w:p w:rsidR="00CF1D1E" w:rsidRPr="00CF1D1E" w:rsidRDefault="00CF1D1E" w:rsidP="00CF1D1E">
      <w:pPr>
        <w:rPr>
          <w:rFonts w:ascii="Calibri" w:eastAsia="Calibri" w:hAnsi="Calibri" w:cs="Times New Roman"/>
          <w:color w:val="000000"/>
          <w:sz w:val="20"/>
          <w:szCs w:val="20"/>
        </w:rPr>
      </w:pPr>
      <w:r w:rsidRPr="00CF1D1E">
        <w:rPr>
          <w:rFonts w:ascii="Calibri" w:eastAsia="Calibri" w:hAnsi="Calibri" w:cs="Times New Roman"/>
          <w:sz w:val="20"/>
          <w:szCs w:val="20"/>
        </w:rPr>
        <w:br w:type="page"/>
      </w:r>
    </w:p>
    <w:tbl>
      <w:tblPr>
        <w:tblpPr w:leftFromText="180" w:rightFromText="180" w:vertAnchor="page" w:horzAnchor="margin" w:tblpY="1441"/>
        <w:tblW w:w="8647" w:type="dxa"/>
        <w:tblBorders>
          <w:right w:val="single" w:sz="4" w:space="0" w:color="auto"/>
          <w:insideV w:val="single" w:sz="4" w:space="0" w:color="auto"/>
        </w:tblBorders>
        <w:tblLook w:val="04A0" w:firstRow="1" w:lastRow="0" w:firstColumn="1" w:lastColumn="0" w:noHBand="0" w:noVBand="1"/>
      </w:tblPr>
      <w:tblGrid>
        <w:gridCol w:w="1701"/>
        <w:gridCol w:w="1418"/>
        <w:gridCol w:w="1387"/>
        <w:gridCol w:w="1306"/>
        <w:gridCol w:w="1276"/>
        <w:gridCol w:w="1559"/>
      </w:tblGrid>
      <w:tr w:rsidR="00CF1D1E" w:rsidRPr="00CF1D1E" w:rsidTr="00C8289C">
        <w:trPr>
          <w:trHeight w:val="333"/>
        </w:trPr>
        <w:tc>
          <w:tcPr>
            <w:tcW w:w="1701"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418"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GS0001</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GS0002</w:t>
            </w:r>
          </w:p>
        </w:tc>
        <w:tc>
          <w:tcPr>
            <w:tcW w:w="1306" w:type="dxa"/>
            <w:shd w:val="clear" w:color="000000" w:fill="FFC000"/>
            <w:noWrap/>
            <w:vAlign w:val="bottom"/>
            <w:hideMark/>
          </w:tcPr>
          <w:p w:rsidR="00CF1D1E" w:rsidRPr="00CF1D1E" w:rsidRDefault="00493A1A" w:rsidP="00CF1D1E">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GS</w:t>
            </w:r>
            <w:r w:rsidR="00CF1D1E" w:rsidRPr="00CF1D1E">
              <w:rPr>
                <w:rFonts w:ascii="Calibri" w:eastAsia="Times New Roman" w:hAnsi="Calibri" w:cs="Times New Roman"/>
                <w:color w:val="000000"/>
                <w:lang w:eastAsia="en-GB"/>
              </w:rPr>
              <w:t>0003</w:t>
            </w:r>
          </w:p>
        </w:tc>
        <w:tc>
          <w:tcPr>
            <w:tcW w:w="1276"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GS0004</w:t>
            </w:r>
          </w:p>
        </w:tc>
        <w:tc>
          <w:tcPr>
            <w:tcW w:w="1559"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2.33_399.1085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33"/>
        </w:trPr>
        <w:tc>
          <w:tcPr>
            <w:tcW w:w="1701" w:type="dxa"/>
            <w:shd w:val="clear" w:color="000000" w:fill="C6E0B4"/>
            <w:noWrap/>
            <w:vAlign w:val="bottom"/>
            <w:hideMark/>
          </w:tcPr>
          <w:p w:rsidR="00CF1D1E" w:rsidRPr="00493A1A" w:rsidRDefault="00CF1D1E" w:rsidP="00CF1D1E">
            <w:pPr>
              <w:spacing w:after="0" w:line="240" w:lineRule="auto"/>
              <w:rPr>
                <w:rFonts w:ascii="Calibri" w:eastAsia="Times New Roman" w:hAnsi="Calibri" w:cs="Times New Roman"/>
                <w:color w:val="000000"/>
                <w:highlight w:val="cyan"/>
                <w:lang w:eastAsia="en-GB"/>
              </w:rPr>
            </w:pPr>
            <w:r w:rsidRPr="00493A1A">
              <w:rPr>
                <w:rFonts w:ascii="Calibri" w:eastAsia="Times New Roman" w:hAnsi="Calibri" w:cs="Times New Roman"/>
                <w:color w:val="000000"/>
                <w:highlight w:val="cyan"/>
                <w:lang w:eastAsia="en-GB"/>
              </w:rPr>
              <w:t>1.88_339.1225</w:t>
            </w:r>
          </w:p>
        </w:tc>
        <w:tc>
          <w:tcPr>
            <w:tcW w:w="1418" w:type="dxa"/>
            <w:shd w:val="clear" w:color="auto" w:fill="auto"/>
            <w:noWrap/>
            <w:vAlign w:val="bottom"/>
            <w:hideMark/>
          </w:tcPr>
          <w:p w:rsidR="00CF1D1E" w:rsidRPr="00493A1A" w:rsidRDefault="00CF1D1E" w:rsidP="00CF1D1E">
            <w:pPr>
              <w:spacing w:after="0" w:line="240" w:lineRule="auto"/>
              <w:jc w:val="right"/>
              <w:rPr>
                <w:rFonts w:ascii="Calibri" w:eastAsia="Times New Roman" w:hAnsi="Calibri" w:cs="Times New Roman"/>
                <w:color w:val="000000"/>
                <w:highlight w:val="cyan"/>
                <w:lang w:eastAsia="en-GB"/>
              </w:rPr>
            </w:pPr>
            <w:r w:rsidRPr="00493A1A">
              <w:rPr>
                <w:rFonts w:ascii="Calibri" w:eastAsia="Times New Roman" w:hAnsi="Calibri" w:cs="Times New Roman"/>
                <w:color w:val="000000"/>
                <w:highlight w:val="cyan"/>
                <w:lang w:eastAsia="en-GB"/>
              </w:rPr>
              <w:t>468.4332111</w:t>
            </w:r>
          </w:p>
        </w:tc>
        <w:tc>
          <w:tcPr>
            <w:tcW w:w="1387" w:type="dxa"/>
            <w:shd w:val="clear" w:color="auto" w:fill="auto"/>
            <w:noWrap/>
            <w:vAlign w:val="bottom"/>
            <w:hideMark/>
          </w:tcPr>
          <w:p w:rsidR="00CF1D1E" w:rsidRPr="00493A1A" w:rsidRDefault="00CF1D1E" w:rsidP="00CF1D1E">
            <w:pPr>
              <w:spacing w:after="0" w:line="240" w:lineRule="auto"/>
              <w:jc w:val="right"/>
              <w:rPr>
                <w:rFonts w:ascii="Calibri" w:eastAsia="Times New Roman" w:hAnsi="Calibri" w:cs="Times New Roman"/>
                <w:color w:val="000000"/>
                <w:highlight w:val="cyan"/>
                <w:lang w:eastAsia="en-GB"/>
              </w:rPr>
            </w:pPr>
            <w:r w:rsidRPr="00493A1A">
              <w:rPr>
                <w:rFonts w:ascii="Calibri" w:eastAsia="Times New Roman" w:hAnsi="Calibri" w:cs="Times New Roman"/>
                <w:color w:val="000000"/>
                <w:highlight w:val="cyan"/>
                <w:lang w:eastAsia="en-GB"/>
              </w:rPr>
              <w:t>412.6079413</w:t>
            </w:r>
          </w:p>
        </w:tc>
        <w:tc>
          <w:tcPr>
            <w:tcW w:w="1306" w:type="dxa"/>
            <w:shd w:val="clear" w:color="auto" w:fill="auto"/>
            <w:noWrap/>
            <w:vAlign w:val="bottom"/>
            <w:hideMark/>
          </w:tcPr>
          <w:p w:rsidR="00CF1D1E" w:rsidRPr="00493A1A" w:rsidRDefault="00CF1D1E" w:rsidP="00CF1D1E">
            <w:pPr>
              <w:spacing w:after="0" w:line="240" w:lineRule="auto"/>
              <w:jc w:val="right"/>
              <w:rPr>
                <w:rFonts w:ascii="Calibri" w:eastAsia="Times New Roman" w:hAnsi="Calibri" w:cs="Times New Roman"/>
                <w:color w:val="000000"/>
                <w:highlight w:val="cyan"/>
                <w:lang w:eastAsia="en-GB"/>
              </w:rPr>
            </w:pPr>
            <w:r w:rsidRPr="00493A1A">
              <w:rPr>
                <w:rFonts w:ascii="Calibri" w:eastAsia="Times New Roman" w:hAnsi="Calibri" w:cs="Times New Roman"/>
                <w:color w:val="000000"/>
                <w:highlight w:val="cyan"/>
                <w:lang w:eastAsia="en-GB"/>
              </w:rPr>
              <w:t>422.099102</w:t>
            </w:r>
          </w:p>
        </w:tc>
        <w:tc>
          <w:tcPr>
            <w:tcW w:w="1276" w:type="dxa"/>
            <w:shd w:val="clear" w:color="auto" w:fill="auto"/>
            <w:noWrap/>
            <w:vAlign w:val="bottom"/>
            <w:hideMark/>
          </w:tcPr>
          <w:p w:rsidR="00CF1D1E" w:rsidRPr="00493A1A" w:rsidRDefault="00CF1D1E" w:rsidP="00CF1D1E">
            <w:pPr>
              <w:spacing w:after="0" w:line="240" w:lineRule="auto"/>
              <w:jc w:val="right"/>
              <w:rPr>
                <w:rFonts w:ascii="Calibri" w:eastAsia="Times New Roman" w:hAnsi="Calibri" w:cs="Times New Roman"/>
                <w:color w:val="000000"/>
                <w:highlight w:val="cyan"/>
                <w:lang w:eastAsia="en-GB"/>
              </w:rPr>
            </w:pPr>
            <w:r w:rsidRPr="00493A1A">
              <w:rPr>
                <w:rFonts w:ascii="Calibri" w:eastAsia="Times New Roman" w:hAnsi="Calibri" w:cs="Times New Roman"/>
                <w:color w:val="000000"/>
                <w:highlight w:val="cyan"/>
                <w:lang w:eastAsia="en-GB"/>
              </w:rPr>
              <w:t>400.612843</w:t>
            </w:r>
          </w:p>
        </w:tc>
        <w:tc>
          <w:tcPr>
            <w:tcW w:w="1559" w:type="dxa"/>
            <w:shd w:val="clear" w:color="auto" w:fill="auto"/>
            <w:noWrap/>
            <w:vAlign w:val="bottom"/>
            <w:hideMark/>
          </w:tcPr>
          <w:p w:rsidR="00CF1D1E" w:rsidRPr="00493A1A" w:rsidRDefault="00CF1D1E" w:rsidP="00CF1D1E">
            <w:pPr>
              <w:spacing w:after="0" w:line="240" w:lineRule="auto"/>
              <w:rPr>
                <w:rFonts w:ascii="Calibri" w:eastAsia="Times New Roman" w:hAnsi="Calibri" w:cs="Times New Roman"/>
                <w:color w:val="000000"/>
                <w:highlight w:val="cyan"/>
                <w:lang w:eastAsia="en-GB"/>
              </w:rPr>
            </w:pPr>
            <w:r w:rsidRPr="00493A1A">
              <w:rPr>
                <w:rFonts w:ascii="Calibri" w:eastAsia="Times New Roman" w:hAnsi="Calibri" w:cs="Times New Roman"/>
                <w:color w:val="000000"/>
                <w:highlight w:val="cyan"/>
                <w:lang w:eastAsia="en-GB"/>
              </w:rPr>
              <w:t>CSID106491</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1.72_609.1456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41.16824157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9.120726985</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30.0190942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16.843869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CSID4444362</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0.43_367.1051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32.13427369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31.44987845</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33.1076387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33.0256679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1.82_489.1041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36.99881295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10.62558365</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23.776681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5.56469984</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1.61_367.1026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5.040426823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5.822502777</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6.99827082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0.26066499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1.42_579.1713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286.108322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286.2894641</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277.214686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299.665401</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CSID390868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2.14_445.0793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27.02278711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16.91557786</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25.7527433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33.5560642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2.53_545.1640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3.064981238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3.459473224</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1.66464081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2.60862624</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2.00_591.1705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32.35803507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53.63877043</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51.6461354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51.362479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1.92_516.1267n</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731.794851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714.5178327</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753.194034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702.130827</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2.48_707.1806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51.9969247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60.97467906</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55.3493278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41.3807186</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1.79_923.2217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0.043286841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4.900357578</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2.46889378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2.01494164</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2.42_891.2330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660.1020954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641.1405764</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599.814369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609.373432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2.09_711.1395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13.30291262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17.44644421</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18.8912329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20.1250668</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2.72_1031.2433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3167.639463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3079.151033</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3539.98649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3156.9026</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1.75_831.2130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118.6662359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122.8379221</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143.971124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151.27606</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1.30_515.1189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79.15946068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51.94521019</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71.9593835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61.8057297</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1.92_775.1524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105.5442782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140.6097223</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104.567515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98.1107654</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2.30_989.2149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19.21474531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19.97049918</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8.81228195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14.4866202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1.47_815.1960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5.423632981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1.230833333</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2.7932025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4.27785046</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1.98_391.1384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2.294482146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1.68629884</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CSID13701</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1.70_711.1382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0.10012135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1.35926989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1.22_339.0726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103.6830537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82.71460678</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105.471127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103.000722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0.43_337.0567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7.301173351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7.289618292</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6.66508477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10.665169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2.33_511.1394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108.0503244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77.6969701</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76.4636402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61.9408125</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CSID553829</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2.29_365.1028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291.9707495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226.4132975</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250.032826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223.697259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1.42_417.1196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1013.725086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782.7551497</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872.590198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884.037269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1.54_923.2223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123.5630377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94.77800593</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129.472148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120.089492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0.39_244.0370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21.30487202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21.97581406</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14.7509832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22.5069229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CSID25941971</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1.30_243.0654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297.8089051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287.4411467</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296.651694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266.684419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1.52_339.0712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9.1283725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9.049530155</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9.00951979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14.788078</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1.30_271.0616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1342.259362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1211.596287</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1298.34573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1258.03083</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1.78_599.1187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2.49_387.1072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96.58316553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75.53541665</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94.2496153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86.574623</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1.44_743.2020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153.4680026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130.472356</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143.101634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135.195032</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0.62_809.1484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1.97_489.1039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83.77798291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68.50218431</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93.6500197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93.1619666</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1.52_475.0876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11.69730154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9.598183479</w:t>
            </w:r>
          </w:p>
        </w:tc>
        <w:tc>
          <w:tcPr>
            <w:tcW w:w="130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12.8445198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11.8647329</w:t>
            </w:r>
          </w:p>
        </w:tc>
        <w:tc>
          <w:tcPr>
            <w:tcW w:w="155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CSID34552925</w:t>
            </w:r>
          </w:p>
        </w:tc>
      </w:tr>
    </w:tbl>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spacing w:line="360" w:lineRule="auto"/>
        <w:rPr>
          <w:rFonts w:ascii="Calibri" w:eastAsia="Calibri" w:hAnsi="Calibri" w:cs="Times New Roman"/>
          <w:sz w:val="24"/>
          <w:szCs w:val="24"/>
          <w:lang w:val="en"/>
        </w:rPr>
      </w:pPr>
    </w:p>
    <w:tbl>
      <w:tblPr>
        <w:tblpPr w:leftFromText="180" w:rightFromText="180" w:vertAnchor="page" w:horzAnchor="margin" w:tblpXSpec="center" w:tblpY="1441"/>
        <w:tblW w:w="8789" w:type="dxa"/>
        <w:tblBorders>
          <w:right w:val="single" w:sz="4" w:space="0" w:color="auto"/>
          <w:insideV w:val="single" w:sz="4" w:space="0" w:color="auto"/>
        </w:tblBorders>
        <w:tblLook w:val="04A0" w:firstRow="1" w:lastRow="0" w:firstColumn="1" w:lastColumn="0" w:noHBand="0" w:noVBand="1"/>
      </w:tblPr>
      <w:tblGrid>
        <w:gridCol w:w="1701"/>
        <w:gridCol w:w="1418"/>
        <w:gridCol w:w="1417"/>
        <w:gridCol w:w="1276"/>
        <w:gridCol w:w="1276"/>
        <w:gridCol w:w="1701"/>
      </w:tblGrid>
      <w:tr w:rsidR="00CF1D1E" w:rsidRPr="00CF1D1E" w:rsidTr="00C8289C">
        <w:trPr>
          <w:trHeight w:val="314"/>
        </w:trPr>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RT &amp; m/z</w:t>
            </w:r>
          </w:p>
        </w:tc>
        <w:tc>
          <w:tcPr>
            <w:tcW w:w="1418"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GS0001</w:t>
            </w:r>
          </w:p>
        </w:tc>
        <w:tc>
          <w:tcPr>
            <w:tcW w:w="141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GS0002</w:t>
            </w:r>
          </w:p>
        </w:tc>
        <w:tc>
          <w:tcPr>
            <w:tcW w:w="1276" w:type="dxa"/>
            <w:shd w:val="clear" w:color="000000" w:fill="FFC000"/>
            <w:noWrap/>
            <w:vAlign w:val="bottom"/>
          </w:tcPr>
          <w:p w:rsidR="00CF1D1E" w:rsidRPr="00CF1D1E" w:rsidRDefault="00493A1A" w:rsidP="00CF1D1E">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GS</w:t>
            </w:r>
            <w:r w:rsidR="00CF1D1E" w:rsidRPr="00CF1D1E">
              <w:rPr>
                <w:rFonts w:ascii="Calibri" w:eastAsia="Times New Roman" w:hAnsi="Calibri" w:cs="Times New Roman"/>
                <w:color w:val="000000"/>
                <w:lang w:eastAsia="en-GB"/>
              </w:rPr>
              <w:t>0003</w:t>
            </w:r>
          </w:p>
        </w:tc>
        <w:tc>
          <w:tcPr>
            <w:tcW w:w="127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GS0004</w:t>
            </w:r>
          </w:p>
        </w:tc>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1.52_475.0876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11.69730154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9.598183479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12.8445198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11.8647329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CSID34552925</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1.76_915.1610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7.13958029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0.667951217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4.0985272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3.8004961</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CSID58575</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1.31_145.0290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69.58845561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61.32883386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54.1605491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64.3406225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1.31_367.1044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0.868883554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0.241798275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1.47_607.1828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21.8592731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11.93841898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70.8226104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55.7595962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0.35_303.0871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21.95619979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19.3806754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13.2772098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12.4732135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CSID13860434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1.36_193.0502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89.48909422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49.9096327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112.331547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83.7167629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1.56_269.0822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223.0573771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178.8779677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192.273488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205.751805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1.32_607.1831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61.78384647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31.13585065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24.7871704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39.4206346</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1.89_835.2417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57.38267704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74.53370027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58.0217387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55.8244549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2.34_863.2021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139.9509863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139.8329143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134.466654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117.760283</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1.79_595.0905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15.96081078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15.77280516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13.7231379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12.2777614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CSID4445092</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1.50_707.1811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9.315664067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23.0355543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39.7757527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52.3961533</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2.02_415.1033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2259.872198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2001.88547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2193.18116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1967.51514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1.64_477.1017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1.145826977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1.811448514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3.5892844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1.17_161.0239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0.494048963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1.21650782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1.02899362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1.20_197.0447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314.3707146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297.1862696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297.656831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277.27112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CSID12693</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2.00_775.1479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28.99567101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14.02535299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15.6515222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5.38373232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1.91_119.0496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31.15917067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38.40755592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46.0643085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51.3491178</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1.90_163.0393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3.171641632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3.411088044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10.4364594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7.379121</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2.08_707.1815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93.49667602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87.15200031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70.7017538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70.1357372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2.01_467.0966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3.21477056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3.71010315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2.06_923.2236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447.5760713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391.2115218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362.103847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296.577617</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0.38_483.1825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2.61E-05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CSID82594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2.73_835.2417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98.47457057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98.92964095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93.7447144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66.9202155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0.48_355.0673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9.377615587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15.5947051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20.6528253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10.3839293</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0.39_501.1036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0.465908289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0.962042966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1.3448338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5.62819604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0.52_263.0342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4.671509061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5.812432047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3.37951228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6.09369154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CSID4445117</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1.28_627.1496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3.244667576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4.27825129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1.59_739.2057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11.28552559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10.72649789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7.98348574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10.3200968</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CSID57579554</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2.19_895.1953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7.516012606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11.93792207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5.76929875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32.2540853</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0.39_735.2126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1.653890423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0.975183799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2.39075711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CSID10392638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0.68_863.2015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0.83_371.0984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17.17093592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5.146949372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33.3372297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12.3375133</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1.86_297.0758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344.1837589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287.3815498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349.342247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302.691301</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1.12_449.1085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767.3383374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722.3535307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777.776984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700.20695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CSID8065632</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1.87_743.2022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929.132164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850.1190012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853.30158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811.254027</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1.28_625.1403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CSID4478806</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1.97_603.2252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126.6984825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116.8372657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137.517935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138.351669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2.02_891.2341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222.0536428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162.4778706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199.574852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168.093756</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1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0.43_675.1948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89.88710285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70.52641965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79.5883689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75.9270979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bl>
    <w:tbl>
      <w:tblPr>
        <w:tblpPr w:leftFromText="180" w:rightFromText="180" w:vertAnchor="text" w:horzAnchor="margin" w:tblpY="118"/>
        <w:tblW w:w="8789" w:type="dxa"/>
        <w:tblBorders>
          <w:right w:val="single" w:sz="4" w:space="0" w:color="auto"/>
          <w:insideV w:val="single" w:sz="4" w:space="0" w:color="auto"/>
        </w:tblBorders>
        <w:tblLook w:val="04A0" w:firstRow="1" w:lastRow="0" w:firstColumn="1" w:lastColumn="0" w:noHBand="0" w:noVBand="1"/>
      </w:tblPr>
      <w:tblGrid>
        <w:gridCol w:w="1701"/>
        <w:gridCol w:w="1418"/>
        <w:gridCol w:w="1417"/>
        <w:gridCol w:w="1276"/>
        <w:gridCol w:w="1276"/>
        <w:gridCol w:w="1701"/>
      </w:tblGrid>
      <w:tr w:rsidR="00CF1D1E" w:rsidRPr="00CF1D1E" w:rsidTr="00C8289C">
        <w:trPr>
          <w:trHeight w:val="329"/>
        </w:trPr>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418"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GS0001</w:t>
            </w:r>
          </w:p>
        </w:tc>
        <w:tc>
          <w:tcPr>
            <w:tcW w:w="141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GS0002</w:t>
            </w:r>
          </w:p>
        </w:tc>
        <w:tc>
          <w:tcPr>
            <w:tcW w:w="1276" w:type="dxa"/>
            <w:shd w:val="clear" w:color="000000" w:fill="FFC000"/>
            <w:noWrap/>
            <w:vAlign w:val="bottom"/>
          </w:tcPr>
          <w:p w:rsidR="00CF1D1E" w:rsidRPr="00CF1D1E" w:rsidRDefault="00493A1A" w:rsidP="00CF1D1E">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GS</w:t>
            </w:r>
            <w:r w:rsidR="00CF1D1E" w:rsidRPr="00CF1D1E">
              <w:rPr>
                <w:rFonts w:ascii="Calibri" w:eastAsia="Times New Roman" w:hAnsi="Calibri" w:cs="Times New Roman"/>
                <w:color w:val="000000"/>
                <w:lang w:eastAsia="en-GB"/>
              </w:rPr>
              <w:t>0003</w:t>
            </w:r>
          </w:p>
        </w:tc>
        <w:tc>
          <w:tcPr>
            <w:tcW w:w="127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GS0004</w:t>
            </w:r>
          </w:p>
        </w:tc>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1.35_417.0833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15.76789553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13.28185091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15.3854395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11.101665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1.89_161.0236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10.14950816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7.126004866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5.40689369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3.24443361</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0.40_959.3157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9.168519415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7.035040648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5.77833447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5.17417208</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CSID390957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0.45_537.1026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224.2589202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186.6576216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208.829826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197.334004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CSID4945655</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0.88_611.1390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72.0407426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59.43682396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81.376446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74.4082756</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2.12_515.1177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733.227499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669.962159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708.226198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659.783207</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1.06_497.1077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1949.423999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1784.824172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1850.80572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1736.62147</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0.33_503.2270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11.74552165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5.525838933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7.69911204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2.27_193.0497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3.547634056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2.371265723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6.89690467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4.59790613</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0.62_539.1714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0.039023126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0.541795171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0.01576716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0.25837565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1.77_357.1340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71.43293985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63.18242175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58.2815708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52.5078495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2.34_373.1289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39.10613998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39.85738134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23.7950052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9.82276837</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0.98_358.0893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61.75011863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63.666994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73.5218188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62.9032554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1.35_815.2009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573.9322484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530.9987078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570.301847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572.176809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0.35_289.0717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1.02430415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0.40_455.1508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0.61420166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0.235787898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0.39845796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CSID392875</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0.93_577.1350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15.36662849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11.22137191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11.063716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15.5332194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1.46_242.0499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2.56_445.0775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6.579365978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6.517009085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8.65308636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3.16858064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2.07_515.1180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4.057250232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4.046339714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8.92389936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6.88551352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1.62_863.1787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1.336367781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1.85486954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1.36_515.1178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6.536487673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2.208690094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0.80428405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2.68217359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0.67_253.0493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0.84495856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2.22_399.1081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38.05719156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31.42260285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46.759026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41.6381229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1.87_417.0829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2.162779395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3.232289463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2.19320474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1.01835695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0.71_495.1120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76.39424874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74.65872953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74.9287127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75.5826664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0.63_497.1096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210.8222294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186.5837706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196.496305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161.215144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1.69_603.1022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13.95537253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5.164969398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5.13733951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8.59837372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1.75_415.1050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3277.084734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3033.010912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3038.1266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3027.32684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1.86_485.1069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10.87255827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1.589272099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2.2524315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0.37077385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1.79_417.1211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63.06850391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154.2161602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401.689967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580.600203</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0.50_895.1975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2.23_515.1177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51.39944877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60.73340487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111.423837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96.2289836</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1.64_829.2379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100.0038787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90.04359954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86.1662879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92.6133488</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CSID9753486</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2.96_857.3551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5.590303479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4.356418642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1.99353155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0.49451148</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CSID28481156</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2.21_1003.2144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6988.385722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6410.586965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6872.57447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6433.29722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2.29_863.2895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579.1228478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470.8953774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462.248715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442.169641</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2.00_899.1796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589.7042452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606.2265614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558.756746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499.34384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bl>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Tab.A2-005 </w:t>
      </w:r>
      <w:r w:rsidR="005629D7">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 scoring results from processing HDMS</w:t>
      </w:r>
      <w:r w:rsidRPr="00CF1D1E">
        <w:rPr>
          <w:rFonts w:ascii="Calibri" w:eastAsia="Calibri" w:hAnsi="Calibri" w:cs="Times New Roman"/>
          <w:color w:val="000000"/>
          <w:sz w:val="20"/>
          <w:szCs w:val="20"/>
          <w:vertAlign w:val="superscript"/>
        </w:rPr>
        <w:t>e</w:t>
      </w:r>
      <w:r w:rsidR="005629D7">
        <w:rPr>
          <w:rFonts w:ascii="Calibri" w:eastAsia="Calibri" w:hAnsi="Calibri" w:cs="Times New Roman"/>
          <w:color w:val="000000"/>
          <w:sz w:val="20"/>
          <w:szCs w:val="20"/>
        </w:rPr>
        <w:t xml:space="preserve"> data through </w:t>
      </w:r>
      <w:r w:rsidRPr="00CF1D1E">
        <w:rPr>
          <w:rFonts w:ascii="Calibri" w:eastAsia="Calibri" w:hAnsi="Calibri" w:cs="Times New Roman"/>
          <w:color w:val="000000"/>
          <w:sz w:val="20"/>
          <w:szCs w:val="20"/>
        </w:rPr>
        <w:t>Progenesis QI. This data relates to the 4 repeats of the Gorse Stem extract compared to blanks.</w:t>
      </w:r>
      <w:r w:rsidR="00973685">
        <w:rPr>
          <w:rFonts w:ascii="Calibri" w:eastAsia="Calibri" w:hAnsi="Calibri" w:cs="Times New Roman"/>
          <w:color w:val="000000"/>
          <w:sz w:val="20"/>
          <w:szCs w:val="20"/>
        </w:rPr>
        <w:t xml:space="preserve"> Matairesinol highlighted in blue.</w:t>
      </w:r>
    </w:p>
    <w:tbl>
      <w:tblPr>
        <w:tblpPr w:leftFromText="180" w:rightFromText="180" w:vertAnchor="page" w:horzAnchor="page" w:tblpX="1847" w:tblpY="1294"/>
        <w:tblW w:w="8505" w:type="dxa"/>
        <w:tblBorders>
          <w:right w:val="single" w:sz="4" w:space="0" w:color="auto"/>
          <w:insideV w:val="single" w:sz="4" w:space="0" w:color="auto"/>
        </w:tblBorders>
        <w:tblLook w:val="04A0" w:firstRow="1" w:lastRow="0" w:firstColumn="1" w:lastColumn="0" w:noHBand="0" w:noVBand="1"/>
      </w:tblPr>
      <w:tblGrid>
        <w:gridCol w:w="1701"/>
        <w:gridCol w:w="1387"/>
        <w:gridCol w:w="1276"/>
        <w:gridCol w:w="1276"/>
        <w:gridCol w:w="1276"/>
        <w:gridCol w:w="1589"/>
      </w:tblGrid>
      <w:tr w:rsidR="00CF1D1E" w:rsidRPr="00CF1D1E" w:rsidTr="00C8289C">
        <w:trPr>
          <w:trHeight w:val="329"/>
        </w:trPr>
        <w:tc>
          <w:tcPr>
            <w:tcW w:w="1701"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PD0001</w:t>
            </w:r>
          </w:p>
        </w:tc>
        <w:tc>
          <w:tcPr>
            <w:tcW w:w="1276"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PD0002</w:t>
            </w:r>
          </w:p>
        </w:tc>
        <w:tc>
          <w:tcPr>
            <w:tcW w:w="1276"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PD0003</w:t>
            </w:r>
          </w:p>
        </w:tc>
        <w:tc>
          <w:tcPr>
            <w:tcW w:w="1276"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PD0004</w:t>
            </w:r>
          </w:p>
        </w:tc>
        <w:tc>
          <w:tcPr>
            <w:tcW w:w="1589"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2.33_399.1085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1.88_339.1225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1.72_609.1456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CSID4444362</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0.43_367.1051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7.987720791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8.98886745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6.49299632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1.21842513</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1.82_489.1041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1.61_367.1026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1.42_579.1713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CSID390868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2.14_445.0793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2.53_545.1640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2.00_591.1705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1.92_516.1267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2.48_707.1806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1.79_923.2217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2.42_891.2330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2.09_711.1395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2.72_1031.2433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1.75_831.2130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1.30_515.1189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1.92_775.1524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2.30_989.2149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1.47_815.1960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1.98_391.1384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CSID13701</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1.70_711.1382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1.22_339.0726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0.001348556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0.43_337.0567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0.003112732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371.708581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289.950591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3.65724426</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2.33_511.1394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CSID553829</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2.29_365.1028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1.42_417.1196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1.54_923.2223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0.39_244.0370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100.669969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86.0095081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106.337783</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CSID25941971</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1.30_243.0654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3.561071861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12.6934296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8.14363065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3.69278658</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1.52_339.0712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1.30_271.0616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1.78_599.1187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2.49_387.1072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1.44_743.2020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0.62_809.1484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2.02098926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1.72584822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1.97_489.1039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29"/>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1.52_475.0876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89"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CSID34552925</w:t>
            </w:r>
          </w:p>
        </w:tc>
      </w:tr>
    </w:tbl>
    <w:p w:rsidR="00CF1D1E" w:rsidRPr="00CF1D1E" w:rsidRDefault="00CF1D1E" w:rsidP="00CF1D1E">
      <w:pPr>
        <w:spacing w:line="360" w:lineRule="auto"/>
        <w:rPr>
          <w:rFonts w:ascii="Calibri" w:eastAsia="Calibri" w:hAnsi="Calibri" w:cs="Times New Roman"/>
          <w:sz w:val="24"/>
          <w:szCs w:val="24"/>
          <w:lang w:val="en"/>
        </w:rPr>
      </w:pPr>
    </w:p>
    <w:tbl>
      <w:tblPr>
        <w:tblpPr w:leftFromText="180" w:rightFromText="180" w:vertAnchor="page" w:horzAnchor="margin" w:tblpY="1279"/>
        <w:tblW w:w="8789" w:type="dxa"/>
        <w:tblBorders>
          <w:right w:val="single" w:sz="4" w:space="0" w:color="auto"/>
          <w:insideV w:val="single" w:sz="4" w:space="0" w:color="auto"/>
        </w:tblBorders>
        <w:tblLook w:val="04A0" w:firstRow="1" w:lastRow="0" w:firstColumn="1" w:lastColumn="0" w:noHBand="0" w:noVBand="1"/>
      </w:tblPr>
      <w:tblGrid>
        <w:gridCol w:w="1689"/>
        <w:gridCol w:w="1409"/>
        <w:gridCol w:w="1434"/>
        <w:gridCol w:w="1280"/>
        <w:gridCol w:w="1276"/>
        <w:gridCol w:w="1701"/>
      </w:tblGrid>
      <w:tr w:rsidR="00CF1D1E" w:rsidRPr="00CF1D1E" w:rsidTr="00C8289C">
        <w:trPr>
          <w:trHeight w:val="317"/>
        </w:trPr>
        <w:tc>
          <w:tcPr>
            <w:tcW w:w="1689"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409"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PD0001</w:t>
            </w:r>
          </w:p>
        </w:tc>
        <w:tc>
          <w:tcPr>
            <w:tcW w:w="143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PD0002</w:t>
            </w:r>
          </w:p>
        </w:tc>
        <w:tc>
          <w:tcPr>
            <w:tcW w:w="1280"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PD0003</w:t>
            </w:r>
          </w:p>
        </w:tc>
        <w:tc>
          <w:tcPr>
            <w:tcW w:w="127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PD0004</w:t>
            </w:r>
          </w:p>
        </w:tc>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1.52_475.0876</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CSID34552925</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1.76_915.1610</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CSID58575</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1.31_145.0290</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1.31_367.1044</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1.47_607.1828</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0.35_303.0871</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CSID13860434</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1.36_193.0502</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1.56_269.0822</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1.32_607.1831</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1.89_835.2417</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2.34_863.2021</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1.79_595.0905</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0.571494689</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0.65346017</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0.28242029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CSID4445092</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1.50_707.1811</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2.02_415.1033</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1.64_477.1017</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1.17_161.0239</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1.20_197.0447</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CSID12693</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2.00_775.1479</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1.91_119.0496</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1.90_163.0393</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2.08_707.1815</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2.01_467.0966</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2.06_923.2236</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0.38_483.1825</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1089.138377</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1237.29273</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1083.64899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1177.63166</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CSID82594</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2.73_835.2417</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0.48_355.0673</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3.007420335</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6.09947179</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7.30633014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3.76964435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0.39_501.1036</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232.5562368</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295.739495</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278.726146</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246.546792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0.52_263.0342</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92.07608671</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100.152079</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90.747539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109.159234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CSID4445117</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1.28_627.1496</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1.59_739.2057</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CSID57579554</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2.19_895.1953</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0.39_735.2126</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17.7375015</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8.69515434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3.57096513</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CSID10392638</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0.68_863.2015</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4.5107055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0.83_371.0984</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0.260229605</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0.2050027</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0.05848552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0.3732631</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1.86_297.0758</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1.12_449.1085</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0.00010611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CSID8065632</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1.87_743.2022</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1.28_625.1403</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CSID4478806</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1.97_603.2252</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2.02_891.2341</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17"/>
        </w:trPr>
        <w:tc>
          <w:tcPr>
            <w:tcW w:w="1689"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0.43_675.1948</w:t>
            </w:r>
          </w:p>
        </w:tc>
        <w:tc>
          <w:tcPr>
            <w:tcW w:w="1409"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4.295225242</w:t>
            </w:r>
          </w:p>
        </w:tc>
        <w:tc>
          <w:tcPr>
            <w:tcW w:w="14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39.0621727</w:t>
            </w:r>
          </w:p>
        </w:tc>
        <w:tc>
          <w:tcPr>
            <w:tcW w:w="128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38.4020374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1.31640685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bl>
    <w:p w:rsidR="00CF1D1E" w:rsidRPr="00CF1D1E" w:rsidRDefault="00CF1D1E" w:rsidP="00CF1D1E">
      <w:pPr>
        <w:spacing w:line="360" w:lineRule="auto"/>
        <w:rPr>
          <w:rFonts w:ascii="Calibri" w:eastAsia="Calibri" w:hAnsi="Calibri" w:cs="Times New Roman"/>
          <w:sz w:val="24"/>
          <w:szCs w:val="24"/>
          <w:lang w:val="en"/>
        </w:rPr>
      </w:pPr>
    </w:p>
    <w:tbl>
      <w:tblPr>
        <w:tblpPr w:leftFromText="180" w:rightFromText="180" w:vertAnchor="text" w:horzAnchor="margin" w:tblpY="56"/>
        <w:tblW w:w="8505" w:type="dxa"/>
        <w:tblBorders>
          <w:right w:val="single" w:sz="4" w:space="0" w:color="auto"/>
          <w:insideV w:val="single" w:sz="4" w:space="0" w:color="auto"/>
        </w:tblBorders>
        <w:tblLook w:val="04A0" w:firstRow="1" w:lastRow="0" w:firstColumn="1" w:lastColumn="0" w:noHBand="0" w:noVBand="1"/>
      </w:tblPr>
      <w:tblGrid>
        <w:gridCol w:w="1701"/>
        <w:gridCol w:w="1418"/>
        <w:gridCol w:w="1276"/>
        <w:gridCol w:w="1276"/>
        <w:gridCol w:w="1276"/>
        <w:gridCol w:w="1558"/>
      </w:tblGrid>
      <w:tr w:rsidR="00CF1D1E" w:rsidRPr="00CF1D1E" w:rsidTr="00C8289C">
        <w:trPr>
          <w:trHeight w:val="320"/>
        </w:trPr>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418"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PD0001</w:t>
            </w:r>
          </w:p>
        </w:tc>
        <w:tc>
          <w:tcPr>
            <w:tcW w:w="127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PD0002</w:t>
            </w:r>
          </w:p>
        </w:tc>
        <w:tc>
          <w:tcPr>
            <w:tcW w:w="127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PD0003</w:t>
            </w:r>
          </w:p>
        </w:tc>
        <w:tc>
          <w:tcPr>
            <w:tcW w:w="127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PD0004</w:t>
            </w:r>
          </w:p>
        </w:tc>
        <w:tc>
          <w:tcPr>
            <w:tcW w:w="1558"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1.35_417.0833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0.008719483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1.89_161.0236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0.40_959.3157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0.090880331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CSID390957</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0.45_537.1026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22.00043044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20.0771118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12.7426153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6.02699167</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CSID4945655</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0.88_611.1390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11.2846585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13.4819127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12.2643369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3.99503279</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2.12_515.1177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1.06_497.1077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0.006631043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0.90291017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1.15170381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3.34957543</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0.33_503.2270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2.27_193.0497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0.62_539.1714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139.1420338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132.858632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108.578141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120.641168</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1.77_357.1340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2.34_373.1289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0.98_358.0893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1.35_815.2009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0.35_289.0717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0.40_455.1508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61.00623309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72.7746713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60.3395139</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71.194705</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CSID392875</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0.93_577.1350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1.46_242.0499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1.50905285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0.23153241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0.84916538</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2.56_445.0775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2.07_515.1180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1.62_863.1787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1.36_515.1178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0.67_253.0493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2.22_399.1081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1.87_417.0829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0.71_495.1120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0.67288514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2.72620142</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0.04103793</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CSID30777594</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0.63_497.1096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18.60081263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24.6622258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16.6705573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11.8269141</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1.69_603.1022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0.353838778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0.16652825</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1.96708361</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CSID30777628</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1.75_415.1050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1.86_485.1069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1.79_417.1211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0.50_895.1975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2.23_515.1177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1.64_829.2379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CSID9753486</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2.96_857.3551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CSID28481156</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2.21_1003.2144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2.29_863.2895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20"/>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2.00_899.1796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558"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bl>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Tab.A2-006. </w:t>
      </w:r>
      <w:proofErr w:type="gramStart"/>
      <w:r w:rsidR="005629D7">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w:t>
      </w:r>
      <w:proofErr w:type="gramEnd"/>
      <w:r w:rsidRPr="00CF1D1E">
        <w:rPr>
          <w:rFonts w:ascii="Calibri" w:eastAsia="Calibri" w:hAnsi="Calibri" w:cs="Times New Roman"/>
          <w:color w:val="000000"/>
          <w:sz w:val="20"/>
          <w:szCs w:val="20"/>
        </w:rPr>
        <w:t xml:space="preserve"> scoring results from processing HDMS</w:t>
      </w:r>
      <w:r w:rsidRPr="00CF1D1E">
        <w:rPr>
          <w:rFonts w:ascii="Calibri" w:eastAsia="Calibri" w:hAnsi="Calibri" w:cs="Times New Roman"/>
          <w:color w:val="000000"/>
          <w:sz w:val="20"/>
          <w:szCs w:val="20"/>
          <w:vertAlign w:val="superscript"/>
        </w:rPr>
        <w:t>e</w:t>
      </w:r>
      <w:r w:rsidRPr="00CF1D1E">
        <w:rPr>
          <w:rFonts w:ascii="Calibri" w:eastAsia="Calibri" w:hAnsi="Calibri" w:cs="Times New Roman"/>
          <w:color w:val="000000"/>
          <w:sz w:val="20"/>
          <w:szCs w:val="20"/>
        </w:rPr>
        <w:t xml:space="preserve"> data through Progenesis QI. This data relates to the 4 repeats of the Pepper Dulse extract compared to blanks.</w:t>
      </w:r>
    </w:p>
    <w:p w:rsidR="00CF1D1E" w:rsidRPr="00CF1D1E" w:rsidRDefault="00CF1D1E" w:rsidP="00CF1D1E">
      <w:pPr>
        <w:rPr>
          <w:rFonts w:ascii="Calibri" w:eastAsia="Calibri" w:hAnsi="Calibri" w:cs="Times New Roman"/>
          <w:sz w:val="24"/>
          <w:szCs w:val="24"/>
          <w:lang w:val="en"/>
        </w:rPr>
      </w:pPr>
      <w:r w:rsidRPr="00CF1D1E">
        <w:rPr>
          <w:rFonts w:ascii="Calibri" w:eastAsia="Calibri" w:hAnsi="Calibri" w:cs="Times New Roman"/>
          <w:sz w:val="24"/>
          <w:szCs w:val="24"/>
          <w:lang w:val="en"/>
        </w:rPr>
        <w:br w:type="page"/>
      </w:r>
    </w:p>
    <w:tbl>
      <w:tblPr>
        <w:tblpPr w:leftFromText="180" w:rightFromText="180" w:vertAnchor="page" w:horzAnchor="margin" w:tblpXSpec="center" w:tblpY="1359"/>
        <w:tblW w:w="7938" w:type="dxa"/>
        <w:tblBorders>
          <w:right w:val="single" w:sz="4" w:space="0" w:color="auto"/>
          <w:insideV w:val="single" w:sz="4" w:space="0" w:color="auto"/>
        </w:tblBorders>
        <w:tblLook w:val="04A0" w:firstRow="1" w:lastRow="0" w:firstColumn="1" w:lastColumn="0" w:noHBand="0" w:noVBand="1"/>
      </w:tblPr>
      <w:tblGrid>
        <w:gridCol w:w="1701"/>
        <w:gridCol w:w="1134"/>
        <w:gridCol w:w="1134"/>
        <w:gridCol w:w="1134"/>
        <w:gridCol w:w="1134"/>
        <w:gridCol w:w="1701"/>
      </w:tblGrid>
      <w:tr w:rsidR="00CF1D1E" w:rsidRPr="00CF1D1E" w:rsidTr="00C8289C">
        <w:trPr>
          <w:trHeight w:val="326"/>
        </w:trPr>
        <w:tc>
          <w:tcPr>
            <w:tcW w:w="1701"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134"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GW0001</w:t>
            </w:r>
          </w:p>
        </w:tc>
        <w:tc>
          <w:tcPr>
            <w:tcW w:w="1134"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GW0002</w:t>
            </w:r>
          </w:p>
        </w:tc>
        <w:tc>
          <w:tcPr>
            <w:tcW w:w="1134"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GW0003</w:t>
            </w:r>
          </w:p>
        </w:tc>
        <w:tc>
          <w:tcPr>
            <w:tcW w:w="1134"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GW0004</w:t>
            </w:r>
          </w:p>
        </w:tc>
        <w:tc>
          <w:tcPr>
            <w:tcW w:w="1701"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2.33_399.1085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1.88_339.1225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1.72_609.1456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CSID4444362</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0.43_367.1051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1.197419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1.30643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0.01306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2.449577</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1.82_489.1041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1.61_367.1026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1.42_579.1713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CSID390868</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2.14_445.0793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2.53_545.1640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2.00_591.1705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1.92_516.1267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2.48_707.1806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1.79_923.2217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2.42_891.2330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2.09_711.1395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2.72_1031.2433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1.75_831.2130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1.30_515.1189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1.92_775.1524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2.30_989.2149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1.47_815.1960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1.98_391.1384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CSID13701</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1.70_711.1382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1.22_339.0726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0.43_337.0567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183.4531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148.8703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127.213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136.3299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2.33_511.1394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CSID553829</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2.29_365.1028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1.42_417.1196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1.54_923.2223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0.39_244.0370n</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0.077889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1.367046</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CSID25941971</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1.30_243.0654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1.52_339.0712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1.30_271.0616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0.12884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1.78_599.1187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2.49_387.1072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1.44_743.2020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0.62_809.1484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1.97_489.1039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2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1.52_475.0876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CSID34552925</w:t>
            </w:r>
          </w:p>
        </w:tc>
      </w:tr>
    </w:tbl>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spacing w:line="360" w:lineRule="auto"/>
        <w:rPr>
          <w:rFonts w:ascii="Calibri" w:eastAsia="Calibri" w:hAnsi="Calibri" w:cs="Times New Roman"/>
          <w:sz w:val="24"/>
          <w:szCs w:val="24"/>
          <w:lang w:val="en"/>
        </w:rPr>
      </w:pPr>
    </w:p>
    <w:tbl>
      <w:tblPr>
        <w:tblpPr w:leftFromText="180" w:rightFromText="180" w:vertAnchor="page" w:horzAnchor="margin" w:tblpXSpec="center" w:tblpY="1499"/>
        <w:tblW w:w="8222" w:type="dxa"/>
        <w:tblBorders>
          <w:right w:val="single" w:sz="4" w:space="0" w:color="auto"/>
          <w:insideV w:val="single" w:sz="4" w:space="0" w:color="auto"/>
        </w:tblBorders>
        <w:tblLook w:val="04A0" w:firstRow="1" w:lastRow="0" w:firstColumn="1" w:lastColumn="0" w:noHBand="0" w:noVBand="1"/>
      </w:tblPr>
      <w:tblGrid>
        <w:gridCol w:w="1701"/>
        <w:gridCol w:w="1134"/>
        <w:gridCol w:w="1276"/>
        <w:gridCol w:w="1134"/>
        <w:gridCol w:w="1134"/>
        <w:gridCol w:w="1843"/>
      </w:tblGrid>
      <w:tr w:rsidR="00CF1D1E" w:rsidRPr="00CF1D1E" w:rsidTr="00C8289C">
        <w:trPr>
          <w:trHeight w:val="324"/>
        </w:trPr>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13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GW0001</w:t>
            </w:r>
          </w:p>
        </w:tc>
        <w:tc>
          <w:tcPr>
            <w:tcW w:w="1276"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GW0002</w:t>
            </w:r>
          </w:p>
        </w:tc>
        <w:tc>
          <w:tcPr>
            <w:tcW w:w="113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GW0003</w:t>
            </w:r>
          </w:p>
        </w:tc>
        <w:tc>
          <w:tcPr>
            <w:tcW w:w="113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GW0004</w:t>
            </w:r>
          </w:p>
        </w:tc>
        <w:tc>
          <w:tcPr>
            <w:tcW w:w="1843"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1.76_915.1610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CSID58575</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1.31_145.0290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1.31_367.1044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1.47_607.1828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0.35_303.0871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0.040374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CSID13860434</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1.36_193.0502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1.56_269.0822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1.32_607.1831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1.89_835.2417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2.34_863.2021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1.79_595.0905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2.707698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2.322402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5.0408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0.892577</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CSID4445092</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1.50_707.1811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2.02_415.1033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1.64_477.1017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1.17_161.0239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1.20_197.0447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CSID12693</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2.00_775.1479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1.91_119.0496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1.90_163.0393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2.08_707.1815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2.01_467.0966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2.06_923.2236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0.38_483.1825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1.072098</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CSID82594</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2.73_835.2417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0.48_355.0673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206.1901</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205.7323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204.425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206.27</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0.39_501.1036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0.423296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0.11076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0.52_263.0342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1.276033</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0.673349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1.14043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0.725002</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CSID4445117</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1.28_627.1496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1.59_739.2057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CSID57579554</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2.19_895.1953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0.39_735.2126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4.837107</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1.068199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CSID10392638</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0.68_863.2015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0.83_371.0984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1.86_297.0758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1.12_449.1085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CSID8065632</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1.87_743.2022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1.28_625.1403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CSID4478806</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1.97_603.2252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2.02_891.2341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24"/>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0.43_675.1948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0.011144</w:t>
            </w:r>
          </w:p>
        </w:tc>
        <w:tc>
          <w:tcPr>
            <w:tcW w:w="1276"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0.00325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0.368373</w:t>
            </w:r>
          </w:p>
        </w:tc>
        <w:tc>
          <w:tcPr>
            <w:tcW w:w="184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bl>
    <w:p w:rsidR="00CF1D1E" w:rsidRPr="00CF1D1E" w:rsidRDefault="00CF1D1E" w:rsidP="00CF1D1E">
      <w:pPr>
        <w:spacing w:line="360" w:lineRule="auto"/>
        <w:rPr>
          <w:rFonts w:ascii="Calibri" w:eastAsia="Calibri" w:hAnsi="Calibri" w:cs="Times New Roman"/>
          <w:sz w:val="24"/>
          <w:szCs w:val="24"/>
          <w:lang w:val="en"/>
        </w:rPr>
      </w:pPr>
    </w:p>
    <w:tbl>
      <w:tblPr>
        <w:tblpPr w:leftFromText="180" w:rightFromText="180" w:vertAnchor="text" w:horzAnchor="margin" w:tblpXSpec="center" w:tblpY="137"/>
        <w:tblW w:w="7960" w:type="dxa"/>
        <w:tblBorders>
          <w:right w:val="single" w:sz="4" w:space="0" w:color="auto"/>
          <w:insideV w:val="single" w:sz="4" w:space="0" w:color="auto"/>
        </w:tblBorders>
        <w:tblLook w:val="04A0" w:firstRow="1" w:lastRow="0" w:firstColumn="1" w:lastColumn="0" w:noHBand="0" w:noVBand="1"/>
      </w:tblPr>
      <w:tblGrid>
        <w:gridCol w:w="1701"/>
        <w:gridCol w:w="1134"/>
        <w:gridCol w:w="1134"/>
        <w:gridCol w:w="1134"/>
        <w:gridCol w:w="1134"/>
        <w:gridCol w:w="1723"/>
      </w:tblGrid>
      <w:tr w:rsidR="00CF1D1E" w:rsidRPr="00CF1D1E" w:rsidTr="00C8289C">
        <w:trPr>
          <w:trHeight w:val="311"/>
        </w:trPr>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13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GW0001</w:t>
            </w:r>
          </w:p>
        </w:tc>
        <w:tc>
          <w:tcPr>
            <w:tcW w:w="113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GW0002</w:t>
            </w:r>
          </w:p>
        </w:tc>
        <w:tc>
          <w:tcPr>
            <w:tcW w:w="113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GW0003</w:t>
            </w:r>
          </w:p>
        </w:tc>
        <w:tc>
          <w:tcPr>
            <w:tcW w:w="1134"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GW0004</w:t>
            </w:r>
          </w:p>
        </w:tc>
        <w:tc>
          <w:tcPr>
            <w:tcW w:w="1723"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1.35_417.0833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1.89_161.0236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0.40_959.3157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0.124719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0.225506</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CSID390957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0.45_537.1026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39.3934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58.24732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57.9584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43.9658</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CSID4945655</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0.88_611.1390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8.760703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26.66098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21.363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35.11061</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CSID65231</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2.12_515.1177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1.06_497.1077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0.33_503.2270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CSID16039</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2.27_193.0497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0.62_539.1714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1.77_357.1340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CSID106491</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2.34_373.1289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CSID59696173</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0.98_358.0893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1.35_815.2009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0.35_289.0717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CSID65230</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0.40_455.1508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0.39546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0.87783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0.126738</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CSID392875</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0.93_577.1350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CSID109417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1.46_242.0499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2.80374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2.56_445.0775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2.07_515.1180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1.62_863.1787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CSID389606</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1.36_515.1178</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0.67_253.0493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28.56313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29.5395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25.2453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29.72181</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2.22_399.1081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1.87_417.0829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CSID9857888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0.71_495.1120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16.87807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6.232965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12.4907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14.13263</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0.63_497.1096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22.07993</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14.54012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18.4484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21.47582</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1.69_603.1022</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0.057941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0.242096</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1.75_415.1050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1.86_485.1069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1.79_417.1211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0.50_895.1975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1.472487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2.23_515.1177</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1.64_829.2379</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CSID9753486</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2.96_857.3551</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CSID28481156</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2.21_1003.2144</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2.29_863.2895</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CSID28554480</w:t>
            </w:r>
          </w:p>
        </w:tc>
      </w:tr>
      <w:tr w:rsidR="00CF1D1E" w:rsidRPr="00CF1D1E" w:rsidTr="00C8289C">
        <w:trPr>
          <w:trHeight w:val="311"/>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2.00_899.1796</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134"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23"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bl>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t xml:space="preserve">Tab.A2-007 </w:t>
      </w:r>
      <w:r w:rsidR="005629D7">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 scoring results from processing HDMS</w:t>
      </w:r>
      <w:r w:rsidRPr="00CF1D1E">
        <w:rPr>
          <w:rFonts w:ascii="Calibri" w:eastAsia="Calibri" w:hAnsi="Calibri" w:cs="Times New Roman"/>
          <w:color w:val="000000"/>
          <w:sz w:val="20"/>
          <w:szCs w:val="20"/>
          <w:vertAlign w:val="superscript"/>
        </w:rPr>
        <w:t>e</w:t>
      </w:r>
      <w:r w:rsidR="005629D7">
        <w:rPr>
          <w:rFonts w:ascii="Calibri" w:eastAsia="Calibri" w:hAnsi="Calibri" w:cs="Times New Roman"/>
          <w:color w:val="000000"/>
          <w:sz w:val="20"/>
          <w:szCs w:val="20"/>
        </w:rPr>
        <w:t xml:space="preserve"> data through </w:t>
      </w:r>
      <w:r w:rsidRPr="00CF1D1E">
        <w:rPr>
          <w:rFonts w:ascii="Calibri" w:eastAsia="Calibri" w:hAnsi="Calibri" w:cs="Times New Roman"/>
          <w:color w:val="000000"/>
          <w:sz w:val="20"/>
          <w:szCs w:val="20"/>
        </w:rPr>
        <w:t>Progenesis QI. This data relates to the 4 repeats of the Gut Weed extract compared to blanks.</w:t>
      </w:r>
    </w:p>
    <w:p w:rsidR="00CF1D1E" w:rsidRPr="00CF1D1E" w:rsidRDefault="00CF1D1E" w:rsidP="00CF1D1E">
      <w:pPr>
        <w:rPr>
          <w:rFonts w:ascii="Calibri" w:eastAsia="Calibri" w:hAnsi="Calibri" w:cs="Times New Roman"/>
          <w:color w:val="000000"/>
          <w:sz w:val="20"/>
          <w:szCs w:val="20"/>
        </w:rPr>
      </w:pPr>
      <w:r w:rsidRPr="00CF1D1E">
        <w:rPr>
          <w:rFonts w:ascii="Calibri" w:eastAsia="Calibri" w:hAnsi="Calibri" w:cs="Times New Roman"/>
          <w:sz w:val="20"/>
          <w:szCs w:val="20"/>
        </w:rPr>
        <w:br w:type="page"/>
      </w: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
    <w:tbl>
      <w:tblPr>
        <w:tblpPr w:leftFromText="180" w:rightFromText="180" w:vertAnchor="page" w:horzAnchor="margin" w:tblpXSpec="center" w:tblpY="1425"/>
        <w:tblW w:w="9214" w:type="dxa"/>
        <w:tblBorders>
          <w:right w:val="single" w:sz="4" w:space="0" w:color="auto"/>
          <w:insideV w:val="single" w:sz="4" w:space="0" w:color="auto"/>
        </w:tblBorders>
        <w:tblLook w:val="04A0" w:firstRow="1" w:lastRow="0" w:firstColumn="1" w:lastColumn="0" w:noHBand="0" w:noVBand="1"/>
      </w:tblPr>
      <w:tblGrid>
        <w:gridCol w:w="1701"/>
        <w:gridCol w:w="1560"/>
        <w:gridCol w:w="1387"/>
        <w:gridCol w:w="1387"/>
        <w:gridCol w:w="1478"/>
        <w:gridCol w:w="1701"/>
      </w:tblGrid>
      <w:tr w:rsidR="00CF1D1E" w:rsidRPr="00CF1D1E" w:rsidTr="00C8289C">
        <w:trPr>
          <w:trHeight w:val="336"/>
        </w:trPr>
        <w:tc>
          <w:tcPr>
            <w:tcW w:w="1701"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RT &amp; m/z</w:t>
            </w:r>
          </w:p>
        </w:tc>
        <w:tc>
          <w:tcPr>
            <w:tcW w:w="1560"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GT0001</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GT0002</w:t>
            </w:r>
          </w:p>
        </w:tc>
        <w:tc>
          <w:tcPr>
            <w:tcW w:w="1387"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GT0003</w:t>
            </w:r>
          </w:p>
        </w:tc>
        <w:tc>
          <w:tcPr>
            <w:tcW w:w="1478"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GT0004</w:t>
            </w:r>
          </w:p>
        </w:tc>
        <w:tc>
          <w:tcPr>
            <w:tcW w:w="1701" w:type="dxa"/>
            <w:shd w:val="clear" w:color="000000" w:fill="FFC000"/>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2.33_399.1085</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0.005373687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0.019510658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0.532138519</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2.628942808</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1.88_339.1225</w:t>
            </w:r>
          </w:p>
        </w:tc>
        <w:tc>
          <w:tcPr>
            <w:tcW w:w="1560" w:type="dxa"/>
            <w:shd w:val="clear" w:color="auto" w:fill="auto"/>
            <w:noWrap/>
            <w:vAlign w:val="bottom"/>
            <w:hideMark/>
          </w:tcPr>
          <w:p w:rsidR="00CF1D1E" w:rsidRPr="00B6012D" w:rsidRDefault="00CF1D1E" w:rsidP="00CF1D1E">
            <w:pPr>
              <w:spacing w:after="0" w:line="240" w:lineRule="auto"/>
              <w:jc w:val="right"/>
              <w:rPr>
                <w:rFonts w:ascii="Calibri" w:eastAsia="Times New Roman" w:hAnsi="Calibri" w:cs="Times New Roman"/>
                <w:color w:val="000000"/>
                <w:highlight w:val="cyan"/>
                <w:lang w:eastAsia="en-GB"/>
              </w:rPr>
            </w:pPr>
            <w:r w:rsidRPr="00B6012D">
              <w:rPr>
                <w:rFonts w:ascii="Calibri" w:eastAsia="Times New Roman" w:hAnsi="Calibri" w:cs="Times New Roman"/>
                <w:color w:val="000000"/>
                <w:highlight w:val="cyan"/>
                <w:lang w:eastAsia="en-GB"/>
              </w:rPr>
              <w:t>12.33748449</w:t>
            </w:r>
          </w:p>
        </w:tc>
        <w:tc>
          <w:tcPr>
            <w:tcW w:w="1387" w:type="dxa"/>
            <w:shd w:val="clear" w:color="auto" w:fill="auto"/>
            <w:noWrap/>
            <w:vAlign w:val="bottom"/>
            <w:hideMark/>
          </w:tcPr>
          <w:p w:rsidR="00CF1D1E" w:rsidRPr="00B6012D" w:rsidRDefault="00CF1D1E" w:rsidP="00CF1D1E">
            <w:pPr>
              <w:spacing w:after="0" w:line="240" w:lineRule="auto"/>
              <w:jc w:val="right"/>
              <w:rPr>
                <w:rFonts w:ascii="Calibri" w:eastAsia="Times New Roman" w:hAnsi="Calibri" w:cs="Times New Roman"/>
                <w:color w:val="000000"/>
                <w:highlight w:val="cyan"/>
                <w:lang w:eastAsia="en-GB"/>
              </w:rPr>
            </w:pPr>
            <w:r w:rsidRPr="00B6012D">
              <w:rPr>
                <w:rFonts w:ascii="Calibri" w:eastAsia="Times New Roman" w:hAnsi="Calibri" w:cs="Times New Roman"/>
                <w:color w:val="000000"/>
                <w:highlight w:val="cyan"/>
                <w:lang w:eastAsia="en-GB"/>
              </w:rPr>
              <w:t>11.97171475</w:t>
            </w:r>
          </w:p>
        </w:tc>
        <w:tc>
          <w:tcPr>
            <w:tcW w:w="1387" w:type="dxa"/>
            <w:shd w:val="clear" w:color="auto" w:fill="auto"/>
            <w:noWrap/>
            <w:vAlign w:val="bottom"/>
            <w:hideMark/>
          </w:tcPr>
          <w:p w:rsidR="00CF1D1E" w:rsidRPr="00B6012D" w:rsidRDefault="00CF1D1E" w:rsidP="00CF1D1E">
            <w:pPr>
              <w:spacing w:after="0" w:line="240" w:lineRule="auto"/>
              <w:jc w:val="right"/>
              <w:rPr>
                <w:rFonts w:ascii="Calibri" w:eastAsia="Times New Roman" w:hAnsi="Calibri" w:cs="Times New Roman"/>
                <w:color w:val="000000"/>
                <w:highlight w:val="cyan"/>
                <w:lang w:eastAsia="en-GB"/>
              </w:rPr>
            </w:pPr>
            <w:r w:rsidRPr="00B6012D">
              <w:rPr>
                <w:rFonts w:ascii="Calibri" w:eastAsia="Times New Roman" w:hAnsi="Calibri" w:cs="Times New Roman"/>
                <w:color w:val="000000"/>
                <w:highlight w:val="cyan"/>
                <w:lang w:eastAsia="en-GB"/>
              </w:rPr>
              <w:t>16.97955245</w:t>
            </w:r>
          </w:p>
        </w:tc>
        <w:tc>
          <w:tcPr>
            <w:tcW w:w="1478" w:type="dxa"/>
            <w:shd w:val="clear" w:color="auto" w:fill="auto"/>
            <w:noWrap/>
            <w:vAlign w:val="bottom"/>
            <w:hideMark/>
          </w:tcPr>
          <w:p w:rsidR="00CF1D1E" w:rsidRPr="00B6012D" w:rsidRDefault="00CF1D1E" w:rsidP="00CF1D1E">
            <w:pPr>
              <w:spacing w:after="0" w:line="240" w:lineRule="auto"/>
              <w:jc w:val="right"/>
              <w:rPr>
                <w:rFonts w:ascii="Calibri" w:eastAsia="Times New Roman" w:hAnsi="Calibri" w:cs="Times New Roman"/>
                <w:color w:val="000000"/>
                <w:highlight w:val="cyan"/>
                <w:lang w:eastAsia="en-GB"/>
              </w:rPr>
            </w:pPr>
            <w:r w:rsidRPr="00B6012D">
              <w:rPr>
                <w:rFonts w:ascii="Calibri" w:eastAsia="Times New Roman" w:hAnsi="Calibri" w:cs="Times New Roman"/>
                <w:color w:val="000000"/>
                <w:highlight w:val="cyan"/>
                <w:lang w:eastAsia="en-GB"/>
              </w:rPr>
              <w:t>10.89236511</w:t>
            </w:r>
          </w:p>
        </w:tc>
        <w:tc>
          <w:tcPr>
            <w:tcW w:w="1701" w:type="dxa"/>
            <w:shd w:val="clear" w:color="auto" w:fill="auto"/>
            <w:noWrap/>
            <w:vAlign w:val="bottom"/>
            <w:hideMark/>
          </w:tcPr>
          <w:p w:rsidR="00CF1D1E" w:rsidRPr="00B6012D" w:rsidRDefault="00CF1D1E" w:rsidP="00CF1D1E">
            <w:pPr>
              <w:spacing w:after="0" w:line="240" w:lineRule="auto"/>
              <w:rPr>
                <w:rFonts w:ascii="Calibri" w:eastAsia="Times New Roman" w:hAnsi="Calibri" w:cs="Times New Roman"/>
                <w:color w:val="000000"/>
                <w:highlight w:val="cyan"/>
                <w:lang w:eastAsia="en-GB"/>
              </w:rPr>
            </w:pPr>
            <w:r w:rsidRPr="00B6012D">
              <w:rPr>
                <w:rFonts w:ascii="Calibri" w:eastAsia="Times New Roman" w:hAnsi="Calibri" w:cs="Times New Roman"/>
                <w:color w:val="000000"/>
                <w:highlight w:val="cyan"/>
                <w:lang w:eastAsia="en-GB"/>
              </w:rPr>
              <w:t>CSID106491</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1.72_609.1456</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0.402266105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28.14432243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0.827348896</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5.998579219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CSID4444362</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0.43_367.1051</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5.65709435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1.6143397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5.262272952</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4.460802419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1.82_489.1041</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26.07568269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12.43708398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21.36774994</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26.7639161</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1.61_367.1026</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61.19213187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147.6629042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131.4042978</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165.7427925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1.42_579.1713</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13.71984566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5.724609795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4.127987943</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3.837938178</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CSID390868</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2.14_445.0793</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1.134309785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8.746821313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3.590938468</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5.312932488</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CSID13083403</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2.53_545.1640</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0.903570042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0.458822851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1.612828076</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1.928032389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CSID1675</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2.00_591.1705</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0.055593041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CSID10176</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1.92_516.1267</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0.034338113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1.168046922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2.859179698</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1.729533177</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CSID4445093</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2.48_707.1806</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0.910222066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2.308911502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1.79_923.2217</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0.003824425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26.46517284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2.484375819</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47.78908034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2.42_891.2330</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0.379014107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1.627743282</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0.272157214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2.09_711.1395</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145.4099437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157.0766424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185.7464343</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176.524656</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2.72_1031.2433</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47.09227934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55.49426234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65.66724887</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19.70519382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1.75_831.2130</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0.790061768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1.057131022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0.161213381</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1.960498058</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1.30_515.1189</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1.836675696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6.088346824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4.695085963</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6.138283253</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CSID22912767</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1.92_775.1524</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255.1676369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336.4935718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343.0863529</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332.6297045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2.30_989.2149</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0.030515578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1.33645479</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0.540901267</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CSID30777598</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1.47_815.1960</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12.66056054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4.518644113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1.455588218</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4.122161114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1.98_391.1384</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32.25568227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60.33447079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58.76468808</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76.766505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CSID13701</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1.70_711.1382</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4.853072686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6.997838139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0.229715445</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5.430300229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1.22_339.0726</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162.0250981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240.3561386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246.6630322</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280.6924336</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0.43_337.0567</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2.33_511.1394</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0.119041946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2.506567759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5.1741215</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2.039527209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CSID553829</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2.29_365.1028</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1.42_417.1196</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11.62200169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2.204176864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0.533122107</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1.939416167</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1.54_923.2223</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2.811802888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2.347238951</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2.225866975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0.39_244.0370</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10.32698381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13.58160277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10.24024066</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10.08480245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CSID25941971</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1.30_243.0654</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77.9577719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29.10743802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31.90966902</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40.64505024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CSID238</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1.52_339.0712</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22.15603287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29.44726756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16.83014408</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55.23534852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CSID30777618</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1.30_271.0616</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39.55568942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49.07021282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40.55012754</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23.89313099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CSID388383</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1.78_599.1187</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7.81145531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138.4513332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27.36715434</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172.0196029</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CSID4445122</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2.49_387.1072</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1.47389983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5.846494344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3.148268566</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7.095506445</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1.44_743.2020</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0.487923176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3.449739512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4.213116047</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5.084142972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0.62_809.1484</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0.083233142</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CSID4444448</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1.97_489.1039</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34.43840464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45.9891031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54.68928464</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51.90227974</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CSID30777632</w:t>
            </w:r>
          </w:p>
        </w:tc>
      </w:tr>
      <w:tr w:rsidR="00CF1D1E" w:rsidRPr="00CF1D1E" w:rsidTr="00C8289C">
        <w:trPr>
          <w:trHeight w:val="336"/>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1.52_475.0876</w:t>
            </w:r>
          </w:p>
        </w:tc>
        <w:tc>
          <w:tcPr>
            <w:tcW w:w="1560"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0.826093422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0.099011749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7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0.258164161</w:t>
            </w:r>
          </w:p>
        </w:tc>
        <w:tc>
          <w:tcPr>
            <w:tcW w:w="1701"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CSID34552925</w:t>
            </w:r>
          </w:p>
        </w:tc>
      </w:tr>
    </w:tbl>
    <w:tbl>
      <w:tblPr>
        <w:tblpPr w:leftFromText="180" w:rightFromText="180" w:vertAnchor="page" w:horzAnchor="margin" w:tblpXSpec="center" w:tblpY="1295"/>
        <w:tblW w:w="9072" w:type="dxa"/>
        <w:tblBorders>
          <w:right w:val="single" w:sz="4" w:space="0" w:color="auto"/>
          <w:insideV w:val="single" w:sz="4" w:space="0" w:color="auto"/>
        </w:tblBorders>
        <w:tblLook w:val="04A0" w:firstRow="1" w:lastRow="0" w:firstColumn="1" w:lastColumn="0" w:noHBand="0" w:noVBand="1"/>
      </w:tblPr>
      <w:tblGrid>
        <w:gridCol w:w="1701"/>
        <w:gridCol w:w="1418"/>
        <w:gridCol w:w="1417"/>
        <w:gridCol w:w="1387"/>
        <w:gridCol w:w="1387"/>
        <w:gridCol w:w="1762"/>
      </w:tblGrid>
      <w:tr w:rsidR="00CF1D1E" w:rsidRPr="00CF1D1E" w:rsidTr="00C8289C">
        <w:trPr>
          <w:trHeight w:val="333"/>
        </w:trPr>
        <w:tc>
          <w:tcPr>
            <w:tcW w:w="1701"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lastRenderedPageBreak/>
              <w:t>RT &amp; m/z</w:t>
            </w:r>
          </w:p>
        </w:tc>
        <w:tc>
          <w:tcPr>
            <w:tcW w:w="1418"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GT0001</w:t>
            </w:r>
          </w:p>
        </w:tc>
        <w:tc>
          <w:tcPr>
            <w:tcW w:w="141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GT0002</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GT0003</w:t>
            </w:r>
          </w:p>
        </w:tc>
        <w:tc>
          <w:tcPr>
            <w:tcW w:w="1387"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GT0004</w:t>
            </w:r>
          </w:p>
        </w:tc>
        <w:tc>
          <w:tcPr>
            <w:tcW w:w="1762" w:type="dxa"/>
            <w:shd w:val="clear" w:color="000000" w:fill="FFC000"/>
            <w:noWrap/>
            <w:vAlign w:val="bottom"/>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Accepted ID</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1.76_915.1610</w:t>
            </w:r>
          </w:p>
        </w:tc>
        <w:tc>
          <w:tcPr>
            <w:tcW w:w="1418" w:type="dxa"/>
            <w:shd w:val="clear" w:color="auto" w:fill="auto"/>
            <w:noWrap/>
            <w:vAlign w:val="bottom"/>
            <w:hideMark/>
          </w:tcPr>
          <w:p w:rsidR="00CF1D1E" w:rsidRPr="00B6012D" w:rsidRDefault="00CF1D1E" w:rsidP="00CF1D1E">
            <w:pPr>
              <w:spacing w:after="0" w:line="240" w:lineRule="auto"/>
              <w:jc w:val="right"/>
              <w:rPr>
                <w:rFonts w:ascii="Calibri" w:eastAsia="Times New Roman" w:hAnsi="Calibri" w:cs="Times New Roman"/>
                <w:color w:val="000000"/>
                <w:highlight w:val="green"/>
                <w:lang w:eastAsia="en-GB"/>
              </w:rPr>
            </w:pPr>
            <w:r w:rsidRPr="00B6012D">
              <w:rPr>
                <w:rFonts w:ascii="Calibri" w:eastAsia="Times New Roman" w:hAnsi="Calibri" w:cs="Times New Roman"/>
                <w:color w:val="000000"/>
                <w:highlight w:val="green"/>
                <w:lang w:eastAsia="en-GB"/>
              </w:rPr>
              <w:t>433.8347754</w:t>
            </w:r>
          </w:p>
        </w:tc>
        <w:tc>
          <w:tcPr>
            <w:tcW w:w="1417" w:type="dxa"/>
            <w:shd w:val="clear" w:color="auto" w:fill="auto"/>
            <w:noWrap/>
            <w:vAlign w:val="bottom"/>
            <w:hideMark/>
          </w:tcPr>
          <w:p w:rsidR="00CF1D1E" w:rsidRPr="00B6012D" w:rsidRDefault="00CF1D1E" w:rsidP="00CF1D1E">
            <w:pPr>
              <w:spacing w:after="0" w:line="240" w:lineRule="auto"/>
              <w:jc w:val="right"/>
              <w:rPr>
                <w:rFonts w:ascii="Calibri" w:eastAsia="Times New Roman" w:hAnsi="Calibri" w:cs="Times New Roman"/>
                <w:color w:val="000000"/>
                <w:highlight w:val="green"/>
                <w:lang w:eastAsia="en-GB"/>
              </w:rPr>
            </w:pPr>
            <w:r w:rsidRPr="00B6012D">
              <w:rPr>
                <w:rFonts w:ascii="Calibri" w:eastAsia="Times New Roman" w:hAnsi="Calibri" w:cs="Times New Roman"/>
                <w:color w:val="000000"/>
                <w:highlight w:val="green"/>
                <w:lang w:eastAsia="en-GB"/>
              </w:rPr>
              <w:t>232.7515671</w:t>
            </w:r>
          </w:p>
        </w:tc>
        <w:tc>
          <w:tcPr>
            <w:tcW w:w="1387" w:type="dxa"/>
            <w:shd w:val="clear" w:color="auto" w:fill="auto"/>
            <w:noWrap/>
            <w:vAlign w:val="bottom"/>
            <w:hideMark/>
          </w:tcPr>
          <w:p w:rsidR="00CF1D1E" w:rsidRPr="00B6012D" w:rsidRDefault="00CF1D1E" w:rsidP="00CF1D1E">
            <w:pPr>
              <w:spacing w:after="0" w:line="240" w:lineRule="auto"/>
              <w:jc w:val="right"/>
              <w:rPr>
                <w:rFonts w:ascii="Calibri" w:eastAsia="Times New Roman" w:hAnsi="Calibri" w:cs="Times New Roman"/>
                <w:color w:val="000000"/>
                <w:highlight w:val="green"/>
                <w:lang w:eastAsia="en-GB"/>
              </w:rPr>
            </w:pPr>
            <w:r w:rsidRPr="00B6012D">
              <w:rPr>
                <w:rFonts w:ascii="Calibri" w:eastAsia="Times New Roman" w:hAnsi="Calibri" w:cs="Times New Roman"/>
                <w:color w:val="000000"/>
                <w:highlight w:val="green"/>
                <w:lang w:eastAsia="en-GB"/>
              </w:rPr>
              <w:t>355.6831918</w:t>
            </w:r>
          </w:p>
        </w:tc>
        <w:tc>
          <w:tcPr>
            <w:tcW w:w="1387" w:type="dxa"/>
            <w:shd w:val="clear" w:color="auto" w:fill="auto"/>
            <w:noWrap/>
            <w:vAlign w:val="bottom"/>
            <w:hideMark/>
          </w:tcPr>
          <w:p w:rsidR="00CF1D1E" w:rsidRPr="00B6012D" w:rsidRDefault="00CF1D1E" w:rsidP="00CF1D1E">
            <w:pPr>
              <w:spacing w:after="0" w:line="240" w:lineRule="auto"/>
              <w:jc w:val="right"/>
              <w:rPr>
                <w:rFonts w:ascii="Calibri" w:eastAsia="Times New Roman" w:hAnsi="Calibri" w:cs="Times New Roman"/>
                <w:color w:val="000000"/>
                <w:highlight w:val="green"/>
                <w:lang w:eastAsia="en-GB"/>
              </w:rPr>
            </w:pPr>
            <w:r w:rsidRPr="00B6012D">
              <w:rPr>
                <w:rFonts w:ascii="Calibri" w:eastAsia="Times New Roman" w:hAnsi="Calibri" w:cs="Times New Roman"/>
                <w:color w:val="000000"/>
                <w:highlight w:val="green"/>
                <w:lang w:eastAsia="en-GB"/>
              </w:rPr>
              <w:t>398.6428991</w:t>
            </w:r>
          </w:p>
        </w:tc>
        <w:tc>
          <w:tcPr>
            <w:tcW w:w="1762" w:type="dxa"/>
            <w:shd w:val="clear" w:color="auto" w:fill="auto"/>
            <w:noWrap/>
            <w:vAlign w:val="bottom"/>
            <w:hideMark/>
          </w:tcPr>
          <w:p w:rsidR="00CF1D1E" w:rsidRPr="00B6012D" w:rsidRDefault="00CF1D1E" w:rsidP="00CF1D1E">
            <w:pPr>
              <w:spacing w:after="0" w:line="240" w:lineRule="auto"/>
              <w:rPr>
                <w:rFonts w:ascii="Calibri" w:eastAsia="Times New Roman" w:hAnsi="Calibri" w:cs="Times New Roman"/>
                <w:color w:val="000000"/>
                <w:highlight w:val="green"/>
                <w:lang w:eastAsia="en-GB"/>
              </w:rPr>
            </w:pPr>
            <w:r w:rsidRPr="00B6012D">
              <w:rPr>
                <w:rFonts w:ascii="Calibri" w:eastAsia="Times New Roman" w:hAnsi="Calibri" w:cs="Times New Roman"/>
                <w:color w:val="000000"/>
                <w:highlight w:val="green"/>
                <w:lang w:eastAsia="en-GB"/>
              </w:rPr>
              <w:t>CSID58575</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1.31_145.0290</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4.688701511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8.04730339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9.554617995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4.329043441</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1.31_367.1044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2.377385829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3.038370228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5.878407896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1.369966442</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CSID8309124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1.47_607.1828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1.257093009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0.399898311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0.631541731</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0.35_303.0871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0.719808842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1.528743569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1.272409647</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CSID13860434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1.36_193.0502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28.96492963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20.45827239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10.43381947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24.4959498</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CSID689</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1.56_269.0822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4.735467399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10.14494209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13.85356107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16.68708067</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CSID10211379</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1.32_607.1831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1.826009603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8.776007598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0.882584804</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CSID24842580</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1.89_835.2417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1.242353013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1.2157858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2.34_863.2021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1.576012417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11.83729546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10.16877529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13.13058847</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1.79_595.0905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30.14056541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38.02893179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35.81646809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44.12510855</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CSID4445092</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1.50_707.1811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16.34407421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36.64731406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29.14805596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40.42773094</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2.02_415.1033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9.703207906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21.40986772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17.11266836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23.48035127</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CSID97088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1.64_477.1017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5.784465737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112.2770162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97.57258895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121.1491434</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CSID4477169</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1.17_161.0239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130.2435765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231.5258717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227.214197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253.7870852</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CSID600426</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1.20_197.0447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18.71535083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10.72049881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11.16954986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15.87541751</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CSID12693</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2.00_775.1479</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199.6464176</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233.7962722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262.0382917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313.4629769</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CSID30777654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1.91_119.0496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21.35575272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53.17677485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85.75225489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88.51994403</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CSID9964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1.90_163.0393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16.81425954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23.24807243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60.05983354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39.55214165</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CSID553148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2.08_707.1815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1.596607524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7.30360906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7.446338175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8.133231004</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CSID1405788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2.01_467.0966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85.77208745</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123.7488818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130.1317287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168.2476375</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CSID28477210</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2.06_923.2236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0.167208539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2.481991044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1.502395307</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3.437337695</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CSID4445121</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0.38_483.1825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0.965429297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5.139638478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9.770265571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6.134948638</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CSID82594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2.73_835.2417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0.000119553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CSID30777624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0.48_355.0673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28.20871283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12.81756466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27.92112276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37.93905017</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CSID30777604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0.39_501.1036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7.356663071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5.560488264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8.943800985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2.568285011</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CSID8089617</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0.52_263.0342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1.137579421</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0.142427592</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1.269520361</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CSID4445117</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1.28_627.1496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20.20410038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77.0441868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83.52988008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26.04516904</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CSID4445094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1.59_739.2057</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7.672614059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50.20549216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50.74489349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84.98166252</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CSID57579554</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2.19_895.1953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4.725573593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2.865303191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9.358315085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6.399790415</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CSID29341798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0.39_735.2126</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36.05611544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44.29658279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43.92169786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69.36598376</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CSID10392638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0.68_863.2015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CSID35015223</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0.83_371.0984</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144.0673497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162.6387639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175.6071113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232.4224181</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1.86_297.0758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32.26403532</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19.78223999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33.05089268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20.54418448</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CSID24842912</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1.12_449.1085</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422.5478923</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387.5723148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370.1341929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452.4841622</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CSID8065632</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1.87_743.2022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4.059944069</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2.087897229</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4.436995864</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5.643423434</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CSID165080</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1.28_625.1403</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11.28346314</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11.80437813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22.93584083</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12.68103326</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CSID4478806</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1.97_603.2252</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28.8593988</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25.08887735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24.80140036</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14.61733937</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CSID30777589</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2.02_891.2341</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2.085902888</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0.972704685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2.250815868</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CSID163248</w:t>
            </w:r>
          </w:p>
        </w:tc>
      </w:tr>
      <w:tr w:rsidR="00CF1D1E" w:rsidRPr="00CF1D1E" w:rsidTr="00C8289C">
        <w:trPr>
          <w:trHeight w:val="333"/>
        </w:trPr>
        <w:tc>
          <w:tcPr>
            <w:tcW w:w="1701" w:type="dxa"/>
            <w:shd w:val="clear" w:color="000000" w:fill="C6E0B4"/>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0.43_675.1948</w:t>
            </w:r>
          </w:p>
        </w:tc>
        <w:tc>
          <w:tcPr>
            <w:tcW w:w="1418"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8.537737147</w:t>
            </w:r>
          </w:p>
        </w:tc>
        <w:tc>
          <w:tcPr>
            <w:tcW w:w="141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12.97432491</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5.069979375</w:t>
            </w:r>
          </w:p>
        </w:tc>
        <w:tc>
          <w:tcPr>
            <w:tcW w:w="1387" w:type="dxa"/>
            <w:shd w:val="clear" w:color="auto" w:fill="auto"/>
            <w:noWrap/>
            <w:vAlign w:val="bottom"/>
            <w:hideMark/>
          </w:tcPr>
          <w:p w:rsidR="00CF1D1E" w:rsidRPr="00CF1D1E" w:rsidRDefault="00CF1D1E" w:rsidP="00CF1D1E">
            <w:pPr>
              <w:spacing w:after="0" w:line="240" w:lineRule="auto"/>
              <w:jc w:val="right"/>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11.14504532</w:t>
            </w:r>
          </w:p>
        </w:tc>
        <w:tc>
          <w:tcPr>
            <w:tcW w:w="1762" w:type="dxa"/>
            <w:shd w:val="clear" w:color="auto" w:fill="auto"/>
            <w:noWrap/>
            <w:vAlign w:val="bottom"/>
            <w:hideMark/>
          </w:tcPr>
          <w:p w:rsidR="00CF1D1E" w:rsidRPr="00CF1D1E" w:rsidRDefault="00CF1D1E" w:rsidP="00CF1D1E">
            <w:pPr>
              <w:spacing w:after="0" w:line="240" w:lineRule="auto"/>
              <w:rPr>
                <w:rFonts w:ascii="Calibri" w:eastAsia="Times New Roman" w:hAnsi="Calibri" w:cs="Times New Roman"/>
                <w:color w:val="000000"/>
                <w:lang w:eastAsia="en-GB"/>
              </w:rPr>
            </w:pPr>
            <w:r w:rsidRPr="00CF1D1E">
              <w:rPr>
                <w:rFonts w:ascii="Calibri" w:eastAsia="Times New Roman" w:hAnsi="Calibri" w:cs="Times New Roman"/>
                <w:color w:val="000000"/>
                <w:lang w:eastAsia="en-GB"/>
              </w:rPr>
              <w:t>CSID4945466</w:t>
            </w:r>
          </w:p>
        </w:tc>
      </w:tr>
    </w:tbl>
    <w:p w:rsidR="00CF1D1E" w:rsidRPr="00CF1D1E" w:rsidRDefault="00CF1D1E" w:rsidP="00CF1D1E">
      <w:pPr>
        <w:spacing w:line="360" w:lineRule="auto"/>
        <w:rPr>
          <w:rFonts w:ascii="Calibri" w:eastAsia="Calibri" w:hAnsi="Calibri" w:cs="Times New Roman"/>
          <w:sz w:val="24"/>
          <w:szCs w:val="24"/>
          <w:lang w:val="en"/>
        </w:rPr>
      </w:pP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r w:rsidRPr="00CF1D1E">
        <w:rPr>
          <w:rFonts w:ascii="Calibri" w:eastAsia="Calibri" w:hAnsi="Calibri" w:cs="Times New Roman"/>
          <w:color w:val="000000"/>
          <w:sz w:val="20"/>
          <w:szCs w:val="20"/>
        </w:rPr>
        <w:lastRenderedPageBreak/>
        <w:t xml:space="preserve">Tab.A2-008 </w:t>
      </w:r>
      <w:r w:rsidR="005629D7">
        <w:rPr>
          <w:rFonts w:ascii="Calibri" w:eastAsia="Calibri" w:hAnsi="Calibri" w:cs="Times New Roman"/>
          <w:color w:val="000000"/>
          <w:sz w:val="20"/>
          <w:szCs w:val="20"/>
        </w:rPr>
        <w:t>H</w:t>
      </w:r>
      <w:r w:rsidRPr="00CF1D1E">
        <w:rPr>
          <w:rFonts w:ascii="Calibri" w:eastAsia="Calibri" w:hAnsi="Calibri" w:cs="Times New Roman"/>
          <w:color w:val="000000"/>
          <w:sz w:val="20"/>
          <w:szCs w:val="20"/>
        </w:rPr>
        <w:t>ighest scoring results from processing HDMS</w:t>
      </w:r>
      <w:r w:rsidRPr="00CF1D1E">
        <w:rPr>
          <w:rFonts w:ascii="Calibri" w:eastAsia="Calibri" w:hAnsi="Calibri" w:cs="Times New Roman"/>
          <w:color w:val="000000"/>
          <w:sz w:val="20"/>
          <w:szCs w:val="20"/>
          <w:vertAlign w:val="superscript"/>
        </w:rPr>
        <w:t>e</w:t>
      </w:r>
      <w:r w:rsidRPr="00CF1D1E">
        <w:rPr>
          <w:rFonts w:ascii="Calibri" w:eastAsia="Calibri" w:hAnsi="Calibri" w:cs="Times New Roman"/>
          <w:color w:val="000000"/>
          <w:sz w:val="20"/>
          <w:szCs w:val="20"/>
        </w:rPr>
        <w:t xml:space="preserve"> data through Progenesis QI. This data relates to the 4 repeats of the benchmark Green Tea extract compared to blanks.</w:t>
      </w:r>
      <w:r w:rsidR="00B6012D">
        <w:rPr>
          <w:rFonts w:ascii="Calibri" w:eastAsia="Calibri" w:hAnsi="Calibri" w:cs="Times New Roman"/>
          <w:color w:val="000000"/>
          <w:sz w:val="20"/>
          <w:szCs w:val="20"/>
        </w:rPr>
        <w:t xml:space="preserve"> Matairesinol highlighted in blue and EGCG highlighted in bright green.</w:t>
      </w:r>
    </w:p>
    <w:p w:rsidR="00CF1D1E" w:rsidRPr="00CF1D1E" w:rsidRDefault="00CF1D1E" w:rsidP="00CF1D1E">
      <w:pPr>
        <w:autoSpaceDE w:val="0"/>
        <w:autoSpaceDN w:val="0"/>
        <w:adjustRightInd w:val="0"/>
        <w:spacing w:after="0" w:line="360" w:lineRule="auto"/>
        <w:rPr>
          <w:rFonts w:ascii="Calibri" w:eastAsia="Calibri" w:hAnsi="Calibri" w:cs="Times New Roman"/>
          <w:color w:val="000000"/>
          <w:sz w:val="20"/>
          <w:szCs w:val="20"/>
        </w:rPr>
      </w:pPr>
    </w:p>
    <w:p w:rsidR="00CF1D1E" w:rsidRPr="00CF1D1E" w:rsidRDefault="00CF1D1E" w:rsidP="00CF1D1E">
      <w:pPr>
        <w:rPr>
          <w:rFonts w:ascii="Calibri" w:eastAsia="Calibri" w:hAnsi="Calibri" w:cs="Times New Roman"/>
          <w:color w:val="000000"/>
          <w:sz w:val="20"/>
          <w:szCs w:val="20"/>
        </w:rPr>
      </w:pPr>
      <w:r w:rsidRPr="00CF1D1E">
        <w:rPr>
          <w:rFonts w:ascii="Calibri" w:eastAsia="Calibri" w:hAnsi="Calibri" w:cs="Times New Roman"/>
          <w:sz w:val="20"/>
          <w:szCs w:val="20"/>
        </w:rPr>
        <w:br w:type="page"/>
      </w:r>
    </w:p>
    <w:p w:rsidR="00CF1D1E" w:rsidRPr="00CF1D1E" w:rsidRDefault="00CF1D1E" w:rsidP="00CF1D1E">
      <w:pPr>
        <w:numPr>
          <w:ilvl w:val="0"/>
          <w:numId w:val="11"/>
        </w:numPr>
        <w:contextualSpacing/>
        <w:rPr>
          <w:rFonts w:ascii="Calibri" w:eastAsia="Calibri" w:hAnsi="Calibri" w:cs="Times New Roman"/>
          <w:b/>
          <w:bCs/>
          <w:sz w:val="44"/>
          <w:szCs w:val="44"/>
        </w:rPr>
      </w:pPr>
      <w:r w:rsidRPr="00CF1D1E">
        <w:rPr>
          <w:rFonts w:ascii="Calibri" w:eastAsia="Calibri" w:hAnsi="Calibri" w:cs="Times New Roman"/>
          <w:b/>
          <w:bCs/>
          <w:sz w:val="44"/>
          <w:szCs w:val="44"/>
        </w:rPr>
        <w:lastRenderedPageBreak/>
        <w:t>Appendices for Chapter 3 (A3)</w:t>
      </w:r>
    </w:p>
    <w:p w:rsidR="00CF1D1E" w:rsidRPr="00CF1D1E" w:rsidRDefault="00CF1D1E" w:rsidP="00CF1D1E">
      <w:pPr>
        <w:rPr>
          <w:rFonts w:ascii="Calibri" w:eastAsia="Calibri" w:hAnsi="Calibri" w:cs="Times New Roman"/>
          <w:bCs/>
          <w:sz w:val="24"/>
          <w:szCs w:val="24"/>
        </w:rPr>
      </w:pPr>
      <w:r w:rsidRPr="00CF1D1E">
        <w:rPr>
          <w:rFonts w:ascii="Calibri" w:eastAsia="Calibri" w:hAnsi="Calibri" w:cs="Times New Roman"/>
          <w:bCs/>
          <w:sz w:val="24"/>
          <w:szCs w:val="24"/>
        </w:rPr>
        <w:t xml:space="preserve">This appendix contains supplementary information, relating to chapter 3, which was not included in the main body of the thesis. </w:t>
      </w:r>
    </w:p>
    <w:p w:rsidR="00CF1D1E" w:rsidRPr="00CF1D1E" w:rsidRDefault="00CF1D1E" w:rsidP="00CF1D1E">
      <w:pPr>
        <w:rPr>
          <w:rFonts w:ascii="Calibri" w:eastAsia="Calibri" w:hAnsi="Calibri" w:cs="Times New Roman"/>
          <w:bCs/>
          <w:sz w:val="24"/>
          <w:szCs w:val="24"/>
        </w:rPr>
      </w:pPr>
    </w:p>
    <w:p w:rsidR="00CF1D1E" w:rsidRPr="00CF1D1E" w:rsidRDefault="00CF1D1E" w:rsidP="00CF1D1E">
      <w:pPr>
        <w:rPr>
          <w:rFonts w:ascii="Calibri" w:eastAsia="Calibri" w:hAnsi="Calibri" w:cs="Times New Roman"/>
          <w:b/>
          <w:bCs/>
          <w:sz w:val="44"/>
          <w:szCs w:val="44"/>
        </w:rPr>
      </w:pPr>
      <w:r w:rsidRPr="00CF1D1E">
        <w:rPr>
          <w:rFonts w:ascii="Calibri" w:eastAsia="Calibri" w:hAnsi="Calibri" w:cs="Times New Roman"/>
          <w:noProof/>
          <w:lang w:eastAsia="en-GB"/>
        </w:rPr>
        <w:drawing>
          <wp:inline distT="0" distB="0" distL="0" distR="0" wp14:anchorId="603C9A36" wp14:editId="0FF4E628">
            <wp:extent cx="5731510" cy="2987675"/>
            <wp:effectExtent l="0" t="0" r="2540" b="317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efficients for Chomogonday White (Chomogonday White = -1, Extracts 652 = 1).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Fig.A3-001 Coefficients plot for Chomogonday White and Extracts 652.</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412E4C85" wp14:editId="283A68CE">
            <wp:extent cx="5731510" cy="2987675"/>
            <wp:effectExtent l="0" t="0" r="2540" b="317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efficients for Chomogonday White (Chomogonday White = -1, Kijani DM = 1).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Fig.A3-002 Coefficients plot for Chomogonday White and Kijani DM</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63D35C2F" wp14:editId="3E845D80">
            <wp:extent cx="5731510" cy="2987675"/>
            <wp:effectExtent l="0" t="0" r="254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efficients for Chomogonday White (Chomogonday White = -1, Milima GFBOP1 = 1).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Fig.A3-003 Coefficients plot for Chomogonday White and Milima GFBOP1.</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7703DCF3" wp14:editId="6A40543B">
            <wp:extent cx="5731510" cy="2987675"/>
            <wp:effectExtent l="0" t="0" r="2540" b="317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efficients for Chomogonday White (Chomogonday White = -1, Newburgh Hyson = 1).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Fig.A3-004 Coefficients plot for Chomogonday White and Newburgh Hyson.</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40EC424F" wp14:editId="42B8B999">
            <wp:extent cx="5731510" cy="2987675"/>
            <wp:effectExtent l="0" t="0" r="2540" b="317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efficients for Chomogonday White (Chomogonday White = -1, Purple CTC = 1).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Fig.A3-005 Coefficients plot for Chomogonday White and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43B507CF" wp14:editId="12F97940">
            <wp:extent cx="5731510" cy="2987675"/>
            <wp:effectExtent l="0" t="0" r="254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efficients for Chomogonday White (Chomogonday White = -1, Tiluet HP = 1).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Fig.A3-006 Coefficients plot for Chomogonday White and Tiluet HP.</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07AD590E" wp14:editId="203E2888">
            <wp:extent cx="5731510" cy="2987675"/>
            <wp:effectExtent l="0" t="0" r="2540" b="317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efficients for Chomogonday White (Chomogonday White = -1, Tiluet MTH = 1).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Fig.A3-007 Coefficients plot for Chomogonday White and Tiluet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0BA5B6F6" wp14:editId="6F68AEC4">
            <wp:extent cx="5731510" cy="2987675"/>
            <wp:effectExtent l="0" t="0" r="2540" b="31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efficients for Chomogonday White (Chomogonday White = -1, Waldemar Oolong = 1).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Fig.A3-008 Coefficients plot for Chomogonday White and Waldemar Oolong</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1E058646" wp14:editId="54FCE2A7">
            <wp:extent cx="5731510" cy="2987675"/>
            <wp:effectExtent l="0" t="0" r="2540" b="317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efficients for Extracts 652 (Extracts 652 = -1, Kijani DM = 1).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Fig.A3-009 Coefficients plot for Extracts 652 and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048FF57E" wp14:editId="21C98791">
            <wp:extent cx="5731510" cy="2987675"/>
            <wp:effectExtent l="0" t="0" r="2540"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efficients for Extracts 652 (Extracts 652 = -1, Purple CTC = 1).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Fig.A3-010 Coefficients plot for Extracts 652 and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4B628045" wp14:editId="1CDFB28E">
            <wp:extent cx="5731510" cy="2987675"/>
            <wp:effectExtent l="0" t="0" r="2540" b="317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efficients for Extracts 652 (Extracts 652 = -1, Tiluet HP = 1).p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Fig.A3-011 Coefficients plot for Extracts 652 and Tiluet HP</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4CD1C31C" wp14:editId="2636D4A0">
            <wp:extent cx="5731510" cy="2987675"/>
            <wp:effectExtent l="0" t="0" r="2540" b="317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efficients for Extracts 652 (Extracts 652 = -1, Tiluet MTH = 1).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Fig.A3-012 Coefficients plot for Extracts 652 and Tiluet MTH</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2087D498" wp14:editId="15F3963A">
            <wp:extent cx="5731510" cy="2987675"/>
            <wp:effectExtent l="0" t="0" r="2540" b="317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efficients for Milima GFBOP1 (Milima GFBOP1 = -1, Kijani DM = 1).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Fig.A3-013 Coefficients plot for Milima GFBOP1 and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3CD6DBBA" wp14:editId="19B8524D">
            <wp:extent cx="5731510" cy="2987675"/>
            <wp:effectExtent l="0" t="0" r="2540" b="317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efficients for Milima GFBOP1 (Milima GFBOP1 = -1, Purple CTC = 1).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Fig.A3-014 Coefficients plot for Milima GFBOP1 and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4F3A24BF" wp14:editId="04A085E3">
            <wp:extent cx="5731510" cy="2987675"/>
            <wp:effectExtent l="0" t="0" r="2540"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efficients for Milima GFBOP1 (Milima GFBOP1 = -1, Tiluet MTH = 1).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Fig.A3-015 Coefficients plot for Milima GFBOP1 and Tiluet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1D3D086B" wp14:editId="4978B821">
            <wp:extent cx="5731510" cy="2987675"/>
            <wp:effectExtent l="0" t="0" r="2540" b="317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efficients for Newburgh Hyson (Newburgh Hyson = -1, Extracts 652 = 1).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Fig.A3-016 Coefficients plot for Newburgh Hyson and Extracts 652.</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373C99DD" wp14:editId="2AE77EE4">
            <wp:extent cx="5731510" cy="2987675"/>
            <wp:effectExtent l="0" t="0" r="254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efficients for Newburgh Hyson (Newburgh Hyson = -1, Kijani DM = 1).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Fig.A3-017 Coefficients plot for Newburgh Hyson and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0DFBAEDF" wp14:editId="0B7063C7">
            <wp:extent cx="5731510" cy="2987675"/>
            <wp:effectExtent l="0" t="0" r="2540" b="317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efficients for Newburgh Hyson (Newburgh Hyson = -1, Milima GFBOP1 = 1).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Fig.A3-018 Coefficients plot for Newburgh Hyson and Milima GFBOP1.</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71B076B2" wp14:editId="19C68DB7">
            <wp:extent cx="5731510" cy="2987675"/>
            <wp:effectExtent l="0" t="0" r="2540" b="31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efficients for Newburgh Hyson (Newburgh Hyson = -1, Purple CTC = 1).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Fig.A3-019 Coefficients plot for Newburgh Hyson and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7137737A" wp14:editId="775612E4">
            <wp:extent cx="5731510" cy="2987675"/>
            <wp:effectExtent l="0" t="0" r="2540" b="317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efficients for Newburgh Hyson (Newburgh Hyson = -1, Tiluet HP = 1).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Fig.A3-020 Coefficients plot for Newburgh Hyson and Tiluet HP.</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br w:type="page"/>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3C1FB388" wp14:editId="2737483E">
            <wp:extent cx="5731510" cy="2987675"/>
            <wp:effectExtent l="0" t="0" r="2540"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efficients for Newburgh Hyson (Newburgh Hyson = -1, Tiluet MTH = 1).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Fig.A3-021 Coefficients plot for Newburgh Hyson and Tiluet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0EDB3237" wp14:editId="0A222A98">
            <wp:extent cx="5731510" cy="2987675"/>
            <wp:effectExtent l="0" t="0" r="2540"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efficients for Purple CTC (Purple CTC = -1, Kijani DM = 1).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Fig.A3-022 Coefficients plot for Purple CTC and Milima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5BC8CF0D" wp14:editId="41BC0AA7">
            <wp:extent cx="5731510" cy="2987675"/>
            <wp:effectExtent l="0" t="0" r="2540" b="317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efficients for Purple CTC (Purple CTC = -1, Tiluet MTH = 1).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Fig.A3-023 Coefficients plot for Purple CTC and Tiluet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65F175D8" wp14:editId="7B42BCC0">
            <wp:extent cx="5731510" cy="2987675"/>
            <wp:effectExtent l="0" t="0" r="2540" b="31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efficients for Tiluet HP (Tiluet HP = -1, Kijani DM = 1).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Fig.A3-024 Coefficients plot for Tiluet HP and Kijani DM.</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br w:type="page"/>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4A50176C" wp14:editId="7D9F65DE">
            <wp:extent cx="5731510" cy="2987675"/>
            <wp:effectExtent l="0" t="0" r="2540" b="317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efficients for Tiluet HP (Tiluet HP = -1, Milima GFBOP1 = 1).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Fig.A3-025 Coefficients plot for Tiluet HP and Milima GFBOP1.</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6713FB78" wp14:editId="04A31452">
            <wp:extent cx="5731510" cy="2987675"/>
            <wp:effectExtent l="0" t="0" r="2540" b="317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efficients for Tiluet HP (Tiluet HP = -1, Purple CTC = 1).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Fig.A3-026 Coefficients plot for Tiluet HP and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7F4F4C93" wp14:editId="2039ABD9">
            <wp:extent cx="5731510" cy="2987675"/>
            <wp:effectExtent l="0" t="0" r="2540" b="31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efficients for Tiluet HP (Tiluet HP = -1, Tiluet MTH = 1).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Fig.A3-027 Coefficients plot for Tiluet HP and Tiluet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5F8274D4" wp14:editId="2AC8D06B">
            <wp:extent cx="5731510" cy="2987675"/>
            <wp:effectExtent l="0" t="0" r="2540" b="317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oefficients for Tiluet MTH (Tiluet MTH = -1, Kijani DM = 1).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Fig.A3-028 Coefficients plot for Tiluet MTH and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74F065D2" wp14:editId="457F1808">
            <wp:extent cx="5731510" cy="2987675"/>
            <wp:effectExtent l="0" t="0" r="2540" b="317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oefficients for Waldemar Oolong (Waldemar Oolong = -1, Extracts 652 = 1).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Fig.A3-029 Coefficients plot for Waldemar Oolong and Extracts 652.</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37C9D6BB" wp14:editId="553F8605">
            <wp:extent cx="5731510" cy="2987675"/>
            <wp:effectExtent l="0" t="0" r="2540" b="317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efficients for Waldemar Oolong (Waldemar Oolong = -1, Kijani DM = 1).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Fig.A3-030 Coefficients plot for Waldemar Oolong and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01054F9A" wp14:editId="43CB7BFF">
            <wp:extent cx="5731510" cy="2987675"/>
            <wp:effectExtent l="0" t="0" r="254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oefficients for Waldemar Oolong (Waldemar Oolong = -1, Milima GFBOP1 = 1).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Fig.A3-031 Coefficients plot for Waldemar Oolong and Milima GFBOP1.</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7060B030" wp14:editId="485422D7">
            <wp:extent cx="5731510" cy="2987675"/>
            <wp:effectExtent l="0" t="0" r="2540" b="317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efficients for Waldemar Oolong (Waldemar Oolong = -1, Newburgh Hyson = 1).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Fig.A3-032 Coefficients plot for Waldemar Oolong and Newburgh Hyson.</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br w:type="page"/>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5EC96041" wp14:editId="6E7E88C2">
            <wp:extent cx="5731510" cy="2987675"/>
            <wp:effectExtent l="0" t="0" r="2540" b="317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efficients for Waldemar Oolong (Waldemar Oolong = -1, Purple CTC = 1).p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Fig.A3-033 Coefficients plot for Waldemar Oolong and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075170F1" wp14:editId="5A6687C5">
            <wp:extent cx="5731510" cy="2987675"/>
            <wp:effectExtent l="0" t="0" r="2540" b="317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oefficients for Waldemar Oolong (Waldemar Oolong = -1, Tiluet HP = 1).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Fig.A3-034 Coefficients plot for Waldemar Oolong and Tiluet HP.</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2A736F94" wp14:editId="298C4088">
            <wp:extent cx="5731510" cy="2987675"/>
            <wp:effectExtent l="0" t="0" r="2540" b="31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efficients for Waldemar Oolong (Waldemar Oolong = -1, Tiluet MTH = 1).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Fig.A3-035 Coefficients plot for Waldemar Oolong and Kijani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04946AFD" wp14:editId="4CD92D9F">
            <wp:extent cx="5731510" cy="2987675"/>
            <wp:effectExtent l="0" t="0" r="2540" b="317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otellings T2 range component 1.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Fig.A3-036 Hotelling’s T</w:t>
      </w:r>
      <w:r w:rsidRPr="00141067">
        <w:rPr>
          <w:rFonts w:ascii="Calibri" w:eastAsia="Calibri" w:hAnsi="Calibri" w:cs="Times New Roman"/>
          <w:bCs/>
          <w:sz w:val="20"/>
          <w:szCs w:val="20"/>
          <w:vertAlign w:val="superscript"/>
        </w:rPr>
        <w:t>2</w:t>
      </w:r>
      <w:r w:rsidRPr="00CF1D1E">
        <w:rPr>
          <w:rFonts w:ascii="Calibri" w:eastAsia="Calibri" w:hAnsi="Calibri" w:cs="Times New Roman"/>
          <w:bCs/>
          <w:sz w:val="20"/>
          <w:szCs w:val="20"/>
        </w:rPr>
        <w:t xml:space="preserve"> plot of all 9 teas including coloured legend.</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42B81211" wp14:editId="2A99DFD5">
            <wp:extent cx="5731510" cy="2987675"/>
            <wp:effectExtent l="0" t="0" r="2540" b="31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Plot (Chomogonday White = -1, Extracts 652 = 1).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Fig.A3-037 S-Plot of Chomogonday White v Extracts 652</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6C2CB70F" wp14:editId="0A779BA3">
            <wp:extent cx="5731510" cy="2987675"/>
            <wp:effectExtent l="0" t="0" r="2540" b="317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Plot (Chomogonday White = -1, Kijani DM = 1).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Fig.A3-038 S-Plot of Chomogonday White v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299A5FF5" wp14:editId="22600622">
            <wp:extent cx="5731510" cy="2987675"/>
            <wp:effectExtent l="0" t="0" r="2540" b="317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Plot (Chomogonday White = -1, Milima GFBOP1 = 1).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Fig.A3-039 S-Plot of Chomogonday White v Milima GFBOP1.</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58D80ECE" wp14:editId="73BCE779">
            <wp:extent cx="5731510" cy="2987675"/>
            <wp:effectExtent l="0" t="0" r="2540" b="31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Plot (Chomogonday White = -1, Newburgh Hyson = 1).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Fig.A3-040 S-Plot of Chomogonday White v Newburgh Hyson.</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310909B7" wp14:editId="42C67597">
            <wp:extent cx="5731510" cy="2987675"/>
            <wp:effectExtent l="0" t="0" r="2540" b="317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Plot (Chomogonday White = -1, Purple CTC = 1).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Fig.A3-041 S-Plot of Chomogonday White v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5299FFF7" wp14:editId="78FD85F6">
            <wp:extent cx="5731510" cy="2987675"/>
            <wp:effectExtent l="0" t="0" r="2540" b="317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Plot (Chomogonday White = -1, Tiluet HP = 1).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Fig.A3-042 S-Plot of Chomogonday White v Tiluet HP.</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31092967" wp14:editId="478611C9">
            <wp:extent cx="5731510" cy="2987675"/>
            <wp:effectExtent l="0" t="0" r="2540" b="317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Plot (Chomogonday White = -1, Tiluet MTH = 1).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Fig.A3-043 S-Plot of Chomogonday White v Tiluet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7D651CCA" wp14:editId="2B0E6A3E">
            <wp:extent cx="5731510" cy="2987675"/>
            <wp:effectExtent l="0" t="0" r="2540" b="317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Plot (Chomogonday White = -1, Waldemar Oolong = 1).pn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Fig.A3-044 S-Plot of Chomogonday White v Waldemar Oolong.</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br w:type="page"/>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630EA5E9" wp14:editId="43FFD03C">
            <wp:extent cx="5731510" cy="2987675"/>
            <wp:effectExtent l="0" t="0" r="254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Plot (Extracts 652 = -1, Kijani DM = 1).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Fig.A3-045 S-Plot of Extracts 652 v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47E4598D" wp14:editId="1E4C4234">
            <wp:extent cx="5731510" cy="2987675"/>
            <wp:effectExtent l="0" t="0" r="2540" b="317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Plot (Extracts 652 = -1, Milima GFBOP1 = 1).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Fig.A3-046 S-Plot of Extracts 652 v Milima GFBOP1.</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6E947F68" wp14:editId="51E8B3AA">
            <wp:extent cx="5731510" cy="2987675"/>
            <wp:effectExtent l="0" t="0" r="2540" b="317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Plot (Extracts 652 = -1, Purple CTC = 1).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Fig.A3-047 S-Plot of Extracts 652 v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67415666" wp14:editId="509C787F">
            <wp:extent cx="5731510" cy="2987675"/>
            <wp:effectExtent l="0" t="0" r="2540" b="317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Plot (Extracts 652 = -1, Tiluet HP = 1).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Fig.A3-048 S-Plot of Extracts 652 v Tiluet HP.</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1DC77A21" wp14:editId="08A4FD3D">
            <wp:extent cx="5731510" cy="2987675"/>
            <wp:effectExtent l="0" t="0" r="2540" b="317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Plot (Extracts 652 = -1, Tiluet MTH = 1).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Fig.A3-049 S-Plot of Extracts 652 v Tiluet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3C93B7F2" wp14:editId="0A048DE4">
            <wp:extent cx="5731510" cy="2987675"/>
            <wp:effectExtent l="0" t="0" r="254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Plot (Milima GFBOP1 = -1, Kijani DM = 1.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Fig.A3-050 S-Plot of GFBOP1 v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6BC42889" wp14:editId="5F53FF43">
            <wp:extent cx="5731510" cy="2987675"/>
            <wp:effectExtent l="0" t="0" r="254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Plot (Milima GFBOP1 = -1, Purple CTC = 1).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Fig.A3-051 S-Plot of GFBOP1 v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347491F8" wp14:editId="7710AEC2">
            <wp:extent cx="5731510" cy="2987675"/>
            <wp:effectExtent l="0" t="0" r="2540" b="317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Plot (Milima GFBOP1 = -1, Tiluet MTH = 1).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Fig.A3-052 S-Plot of GFBOP1 v Tiluet MTH.</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br w:type="page"/>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560D363F" wp14:editId="53E6ECC5">
            <wp:extent cx="5731510" cy="2987675"/>
            <wp:effectExtent l="0" t="0" r="2540" b="317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Plot (Newburgh Hyson = -1, Extracts 652 = 1).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Fig.A3-053 S-Plot of Newburgh Hyson v Extracts 652.</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5D163242" wp14:editId="3792EF02">
            <wp:extent cx="5731510" cy="2987675"/>
            <wp:effectExtent l="0" t="0" r="2540" b="317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Plot (Newburgh Hyson = -1, Kijani DM = 1).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Fig.A3-054 S-Plot of Newburgh Hyson v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1AE8022F" wp14:editId="51A89279">
            <wp:extent cx="5731510" cy="2987675"/>
            <wp:effectExtent l="0" t="0" r="2540" b="317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Plot (Newburgh Hyson = -1, Milima GFBOP1 = 1).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Fig.A3-055 S-Plot of Newburgh Hyson v Milima GFBOP1.</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4B081E26" wp14:editId="11796AC1">
            <wp:extent cx="5731510" cy="2987675"/>
            <wp:effectExtent l="0" t="0" r="2540" b="317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Plot (Newburgh Hyson = -1, Purple CTC = 1).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Fig.A3-056 S-Plot of Newburgh Hyson v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7A012482" wp14:editId="18E28A7C">
            <wp:extent cx="5731510" cy="2987675"/>
            <wp:effectExtent l="0" t="0" r="2540" b="317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Plot (Newburgh Hyson = -1, Tiluet HP = 1).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Fig.A3-057 S-Plot of Newburgh Hyson v Tiluet HP.</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45E7893E" wp14:editId="5E88F354">
            <wp:extent cx="5731510" cy="2987675"/>
            <wp:effectExtent l="0" t="0" r="2540" b="317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Plot (Newburgh Hyson = -1, Tiluet MTH = 1).p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Fig.A3-058 S-Plot of Newburgh Hyson v Tiluet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46EBB542" wp14:editId="5B95735A">
            <wp:extent cx="5731510" cy="2987675"/>
            <wp:effectExtent l="0" t="0" r="2540" b="317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Plot (Purple CTC = -1, Kijani DM = 1).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Fig.A3-059 S-Plot of Purple CTC v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0F771D63" wp14:editId="67AF22B3">
            <wp:extent cx="5731510" cy="2987675"/>
            <wp:effectExtent l="0" t="0" r="254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Plot (Purple CTC = -1, Tiluet MTH = 1).p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Fig.A3-060 S-Plot of Purple CTC v Tiluet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44D30EA9" wp14:editId="6FE636DE">
            <wp:extent cx="5731510" cy="2987675"/>
            <wp:effectExtent l="0" t="0" r="254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Plot (Tiluet HP = -1, Kijani DM = 1).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Fig.A3-061 S-Plot of Tiluet HP v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6DD3DBCE" wp14:editId="73A46319">
            <wp:extent cx="5731510" cy="2987675"/>
            <wp:effectExtent l="0" t="0" r="2540" b="317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Plot (Tiluet HP = -1, Milima GFBOP1 = 1.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Fig.A3-062 S-Plot of Tiluet HP v Milima GFBOP1.</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br w:type="page"/>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047A9A44" wp14:editId="6E7CD0A2">
            <wp:extent cx="5731510" cy="2987675"/>
            <wp:effectExtent l="0" t="0" r="254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Plot (Tiluet HP = -1, Purple CTC = 1).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Fig.A3-063 S-Plot of Tiluet HP v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455CBDF4" wp14:editId="11F01116">
            <wp:extent cx="5731510" cy="2987675"/>
            <wp:effectExtent l="0" t="0" r="254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Plot (Tiluet HP = -1, Tiluet MTH = 1).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Fig.A3-064 S-Plot of Tiluet HP v Tiluet MTH.</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41CC2B7E" wp14:editId="50AD6AF2">
            <wp:extent cx="5731510" cy="2987675"/>
            <wp:effectExtent l="0" t="0" r="254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Plot (Tiluet MTH = -1, Kijani DM = 1).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noProof/>
          <w:lang w:eastAsia="en-GB"/>
        </w:rPr>
      </w:pPr>
      <w:r w:rsidRPr="00CF1D1E">
        <w:rPr>
          <w:rFonts w:ascii="Calibri" w:eastAsia="Calibri" w:hAnsi="Calibri" w:cs="Times New Roman"/>
          <w:bCs/>
          <w:sz w:val="20"/>
          <w:szCs w:val="20"/>
        </w:rPr>
        <w:t>Fig.A3-065 S-Plot of Tiluet MTH v Kijani DM.</w:t>
      </w:r>
      <w:r w:rsidRPr="00CF1D1E">
        <w:rPr>
          <w:rFonts w:ascii="Calibri" w:eastAsia="Calibri" w:hAnsi="Calibri" w:cs="Times New Roman"/>
          <w:noProof/>
          <w:lang w:eastAsia="en-GB"/>
        </w:rPr>
        <w:t xml:space="preserve"> </w:t>
      </w:r>
    </w:p>
    <w:p w:rsidR="00CF1D1E" w:rsidRPr="00CF1D1E" w:rsidRDefault="00CF1D1E" w:rsidP="00CF1D1E">
      <w:pPr>
        <w:rPr>
          <w:rFonts w:ascii="Calibri" w:eastAsia="Calibri" w:hAnsi="Calibri" w:cs="Times New Roman"/>
          <w:noProof/>
          <w:lang w:eastAsia="en-GB"/>
        </w:rPr>
      </w:pPr>
    </w:p>
    <w:p w:rsidR="00CF1D1E" w:rsidRPr="00CF1D1E" w:rsidRDefault="00CF1D1E" w:rsidP="00CF1D1E">
      <w:pPr>
        <w:rPr>
          <w:rFonts w:ascii="Calibri" w:eastAsia="Calibri" w:hAnsi="Calibri" w:cs="Times New Roman"/>
          <w:noProof/>
          <w:lang w:eastAsia="en-GB"/>
        </w:rPr>
      </w:pPr>
    </w:p>
    <w:p w:rsidR="00CF1D1E" w:rsidRPr="00CF1D1E" w:rsidRDefault="00CF1D1E" w:rsidP="00CF1D1E">
      <w:pPr>
        <w:rPr>
          <w:rFonts w:ascii="Calibri" w:eastAsia="Calibri" w:hAnsi="Calibri" w:cs="Times New Roman"/>
          <w:noProof/>
          <w:lang w:eastAsia="en-GB"/>
        </w:rPr>
      </w:pPr>
    </w:p>
    <w:p w:rsidR="00CF1D1E" w:rsidRPr="00CF1D1E" w:rsidRDefault="00CF1D1E" w:rsidP="00CF1D1E">
      <w:pPr>
        <w:rPr>
          <w:rFonts w:ascii="Calibri" w:eastAsia="Calibri" w:hAnsi="Calibri" w:cs="Times New Roman"/>
          <w:noProof/>
          <w:lang w:eastAsia="en-GB"/>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27ECAE84" wp14:editId="3DEFC74F">
            <wp:extent cx="5731510" cy="2987675"/>
            <wp:effectExtent l="0" t="0" r="254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Plot (Waldemar Oolong = -1, Extracts 652 = 1).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Fig.A3-066 S-Plot of Waldemar Oolong v Extracts 652.</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32BDF4DF" wp14:editId="3C67DA51">
            <wp:extent cx="5731510" cy="2987675"/>
            <wp:effectExtent l="0" t="0" r="2540" b="317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Plot (Waldemar Oolong = -1, Kijani DM = 1).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Fig.A3-067 S-Plot of Waldemar Oolong v Kijani DM.</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772F1DF4" wp14:editId="659D133F">
            <wp:extent cx="5731510" cy="2987675"/>
            <wp:effectExtent l="0" t="0" r="2540" b="317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Plot (Waldemar Oolong = -1, Milima GFBOP1 = 1).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Fig.A3-068 S-Plot of Waldemar Oolong v Milima GFBOP1.</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55F85098" wp14:editId="3238C8F6">
            <wp:extent cx="5731510" cy="2987675"/>
            <wp:effectExtent l="0" t="0" r="2540" b="317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Plot (Waldemar Oolong = -1, Newburgh Hyson = 1).p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Fig.A3-069 S-Plot of Waldemar Oolong v Newburgh Hyson.</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478254DE" wp14:editId="6DFE97C5">
            <wp:extent cx="5731510" cy="2987675"/>
            <wp:effectExtent l="0" t="0" r="2540" b="317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Plot (Waldemar Oolong = -1, Purple CTC = 1).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Fig.A3-070 S-Plot of Waldemar Oolong v Purple CTC.</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lastRenderedPageBreak/>
        <w:drawing>
          <wp:inline distT="0" distB="0" distL="0" distR="0" wp14:anchorId="5B115993" wp14:editId="43A643BB">
            <wp:extent cx="5731510" cy="2987675"/>
            <wp:effectExtent l="0" t="0" r="2540" b="317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Plot (Waldemar Oolong = -1, Tiluet HP = 1).pn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Fig.A3-071 S-Plot of Waldemar Oolong v Tiluet HP.</w:t>
      </w: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noProof/>
          <w:lang w:eastAsia="en-GB"/>
        </w:rPr>
        <w:drawing>
          <wp:inline distT="0" distB="0" distL="0" distR="0" wp14:anchorId="5C8122EA" wp14:editId="61255DDF">
            <wp:extent cx="5731510" cy="2987675"/>
            <wp:effectExtent l="0" t="0" r="2540" b="317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Plot (Waldemar Oolong = -1, Tiluet MTH = 1).pn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t>Fig.A3-072 S-Plot of Waldemar Oolong v Tiluet MTH.</w:t>
      </w:r>
    </w:p>
    <w:p w:rsidR="00CF1D1E" w:rsidRPr="00CF1D1E" w:rsidRDefault="00CF1D1E" w:rsidP="00CF1D1E">
      <w:pPr>
        <w:rPr>
          <w:rFonts w:ascii="Calibri" w:eastAsia="Calibri" w:hAnsi="Calibri" w:cs="Times New Roman"/>
          <w:bCs/>
          <w:sz w:val="20"/>
          <w:szCs w:val="20"/>
        </w:rPr>
      </w:pPr>
      <w:r w:rsidRPr="00CF1D1E">
        <w:rPr>
          <w:rFonts w:ascii="Calibri" w:eastAsia="Calibri" w:hAnsi="Calibri" w:cs="Times New Roman"/>
          <w:bCs/>
          <w:sz w:val="20"/>
          <w:szCs w:val="20"/>
        </w:rPr>
        <w:br w:type="page"/>
      </w:r>
    </w:p>
    <w:p w:rsidR="00CF1D1E" w:rsidRPr="00CF1D1E" w:rsidRDefault="00CF1D1E" w:rsidP="00CF1D1E">
      <w:pPr>
        <w:rPr>
          <w:rFonts w:ascii="Calibri" w:eastAsia="Calibri" w:hAnsi="Calibri" w:cs="Times New Roman"/>
        </w:rPr>
      </w:pPr>
      <w:r w:rsidRPr="00CF1D1E">
        <w:rPr>
          <w:rFonts w:ascii="Calibri" w:eastAsia="Calibri" w:hAnsi="Calibri" w:cs="Times New Roman"/>
          <w:noProof/>
          <w:lang w:eastAsia="en-GB"/>
        </w:rPr>
        <w:lastRenderedPageBreak/>
        <w:drawing>
          <wp:inline distT="0" distB="0" distL="0" distR="0" wp14:anchorId="718F1F4E" wp14:editId="1AB0F7BD">
            <wp:extent cx="5731510" cy="2987675"/>
            <wp:effectExtent l="0" t="0" r="2540" b="317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VIP Chomogonday White v Extracts 652.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Fig.A3-073 VIP Chomogonday White and Extracts 652</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121CBFA4" wp14:editId="73F0AFF8">
            <wp:extent cx="5727065" cy="2983865"/>
            <wp:effectExtent l="0" t="0" r="6985" b="6985"/>
            <wp:docPr id="301" name="Picture 301" descr="C:\Users\chsa10\Documents\James Finlay Ltd\NEW 150819\Part 2 (Top 7 ONLY) EZ Info interpretation\VIP Chomogonday White v Kijani 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sa10\Documents\James Finlay Ltd\NEW 150819\Part 2 (Top 7 ONLY) EZ Info interpretation\VIP Chomogonday White v Kijani DM.pn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727065" cy="298386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Fig.A3-074 VIP Chomogonday White and Kijani DM</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739BC28A" wp14:editId="3983154E">
            <wp:extent cx="5727065" cy="2983865"/>
            <wp:effectExtent l="0" t="0" r="6985" b="6985"/>
            <wp:docPr id="302" name="Picture 302" descr="C:\Users\chsa10\Documents\James Finlay Ltd\NEW 150819\Part 2 (Top 7 ONLY) EZ Info interpretation\VIP Waldemar Oolong v Milima GFB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sa10\Documents\James Finlay Ltd\NEW 150819\Part 2 (Top 7 ONLY) EZ Info interpretation\VIP Waldemar Oolong v Milima GFBOP1.p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727065" cy="298386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Fig.A3-075 VIP Chomogonday White and Milima GFBOP1.</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74D51DD6" wp14:editId="2EE6860A">
            <wp:extent cx="5727065" cy="2983865"/>
            <wp:effectExtent l="0" t="0" r="6985" b="6985"/>
            <wp:docPr id="303" name="Picture 303" descr="C:\Users\chsa10\Documents\James Finlay Ltd\NEW 150819\Part 2 (Top 7 ONLY) EZ Info interpretation\VIP Waldemar Oolong v Newburgh Hy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sa10\Documents\James Finlay Ltd\NEW 150819\Part 2 (Top 7 ONLY) EZ Info interpretation\VIP Waldemar Oolong v Newburgh Hyson.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727065" cy="298386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Fig.A3-076 VIP Chomogonday White and Newburgh Hyson</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5CB10BAB" wp14:editId="0F197764">
            <wp:extent cx="5719445" cy="2976245"/>
            <wp:effectExtent l="0" t="0" r="0" b="0"/>
            <wp:docPr id="124" name="Picture 124" descr="C:\Users\chsa10\Documents\James Finlay Ltd\NEW 150819\Part 2 (Top 7 ONLY) EZ Info interpretation\VIP Chomogonday White v Purple C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sa10\Documents\James Finlay Ltd\NEW 150819\Part 2 (Top 7 ONLY) EZ Info interpretation\VIP Chomogonday White v Purple CTC.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Fig.A3-077 VIP Chomogonday White and Purple CTC</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5F05E9C1" wp14:editId="00E57453">
            <wp:extent cx="5719445" cy="2976245"/>
            <wp:effectExtent l="0" t="0" r="0" b="0"/>
            <wp:docPr id="304" name="Picture 304" descr="C:\Users\chsa10\Documents\James Finlay Ltd\NEW 150819\Part 2 (Top 7 ONLY) EZ Info interpretation\VIP Chomogonday White v Tiluet 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sa10\Documents\James Finlay Ltd\NEW 150819\Part 2 (Top 7 ONLY) EZ Info interpretation\VIP Chomogonday White v Tiluet HP.pn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Fig.A3-078 VIP Chomogonday White and Tiluet HP</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7DAC3425" wp14:editId="52595EC9">
            <wp:extent cx="5719445" cy="2976245"/>
            <wp:effectExtent l="0" t="0" r="0" b="0"/>
            <wp:docPr id="305" name="Picture 305" descr="C:\Users\chsa10\Documents\James Finlay Ltd\NEW 150819\Part 2 (Top 7 ONLY) EZ Info interpretation\VIP Chomogonday White v Tiluet M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sa10\Documents\James Finlay Ltd\NEW 150819\Part 2 (Top 7 ONLY) EZ Info interpretation\VIP Chomogonday White v Tiluet MTH.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Fig.A3-078 VIP Chomogonday White and Tiluet MTH</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49962740" wp14:editId="206CA11D">
            <wp:extent cx="5719445" cy="2976245"/>
            <wp:effectExtent l="0" t="0" r="0" b="0"/>
            <wp:docPr id="306" name="Picture 306" descr="C:\Users\chsa10\Documents\James Finlay Ltd\NEW 150819\Part 2 (Top 7 ONLY) EZ Info interpretation\VIP Chomogonday White v Waldemar Oolo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sa10\Documents\James Finlay Ltd\NEW 150819\Part 2 (Top 7 ONLY) EZ Info interpretation\VIP Chomogonday White v Waldemar Oolong..pn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Fig.A3-079 VIP Chomogonday White and Waldemar Oolong</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026D875E" wp14:editId="3EEECC9B">
            <wp:extent cx="5719445" cy="2976245"/>
            <wp:effectExtent l="0" t="0" r="0" b="0"/>
            <wp:docPr id="307" name="Picture 307" descr="C:\Users\chsa10\Documents\James Finlay Ltd\NEW 150819\Part 2 (Top 7 ONLY) EZ Info interpretation\VIP Extracts 652  and Purple C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sa10\Documents\James Finlay Ltd\NEW 150819\Part 2 (Top 7 ONLY) EZ Info interpretation\VIP Extracts 652  and Purple CTC.pn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Fig.A3-080 VIP Extracts 652 and Purple CTC</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6A2C3DA3" wp14:editId="3E457334">
            <wp:extent cx="5719445" cy="2976245"/>
            <wp:effectExtent l="0" t="0" r="0" b="0"/>
            <wp:docPr id="308" name="Picture 308" descr="C:\Users\chsa10\Documents\James Finlay Ltd\NEW 150819\Part 2 (Top 7 ONLY) EZ Info interpretation\VIP Extracts 652  and Tiluet 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sa10\Documents\James Finlay Ltd\NEW 150819\Part 2 (Top 7 ONLY) EZ Info interpretation\VIP Extracts 652  and Tiluet HP.p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Fig.A3-081 VIP Extracts 652 and Tiluet HP</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09615554" wp14:editId="76133D45">
            <wp:extent cx="5719445" cy="2976245"/>
            <wp:effectExtent l="0" t="0" r="0" b="0"/>
            <wp:docPr id="309" name="Picture 309" descr="C:\Users\chsa10\Documents\James Finlay Ltd\NEW 150819\Part 2 (Top 7 ONLY) EZ Info interpretation\VIP Extracts 652  and Tiluet M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sa10\Documents\James Finlay Ltd\NEW 150819\Part 2 (Top 7 ONLY) EZ Info interpretation\VIP Extracts 652  and Tiluet MTH.pn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Fig.A3-082 VIP Extracts 652 and Tiluet MTH</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5B228463" wp14:editId="563DC1C6">
            <wp:extent cx="5719445" cy="2976245"/>
            <wp:effectExtent l="0" t="0" r="0" b="0"/>
            <wp:docPr id="310" name="Picture 310" descr="C:\Users\chsa10\Documents\James Finlay Ltd\NEW 150819\Part 2 (Top 7 ONLY) EZ Info interpretation\VIP Extracts 652 and Kijani 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sa10\Documents\James Finlay Ltd\NEW 150819\Part 2 (Top 7 ONLY) EZ Info interpretation\VIP Extracts 652 and Kijani DM.pn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Fig.A3-083 VIP Extracts 652 and Kijani DM</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1A3FB3C8" wp14:editId="18E0B3E2">
            <wp:extent cx="5719445" cy="2976245"/>
            <wp:effectExtent l="0" t="0" r="0" b="0"/>
            <wp:docPr id="311" name="Picture 311" descr="C:\Users\chsa10\Documents\James Finlay Ltd\NEW 150819\Part 2 (Top 7 ONLY) EZ Info interpretation\VIP Extracts 652 and Milima GFB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sa10\Documents\James Finlay Ltd\NEW 150819\Part 2 (Top 7 ONLY) EZ Info interpretation\VIP Extracts 652 and Milima GFBOP1.p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Fig.A3-084 VIP Extracts 652 and Milima GFBOP1</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7F61AFBA" wp14:editId="619F6F79">
            <wp:extent cx="5719445" cy="2976245"/>
            <wp:effectExtent l="0" t="0" r="0" b="0"/>
            <wp:docPr id="312" name="Picture 312" descr="C:\Users\chsa10\Documents\James Finlay Ltd\NEW 150819\Part 2 (Top 7 ONLY) EZ Info interpretation\VIP Milima GFBOP1 and Kijani 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sa10\Documents\James Finlay Ltd\NEW 150819\Part 2 (Top 7 ONLY) EZ Info interpretation\VIP Milima GFBOP1 and Kijani DM.pn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Fig.A3-085 VIP Milima GFBOP1 and Kijani DM</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3C846D5E" wp14:editId="3F648504">
            <wp:extent cx="5719445" cy="2976245"/>
            <wp:effectExtent l="0" t="0" r="0" b="0"/>
            <wp:docPr id="313" name="Picture 313" descr="C:\Users\chsa10\Documents\James Finlay Ltd\NEW 150819\Part 2 (Top 7 ONLY) EZ Info interpretation\VIP Milima GFBOP1 and Purple C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sa10\Documents\James Finlay Ltd\NEW 150819\Part 2 (Top 7 ONLY) EZ Info interpretation\VIP Milima GFBOP1 and Purple CTC.pn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Fig.A3-086 VIP Milima GFBOP1 and Purple CTC</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0E4FCA71" wp14:editId="2615F851">
            <wp:extent cx="5719445" cy="2976245"/>
            <wp:effectExtent l="0" t="0" r="0" b="0"/>
            <wp:docPr id="314" name="Picture 314" descr="C:\Users\chsa10\Documents\James Finlay Ltd\NEW 150819\Part 2 (Top 7 ONLY) EZ Info interpretation\VIP Milima GFBOP1 andTiluet M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sa10\Documents\James Finlay Ltd\NEW 150819\Part 2 (Top 7 ONLY) EZ Info interpretation\VIP Milima GFBOP1 andTiluet MTH.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Fig.A3-087 VIP Milima GFBOP1 and Tiluet MTH</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33E3F5CC" wp14:editId="4B5959B1">
            <wp:extent cx="5719445" cy="2976245"/>
            <wp:effectExtent l="0" t="0" r="0" b="0"/>
            <wp:docPr id="315" name="Picture 315" descr="C:\Users\chsa10\Documents\James Finlay Ltd\NEW 150819\Part 2 (Top 7 ONLY) EZ Info interpretation\VIP Newburgh Hyson = -1, Tiluet 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sa10\Documents\James Finlay Ltd\NEW 150819\Part 2 (Top 7 ONLY) EZ Info interpretation\VIP Newburgh Hyson = -1, Tiluet HP.p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Fig.A3-088 VIP Newburgh Hyson and Tiluet HP</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3DD2B930" wp14:editId="581730C4">
            <wp:extent cx="5719445" cy="2976245"/>
            <wp:effectExtent l="0" t="0" r="0" b="0"/>
            <wp:docPr id="316" name="Picture 316" descr="C:\Users\chsa10\Documents\James Finlay Ltd\NEW 150819\Part 2 (Top 7 ONLY) EZ Info interpretation\VIP Newburgh Hyson v Extracts 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hsa10\Documents\James Finlay Ltd\NEW 150819\Part 2 (Top 7 ONLY) EZ Info interpretation\VIP Newburgh Hyson v Extracts 652.pn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Fig.A3-089 VIP Newburgh Hyson and Extracts 652</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0CB6B03D" wp14:editId="5793D040">
            <wp:extent cx="5719445" cy="2976245"/>
            <wp:effectExtent l="0" t="0" r="0" b="0"/>
            <wp:docPr id="317" name="Picture 317" descr="C:\Users\chsa10\Documents\James Finlay Ltd\NEW 150819\Part 2 (Top 7 ONLY) EZ Info interpretation\VIP Newburgh Hyson v Kijani 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sa10\Documents\James Finlay Ltd\NEW 150819\Part 2 (Top 7 ONLY) EZ Info interpretation\VIP Newburgh Hyson v Kijani DM.pn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Fig.A3-090 VIP Newburgh Hyson and Kijani DM</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5CA91B03" wp14:editId="5E7E3447">
            <wp:extent cx="5719445" cy="2976245"/>
            <wp:effectExtent l="0" t="0" r="0" b="0"/>
            <wp:docPr id="318" name="Picture 318" descr="C:\Users\chsa10\Documents\James Finlay Ltd\NEW 150819\Part 2 (Top 7 ONLY) EZ Info interpretation\VIP Newburgh Hyson v Milima GFB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sa10\Documents\James Finlay Ltd\NEW 150819\Part 2 (Top 7 ONLY) EZ Info interpretation\VIP Newburgh Hyson v Milima GFBOP1.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Fig.A3-091 VIP Newburgh Hyson and Milima GFBOP1</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2AA8811A" wp14:editId="1D6D9F35">
            <wp:extent cx="5719445" cy="2976245"/>
            <wp:effectExtent l="0" t="0" r="0" b="0"/>
            <wp:docPr id="319" name="Picture 319" descr="C:\Users\chsa10\Documents\James Finlay Ltd\NEW 150819\Part 2 (Top 7 ONLY) EZ Info interpretation\VIP Newburgh Hyson v Purple C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hsa10\Documents\James Finlay Ltd\NEW 150819\Part 2 (Top 7 ONLY) EZ Info interpretation\VIP Newburgh Hyson v Purple CTC.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Fig.A3-092 VIP Newburgh Hyson and Purple CTC</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11818927" wp14:editId="317748ED">
            <wp:extent cx="5719445" cy="2976245"/>
            <wp:effectExtent l="0" t="0" r="0" b="0"/>
            <wp:docPr id="320" name="Picture 320" descr="C:\Users\chsa10\Documents\James Finlay Ltd\NEW 150819\Part 2 (Top 7 ONLY) EZ Info interpretation\VIP Newburgh v Tiluet M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hsa10\Documents\James Finlay Ltd\NEW 150819\Part 2 (Top 7 ONLY) EZ Info interpretation\VIP Newburgh v Tiluet MTH.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Fig.A3-093 VIP Newburgh Hyson and Tiluet MTH</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483588EF" wp14:editId="48D314B0">
            <wp:extent cx="5719445" cy="2976245"/>
            <wp:effectExtent l="0" t="0" r="0" b="0"/>
            <wp:docPr id="321" name="Picture 321" descr="C:\Users\chsa10\Documents\James Finlay Ltd\NEW 150819\Part 2 (Top 7 ONLY) EZ Info interpretation\VIP Purple CTC and Kijani 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hsa10\Documents\James Finlay Ltd\NEW 150819\Part 2 (Top 7 ONLY) EZ Info interpretation\VIP Purple CTC and Kijani DM.pn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Fig.A3-094 VIP Purple CTC and Kijani DM</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64CD71F0" wp14:editId="3898E166">
            <wp:extent cx="5719445" cy="2976245"/>
            <wp:effectExtent l="0" t="0" r="0" b="0"/>
            <wp:docPr id="322" name="Picture 322" descr="C:\Users\chsa10\Documents\James Finlay Ltd\NEW 150819\Part 2 (Top 7 ONLY) EZ Info interpretation\VIP Purple CTC and Tiluet M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hsa10\Documents\James Finlay Ltd\NEW 150819\Part 2 (Top 7 ONLY) EZ Info interpretation\VIP Purple CTC and Tiluet MTH.pn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Fig.A3-095 VIP Purple CTC and Tiluet MTH</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5C0BDE65" wp14:editId="4E5FA873">
            <wp:extent cx="5719445" cy="2976245"/>
            <wp:effectExtent l="0" t="0" r="0" b="0"/>
            <wp:docPr id="323" name="Picture 323" descr="C:\Users\chsa10\Documents\James Finlay Ltd\NEW 150819\Part 2 (Top 7 ONLY) EZ Info interpretation\VIP Tiluet HP and Kijani 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hsa10\Documents\James Finlay Ltd\NEW 150819\Part 2 (Top 7 ONLY) EZ Info interpretation\VIP Tiluet HP and Kijani DM.pn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r w:rsidRPr="00CF1D1E">
        <w:rPr>
          <w:rFonts w:ascii="Calibri" w:eastAsia="Calibri" w:hAnsi="Calibri" w:cs="Times New Roman"/>
          <w:sz w:val="20"/>
          <w:szCs w:val="20"/>
        </w:rPr>
        <w:t>Fig.A3-096 VIP Tiluet HP and Kijani DM</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46CE22DC" wp14:editId="6D1C3F04">
            <wp:extent cx="5719445" cy="2976245"/>
            <wp:effectExtent l="0" t="0" r="0" b="0"/>
            <wp:docPr id="324" name="Picture 324" descr="C:\Users\chsa10\Documents\James Finlay Ltd\NEW 150819\Part 2 (Top 7 ONLY) EZ Info interpretation\VIP Tiluet HP and Tiluet M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hsa10\Documents\James Finlay Ltd\NEW 150819\Part 2 (Top 7 ONLY) EZ Info interpretation\VIP Tiluet HP and Tiluet MTH.pn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Fig.A3-097 VIP Tiluet HP and Tiluet MTH</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6FAA6846" wp14:editId="776F2DF4">
            <wp:extent cx="5719445" cy="2976245"/>
            <wp:effectExtent l="0" t="0" r="0" b="0"/>
            <wp:docPr id="325" name="Picture 325" descr="C:\Users\chsa10\Documents\James Finlay Ltd\NEW 150819\Part 2 (Top 7 ONLY) EZ Info interpretation\VIP Tiluet HP v Milima GFB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hsa10\Documents\James Finlay Ltd\NEW 150819\Part 2 (Top 7 ONLY) EZ Info interpretation\VIP Tiluet HP v Milima GFBOP1.pn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Fig.A3-098 VIP Tiluet HP and Milima GFBOP1</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7F42D276" wp14:editId="4190FD91">
            <wp:extent cx="5719445" cy="2976245"/>
            <wp:effectExtent l="0" t="0" r="0" b="0"/>
            <wp:docPr id="326" name="Picture 326" descr="C:\Users\chsa10\Documents\James Finlay Ltd\NEW 150819\Part 2 (Top 7 ONLY) EZ Info interpretation\VIP Tiluet HP v Purple C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hsa10\Documents\James Finlay Ltd\NEW 150819\Part 2 (Top 7 ONLY) EZ Info interpretation\VIP Tiluet HP v Purple CTC.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Fig.A3-099 VIP Tiluet HP and Purple CTC</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725C7186" wp14:editId="5F7C1751">
            <wp:extent cx="5719445" cy="2976245"/>
            <wp:effectExtent l="0" t="0" r="0" b="0"/>
            <wp:docPr id="148" name="Picture 148" descr="C:\Users\chsa10\Documents\James Finlay Ltd\NEW 150819\Part 2 (Top 7 ONLY) EZ Info interpretation\VIP Tiluet MTH and Kijani 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hsa10\Documents\James Finlay Ltd\NEW 150819\Part 2 (Top 7 ONLY) EZ Info interpretation\VIP Tiluet MTH and Kijani DM.pn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Fig.A3-100 VIP Tiluet HP and Kijani DM</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36975F29" wp14:editId="682A6E7A">
            <wp:extent cx="5719445" cy="2976245"/>
            <wp:effectExtent l="0" t="0" r="0" b="0"/>
            <wp:docPr id="149" name="Picture 149" descr="C:\Users\chsa10\Documents\James Finlay Ltd\NEW 150819\Part 2 (Top 7 ONLY) EZ Info interpretation\VIP Waldemar Oolong = -1, Tiluet M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hsa10\Documents\James Finlay Ltd\NEW 150819\Part 2 (Top 7 ONLY) EZ Info interpretation\VIP Waldemar Oolong = -1, Tiluet MTH.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Fig.A3-101 VIP Waldemar Oolong and Tiluet MTH</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3EDD1C35" wp14:editId="438FE795">
            <wp:extent cx="5719445" cy="2976245"/>
            <wp:effectExtent l="0" t="0" r="0" b="0"/>
            <wp:docPr id="150" name="Picture 150" descr="C:\Users\chsa10\Documents\James Finlay Ltd\NEW 150819\Part 2 (Top 7 ONLY) EZ Info interpretation\VIP Waldemar Oolong v Extracts 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hsa10\Documents\James Finlay Ltd\NEW 150819\Part 2 (Top 7 ONLY) EZ Info interpretation\VIP Waldemar Oolong v Extracts 652.p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Fig.A3-102 VIP Waldemar Oolong and Extracts 652</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02B4202A" wp14:editId="5342A759">
            <wp:extent cx="5719445" cy="2976245"/>
            <wp:effectExtent l="0" t="0" r="0" b="0"/>
            <wp:docPr id="151" name="Picture 151" descr="C:\Users\chsa10\Documents\James Finlay Ltd\NEW 150819\Part 2 (Top 7 ONLY) EZ Info interpretation\VIP Waldemar Oolong v Kijani 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hsa10\Documents\James Finlay Ltd\NEW 150819\Part 2 (Top 7 ONLY) EZ Info interpretation\VIP Waldemar Oolong v Kijani DM.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Fig.A3-103 VIP Waldemar Oolong and Kijani DM</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3F1AF519" wp14:editId="0839A2EB">
            <wp:extent cx="5719445" cy="2976245"/>
            <wp:effectExtent l="0" t="0" r="0" b="0"/>
            <wp:docPr id="152" name="Picture 152" descr="C:\Users\chsa10\Documents\James Finlay Ltd\NEW 150819\Part 2 (Top 7 ONLY) EZ Info interpretation\VIP Waldemar Oolong v Milima GFB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hsa10\Documents\James Finlay Ltd\NEW 150819\Part 2 (Top 7 ONLY) EZ Info interpretation\VIP Waldemar Oolong v Milima GFBOP1.p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Fig.A3-104 VIP Waldemar Oolong and Milima GFBOP1</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262BB4E4" wp14:editId="75C7460C">
            <wp:extent cx="5719445" cy="2976245"/>
            <wp:effectExtent l="0" t="0" r="0" b="0"/>
            <wp:docPr id="153" name="Picture 153" descr="C:\Users\chsa10\Documents\James Finlay Ltd\NEW 150819\Part 2 (Top 7 ONLY) EZ Info interpretation\VIP Waldemar Oolong v Newburgh Hy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hsa10\Documents\James Finlay Ltd\NEW 150819\Part 2 (Top 7 ONLY) EZ Info interpretation\VIP Waldemar Oolong v Newburgh Hyson.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Fig.A3-105 VIP Waldemar Oolong and Newburgh Hyson</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78D7358A" wp14:editId="732DE0A5">
            <wp:extent cx="5719445" cy="2976245"/>
            <wp:effectExtent l="0" t="0" r="0" b="0"/>
            <wp:docPr id="154" name="Picture 154" descr="C:\Users\chsa10\Documents\James Finlay Ltd\NEW 150819\Part 2 (Top 7 ONLY) EZ Info interpretation\VIP Waldemar Oolong v Purple C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hsa10\Documents\James Finlay Ltd\NEW 150819\Part 2 (Top 7 ONLY) EZ Info interpretation\VIP Waldemar Oolong v Purple CTC.pn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Fig.A3-106 VIP Waldemar Oolong and Purple CTC</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42102156" wp14:editId="7FDBC2C5">
            <wp:extent cx="5719445" cy="2976245"/>
            <wp:effectExtent l="0" t="0" r="0" b="0"/>
            <wp:docPr id="327" name="Picture 327" descr="C:\Users\chsa10\Documents\James Finlay Ltd\NEW 150819\Part 2 (Top 7 ONLY) EZ Info interpretation\VIP Waldemar Oolong v Tiluet 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hsa10\Documents\James Finlay Ltd\NEW 150819\Part 2 (Top 7 ONLY) EZ Info interpretation\VIP Waldemar Oolong v Tiluet HP.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719445" cy="297624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Fig.A3-107 VIP Waldemar Oolong and Tiluet HP.</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2CCBFA4D" wp14:editId="284E23D5">
            <wp:extent cx="5731510" cy="1526540"/>
            <wp:effectExtent l="0" t="0" r="254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agmentation trace for Theaflavin  2.52_563.1197m_z PLUS labels.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731510" cy="1526540"/>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Fig.A3-108 MS spectrum of Theaflavin.</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58C15D45" wp14:editId="0D24176E">
            <wp:extent cx="5731510" cy="1526540"/>
            <wp:effectExtent l="0" t="0" r="254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agmentation trace for Theaflavin monogallate 2.88_715.1306m_z PLUS labels.pn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5731510" cy="1526540"/>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Fig.A3-109 MS spectrum of Theaflavin mono gallate.</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3CA39800" wp14:editId="6B0B04F3">
            <wp:extent cx="5731510" cy="1526540"/>
            <wp:effectExtent l="0" t="0" r="254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agmentation trace for Theasinensin B 0.60_761.1368m_z PLUS labels.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31510" cy="1526540"/>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Fig.A3-110 MS spectrum of Theasinensin B.</w:t>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20C9CD06" wp14:editId="78CB24A3">
            <wp:extent cx="5731510" cy="1559560"/>
            <wp:effectExtent l="0" t="0" r="2540" b="254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ragmentation trace Theasinensin C 0.42_609.1248m_z PLUS labels.pn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5731510" cy="1559560"/>
                    </a:xfrm>
                    <a:prstGeom prst="rect">
                      <a:avLst/>
                    </a:prstGeom>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t>Fig.A3-111 MS spectrum of Theasinensin C.</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244969AB" wp14:editId="2F6780B1">
            <wp:extent cx="5721350" cy="3004185"/>
            <wp:effectExtent l="0" t="0" r="0" b="5715"/>
            <wp:docPr id="332" name="Picture 332" descr="C:\Users\chsa10\Documents\James Finlay Ltd\NEW 150819\Part 3\EZ Info data\S-Plot and VT 0.73_745.1420mz with top100 with top7 TFs and TSs Kijani v Purple C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sa10\Documents\James Finlay Ltd\NEW 150819\Part 3\EZ Info data\S-Plot and VT 0.73_745.1420mz with top100 with top7 TFs and TSs Kijani v Purple CTC.pn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721350" cy="300418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t>Fig.A3-112 S-Plot highlighting 745.1420 m/z for Kijani DM v Purple CTC including a variable trend plot.</w:t>
      </w:r>
    </w:p>
    <w:p w:rsidR="00CF1D1E" w:rsidRPr="00CF1D1E" w:rsidRDefault="00CF1D1E" w:rsidP="00CF1D1E">
      <w:pPr>
        <w:rPr>
          <w:rFonts w:ascii="Calibri" w:eastAsia="Calibri" w:hAnsi="Calibri" w:cs="Times New Roman"/>
          <w:sz w:val="20"/>
          <w:szCs w:val="20"/>
          <w:lang w:val="en"/>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30C0C94A" wp14:editId="6EF6DE31">
            <wp:extent cx="5734685" cy="3004185"/>
            <wp:effectExtent l="0" t="0" r="0" b="5715"/>
            <wp:docPr id="333" name="Picture 333" descr="C:\Users\chsa10\Documents\James Finlay Ltd\NEW 150819\Part 3\EZ Info data\S-Plot and VT 0.79_786.0923n with top100 with top7 TFs and TSs Kijani v Purple C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sa10\Documents\James Finlay Ltd\NEW 150819\Part 3\EZ Info data\S-Plot and VT 0.79_786.0923n with top100 with top7 TFs and TSs Kijani v Purple CTC.pn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734685" cy="300418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lang w:val="en"/>
        </w:rPr>
        <w:t>Fig.A3-113 S-Plot highlighting 786.0923 m/z for Kijani DM v Purple CTC including a variable trend plot.</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0FB6F47E" wp14:editId="78CE2E75">
            <wp:extent cx="5721985" cy="3061970"/>
            <wp:effectExtent l="0" t="0" r="0" b="5080"/>
            <wp:docPr id="334" name="Picture 334" descr="C:\Users\chsa10\Documents\James Finlay Ltd\NEW 150819\Part 3\EZ Info data\NEW S-plot with VT plot Kijani DM v Newburgh Hyson 192.0269m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sa10\Documents\James Finlay Ltd\NEW 150819\Part 3\EZ Info data\NEW S-plot with VT plot Kijani DM v Newburgh Hyson 192.0269mz.PN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721985" cy="3061970"/>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t>Fig.A3-114 S-Plot highlighting 192.0269Da for Kijani DM v Newburgh Hyson including a variable trend plot.</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18D9308C" wp14:editId="5F283004">
            <wp:extent cx="5735955" cy="3020060"/>
            <wp:effectExtent l="0" t="0" r="0" b="8890"/>
            <wp:docPr id="335" name="Picture 335" descr="C:\Users\chsa10\Documents\James Finlay Ltd\NEW 150819\Part 3\EZ Info data\NEW S-plot with VT plot Kijani DM v Newburgh Hyson 210.0740m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sa10\Documents\James Finlay Ltd\NEW 150819\Part 3\EZ Info data\NEW S-plot with VT plot Kijani DM v Newburgh Hyson 210.0740mz.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735955" cy="3020060"/>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t>Fig.A3-115 S-Plot highlighting 210.0740Da for Kijani DM v Newburgh Hyson including a variable trend plot.</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23C6FC65" wp14:editId="23CD7A99">
            <wp:extent cx="5721985" cy="3006725"/>
            <wp:effectExtent l="0" t="0" r="0" b="3175"/>
            <wp:docPr id="336" name="Picture 336" descr="C:\Users\chsa10\Documents\James Finlay Ltd\NEW 150819\Part 3\EZ Info data\NEW S-plot with VT plot Kijani DM v Newburgh Hyson 344.07744m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sa10\Documents\James Finlay Ltd\NEW 150819\Part 3\EZ Info data\NEW S-plot with VT plot Kijani DM v Newburgh Hyson 344.07744mz.P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721985" cy="300672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t>Fig.A3-116 S-Plot highlighting 344.0744Da for Kijani DM v Newburgh Hyson including a variable trend plot.</w:t>
      </w:r>
    </w:p>
    <w:p w:rsidR="00CF1D1E" w:rsidRPr="00CF1D1E" w:rsidRDefault="00CF1D1E" w:rsidP="00CF1D1E">
      <w:pPr>
        <w:rPr>
          <w:rFonts w:ascii="Calibri" w:eastAsia="Calibri" w:hAnsi="Calibri" w:cs="Times New Roman"/>
          <w:sz w:val="20"/>
          <w:szCs w:val="20"/>
          <w:lang w:val="en"/>
        </w:rPr>
      </w:pPr>
    </w:p>
    <w:p w:rsidR="00CF1D1E" w:rsidRPr="00CF1D1E" w:rsidRDefault="00CF1D1E" w:rsidP="00CF1D1E">
      <w:pPr>
        <w:rPr>
          <w:rFonts w:ascii="Calibri" w:eastAsia="Calibri" w:hAnsi="Calibri" w:cs="Times New Roman"/>
          <w:sz w:val="20"/>
          <w:szCs w:val="20"/>
          <w:lang w:val="en"/>
        </w:rPr>
      </w:pPr>
    </w:p>
    <w:p w:rsidR="00CF1D1E" w:rsidRPr="00CF1D1E" w:rsidRDefault="00CF1D1E" w:rsidP="00CF1D1E">
      <w:pPr>
        <w:rPr>
          <w:rFonts w:ascii="Calibri" w:eastAsia="Calibri" w:hAnsi="Calibri" w:cs="Times New Roman"/>
          <w:sz w:val="20"/>
          <w:szCs w:val="20"/>
          <w:lang w:val="en"/>
        </w:rPr>
      </w:pPr>
    </w:p>
    <w:p w:rsidR="00CF1D1E" w:rsidRPr="00CF1D1E" w:rsidRDefault="00CF1D1E" w:rsidP="00CF1D1E">
      <w:pPr>
        <w:rPr>
          <w:rFonts w:ascii="Calibri" w:eastAsia="Calibri" w:hAnsi="Calibri" w:cs="Times New Roman"/>
          <w:sz w:val="20"/>
          <w:szCs w:val="20"/>
          <w:lang w:val="en"/>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1CE4F323" wp14:editId="165037FF">
            <wp:extent cx="5721985" cy="3061970"/>
            <wp:effectExtent l="0" t="0" r="0" b="5080"/>
            <wp:docPr id="337" name="Picture 337" descr="C:\Users\chsa10\Documents\James Finlay Ltd\NEW 150819\Part 3\EZ Info data\NEW S-plot Kijani DM v Newburgh Hyson ALLm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sa10\Documents\James Finlay Ltd\NEW 150819\Part 3\EZ Info data\NEW S-plot Kijani DM v Newburgh Hyson ALLmz.PN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721985" cy="3061970"/>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t>Fig.A3-117 S-Plot showing all the ions available to distinguish between Kijani DM and Newburgh Hyson.</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1E80E08B" wp14:editId="51330318">
            <wp:extent cx="5733415" cy="1614805"/>
            <wp:effectExtent l="0" t="0" r="635" b="4445"/>
            <wp:docPr id="338" name="Picture 338" descr="C:\Users\chsa10\Documents\James Finlay Ltd\NEW 150819\Part 3\Progenesis QI data\NEW Theasinensin A Abundance Pro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sa10\Documents\James Finlay Ltd\NEW 150819\Part 3\Progenesis QI data\NEW Theasinensin A Abundance Profile.pn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733415" cy="161480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t>Fig.A3-118 Abundance profile of Theasinensin A across the 9 tea samples.</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2D0A9E50" wp14:editId="0B6840CD">
            <wp:extent cx="5733415" cy="1614805"/>
            <wp:effectExtent l="0" t="0" r="635" b="4445"/>
            <wp:docPr id="339" name="Picture 339" descr="C:\Users\chsa10\Documents\James Finlay Ltd\NEW 150819\Part 3\Progenesis QI data\NEW Theasinensin B Abundance Pro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sa10\Documents\James Finlay Ltd\NEW 150819\Part 3\Progenesis QI data\NEW Theasinensin B Abundance Profile.pn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733415" cy="161480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lang w:val="en"/>
        </w:rPr>
      </w:pPr>
      <w:r w:rsidRPr="00CF1D1E">
        <w:rPr>
          <w:rFonts w:ascii="Calibri" w:eastAsia="Calibri" w:hAnsi="Calibri" w:cs="Times New Roman"/>
          <w:sz w:val="20"/>
          <w:szCs w:val="20"/>
          <w:lang w:val="en"/>
        </w:rPr>
        <w:t>Fig.A3-119 Abundance profile of Theasinensin B across the 9 tea samples.</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drawing>
          <wp:inline distT="0" distB="0" distL="0" distR="0" wp14:anchorId="398AB4DE" wp14:editId="19496B90">
            <wp:extent cx="5733415" cy="1614805"/>
            <wp:effectExtent l="0" t="0" r="635" b="4445"/>
            <wp:docPr id="340" name="Picture 340" descr="C:\Users\chsa10\Documents\James Finlay Ltd\NEW 150819\Part 3\Progenesis QI data\NEW Theasinensin C Abundance Pro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sa10\Documents\James Finlay Ltd\NEW 150819\Part 3\Progenesis QI data\NEW Theasinensin C Abundance Profile.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733415" cy="161480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lang w:val="en"/>
        </w:rPr>
        <w:t>Fig.A3-120 Abundance profile of Theasinensin C across the 9 tea samples.</w:t>
      </w:r>
    </w:p>
    <w:p w:rsidR="00CF1D1E" w:rsidRPr="00CF1D1E" w:rsidRDefault="00CF1D1E" w:rsidP="00CF1D1E">
      <w:pPr>
        <w:rPr>
          <w:rFonts w:ascii="Calibri" w:eastAsia="Calibri" w:hAnsi="Calibri" w:cs="Times New Roman"/>
          <w:sz w:val="20"/>
          <w:szCs w:val="20"/>
        </w:rPr>
      </w:pP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rPr>
        <w:br w:type="page"/>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noProof/>
          <w:sz w:val="20"/>
          <w:szCs w:val="20"/>
          <w:lang w:eastAsia="en-GB"/>
        </w:rPr>
        <w:lastRenderedPageBreak/>
        <w:drawing>
          <wp:inline distT="0" distB="0" distL="0" distR="0" wp14:anchorId="30B02EA8" wp14:editId="71FAB779">
            <wp:extent cx="5734685" cy="1619885"/>
            <wp:effectExtent l="0" t="0" r="0" b="0"/>
            <wp:docPr id="341" name="Picture 341" descr="C:\Users\chsa10\Documents\James Finlay Ltd\NEW 150819\Part 1 (Top 7 ONLY) Progenesis QI interpretation\EGCG Abundance Pro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sa10\Documents\James Finlay Ltd\NEW 150819\Part 1 (Top 7 ONLY) Progenesis QI interpretation\EGCG Abundance Profile.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734685" cy="1619885"/>
                    </a:xfrm>
                    <a:prstGeom prst="rect">
                      <a:avLst/>
                    </a:prstGeom>
                    <a:noFill/>
                    <a:ln>
                      <a:noFill/>
                    </a:ln>
                  </pic:spPr>
                </pic:pic>
              </a:graphicData>
            </a:graphic>
          </wp:inline>
        </w:drawing>
      </w:r>
    </w:p>
    <w:p w:rsidR="00CF1D1E" w:rsidRPr="00CF1D1E" w:rsidRDefault="00CF1D1E" w:rsidP="00CF1D1E">
      <w:pPr>
        <w:rPr>
          <w:rFonts w:ascii="Calibri" w:eastAsia="Calibri" w:hAnsi="Calibri" w:cs="Times New Roman"/>
          <w:sz w:val="20"/>
          <w:szCs w:val="20"/>
        </w:rPr>
      </w:pPr>
      <w:r w:rsidRPr="00CF1D1E">
        <w:rPr>
          <w:rFonts w:ascii="Calibri" w:eastAsia="Calibri" w:hAnsi="Calibri" w:cs="Times New Roman"/>
          <w:sz w:val="20"/>
          <w:szCs w:val="20"/>
          <w:lang w:val="en"/>
        </w:rPr>
        <w:t>Fig.A3-121 Abundance profile of EGCG across the 9 tea samples.</w:t>
      </w:r>
    </w:p>
    <w:p w:rsidR="00CF1D1E" w:rsidRPr="00CF1D1E" w:rsidRDefault="00CF1D1E" w:rsidP="00CF1D1E">
      <w:pPr>
        <w:rPr>
          <w:rFonts w:ascii="Calibri" w:eastAsia="Calibri" w:hAnsi="Calibri" w:cs="Times New Roman"/>
          <w:sz w:val="20"/>
          <w:szCs w:val="20"/>
        </w:rPr>
      </w:pPr>
    </w:p>
    <w:p w:rsidR="00CF1D1E" w:rsidRPr="00CF1D1E" w:rsidRDefault="00CF1D1E" w:rsidP="00CF1D1E">
      <w:pPr>
        <w:spacing w:line="360" w:lineRule="auto"/>
        <w:ind w:left="720"/>
        <w:rPr>
          <w:rFonts w:ascii="Calibri" w:eastAsia="Calibri" w:hAnsi="Calibri" w:cs="Times New Roman"/>
          <w:sz w:val="24"/>
          <w:szCs w:val="24"/>
        </w:rPr>
      </w:pPr>
    </w:p>
    <w:p w:rsidR="004D5D13" w:rsidRPr="004D5D13" w:rsidRDefault="004D5D13">
      <w:pPr>
        <w:rPr>
          <w:rFonts w:cs="Cambria-Bold"/>
          <w:b/>
          <w:bCs/>
          <w:sz w:val="36"/>
          <w:szCs w:val="36"/>
        </w:rPr>
      </w:pPr>
    </w:p>
    <w:sectPr w:rsidR="004D5D13" w:rsidRPr="004D5D13" w:rsidSect="00C8289C">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7C7F" w:rsidRDefault="002C7C7F" w:rsidP="00E62A92">
      <w:pPr>
        <w:spacing w:after="0" w:line="240" w:lineRule="auto"/>
      </w:pPr>
      <w:r>
        <w:separator/>
      </w:r>
    </w:p>
  </w:endnote>
  <w:endnote w:type="continuationSeparator" w:id="0">
    <w:p w:rsidR="002C7C7F" w:rsidRDefault="002C7C7F" w:rsidP="00E62A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Bold">
    <w:altName w:val="Cambri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6604036"/>
      <w:docPartObj>
        <w:docPartGallery w:val="Page Numbers (Bottom of Page)"/>
        <w:docPartUnique/>
      </w:docPartObj>
    </w:sdtPr>
    <w:sdtEndPr>
      <w:rPr>
        <w:noProof/>
      </w:rPr>
    </w:sdtEndPr>
    <w:sdtContent>
      <w:p w:rsidR="00D842A6" w:rsidRDefault="00D842A6">
        <w:pPr>
          <w:pStyle w:val="Footer"/>
          <w:jc w:val="right"/>
        </w:pPr>
        <w:r>
          <w:fldChar w:fldCharType="begin"/>
        </w:r>
        <w:r>
          <w:instrText xml:space="preserve"> PAGE   \* MERGEFORMAT </w:instrText>
        </w:r>
        <w:r>
          <w:fldChar w:fldCharType="separate"/>
        </w:r>
        <w:r w:rsidR="0090147F">
          <w:rPr>
            <w:noProof/>
          </w:rPr>
          <w:t>iv</w:t>
        </w:r>
        <w:r>
          <w:rPr>
            <w:noProof/>
          </w:rPr>
          <w:fldChar w:fldCharType="end"/>
        </w:r>
      </w:p>
    </w:sdtContent>
  </w:sdt>
  <w:p w:rsidR="00D842A6" w:rsidRDefault="00D842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2039195"/>
      <w:docPartObj>
        <w:docPartGallery w:val="Page Numbers (Bottom of Page)"/>
        <w:docPartUnique/>
      </w:docPartObj>
    </w:sdtPr>
    <w:sdtEndPr>
      <w:rPr>
        <w:noProof/>
      </w:rPr>
    </w:sdtEndPr>
    <w:sdtContent>
      <w:p w:rsidR="00D842A6" w:rsidRDefault="00D842A6">
        <w:pPr>
          <w:pStyle w:val="Footer"/>
          <w:jc w:val="right"/>
        </w:pPr>
        <w:r>
          <w:fldChar w:fldCharType="begin"/>
        </w:r>
        <w:r>
          <w:instrText xml:space="preserve"> PAGE   \* MERGEFORMAT </w:instrText>
        </w:r>
        <w:r>
          <w:fldChar w:fldCharType="separate"/>
        </w:r>
        <w:r w:rsidR="0090147F">
          <w:rPr>
            <w:noProof/>
          </w:rPr>
          <w:t>4</w:t>
        </w:r>
        <w:r>
          <w:rPr>
            <w:noProof/>
          </w:rPr>
          <w:fldChar w:fldCharType="end"/>
        </w:r>
      </w:p>
    </w:sdtContent>
  </w:sdt>
  <w:p w:rsidR="00D842A6" w:rsidRDefault="00D842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3140012"/>
      <w:docPartObj>
        <w:docPartGallery w:val="Page Numbers (Bottom of Page)"/>
        <w:docPartUnique/>
      </w:docPartObj>
    </w:sdtPr>
    <w:sdtEndPr>
      <w:rPr>
        <w:noProof/>
      </w:rPr>
    </w:sdtEndPr>
    <w:sdtContent>
      <w:p w:rsidR="00D842A6" w:rsidRDefault="00D842A6">
        <w:pPr>
          <w:pStyle w:val="Footer"/>
          <w:jc w:val="right"/>
        </w:pPr>
        <w:r>
          <w:fldChar w:fldCharType="begin"/>
        </w:r>
        <w:r>
          <w:instrText xml:space="preserve"> PAGE   \* MERGEFORMAT </w:instrText>
        </w:r>
        <w:r>
          <w:fldChar w:fldCharType="separate"/>
        </w:r>
        <w:r w:rsidR="0090147F">
          <w:rPr>
            <w:noProof/>
          </w:rPr>
          <w:t>48</w:t>
        </w:r>
        <w:r>
          <w:rPr>
            <w:noProof/>
          </w:rPr>
          <w:fldChar w:fldCharType="end"/>
        </w:r>
      </w:p>
    </w:sdtContent>
  </w:sdt>
  <w:p w:rsidR="00D842A6" w:rsidRDefault="00D842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7C7F" w:rsidRDefault="002C7C7F" w:rsidP="00E62A92">
      <w:pPr>
        <w:spacing w:after="0" w:line="240" w:lineRule="auto"/>
      </w:pPr>
      <w:r>
        <w:separator/>
      </w:r>
    </w:p>
  </w:footnote>
  <w:footnote w:type="continuationSeparator" w:id="0">
    <w:p w:rsidR="002C7C7F" w:rsidRDefault="002C7C7F" w:rsidP="00E62A9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37CA9"/>
    <w:multiLevelType w:val="hybridMultilevel"/>
    <w:tmpl w:val="669CCA0A"/>
    <w:lvl w:ilvl="0" w:tplc="C7EE8D3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8A22377"/>
    <w:multiLevelType w:val="hybridMultilevel"/>
    <w:tmpl w:val="7AD80D5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81E47E1"/>
    <w:multiLevelType w:val="multilevel"/>
    <w:tmpl w:val="550C36C4"/>
    <w:lvl w:ilvl="0">
      <w:start w:val="1"/>
      <w:numFmt w:val="decimal"/>
      <w:lvlText w:val="%1"/>
      <w:lvlJc w:val="left"/>
      <w:pPr>
        <w:ind w:left="660" w:hanging="660"/>
      </w:pPr>
      <w:rPr>
        <w:rFonts w:hint="default"/>
      </w:rPr>
    </w:lvl>
    <w:lvl w:ilvl="1">
      <w:start w:val="1"/>
      <w:numFmt w:val="decimal"/>
      <w:lvlText w:val="%1.%2"/>
      <w:lvlJc w:val="left"/>
      <w:pPr>
        <w:ind w:left="720" w:hanging="720"/>
      </w:pPr>
      <w:rPr>
        <w:rFonts w:asciiTheme="minorHAnsi" w:hAnsiTheme="minorHAnsi"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3" w15:restartNumberingAfterBreak="0">
    <w:nsid w:val="2B7A3077"/>
    <w:multiLevelType w:val="hybridMultilevel"/>
    <w:tmpl w:val="669CCA0A"/>
    <w:lvl w:ilvl="0" w:tplc="C7EE8D3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CFE169C"/>
    <w:multiLevelType w:val="multilevel"/>
    <w:tmpl w:val="2A624BCA"/>
    <w:lvl w:ilvl="0">
      <w:start w:val="3"/>
      <w:numFmt w:val="decimal"/>
      <w:lvlText w:val="%1"/>
      <w:lvlJc w:val="left"/>
      <w:pPr>
        <w:ind w:left="570" w:hanging="5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5" w15:restartNumberingAfterBreak="0">
    <w:nsid w:val="3D5235C0"/>
    <w:multiLevelType w:val="hybridMultilevel"/>
    <w:tmpl w:val="669CCA0A"/>
    <w:lvl w:ilvl="0" w:tplc="C7EE8D3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F1E2C0E"/>
    <w:multiLevelType w:val="hybridMultilevel"/>
    <w:tmpl w:val="B42E01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D605185"/>
    <w:multiLevelType w:val="multilevel"/>
    <w:tmpl w:val="51E2D078"/>
    <w:lvl w:ilvl="0">
      <w:start w:val="1"/>
      <w:numFmt w:val="decimal"/>
      <w:lvlText w:val="%1"/>
      <w:lvlJc w:val="left"/>
      <w:pPr>
        <w:ind w:left="570" w:hanging="570"/>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8" w15:restartNumberingAfterBreak="0">
    <w:nsid w:val="749B3DBB"/>
    <w:multiLevelType w:val="hybridMultilevel"/>
    <w:tmpl w:val="F9C6BEC4"/>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9" w15:restartNumberingAfterBreak="0">
    <w:nsid w:val="7AFD1AAD"/>
    <w:multiLevelType w:val="multilevel"/>
    <w:tmpl w:val="10B0894E"/>
    <w:lvl w:ilvl="0">
      <w:start w:val="2"/>
      <w:numFmt w:val="decimal"/>
      <w:lvlText w:val="%1"/>
      <w:lvlJc w:val="left"/>
      <w:pPr>
        <w:ind w:left="570" w:hanging="57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0" w15:restartNumberingAfterBreak="0">
    <w:nsid w:val="7E997544"/>
    <w:multiLevelType w:val="multilevel"/>
    <w:tmpl w:val="1B8E8D6E"/>
    <w:lvl w:ilvl="0">
      <w:start w:val="1"/>
      <w:numFmt w:val="decimal"/>
      <w:lvlText w:val="%1"/>
      <w:lvlJc w:val="left"/>
      <w:pPr>
        <w:ind w:left="570" w:hanging="57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num w:numId="1">
    <w:abstractNumId w:val="1"/>
  </w:num>
  <w:num w:numId="2">
    <w:abstractNumId w:val="2"/>
  </w:num>
  <w:num w:numId="3">
    <w:abstractNumId w:val="10"/>
  </w:num>
  <w:num w:numId="4">
    <w:abstractNumId w:val="9"/>
  </w:num>
  <w:num w:numId="5">
    <w:abstractNumId w:val="6"/>
  </w:num>
  <w:num w:numId="6">
    <w:abstractNumId w:val="8"/>
  </w:num>
  <w:num w:numId="7">
    <w:abstractNumId w:val="4"/>
  </w:num>
  <w:num w:numId="8">
    <w:abstractNumId w:val="7"/>
  </w:num>
  <w:num w:numId="9">
    <w:abstractNumId w:val="3"/>
  </w:num>
  <w:num w:numId="10">
    <w:abstractNumId w:val="5"/>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65FD"/>
    <w:rsid w:val="00001C5D"/>
    <w:rsid w:val="000031CC"/>
    <w:rsid w:val="00007574"/>
    <w:rsid w:val="000102AF"/>
    <w:rsid w:val="0001405F"/>
    <w:rsid w:val="00016E2E"/>
    <w:rsid w:val="000231AB"/>
    <w:rsid w:val="00031E72"/>
    <w:rsid w:val="00033B53"/>
    <w:rsid w:val="00034E9F"/>
    <w:rsid w:val="00036A9A"/>
    <w:rsid w:val="000475BE"/>
    <w:rsid w:val="00052906"/>
    <w:rsid w:val="00053ABC"/>
    <w:rsid w:val="00053E5A"/>
    <w:rsid w:val="000555D0"/>
    <w:rsid w:val="000573D0"/>
    <w:rsid w:val="00062C87"/>
    <w:rsid w:val="00066402"/>
    <w:rsid w:val="00067724"/>
    <w:rsid w:val="000711B5"/>
    <w:rsid w:val="00076014"/>
    <w:rsid w:val="00080656"/>
    <w:rsid w:val="000836EA"/>
    <w:rsid w:val="00084AA8"/>
    <w:rsid w:val="00091788"/>
    <w:rsid w:val="000943D8"/>
    <w:rsid w:val="000954CE"/>
    <w:rsid w:val="00096088"/>
    <w:rsid w:val="00096EA0"/>
    <w:rsid w:val="000973E4"/>
    <w:rsid w:val="000A0D3F"/>
    <w:rsid w:val="000A0E95"/>
    <w:rsid w:val="000A1C54"/>
    <w:rsid w:val="000A21FC"/>
    <w:rsid w:val="000A363F"/>
    <w:rsid w:val="000A44F2"/>
    <w:rsid w:val="000A4F19"/>
    <w:rsid w:val="000B3853"/>
    <w:rsid w:val="000B40FB"/>
    <w:rsid w:val="000B4356"/>
    <w:rsid w:val="000B636B"/>
    <w:rsid w:val="000B752E"/>
    <w:rsid w:val="000C1128"/>
    <w:rsid w:val="000C214B"/>
    <w:rsid w:val="000C5F68"/>
    <w:rsid w:val="000D6539"/>
    <w:rsid w:val="000E1A5F"/>
    <w:rsid w:val="000E60FB"/>
    <w:rsid w:val="000F0053"/>
    <w:rsid w:val="000F0253"/>
    <w:rsid w:val="000F4027"/>
    <w:rsid w:val="000F440A"/>
    <w:rsid w:val="000F5018"/>
    <w:rsid w:val="000F5383"/>
    <w:rsid w:val="001059C6"/>
    <w:rsid w:val="00111188"/>
    <w:rsid w:val="00112D17"/>
    <w:rsid w:val="00117E5B"/>
    <w:rsid w:val="001219DA"/>
    <w:rsid w:val="00121D13"/>
    <w:rsid w:val="001269D6"/>
    <w:rsid w:val="001274C1"/>
    <w:rsid w:val="00127946"/>
    <w:rsid w:val="00127E66"/>
    <w:rsid w:val="0013284F"/>
    <w:rsid w:val="00137B3E"/>
    <w:rsid w:val="00141067"/>
    <w:rsid w:val="00143049"/>
    <w:rsid w:val="00145373"/>
    <w:rsid w:val="00155EF9"/>
    <w:rsid w:val="001612F0"/>
    <w:rsid w:val="00164390"/>
    <w:rsid w:val="00164F9B"/>
    <w:rsid w:val="001650BC"/>
    <w:rsid w:val="00174D6A"/>
    <w:rsid w:val="00180E2B"/>
    <w:rsid w:val="00182F35"/>
    <w:rsid w:val="0018402A"/>
    <w:rsid w:val="0018760D"/>
    <w:rsid w:val="001921A8"/>
    <w:rsid w:val="00194204"/>
    <w:rsid w:val="001969F7"/>
    <w:rsid w:val="001A2DF4"/>
    <w:rsid w:val="001A640E"/>
    <w:rsid w:val="001B10FC"/>
    <w:rsid w:val="001B1C1B"/>
    <w:rsid w:val="001B246D"/>
    <w:rsid w:val="001B58CB"/>
    <w:rsid w:val="001C18A8"/>
    <w:rsid w:val="001D21B5"/>
    <w:rsid w:val="001D33F8"/>
    <w:rsid w:val="001E1751"/>
    <w:rsid w:val="001E5DE1"/>
    <w:rsid w:val="002043BF"/>
    <w:rsid w:val="00206BE3"/>
    <w:rsid w:val="00211845"/>
    <w:rsid w:val="00213C18"/>
    <w:rsid w:val="002210B4"/>
    <w:rsid w:val="00225EB2"/>
    <w:rsid w:val="002267F8"/>
    <w:rsid w:val="002377DB"/>
    <w:rsid w:val="002437C3"/>
    <w:rsid w:val="00252E45"/>
    <w:rsid w:val="002560A6"/>
    <w:rsid w:val="0026006F"/>
    <w:rsid w:val="00264559"/>
    <w:rsid w:val="00265637"/>
    <w:rsid w:val="002667E1"/>
    <w:rsid w:val="002710F0"/>
    <w:rsid w:val="00274E6A"/>
    <w:rsid w:val="0028187C"/>
    <w:rsid w:val="00281F1C"/>
    <w:rsid w:val="00283318"/>
    <w:rsid w:val="00283FC0"/>
    <w:rsid w:val="00291367"/>
    <w:rsid w:val="00293EA4"/>
    <w:rsid w:val="002948CC"/>
    <w:rsid w:val="00294D1C"/>
    <w:rsid w:val="002A01A0"/>
    <w:rsid w:val="002A76EB"/>
    <w:rsid w:val="002B04ED"/>
    <w:rsid w:val="002B4BA2"/>
    <w:rsid w:val="002C0DB4"/>
    <w:rsid w:val="002C2B55"/>
    <w:rsid w:val="002C385E"/>
    <w:rsid w:val="002C787B"/>
    <w:rsid w:val="002C7C7F"/>
    <w:rsid w:val="002D1549"/>
    <w:rsid w:val="002D31CF"/>
    <w:rsid w:val="002D7796"/>
    <w:rsid w:val="002E14B2"/>
    <w:rsid w:val="002E3314"/>
    <w:rsid w:val="002E3657"/>
    <w:rsid w:val="002F04D6"/>
    <w:rsid w:val="002F20D0"/>
    <w:rsid w:val="002F59BC"/>
    <w:rsid w:val="002F7B7E"/>
    <w:rsid w:val="00303F9C"/>
    <w:rsid w:val="003050F5"/>
    <w:rsid w:val="00310DEE"/>
    <w:rsid w:val="00311A77"/>
    <w:rsid w:val="00311AEA"/>
    <w:rsid w:val="00312A63"/>
    <w:rsid w:val="00313173"/>
    <w:rsid w:val="00313A86"/>
    <w:rsid w:val="00314B20"/>
    <w:rsid w:val="00317297"/>
    <w:rsid w:val="00332FC1"/>
    <w:rsid w:val="003373E4"/>
    <w:rsid w:val="003428F5"/>
    <w:rsid w:val="00342C46"/>
    <w:rsid w:val="00344BEA"/>
    <w:rsid w:val="00344F79"/>
    <w:rsid w:val="00346024"/>
    <w:rsid w:val="003505E4"/>
    <w:rsid w:val="00356EA5"/>
    <w:rsid w:val="003608A6"/>
    <w:rsid w:val="00370C76"/>
    <w:rsid w:val="00373346"/>
    <w:rsid w:val="00374850"/>
    <w:rsid w:val="00380DFC"/>
    <w:rsid w:val="00380E68"/>
    <w:rsid w:val="003820BD"/>
    <w:rsid w:val="00387FA2"/>
    <w:rsid w:val="00393B56"/>
    <w:rsid w:val="003950AA"/>
    <w:rsid w:val="00396CBF"/>
    <w:rsid w:val="00397FCB"/>
    <w:rsid w:val="003A26AA"/>
    <w:rsid w:val="003A5918"/>
    <w:rsid w:val="003A67E3"/>
    <w:rsid w:val="003B1A9E"/>
    <w:rsid w:val="003B428B"/>
    <w:rsid w:val="003D7F17"/>
    <w:rsid w:val="003E2059"/>
    <w:rsid w:val="003E775F"/>
    <w:rsid w:val="003F20CB"/>
    <w:rsid w:val="0040138C"/>
    <w:rsid w:val="004116EE"/>
    <w:rsid w:val="00411C25"/>
    <w:rsid w:val="004151EA"/>
    <w:rsid w:val="004200E7"/>
    <w:rsid w:val="00421881"/>
    <w:rsid w:val="00435806"/>
    <w:rsid w:val="00443D48"/>
    <w:rsid w:val="00462AB6"/>
    <w:rsid w:val="00464A70"/>
    <w:rsid w:val="00466AA2"/>
    <w:rsid w:val="0048239A"/>
    <w:rsid w:val="00484A00"/>
    <w:rsid w:val="00493A1A"/>
    <w:rsid w:val="00493B10"/>
    <w:rsid w:val="00495AD7"/>
    <w:rsid w:val="004A15A2"/>
    <w:rsid w:val="004A1AC3"/>
    <w:rsid w:val="004A1D16"/>
    <w:rsid w:val="004B50E4"/>
    <w:rsid w:val="004B59D2"/>
    <w:rsid w:val="004B5FB1"/>
    <w:rsid w:val="004B65FD"/>
    <w:rsid w:val="004B7DCB"/>
    <w:rsid w:val="004C2861"/>
    <w:rsid w:val="004C330C"/>
    <w:rsid w:val="004C4BC0"/>
    <w:rsid w:val="004C7F0D"/>
    <w:rsid w:val="004D49A9"/>
    <w:rsid w:val="004D55CD"/>
    <w:rsid w:val="004D5D13"/>
    <w:rsid w:val="004D6D56"/>
    <w:rsid w:val="004E23F9"/>
    <w:rsid w:val="004E38CE"/>
    <w:rsid w:val="004E456D"/>
    <w:rsid w:val="004F0CC4"/>
    <w:rsid w:val="004F3C22"/>
    <w:rsid w:val="004F5FD2"/>
    <w:rsid w:val="004F715D"/>
    <w:rsid w:val="00500C15"/>
    <w:rsid w:val="00502154"/>
    <w:rsid w:val="00510399"/>
    <w:rsid w:val="0051322B"/>
    <w:rsid w:val="005170EE"/>
    <w:rsid w:val="00521121"/>
    <w:rsid w:val="005213F4"/>
    <w:rsid w:val="00525E10"/>
    <w:rsid w:val="00526E49"/>
    <w:rsid w:val="005321C5"/>
    <w:rsid w:val="00532378"/>
    <w:rsid w:val="005328B6"/>
    <w:rsid w:val="0053631B"/>
    <w:rsid w:val="00550285"/>
    <w:rsid w:val="00553E55"/>
    <w:rsid w:val="0055475B"/>
    <w:rsid w:val="00561D45"/>
    <w:rsid w:val="005629D7"/>
    <w:rsid w:val="00564854"/>
    <w:rsid w:val="00565C2A"/>
    <w:rsid w:val="005716BF"/>
    <w:rsid w:val="005842A3"/>
    <w:rsid w:val="00586C19"/>
    <w:rsid w:val="00587C54"/>
    <w:rsid w:val="0059314C"/>
    <w:rsid w:val="00595237"/>
    <w:rsid w:val="00595259"/>
    <w:rsid w:val="0059611F"/>
    <w:rsid w:val="0059668A"/>
    <w:rsid w:val="005A1D68"/>
    <w:rsid w:val="005B22FB"/>
    <w:rsid w:val="005C4ADD"/>
    <w:rsid w:val="005D50AE"/>
    <w:rsid w:val="005D5119"/>
    <w:rsid w:val="005E0706"/>
    <w:rsid w:val="005E1D1B"/>
    <w:rsid w:val="005F04F1"/>
    <w:rsid w:val="005F04FB"/>
    <w:rsid w:val="005F5DB3"/>
    <w:rsid w:val="005F6E72"/>
    <w:rsid w:val="00601064"/>
    <w:rsid w:val="006041DE"/>
    <w:rsid w:val="00604BEF"/>
    <w:rsid w:val="00610B36"/>
    <w:rsid w:val="00613249"/>
    <w:rsid w:val="00620251"/>
    <w:rsid w:val="00631009"/>
    <w:rsid w:val="00632BF1"/>
    <w:rsid w:val="0063777F"/>
    <w:rsid w:val="00641F37"/>
    <w:rsid w:val="00646B90"/>
    <w:rsid w:val="0065132F"/>
    <w:rsid w:val="00651BF4"/>
    <w:rsid w:val="0065287C"/>
    <w:rsid w:val="00654831"/>
    <w:rsid w:val="00656491"/>
    <w:rsid w:val="00663480"/>
    <w:rsid w:val="00663613"/>
    <w:rsid w:val="00664025"/>
    <w:rsid w:val="0066774B"/>
    <w:rsid w:val="00671E06"/>
    <w:rsid w:val="006739E5"/>
    <w:rsid w:val="0067695F"/>
    <w:rsid w:val="006834C9"/>
    <w:rsid w:val="00683ECB"/>
    <w:rsid w:val="00684180"/>
    <w:rsid w:val="00685B74"/>
    <w:rsid w:val="0069487D"/>
    <w:rsid w:val="006A3D71"/>
    <w:rsid w:val="006A4D5E"/>
    <w:rsid w:val="006A581F"/>
    <w:rsid w:val="006B0B7B"/>
    <w:rsid w:val="006B1874"/>
    <w:rsid w:val="006B1E13"/>
    <w:rsid w:val="006B4E16"/>
    <w:rsid w:val="006C2B00"/>
    <w:rsid w:val="006C7B82"/>
    <w:rsid w:val="006D5C7E"/>
    <w:rsid w:val="006E41D6"/>
    <w:rsid w:val="006E73B5"/>
    <w:rsid w:val="006F5041"/>
    <w:rsid w:val="006F626C"/>
    <w:rsid w:val="006F6A2E"/>
    <w:rsid w:val="00702BFE"/>
    <w:rsid w:val="007045E2"/>
    <w:rsid w:val="00711F26"/>
    <w:rsid w:val="00715613"/>
    <w:rsid w:val="00720030"/>
    <w:rsid w:val="00722B40"/>
    <w:rsid w:val="00727F60"/>
    <w:rsid w:val="0073298A"/>
    <w:rsid w:val="00733454"/>
    <w:rsid w:val="00736F0E"/>
    <w:rsid w:val="0073723A"/>
    <w:rsid w:val="00743565"/>
    <w:rsid w:val="00743942"/>
    <w:rsid w:val="00745A47"/>
    <w:rsid w:val="00746A16"/>
    <w:rsid w:val="0075263F"/>
    <w:rsid w:val="007712B7"/>
    <w:rsid w:val="00771FA8"/>
    <w:rsid w:val="00773BC6"/>
    <w:rsid w:val="0077771D"/>
    <w:rsid w:val="007807A2"/>
    <w:rsid w:val="0078769F"/>
    <w:rsid w:val="0079002D"/>
    <w:rsid w:val="00795E88"/>
    <w:rsid w:val="007979A7"/>
    <w:rsid w:val="007A0DB5"/>
    <w:rsid w:val="007A2550"/>
    <w:rsid w:val="007A539E"/>
    <w:rsid w:val="007B0057"/>
    <w:rsid w:val="007B580F"/>
    <w:rsid w:val="007B66EE"/>
    <w:rsid w:val="007B787D"/>
    <w:rsid w:val="007C20A7"/>
    <w:rsid w:val="007C2704"/>
    <w:rsid w:val="007C3559"/>
    <w:rsid w:val="007C632D"/>
    <w:rsid w:val="007D03AC"/>
    <w:rsid w:val="007D4727"/>
    <w:rsid w:val="007E1784"/>
    <w:rsid w:val="007E21E6"/>
    <w:rsid w:val="007E2DCC"/>
    <w:rsid w:val="007E31FC"/>
    <w:rsid w:val="007E47F0"/>
    <w:rsid w:val="007F0A67"/>
    <w:rsid w:val="007F2908"/>
    <w:rsid w:val="007F7F89"/>
    <w:rsid w:val="008007C2"/>
    <w:rsid w:val="00800D74"/>
    <w:rsid w:val="00800DC2"/>
    <w:rsid w:val="00801A7C"/>
    <w:rsid w:val="00804755"/>
    <w:rsid w:val="00807F36"/>
    <w:rsid w:val="0081483D"/>
    <w:rsid w:val="00815D3B"/>
    <w:rsid w:val="00817864"/>
    <w:rsid w:val="00817935"/>
    <w:rsid w:val="00820C01"/>
    <w:rsid w:val="00826A41"/>
    <w:rsid w:val="00835B23"/>
    <w:rsid w:val="0084033D"/>
    <w:rsid w:val="00845ADF"/>
    <w:rsid w:val="0085046B"/>
    <w:rsid w:val="008520F2"/>
    <w:rsid w:val="00852D7A"/>
    <w:rsid w:val="008610DD"/>
    <w:rsid w:val="00871AF5"/>
    <w:rsid w:val="00871F95"/>
    <w:rsid w:val="0088769B"/>
    <w:rsid w:val="00891EA5"/>
    <w:rsid w:val="0089397D"/>
    <w:rsid w:val="00893D0F"/>
    <w:rsid w:val="008A1B09"/>
    <w:rsid w:val="008A652C"/>
    <w:rsid w:val="008C057C"/>
    <w:rsid w:val="008C1299"/>
    <w:rsid w:val="008C696F"/>
    <w:rsid w:val="008C7707"/>
    <w:rsid w:val="008D1517"/>
    <w:rsid w:val="008D4D25"/>
    <w:rsid w:val="008D6DFA"/>
    <w:rsid w:val="008E1390"/>
    <w:rsid w:val="008E6E28"/>
    <w:rsid w:val="008E7F88"/>
    <w:rsid w:val="008F09F7"/>
    <w:rsid w:val="008F102C"/>
    <w:rsid w:val="008F1681"/>
    <w:rsid w:val="008F1D65"/>
    <w:rsid w:val="008F4686"/>
    <w:rsid w:val="008F57F1"/>
    <w:rsid w:val="0090147F"/>
    <w:rsid w:val="00904D27"/>
    <w:rsid w:val="0091183B"/>
    <w:rsid w:val="00914A10"/>
    <w:rsid w:val="00915262"/>
    <w:rsid w:val="0092071A"/>
    <w:rsid w:val="00923687"/>
    <w:rsid w:val="00924DD2"/>
    <w:rsid w:val="009259A4"/>
    <w:rsid w:val="00930987"/>
    <w:rsid w:val="00933039"/>
    <w:rsid w:val="00935BC6"/>
    <w:rsid w:val="00941740"/>
    <w:rsid w:val="0094510B"/>
    <w:rsid w:val="009570BB"/>
    <w:rsid w:val="00957D10"/>
    <w:rsid w:val="0096201A"/>
    <w:rsid w:val="009644DE"/>
    <w:rsid w:val="009672EC"/>
    <w:rsid w:val="0097367B"/>
    <w:rsid w:val="00973685"/>
    <w:rsid w:val="00981A14"/>
    <w:rsid w:val="009822C0"/>
    <w:rsid w:val="009831BA"/>
    <w:rsid w:val="00984097"/>
    <w:rsid w:val="009845F1"/>
    <w:rsid w:val="00986110"/>
    <w:rsid w:val="00986C12"/>
    <w:rsid w:val="00991D84"/>
    <w:rsid w:val="00992790"/>
    <w:rsid w:val="009932D4"/>
    <w:rsid w:val="009B158A"/>
    <w:rsid w:val="009B2F63"/>
    <w:rsid w:val="009B705E"/>
    <w:rsid w:val="009B75B7"/>
    <w:rsid w:val="009C2B64"/>
    <w:rsid w:val="009C5901"/>
    <w:rsid w:val="009C5CEC"/>
    <w:rsid w:val="009C6B01"/>
    <w:rsid w:val="009C755C"/>
    <w:rsid w:val="009C77E1"/>
    <w:rsid w:val="009D0744"/>
    <w:rsid w:val="009D47D5"/>
    <w:rsid w:val="009D6457"/>
    <w:rsid w:val="009E5E96"/>
    <w:rsid w:val="009F3F77"/>
    <w:rsid w:val="009F5238"/>
    <w:rsid w:val="009F6D4E"/>
    <w:rsid w:val="00A00C0B"/>
    <w:rsid w:val="00A04E5A"/>
    <w:rsid w:val="00A119E2"/>
    <w:rsid w:val="00A1555D"/>
    <w:rsid w:val="00A21928"/>
    <w:rsid w:val="00A34552"/>
    <w:rsid w:val="00A37FC1"/>
    <w:rsid w:val="00A405F3"/>
    <w:rsid w:val="00A46B84"/>
    <w:rsid w:val="00A502C4"/>
    <w:rsid w:val="00A51CF8"/>
    <w:rsid w:val="00A548CB"/>
    <w:rsid w:val="00A56717"/>
    <w:rsid w:val="00A65A9F"/>
    <w:rsid w:val="00A676BF"/>
    <w:rsid w:val="00A67AFC"/>
    <w:rsid w:val="00A70945"/>
    <w:rsid w:val="00A736FA"/>
    <w:rsid w:val="00A74072"/>
    <w:rsid w:val="00A7408D"/>
    <w:rsid w:val="00A758D4"/>
    <w:rsid w:val="00A77435"/>
    <w:rsid w:val="00A831B2"/>
    <w:rsid w:val="00A83CE8"/>
    <w:rsid w:val="00A87575"/>
    <w:rsid w:val="00A919B1"/>
    <w:rsid w:val="00A94A64"/>
    <w:rsid w:val="00AA4676"/>
    <w:rsid w:val="00AA60B5"/>
    <w:rsid w:val="00AA662D"/>
    <w:rsid w:val="00AA6A63"/>
    <w:rsid w:val="00AB0466"/>
    <w:rsid w:val="00AB17C3"/>
    <w:rsid w:val="00AB380A"/>
    <w:rsid w:val="00AC02E6"/>
    <w:rsid w:val="00AC50FD"/>
    <w:rsid w:val="00AC7426"/>
    <w:rsid w:val="00AD17EB"/>
    <w:rsid w:val="00AD6B1F"/>
    <w:rsid w:val="00AE0DA9"/>
    <w:rsid w:val="00AE168D"/>
    <w:rsid w:val="00AF0FAF"/>
    <w:rsid w:val="00AF10BF"/>
    <w:rsid w:val="00AF277D"/>
    <w:rsid w:val="00AF2E40"/>
    <w:rsid w:val="00AF7C47"/>
    <w:rsid w:val="00AF7D68"/>
    <w:rsid w:val="00B01027"/>
    <w:rsid w:val="00B0178D"/>
    <w:rsid w:val="00B01E9C"/>
    <w:rsid w:val="00B0582D"/>
    <w:rsid w:val="00B100AC"/>
    <w:rsid w:val="00B110B1"/>
    <w:rsid w:val="00B11A8F"/>
    <w:rsid w:val="00B141FB"/>
    <w:rsid w:val="00B16599"/>
    <w:rsid w:val="00B16C3F"/>
    <w:rsid w:val="00B170BC"/>
    <w:rsid w:val="00B17413"/>
    <w:rsid w:val="00B20F48"/>
    <w:rsid w:val="00B216E3"/>
    <w:rsid w:val="00B21C5B"/>
    <w:rsid w:val="00B22CE3"/>
    <w:rsid w:val="00B23FA7"/>
    <w:rsid w:val="00B26F86"/>
    <w:rsid w:val="00B274F2"/>
    <w:rsid w:val="00B27D67"/>
    <w:rsid w:val="00B30245"/>
    <w:rsid w:val="00B33DD0"/>
    <w:rsid w:val="00B415D0"/>
    <w:rsid w:val="00B43E4A"/>
    <w:rsid w:val="00B456E0"/>
    <w:rsid w:val="00B47371"/>
    <w:rsid w:val="00B528C0"/>
    <w:rsid w:val="00B534A2"/>
    <w:rsid w:val="00B6012D"/>
    <w:rsid w:val="00B61A01"/>
    <w:rsid w:val="00B653C6"/>
    <w:rsid w:val="00B6657B"/>
    <w:rsid w:val="00B7205A"/>
    <w:rsid w:val="00B73E30"/>
    <w:rsid w:val="00B76BC6"/>
    <w:rsid w:val="00B80AE0"/>
    <w:rsid w:val="00B812E3"/>
    <w:rsid w:val="00B81FA0"/>
    <w:rsid w:val="00B8220F"/>
    <w:rsid w:val="00B82AED"/>
    <w:rsid w:val="00B932FA"/>
    <w:rsid w:val="00BA1EB7"/>
    <w:rsid w:val="00BA2FC3"/>
    <w:rsid w:val="00BA359A"/>
    <w:rsid w:val="00BA3833"/>
    <w:rsid w:val="00BA63EF"/>
    <w:rsid w:val="00BB0920"/>
    <w:rsid w:val="00BB57AB"/>
    <w:rsid w:val="00BB589E"/>
    <w:rsid w:val="00BC05BB"/>
    <w:rsid w:val="00BC1D50"/>
    <w:rsid w:val="00BC20F7"/>
    <w:rsid w:val="00BC3F03"/>
    <w:rsid w:val="00BD03D3"/>
    <w:rsid w:val="00BD6282"/>
    <w:rsid w:val="00BE18BE"/>
    <w:rsid w:val="00BE1F25"/>
    <w:rsid w:val="00BE3E8C"/>
    <w:rsid w:val="00BE4AF6"/>
    <w:rsid w:val="00BE7FBE"/>
    <w:rsid w:val="00BF38AD"/>
    <w:rsid w:val="00BF4DEA"/>
    <w:rsid w:val="00BF7FE3"/>
    <w:rsid w:val="00C03431"/>
    <w:rsid w:val="00C114E0"/>
    <w:rsid w:val="00C13B64"/>
    <w:rsid w:val="00C221D3"/>
    <w:rsid w:val="00C22667"/>
    <w:rsid w:val="00C23987"/>
    <w:rsid w:val="00C27E63"/>
    <w:rsid w:val="00C3301C"/>
    <w:rsid w:val="00C348A8"/>
    <w:rsid w:val="00C362DE"/>
    <w:rsid w:val="00C40099"/>
    <w:rsid w:val="00C41008"/>
    <w:rsid w:val="00C42546"/>
    <w:rsid w:val="00C44B52"/>
    <w:rsid w:val="00C45501"/>
    <w:rsid w:val="00C47A7B"/>
    <w:rsid w:val="00C518E5"/>
    <w:rsid w:val="00C51DCC"/>
    <w:rsid w:val="00C554FF"/>
    <w:rsid w:val="00C556F9"/>
    <w:rsid w:val="00C60AC8"/>
    <w:rsid w:val="00C6607A"/>
    <w:rsid w:val="00C66222"/>
    <w:rsid w:val="00C8289C"/>
    <w:rsid w:val="00C84216"/>
    <w:rsid w:val="00C84806"/>
    <w:rsid w:val="00C84B96"/>
    <w:rsid w:val="00C91BD9"/>
    <w:rsid w:val="00C91D32"/>
    <w:rsid w:val="00C94AA8"/>
    <w:rsid w:val="00C96B92"/>
    <w:rsid w:val="00C97381"/>
    <w:rsid w:val="00C97FAB"/>
    <w:rsid w:val="00CB7B64"/>
    <w:rsid w:val="00CC0916"/>
    <w:rsid w:val="00CC5151"/>
    <w:rsid w:val="00CC5203"/>
    <w:rsid w:val="00CC5BB4"/>
    <w:rsid w:val="00CC6AA3"/>
    <w:rsid w:val="00CC7291"/>
    <w:rsid w:val="00CD53E9"/>
    <w:rsid w:val="00CD6773"/>
    <w:rsid w:val="00CE1979"/>
    <w:rsid w:val="00CE1C52"/>
    <w:rsid w:val="00CF1D1E"/>
    <w:rsid w:val="00CF39CE"/>
    <w:rsid w:val="00CF452A"/>
    <w:rsid w:val="00D02238"/>
    <w:rsid w:val="00D067D1"/>
    <w:rsid w:val="00D06927"/>
    <w:rsid w:val="00D071B9"/>
    <w:rsid w:val="00D10CCA"/>
    <w:rsid w:val="00D118E2"/>
    <w:rsid w:val="00D121DD"/>
    <w:rsid w:val="00D23060"/>
    <w:rsid w:val="00D23ED0"/>
    <w:rsid w:val="00D27136"/>
    <w:rsid w:val="00D41123"/>
    <w:rsid w:val="00D4357E"/>
    <w:rsid w:val="00D46E0F"/>
    <w:rsid w:val="00D543E2"/>
    <w:rsid w:val="00D556FA"/>
    <w:rsid w:val="00D576CE"/>
    <w:rsid w:val="00D617C3"/>
    <w:rsid w:val="00D6758A"/>
    <w:rsid w:val="00D72E66"/>
    <w:rsid w:val="00D73FD8"/>
    <w:rsid w:val="00D77B93"/>
    <w:rsid w:val="00D80C23"/>
    <w:rsid w:val="00D81CD5"/>
    <w:rsid w:val="00D842A6"/>
    <w:rsid w:val="00D87691"/>
    <w:rsid w:val="00D93995"/>
    <w:rsid w:val="00D954BD"/>
    <w:rsid w:val="00D970A7"/>
    <w:rsid w:val="00DA0AE9"/>
    <w:rsid w:val="00DA2A82"/>
    <w:rsid w:val="00DA4C5B"/>
    <w:rsid w:val="00DA6B0E"/>
    <w:rsid w:val="00DB311B"/>
    <w:rsid w:val="00DB58C1"/>
    <w:rsid w:val="00DB599B"/>
    <w:rsid w:val="00DC5287"/>
    <w:rsid w:val="00DC5503"/>
    <w:rsid w:val="00DC5BE5"/>
    <w:rsid w:val="00DD43EC"/>
    <w:rsid w:val="00DD48EF"/>
    <w:rsid w:val="00DD5AA0"/>
    <w:rsid w:val="00DE1905"/>
    <w:rsid w:val="00DE64EB"/>
    <w:rsid w:val="00DE79E5"/>
    <w:rsid w:val="00E001D1"/>
    <w:rsid w:val="00E01A43"/>
    <w:rsid w:val="00E0557E"/>
    <w:rsid w:val="00E071D8"/>
    <w:rsid w:val="00E07C7B"/>
    <w:rsid w:val="00E10AA7"/>
    <w:rsid w:val="00E12892"/>
    <w:rsid w:val="00E15410"/>
    <w:rsid w:val="00E168C3"/>
    <w:rsid w:val="00E2062D"/>
    <w:rsid w:val="00E22DC2"/>
    <w:rsid w:val="00E2387D"/>
    <w:rsid w:val="00E23D46"/>
    <w:rsid w:val="00E24B48"/>
    <w:rsid w:val="00E26EF2"/>
    <w:rsid w:val="00E31630"/>
    <w:rsid w:val="00E3226E"/>
    <w:rsid w:val="00E34027"/>
    <w:rsid w:val="00E36EC7"/>
    <w:rsid w:val="00E37C91"/>
    <w:rsid w:val="00E4015C"/>
    <w:rsid w:val="00E4646C"/>
    <w:rsid w:val="00E514DC"/>
    <w:rsid w:val="00E53DD3"/>
    <w:rsid w:val="00E55591"/>
    <w:rsid w:val="00E5597D"/>
    <w:rsid w:val="00E568AA"/>
    <w:rsid w:val="00E56BDD"/>
    <w:rsid w:val="00E60871"/>
    <w:rsid w:val="00E62A92"/>
    <w:rsid w:val="00E664CB"/>
    <w:rsid w:val="00E76B34"/>
    <w:rsid w:val="00E8195E"/>
    <w:rsid w:val="00E84F63"/>
    <w:rsid w:val="00E85AC2"/>
    <w:rsid w:val="00E87C2F"/>
    <w:rsid w:val="00E909AE"/>
    <w:rsid w:val="00E90FC7"/>
    <w:rsid w:val="00E9752D"/>
    <w:rsid w:val="00EA3009"/>
    <w:rsid w:val="00EA4A66"/>
    <w:rsid w:val="00EB1EB2"/>
    <w:rsid w:val="00EB6026"/>
    <w:rsid w:val="00EB6329"/>
    <w:rsid w:val="00EB6EED"/>
    <w:rsid w:val="00EC4843"/>
    <w:rsid w:val="00EC508E"/>
    <w:rsid w:val="00ED2471"/>
    <w:rsid w:val="00ED3DC7"/>
    <w:rsid w:val="00ED4F5A"/>
    <w:rsid w:val="00ED7A6A"/>
    <w:rsid w:val="00EE1077"/>
    <w:rsid w:val="00EE2DED"/>
    <w:rsid w:val="00EE39BD"/>
    <w:rsid w:val="00EE4F7A"/>
    <w:rsid w:val="00EE7CE7"/>
    <w:rsid w:val="00EF372E"/>
    <w:rsid w:val="00EF7637"/>
    <w:rsid w:val="00F00D7E"/>
    <w:rsid w:val="00F109E0"/>
    <w:rsid w:val="00F147CF"/>
    <w:rsid w:val="00F14893"/>
    <w:rsid w:val="00F14B8F"/>
    <w:rsid w:val="00F16AEB"/>
    <w:rsid w:val="00F22BC3"/>
    <w:rsid w:val="00F2614D"/>
    <w:rsid w:val="00F27E56"/>
    <w:rsid w:val="00F3754A"/>
    <w:rsid w:val="00F44CCA"/>
    <w:rsid w:val="00F456F3"/>
    <w:rsid w:val="00F45F36"/>
    <w:rsid w:val="00F46C91"/>
    <w:rsid w:val="00F630F5"/>
    <w:rsid w:val="00F72B36"/>
    <w:rsid w:val="00F738BB"/>
    <w:rsid w:val="00F7764A"/>
    <w:rsid w:val="00F80B98"/>
    <w:rsid w:val="00F82F28"/>
    <w:rsid w:val="00F84396"/>
    <w:rsid w:val="00F87CCE"/>
    <w:rsid w:val="00F87D49"/>
    <w:rsid w:val="00F90AEA"/>
    <w:rsid w:val="00FA30F0"/>
    <w:rsid w:val="00FA4776"/>
    <w:rsid w:val="00FA4830"/>
    <w:rsid w:val="00FA6F99"/>
    <w:rsid w:val="00FA77A4"/>
    <w:rsid w:val="00FB14F4"/>
    <w:rsid w:val="00FC19AB"/>
    <w:rsid w:val="00FC3066"/>
    <w:rsid w:val="00FD02E1"/>
    <w:rsid w:val="00FD0324"/>
    <w:rsid w:val="00FD3E3C"/>
    <w:rsid w:val="00FE19AA"/>
    <w:rsid w:val="00FE464A"/>
    <w:rsid w:val="00FE5B7F"/>
    <w:rsid w:val="00FE78FA"/>
    <w:rsid w:val="00FE7E16"/>
    <w:rsid w:val="00FF2209"/>
    <w:rsid w:val="00FF352F"/>
    <w:rsid w:val="00FF52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E7330A9"/>
  <w14:defaultImageDpi w14:val="330"/>
  <w15:chartTrackingRefBased/>
  <w15:docId w15:val="{78B1D104-5B69-4B02-AE2A-4BCD20B364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597D"/>
  </w:style>
  <w:style w:type="paragraph" w:styleId="Heading1">
    <w:name w:val="heading 1"/>
    <w:basedOn w:val="Normal"/>
    <w:next w:val="Normal"/>
    <w:link w:val="Heading1Char1"/>
    <w:uiPriority w:val="9"/>
    <w:qFormat/>
    <w:rsid w:val="00CF1D1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CF1D1E"/>
    <w:pPr>
      <w:keepNext/>
      <w:keepLines/>
      <w:spacing w:before="40" w:after="0"/>
      <w:outlineLvl w:val="1"/>
    </w:pPr>
    <w:rPr>
      <w:rFonts w:ascii="Calibri Light" w:eastAsia="Times New Roman" w:hAnsi="Calibri Light" w:cs="Times New Roman"/>
      <w:color w:val="2E74B5"/>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3D48"/>
    <w:pPr>
      <w:ind w:left="720"/>
      <w:contextualSpacing/>
    </w:pPr>
  </w:style>
  <w:style w:type="paragraph" w:styleId="Header">
    <w:name w:val="header"/>
    <w:basedOn w:val="Normal"/>
    <w:link w:val="HeaderChar"/>
    <w:uiPriority w:val="99"/>
    <w:unhideWhenUsed/>
    <w:rsid w:val="00E62A92"/>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2A92"/>
  </w:style>
  <w:style w:type="paragraph" w:styleId="Footer">
    <w:name w:val="footer"/>
    <w:basedOn w:val="Normal"/>
    <w:link w:val="FooterChar"/>
    <w:uiPriority w:val="99"/>
    <w:unhideWhenUsed/>
    <w:rsid w:val="00E62A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2A92"/>
  </w:style>
  <w:style w:type="paragraph" w:customStyle="1" w:styleId="Default">
    <w:name w:val="Default"/>
    <w:rsid w:val="001B1C1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Heading11">
    <w:name w:val="Heading 11"/>
    <w:basedOn w:val="Normal"/>
    <w:next w:val="Normal"/>
    <w:link w:val="Heading1Char"/>
    <w:uiPriority w:val="9"/>
    <w:qFormat/>
    <w:rsid w:val="00CF1D1E"/>
    <w:pPr>
      <w:keepNext/>
      <w:keepLines/>
      <w:spacing w:before="240" w:after="0"/>
      <w:outlineLvl w:val="0"/>
    </w:pPr>
    <w:rPr>
      <w:rFonts w:ascii="Calibri Light" w:eastAsia="Times New Roman" w:hAnsi="Calibri Light" w:cs="Times New Roman"/>
      <w:color w:val="2E74B5"/>
      <w:sz w:val="32"/>
      <w:szCs w:val="32"/>
    </w:rPr>
  </w:style>
  <w:style w:type="paragraph" w:customStyle="1" w:styleId="Heading21">
    <w:name w:val="Heading 21"/>
    <w:basedOn w:val="Normal"/>
    <w:next w:val="Normal"/>
    <w:uiPriority w:val="9"/>
    <w:semiHidden/>
    <w:unhideWhenUsed/>
    <w:qFormat/>
    <w:rsid w:val="00CF1D1E"/>
    <w:pPr>
      <w:keepNext/>
      <w:keepLines/>
      <w:spacing w:before="40" w:after="0"/>
      <w:outlineLvl w:val="1"/>
    </w:pPr>
    <w:rPr>
      <w:rFonts w:ascii="Calibri Light" w:eastAsia="Times New Roman" w:hAnsi="Calibri Light" w:cs="Times New Roman"/>
      <w:color w:val="2E74B5"/>
      <w:sz w:val="26"/>
      <w:szCs w:val="26"/>
    </w:rPr>
  </w:style>
  <w:style w:type="numbering" w:customStyle="1" w:styleId="NoList1">
    <w:name w:val="No List1"/>
    <w:next w:val="NoList"/>
    <w:uiPriority w:val="99"/>
    <w:semiHidden/>
    <w:unhideWhenUsed/>
    <w:rsid w:val="00CF1D1E"/>
  </w:style>
  <w:style w:type="table" w:styleId="TableGrid">
    <w:name w:val="Table Grid"/>
    <w:basedOn w:val="TableNormal"/>
    <w:uiPriority w:val="39"/>
    <w:rsid w:val="00CF1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1"/>
    <w:uiPriority w:val="9"/>
    <w:rsid w:val="00CF1D1E"/>
    <w:rPr>
      <w:rFonts w:ascii="Calibri Light" w:eastAsia="Times New Roman" w:hAnsi="Calibri Light" w:cs="Times New Roman"/>
      <w:color w:val="2E74B5"/>
      <w:sz w:val="32"/>
      <w:szCs w:val="32"/>
    </w:rPr>
  </w:style>
  <w:style w:type="character" w:customStyle="1" w:styleId="Heading2Char">
    <w:name w:val="Heading 2 Char"/>
    <w:basedOn w:val="DefaultParagraphFont"/>
    <w:link w:val="Heading2"/>
    <w:uiPriority w:val="9"/>
    <w:semiHidden/>
    <w:rsid w:val="00CF1D1E"/>
    <w:rPr>
      <w:rFonts w:ascii="Calibri Light" w:eastAsia="Times New Roman" w:hAnsi="Calibri Light" w:cs="Times New Roman"/>
      <w:color w:val="2E74B5"/>
      <w:sz w:val="26"/>
      <w:szCs w:val="26"/>
    </w:rPr>
  </w:style>
  <w:style w:type="character" w:styleId="Hyperlink">
    <w:name w:val="Hyperlink"/>
    <w:basedOn w:val="DefaultParagraphFont"/>
    <w:uiPriority w:val="99"/>
    <w:unhideWhenUsed/>
    <w:rsid w:val="00CF1D1E"/>
    <w:rPr>
      <w:color w:val="0000FF"/>
      <w:u w:val="single"/>
    </w:rPr>
  </w:style>
  <w:style w:type="paragraph" w:styleId="BalloonText">
    <w:name w:val="Balloon Text"/>
    <w:basedOn w:val="Normal"/>
    <w:link w:val="BalloonTextChar"/>
    <w:uiPriority w:val="99"/>
    <w:semiHidden/>
    <w:unhideWhenUsed/>
    <w:rsid w:val="00CF1D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1D1E"/>
    <w:rPr>
      <w:rFonts w:ascii="Segoe UI" w:hAnsi="Segoe UI" w:cs="Segoe UI"/>
      <w:sz w:val="18"/>
      <w:szCs w:val="18"/>
    </w:rPr>
  </w:style>
  <w:style w:type="character" w:customStyle="1" w:styleId="Heading1Char1">
    <w:name w:val="Heading 1 Char1"/>
    <w:basedOn w:val="DefaultParagraphFont"/>
    <w:link w:val="Heading1"/>
    <w:uiPriority w:val="9"/>
    <w:rsid w:val="00CF1D1E"/>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F1D1E"/>
    <w:pPr>
      <w:outlineLvl w:val="9"/>
    </w:pPr>
    <w:rPr>
      <w:lang w:val="en-US"/>
    </w:rPr>
  </w:style>
  <w:style w:type="paragraph" w:styleId="TOC1">
    <w:name w:val="toc 1"/>
    <w:basedOn w:val="Normal"/>
    <w:next w:val="Normal"/>
    <w:autoRedefine/>
    <w:uiPriority w:val="39"/>
    <w:unhideWhenUsed/>
    <w:rsid w:val="00CF1D1E"/>
    <w:pPr>
      <w:spacing w:before="240" w:after="120"/>
    </w:pPr>
    <w:rPr>
      <w:b/>
      <w:bCs/>
      <w:sz w:val="20"/>
      <w:szCs w:val="20"/>
    </w:rPr>
  </w:style>
  <w:style w:type="paragraph" w:styleId="TOC2">
    <w:name w:val="toc 2"/>
    <w:basedOn w:val="Normal"/>
    <w:next w:val="Normal"/>
    <w:autoRedefine/>
    <w:uiPriority w:val="39"/>
    <w:unhideWhenUsed/>
    <w:rsid w:val="00CF1D1E"/>
    <w:pPr>
      <w:spacing w:before="120" w:after="0"/>
      <w:ind w:left="220"/>
    </w:pPr>
    <w:rPr>
      <w:i/>
      <w:iCs/>
      <w:sz w:val="20"/>
      <w:szCs w:val="20"/>
    </w:rPr>
  </w:style>
  <w:style w:type="paragraph" w:styleId="TOC3">
    <w:name w:val="toc 3"/>
    <w:basedOn w:val="Normal"/>
    <w:next w:val="Normal"/>
    <w:autoRedefine/>
    <w:uiPriority w:val="39"/>
    <w:unhideWhenUsed/>
    <w:rsid w:val="00CF1D1E"/>
    <w:pPr>
      <w:spacing w:after="0"/>
      <w:ind w:left="440"/>
    </w:pPr>
    <w:rPr>
      <w:sz w:val="20"/>
      <w:szCs w:val="20"/>
    </w:rPr>
  </w:style>
  <w:style w:type="paragraph" w:styleId="TOC4">
    <w:name w:val="toc 4"/>
    <w:basedOn w:val="Normal"/>
    <w:next w:val="Normal"/>
    <w:autoRedefine/>
    <w:uiPriority w:val="39"/>
    <w:unhideWhenUsed/>
    <w:rsid w:val="00CF1D1E"/>
    <w:pPr>
      <w:spacing w:after="0"/>
      <w:ind w:left="660"/>
    </w:pPr>
    <w:rPr>
      <w:sz w:val="20"/>
      <w:szCs w:val="20"/>
    </w:rPr>
  </w:style>
  <w:style w:type="paragraph" w:styleId="TOC5">
    <w:name w:val="toc 5"/>
    <w:basedOn w:val="Normal"/>
    <w:next w:val="Normal"/>
    <w:autoRedefine/>
    <w:uiPriority w:val="39"/>
    <w:unhideWhenUsed/>
    <w:rsid w:val="00CF1D1E"/>
    <w:pPr>
      <w:spacing w:after="0"/>
      <w:ind w:left="880"/>
    </w:pPr>
    <w:rPr>
      <w:sz w:val="20"/>
      <w:szCs w:val="20"/>
    </w:rPr>
  </w:style>
  <w:style w:type="paragraph" w:styleId="TOC6">
    <w:name w:val="toc 6"/>
    <w:basedOn w:val="Normal"/>
    <w:next w:val="Normal"/>
    <w:autoRedefine/>
    <w:uiPriority w:val="39"/>
    <w:unhideWhenUsed/>
    <w:rsid w:val="00CF1D1E"/>
    <w:pPr>
      <w:spacing w:after="0"/>
      <w:ind w:left="1100"/>
    </w:pPr>
    <w:rPr>
      <w:sz w:val="20"/>
      <w:szCs w:val="20"/>
    </w:rPr>
  </w:style>
  <w:style w:type="paragraph" w:styleId="TOC7">
    <w:name w:val="toc 7"/>
    <w:basedOn w:val="Normal"/>
    <w:next w:val="Normal"/>
    <w:autoRedefine/>
    <w:uiPriority w:val="39"/>
    <w:unhideWhenUsed/>
    <w:rsid w:val="00CF1D1E"/>
    <w:pPr>
      <w:spacing w:after="0"/>
      <w:ind w:left="1320"/>
    </w:pPr>
    <w:rPr>
      <w:sz w:val="20"/>
      <w:szCs w:val="20"/>
    </w:rPr>
  </w:style>
  <w:style w:type="paragraph" w:styleId="TOC8">
    <w:name w:val="toc 8"/>
    <w:basedOn w:val="Normal"/>
    <w:next w:val="Normal"/>
    <w:autoRedefine/>
    <w:uiPriority w:val="39"/>
    <w:unhideWhenUsed/>
    <w:rsid w:val="00CF1D1E"/>
    <w:pPr>
      <w:spacing w:after="0"/>
      <w:ind w:left="1540"/>
    </w:pPr>
    <w:rPr>
      <w:sz w:val="20"/>
      <w:szCs w:val="20"/>
    </w:rPr>
  </w:style>
  <w:style w:type="paragraph" w:styleId="TOC9">
    <w:name w:val="toc 9"/>
    <w:basedOn w:val="Normal"/>
    <w:next w:val="Normal"/>
    <w:autoRedefine/>
    <w:uiPriority w:val="39"/>
    <w:unhideWhenUsed/>
    <w:rsid w:val="00CF1D1E"/>
    <w:pPr>
      <w:spacing w:after="0"/>
      <w:ind w:left="1760"/>
    </w:pPr>
    <w:rPr>
      <w:sz w:val="20"/>
      <w:szCs w:val="20"/>
    </w:rPr>
  </w:style>
  <w:style w:type="character" w:customStyle="1" w:styleId="Heading2Char1">
    <w:name w:val="Heading 2 Char1"/>
    <w:basedOn w:val="DefaultParagraphFont"/>
    <w:uiPriority w:val="9"/>
    <w:semiHidden/>
    <w:rsid w:val="00CF1D1E"/>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131456">
      <w:bodyDiv w:val="1"/>
      <w:marLeft w:val="0"/>
      <w:marRight w:val="0"/>
      <w:marTop w:val="0"/>
      <w:marBottom w:val="0"/>
      <w:divBdr>
        <w:top w:val="none" w:sz="0" w:space="0" w:color="auto"/>
        <w:left w:val="none" w:sz="0" w:space="0" w:color="auto"/>
        <w:bottom w:val="none" w:sz="0" w:space="0" w:color="auto"/>
        <w:right w:val="none" w:sz="0" w:space="0" w:color="auto"/>
      </w:divBdr>
      <w:divsChild>
        <w:div w:id="12654789">
          <w:marLeft w:val="0"/>
          <w:marRight w:val="0"/>
          <w:marTop w:val="0"/>
          <w:marBottom w:val="0"/>
          <w:divBdr>
            <w:top w:val="none" w:sz="0" w:space="0" w:color="auto"/>
            <w:left w:val="none" w:sz="0" w:space="0" w:color="auto"/>
            <w:bottom w:val="none" w:sz="0" w:space="0" w:color="auto"/>
            <w:right w:val="none" w:sz="0" w:space="0" w:color="auto"/>
          </w:divBdr>
        </w:div>
        <w:div w:id="1183010989">
          <w:marLeft w:val="0"/>
          <w:marRight w:val="0"/>
          <w:marTop w:val="0"/>
          <w:marBottom w:val="0"/>
          <w:divBdr>
            <w:top w:val="none" w:sz="0" w:space="0" w:color="auto"/>
            <w:left w:val="none" w:sz="0" w:space="0" w:color="auto"/>
            <w:bottom w:val="none" w:sz="0" w:space="0" w:color="auto"/>
            <w:right w:val="none" w:sz="0" w:space="0" w:color="auto"/>
          </w:divBdr>
        </w:div>
      </w:divsChild>
    </w:div>
    <w:div w:id="848906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emf"/><Relationship Id="rId299" Type="http://schemas.openxmlformats.org/officeDocument/2006/relationships/image" Target="media/image275.png"/><Relationship Id="rId303" Type="http://schemas.openxmlformats.org/officeDocument/2006/relationships/image" Target="media/image279.png"/><Relationship Id="rId21" Type="http://schemas.openxmlformats.org/officeDocument/2006/relationships/image" Target="media/image13.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jpeg"/><Relationship Id="rId138" Type="http://schemas.openxmlformats.org/officeDocument/2006/relationships/image" Target="media/image116.PNG"/><Relationship Id="rId159" Type="http://schemas.openxmlformats.org/officeDocument/2006/relationships/image" Target="media/image136.png"/><Relationship Id="rId324" Type="http://schemas.openxmlformats.org/officeDocument/2006/relationships/image" Target="media/image300.png"/><Relationship Id="rId170" Type="http://schemas.openxmlformats.org/officeDocument/2006/relationships/image" Target="media/image147.PNG"/><Relationship Id="rId191" Type="http://schemas.openxmlformats.org/officeDocument/2006/relationships/image" Target="media/image168.png"/><Relationship Id="rId205" Type="http://schemas.openxmlformats.org/officeDocument/2006/relationships/image" Target="media/image181.png"/><Relationship Id="rId226" Type="http://schemas.openxmlformats.org/officeDocument/2006/relationships/image" Target="media/image202.png"/><Relationship Id="rId247" Type="http://schemas.openxmlformats.org/officeDocument/2006/relationships/image" Target="media/image223.png"/><Relationship Id="rId107" Type="http://schemas.openxmlformats.org/officeDocument/2006/relationships/image" Target="media/image93.png"/><Relationship Id="rId268" Type="http://schemas.openxmlformats.org/officeDocument/2006/relationships/image" Target="media/image244.png"/><Relationship Id="rId289" Type="http://schemas.openxmlformats.org/officeDocument/2006/relationships/image" Target="media/image265.png"/><Relationship Id="rId11" Type="http://schemas.openxmlformats.org/officeDocument/2006/relationships/image" Target="media/image4.png"/><Relationship Id="rId32" Type="http://schemas.openxmlformats.org/officeDocument/2006/relationships/footer" Target="footer2.xml"/><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06.PNG"/><Relationship Id="rId149" Type="http://schemas.openxmlformats.org/officeDocument/2006/relationships/image" Target="media/image127.png"/><Relationship Id="rId314" Type="http://schemas.openxmlformats.org/officeDocument/2006/relationships/image" Target="media/image290.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37.png"/><Relationship Id="rId181" Type="http://schemas.openxmlformats.org/officeDocument/2006/relationships/image" Target="media/image158.png"/><Relationship Id="rId216" Type="http://schemas.openxmlformats.org/officeDocument/2006/relationships/image" Target="media/image192.png"/><Relationship Id="rId237" Type="http://schemas.openxmlformats.org/officeDocument/2006/relationships/image" Target="media/image213.png"/><Relationship Id="rId258" Type="http://schemas.openxmlformats.org/officeDocument/2006/relationships/image" Target="media/image234.png"/><Relationship Id="rId279" Type="http://schemas.openxmlformats.org/officeDocument/2006/relationships/image" Target="media/image255.png"/><Relationship Id="rId22" Type="http://schemas.openxmlformats.org/officeDocument/2006/relationships/image" Target="media/image14.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oleObject" Target="embeddings/oleObject5.bin"/><Relationship Id="rId139" Type="http://schemas.openxmlformats.org/officeDocument/2006/relationships/image" Target="media/image117.PNG"/><Relationship Id="rId290" Type="http://schemas.openxmlformats.org/officeDocument/2006/relationships/image" Target="media/image266.png"/><Relationship Id="rId304" Type="http://schemas.openxmlformats.org/officeDocument/2006/relationships/image" Target="media/image280.png"/><Relationship Id="rId325" Type="http://schemas.openxmlformats.org/officeDocument/2006/relationships/image" Target="media/image301.png"/><Relationship Id="rId85" Type="http://schemas.openxmlformats.org/officeDocument/2006/relationships/image" Target="media/image75.png"/><Relationship Id="rId150" Type="http://schemas.openxmlformats.org/officeDocument/2006/relationships/image" Target="media/image128.png"/><Relationship Id="rId171" Type="http://schemas.openxmlformats.org/officeDocument/2006/relationships/image" Target="media/image148.png"/><Relationship Id="rId192" Type="http://schemas.openxmlformats.org/officeDocument/2006/relationships/image" Target="media/image169.png"/><Relationship Id="rId206" Type="http://schemas.openxmlformats.org/officeDocument/2006/relationships/image" Target="media/image182.png"/><Relationship Id="rId227" Type="http://schemas.openxmlformats.org/officeDocument/2006/relationships/image" Target="media/image203.png"/><Relationship Id="rId248" Type="http://schemas.openxmlformats.org/officeDocument/2006/relationships/image" Target="media/image224.png"/><Relationship Id="rId269" Type="http://schemas.openxmlformats.org/officeDocument/2006/relationships/image" Target="media/image245.png"/><Relationship Id="rId12" Type="http://schemas.openxmlformats.org/officeDocument/2006/relationships/footer" Target="footer1.xml"/><Relationship Id="rId33" Type="http://schemas.openxmlformats.org/officeDocument/2006/relationships/image" Target="media/image24.png"/><Relationship Id="rId108" Type="http://schemas.openxmlformats.org/officeDocument/2006/relationships/image" Target="media/image94.emf"/><Relationship Id="rId129" Type="http://schemas.openxmlformats.org/officeDocument/2006/relationships/image" Target="media/image107.PNG"/><Relationship Id="rId280" Type="http://schemas.openxmlformats.org/officeDocument/2006/relationships/image" Target="media/image256.png"/><Relationship Id="rId315" Type="http://schemas.openxmlformats.org/officeDocument/2006/relationships/image" Target="media/image291.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18.png"/><Relationship Id="rId161" Type="http://schemas.openxmlformats.org/officeDocument/2006/relationships/image" Target="media/image138.png"/><Relationship Id="rId182" Type="http://schemas.openxmlformats.org/officeDocument/2006/relationships/image" Target="media/image159.png"/><Relationship Id="rId217" Type="http://schemas.openxmlformats.org/officeDocument/2006/relationships/image" Target="media/image193.png"/><Relationship Id="rId6" Type="http://schemas.openxmlformats.org/officeDocument/2006/relationships/footnotes" Target="footnotes.xml"/><Relationship Id="rId238" Type="http://schemas.openxmlformats.org/officeDocument/2006/relationships/image" Target="media/image214.png"/><Relationship Id="rId259" Type="http://schemas.openxmlformats.org/officeDocument/2006/relationships/image" Target="media/image235.png"/><Relationship Id="rId23" Type="http://schemas.openxmlformats.org/officeDocument/2006/relationships/image" Target="media/image15.png"/><Relationship Id="rId119" Type="http://schemas.openxmlformats.org/officeDocument/2006/relationships/image" Target="media/image100.png"/><Relationship Id="rId270" Type="http://schemas.openxmlformats.org/officeDocument/2006/relationships/image" Target="media/image246.png"/><Relationship Id="rId291" Type="http://schemas.openxmlformats.org/officeDocument/2006/relationships/image" Target="media/image267.png"/><Relationship Id="rId305" Type="http://schemas.openxmlformats.org/officeDocument/2006/relationships/image" Target="media/image281.png"/><Relationship Id="rId326" Type="http://schemas.openxmlformats.org/officeDocument/2006/relationships/image" Target="media/image302.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08.PNG"/><Relationship Id="rId151" Type="http://schemas.openxmlformats.org/officeDocument/2006/relationships/image" Target="media/image129.emf"/><Relationship Id="rId172" Type="http://schemas.openxmlformats.org/officeDocument/2006/relationships/image" Target="media/image149.png"/><Relationship Id="rId193" Type="http://schemas.openxmlformats.org/officeDocument/2006/relationships/image" Target="media/image170.png"/><Relationship Id="rId207" Type="http://schemas.openxmlformats.org/officeDocument/2006/relationships/image" Target="media/image183.png"/><Relationship Id="rId228" Type="http://schemas.openxmlformats.org/officeDocument/2006/relationships/image" Target="media/image204.png"/><Relationship Id="rId249" Type="http://schemas.openxmlformats.org/officeDocument/2006/relationships/image" Target="media/image225.png"/><Relationship Id="rId13" Type="http://schemas.openxmlformats.org/officeDocument/2006/relationships/image" Target="media/image5.png"/><Relationship Id="rId109" Type="http://schemas.openxmlformats.org/officeDocument/2006/relationships/oleObject" Target="embeddings/oleObject1.bin"/><Relationship Id="rId260" Type="http://schemas.openxmlformats.org/officeDocument/2006/relationships/image" Target="media/image236.png"/><Relationship Id="rId281" Type="http://schemas.openxmlformats.org/officeDocument/2006/relationships/image" Target="media/image257.png"/><Relationship Id="rId316" Type="http://schemas.openxmlformats.org/officeDocument/2006/relationships/image" Target="media/image292.png"/><Relationship Id="rId34" Type="http://schemas.openxmlformats.org/officeDocument/2006/relationships/image" Target="media/image25.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01.png"/><Relationship Id="rId141" Type="http://schemas.openxmlformats.org/officeDocument/2006/relationships/image" Target="media/image119.PNG"/><Relationship Id="rId7" Type="http://schemas.openxmlformats.org/officeDocument/2006/relationships/endnotes" Target="endnotes.xml"/><Relationship Id="rId162" Type="http://schemas.openxmlformats.org/officeDocument/2006/relationships/image" Target="media/image139.png"/><Relationship Id="rId183" Type="http://schemas.openxmlformats.org/officeDocument/2006/relationships/image" Target="media/image160.png"/><Relationship Id="rId218" Type="http://schemas.openxmlformats.org/officeDocument/2006/relationships/image" Target="media/image194.png"/><Relationship Id="rId239" Type="http://schemas.openxmlformats.org/officeDocument/2006/relationships/image" Target="media/image215.png"/><Relationship Id="rId250" Type="http://schemas.openxmlformats.org/officeDocument/2006/relationships/image" Target="media/image226.png"/><Relationship Id="rId271" Type="http://schemas.openxmlformats.org/officeDocument/2006/relationships/image" Target="media/image247.png"/><Relationship Id="rId292" Type="http://schemas.openxmlformats.org/officeDocument/2006/relationships/image" Target="media/image268.png"/><Relationship Id="rId306" Type="http://schemas.openxmlformats.org/officeDocument/2006/relationships/image" Target="media/image282.png"/><Relationship Id="rId24" Type="http://schemas.openxmlformats.org/officeDocument/2006/relationships/image" Target="media/image16.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emf"/><Relationship Id="rId110" Type="http://schemas.openxmlformats.org/officeDocument/2006/relationships/image" Target="media/image95.png"/><Relationship Id="rId131" Type="http://schemas.openxmlformats.org/officeDocument/2006/relationships/image" Target="media/image109.PNG"/><Relationship Id="rId327" Type="http://schemas.openxmlformats.org/officeDocument/2006/relationships/fontTable" Target="fontTable.xml"/><Relationship Id="rId152" Type="http://schemas.openxmlformats.org/officeDocument/2006/relationships/oleObject" Target="embeddings/oleObject9.bin"/><Relationship Id="rId173" Type="http://schemas.openxmlformats.org/officeDocument/2006/relationships/image" Target="media/image150.png"/><Relationship Id="rId194" Type="http://schemas.openxmlformats.org/officeDocument/2006/relationships/image" Target="media/image171.png"/><Relationship Id="rId208" Type="http://schemas.openxmlformats.org/officeDocument/2006/relationships/image" Target="media/image184.png"/><Relationship Id="rId229" Type="http://schemas.openxmlformats.org/officeDocument/2006/relationships/image" Target="media/image205.png"/><Relationship Id="rId240" Type="http://schemas.openxmlformats.org/officeDocument/2006/relationships/image" Target="media/image216.png"/><Relationship Id="rId261" Type="http://schemas.openxmlformats.org/officeDocument/2006/relationships/image" Target="media/image237.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chart" Target="charts/chart3.xml"/><Relationship Id="rId105" Type="http://schemas.openxmlformats.org/officeDocument/2006/relationships/image" Target="media/image92.png"/><Relationship Id="rId126" Type="http://schemas.openxmlformats.org/officeDocument/2006/relationships/oleObject" Target="embeddings/oleObject8.bin"/><Relationship Id="rId147" Type="http://schemas.openxmlformats.org/officeDocument/2006/relationships/image" Target="media/image125.png"/><Relationship Id="rId168" Type="http://schemas.openxmlformats.org/officeDocument/2006/relationships/image" Target="media/image145.png"/><Relationship Id="rId282" Type="http://schemas.openxmlformats.org/officeDocument/2006/relationships/image" Target="media/image258.png"/><Relationship Id="rId312" Type="http://schemas.openxmlformats.org/officeDocument/2006/relationships/image" Target="media/image288.png"/><Relationship Id="rId317" Type="http://schemas.openxmlformats.org/officeDocument/2006/relationships/image" Target="media/image293.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chart" Target="charts/chart1.xml"/><Relationship Id="rId121" Type="http://schemas.openxmlformats.org/officeDocument/2006/relationships/image" Target="media/image102.emf"/><Relationship Id="rId142" Type="http://schemas.openxmlformats.org/officeDocument/2006/relationships/image" Target="media/image120.PNG"/><Relationship Id="rId163" Type="http://schemas.openxmlformats.org/officeDocument/2006/relationships/image" Target="media/image140.png"/><Relationship Id="rId184" Type="http://schemas.openxmlformats.org/officeDocument/2006/relationships/image" Target="media/image161.png"/><Relationship Id="rId189" Type="http://schemas.openxmlformats.org/officeDocument/2006/relationships/image" Target="media/image166.PNG"/><Relationship Id="rId219" Type="http://schemas.openxmlformats.org/officeDocument/2006/relationships/image" Target="media/image195.png"/><Relationship Id="rId3" Type="http://schemas.openxmlformats.org/officeDocument/2006/relationships/styles" Target="styles.xml"/><Relationship Id="rId214" Type="http://schemas.openxmlformats.org/officeDocument/2006/relationships/image" Target="media/image190.png"/><Relationship Id="rId230" Type="http://schemas.openxmlformats.org/officeDocument/2006/relationships/image" Target="media/image206.png"/><Relationship Id="rId235" Type="http://schemas.openxmlformats.org/officeDocument/2006/relationships/image" Target="media/image211.png"/><Relationship Id="rId251" Type="http://schemas.openxmlformats.org/officeDocument/2006/relationships/image" Target="media/image227.png"/><Relationship Id="rId256" Type="http://schemas.openxmlformats.org/officeDocument/2006/relationships/image" Target="media/image232.png"/><Relationship Id="rId277" Type="http://schemas.openxmlformats.org/officeDocument/2006/relationships/image" Target="media/image253.png"/><Relationship Id="rId298" Type="http://schemas.openxmlformats.org/officeDocument/2006/relationships/image" Target="media/image274.png"/><Relationship Id="rId25" Type="http://schemas.openxmlformats.org/officeDocument/2006/relationships/image" Target="media/image17.jp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oleObject" Target="embeddings/oleObject4.bin"/><Relationship Id="rId137" Type="http://schemas.openxmlformats.org/officeDocument/2006/relationships/image" Target="media/image115.png"/><Relationship Id="rId158" Type="http://schemas.openxmlformats.org/officeDocument/2006/relationships/image" Target="media/image135.png"/><Relationship Id="rId272" Type="http://schemas.openxmlformats.org/officeDocument/2006/relationships/image" Target="media/image248.png"/><Relationship Id="rId293" Type="http://schemas.openxmlformats.org/officeDocument/2006/relationships/image" Target="media/image269.png"/><Relationship Id="rId302" Type="http://schemas.openxmlformats.org/officeDocument/2006/relationships/image" Target="media/image278.png"/><Relationship Id="rId307" Type="http://schemas.openxmlformats.org/officeDocument/2006/relationships/image" Target="media/image283.png"/><Relationship Id="rId323" Type="http://schemas.openxmlformats.org/officeDocument/2006/relationships/image" Target="media/image299.png"/><Relationship Id="rId328"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footer" Target="footer3.xml"/><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image" Target="media/image78.png"/><Relationship Id="rId111" Type="http://schemas.openxmlformats.org/officeDocument/2006/relationships/image" Target="media/image96.emf"/><Relationship Id="rId132" Type="http://schemas.openxmlformats.org/officeDocument/2006/relationships/image" Target="media/image110.PNG"/><Relationship Id="rId153" Type="http://schemas.openxmlformats.org/officeDocument/2006/relationships/image" Target="media/image130.png"/><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image" Target="media/image172.emf"/><Relationship Id="rId209" Type="http://schemas.openxmlformats.org/officeDocument/2006/relationships/image" Target="media/image185.png"/><Relationship Id="rId190" Type="http://schemas.openxmlformats.org/officeDocument/2006/relationships/image" Target="media/image167.png"/><Relationship Id="rId204" Type="http://schemas.openxmlformats.org/officeDocument/2006/relationships/image" Target="media/image180.png"/><Relationship Id="rId220" Type="http://schemas.openxmlformats.org/officeDocument/2006/relationships/image" Target="media/image196.png"/><Relationship Id="rId225" Type="http://schemas.openxmlformats.org/officeDocument/2006/relationships/image" Target="media/image201.png"/><Relationship Id="rId241" Type="http://schemas.openxmlformats.org/officeDocument/2006/relationships/image" Target="media/image217.png"/><Relationship Id="rId246" Type="http://schemas.openxmlformats.org/officeDocument/2006/relationships/image" Target="media/image222.png"/><Relationship Id="rId267" Type="http://schemas.openxmlformats.org/officeDocument/2006/relationships/image" Target="media/image243.png"/><Relationship Id="rId288" Type="http://schemas.openxmlformats.org/officeDocument/2006/relationships/image" Target="media/image264.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hyperlink" Target="https://creativecommons.org/licenses/by-sa/3.0" TargetMode="External"/><Relationship Id="rId127" Type="http://schemas.openxmlformats.org/officeDocument/2006/relationships/image" Target="media/image105.PNG"/><Relationship Id="rId262" Type="http://schemas.openxmlformats.org/officeDocument/2006/relationships/image" Target="media/image238.png"/><Relationship Id="rId283" Type="http://schemas.openxmlformats.org/officeDocument/2006/relationships/image" Target="media/image259.png"/><Relationship Id="rId313" Type="http://schemas.openxmlformats.org/officeDocument/2006/relationships/image" Target="media/image289.png"/><Relationship Id="rId318" Type="http://schemas.openxmlformats.org/officeDocument/2006/relationships/image" Target="media/image294.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2.png"/><Relationship Id="rId73" Type="http://schemas.openxmlformats.org/officeDocument/2006/relationships/image" Target="media/image63.emf"/><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chart" Target="charts/chart2.xml"/><Relationship Id="rId101" Type="http://schemas.openxmlformats.org/officeDocument/2006/relationships/image" Target="media/image88.png"/><Relationship Id="rId122" Type="http://schemas.openxmlformats.org/officeDocument/2006/relationships/oleObject" Target="embeddings/oleObject6.bin"/><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1.png"/><Relationship Id="rId169" Type="http://schemas.openxmlformats.org/officeDocument/2006/relationships/image" Target="media/image146.png"/><Relationship Id="rId185"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7.png"/><Relationship Id="rId210" Type="http://schemas.openxmlformats.org/officeDocument/2006/relationships/image" Target="media/image186.png"/><Relationship Id="rId215" Type="http://schemas.openxmlformats.org/officeDocument/2006/relationships/image" Target="media/image191.png"/><Relationship Id="rId236" Type="http://schemas.openxmlformats.org/officeDocument/2006/relationships/image" Target="media/image212.png"/><Relationship Id="rId257" Type="http://schemas.openxmlformats.org/officeDocument/2006/relationships/image" Target="media/image233.png"/><Relationship Id="rId278" Type="http://schemas.openxmlformats.org/officeDocument/2006/relationships/image" Target="media/image254.png"/><Relationship Id="rId26" Type="http://schemas.openxmlformats.org/officeDocument/2006/relationships/image" Target="media/image18.png"/><Relationship Id="rId231" Type="http://schemas.openxmlformats.org/officeDocument/2006/relationships/image" Target="media/image207.png"/><Relationship Id="rId252" Type="http://schemas.openxmlformats.org/officeDocument/2006/relationships/image" Target="media/image228.png"/><Relationship Id="rId273" Type="http://schemas.openxmlformats.org/officeDocument/2006/relationships/image" Target="media/image249.png"/><Relationship Id="rId294" Type="http://schemas.openxmlformats.org/officeDocument/2006/relationships/image" Target="media/image270.png"/><Relationship Id="rId308" Type="http://schemas.openxmlformats.org/officeDocument/2006/relationships/image" Target="media/image284.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oleObject" Target="embeddings/oleObject2.bin"/><Relationship Id="rId133" Type="http://schemas.openxmlformats.org/officeDocument/2006/relationships/image" Target="media/image111.PNG"/><Relationship Id="rId154" Type="http://schemas.openxmlformats.org/officeDocument/2006/relationships/image" Target="media/image131.png"/><Relationship Id="rId175" Type="http://schemas.openxmlformats.org/officeDocument/2006/relationships/image" Target="media/image152.png"/><Relationship Id="rId196" Type="http://schemas.openxmlformats.org/officeDocument/2006/relationships/oleObject" Target="embeddings/oleObject10.bin"/><Relationship Id="rId200" Type="http://schemas.openxmlformats.org/officeDocument/2006/relationships/image" Target="media/image176.png"/><Relationship Id="rId16" Type="http://schemas.openxmlformats.org/officeDocument/2006/relationships/image" Target="media/image8.png"/><Relationship Id="rId221" Type="http://schemas.openxmlformats.org/officeDocument/2006/relationships/image" Target="media/image197.png"/><Relationship Id="rId242" Type="http://schemas.openxmlformats.org/officeDocument/2006/relationships/image" Target="media/image218.png"/><Relationship Id="rId263" Type="http://schemas.openxmlformats.org/officeDocument/2006/relationships/image" Target="media/image239.png"/><Relationship Id="rId284" Type="http://schemas.openxmlformats.org/officeDocument/2006/relationships/image" Target="media/image260.png"/><Relationship Id="rId319" Type="http://schemas.openxmlformats.org/officeDocument/2006/relationships/image" Target="media/image295.png"/><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9.jpeg"/><Relationship Id="rId102" Type="http://schemas.openxmlformats.org/officeDocument/2006/relationships/image" Target="media/image89.jpeg"/><Relationship Id="rId123" Type="http://schemas.openxmlformats.org/officeDocument/2006/relationships/image" Target="media/image103.emf"/><Relationship Id="rId144" Type="http://schemas.openxmlformats.org/officeDocument/2006/relationships/image" Target="media/image122.png"/><Relationship Id="rId90" Type="http://schemas.openxmlformats.org/officeDocument/2006/relationships/image" Target="media/image80.png"/><Relationship Id="rId165" Type="http://schemas.openxmlformats.org/officeDocument/2006/relationships/image" Target="media/image142.png"/><Relationship Id="rId186" Type="http://schemas.openxmlformats.org/officeDocument/2006/relationships/image" Target="media/image163.PNG"/><Relationship Id="rId211" Type="http://schemas.openxmlformats.org/officeDocument/2006/relationships/image" Target="media/image187.png"/><Relationship Id="rId232" Type="http://schemas.openxmlformats.org/officeDocument/2006/relationships/image" Target="media/image208.png"/><Relationship Id="rId253" Type="http://schemas.openxmlformats.org/officeDocument/2006/relationships/image" Target="media/image229.png"/><Relationship Id="rId274" Type="http://schemas.openxmlformats.org/officeDocument/2006/relationships/image" Target="media/image250.png"/><Relationship Id="rId295" Type="http://schemas.openxmlformats.org/officeDocument/2006/relationships/image" Target="media/image271.png"/><Relationship Id="rId309" Type="http://schemas.openxmlformats.org/officeDocument/2006/relationships/image" Target="media/image285.png"/><Relationship Id="rId27" Type="http://schemas.openxmlformats.org/officeDocument/2006/relationships/image" Target="media/image19.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97.emf"/><Relationship Id="rId134" Type="http://schemas.openxmlformats.org/officeDocument/2006/relationships/image" Target="media/image112.PNG"/><Relationship Id="rId320" Type="http://schemas.openxmlformats.org/officeDocument/2006/relationships/image" Target="media/image296.png"/><Relationship Id="rId80" Type="http://schemas.openxmlformats.org/officeDocument/2006/relationships/image" Target="media/image70.jpeg"/><Relationship Id="rId155" Type="http://schemas.openxmlformats.org/officeDocument/2006/relationships/image" Target="media/image132.emf"/><Relationship Id="rId176" Type="http://schemas.openxmlformats.org/officeDocument/2006/relationships/image" Target="media/image153.PNG"/><Relationship Id="rId197" Type="http://schemas.openxmlformats.org/officeDocument/2006/relationships/image" Target="media/image173.png"/><Relationship Id="rId201" Type="http://schemas.openxmlformats.org/officeDocument/2006/relationships/image" Target="media/image177.png"/><Relationship Id="rId222" Type="http://schemas.openxmlformats.org/officeDocument/2006/relationships/image" Target="media/image198.png"/><Relationship Id="rId243" Type="http://schemas.openxmlformats.org/officeDocument/2006/relationships/image" Target="media/image219.png"/><Relationship Id="rId264" Type="http://schemas.openxmlformats.org/officeDocument/2006/relationships/image" Target="media/image240.png"/><Relationship Id="rId285" Type="http://schemas.openxmlformats.org/officeDocument/2006/relationships/image" Target="media/image261.png"/><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0.png"/><Relationship Id="rId124" Type="http://schemas.openxmlformats.org/officeDocument/2006/relationships/oleObject" Target="embeddings/oleObject7.bin"/><Relationship Id="rId310" Type="http://schemas.openxmlformats.org/officeDocument/2006/relationships/image" Target="media/image286.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23.png"/><Relationship Id="rId166" Type="http://schemas.openxmlformats.org/officeDocument/2006/relationships/image" Target="media/image143.PNG"/><Relationship Id="rId187" Type="http://schemas.openxmlformats.org/officeDocument/2006/relationships/image" Target="media/image164.PNG"/><Relationship Id="rId1" Type="http://schemas.openxmlformats.org/officeDocument/2006/relationships/customXml" Target="../customXml/item1.xml"/><Relationship Id="rId212" Type="http://schemas.openxmlformats.org/officeDocument/2006/relationships/image" Target="media/image188.png"/><Relationship Id="rId233" Type="http://schemas.openxmlformats.org/officeDocument/2006/relationships/image" Target="media/image209.png"/><Relationship Id="rId254" Type="http://schemas.openxmlformats.org/officeDocument/2006/relationships/image" Target="media/image230.png"/><Relationship Id="rId28" Type="http://schemas.openxmlformats.org/officeDocument/2006/relationships/image" Target="media/image20.png"/><Relationship Id="rId49" Type="http://schemas.openxmlformats.org/officeDocument/2006/relationships/image" Target="media/image39.png"/><Relationship Id="rId114" Type="http://schemas.openxmlformats.org/officeDocument/2006/relationships/oleObject" Target="embeddings/oleObject3.bin"/><Relationship Id="rId275" Type="http://schemas.openxmlformats.org/officeDocument/2006/relationships/image" Target="media/image251.png"/><Relationship Id="rId296" Type="http://schemas.openxmlformats.org/officeDocument/2006/relationships/image" Target="media/image272.png"/><Relationship Id="rId300" Type="http://schemas.openxmlformats.org/officeDocument/2006/relationships/image" Target="media/image276.png"/><Relationship Id="rId60" Type="http://schemas.openxmlformats.org/officeDocument/2006/relationships/image" Target="media/image50.png"/><Relationship Id="rId81" Type="http://schemas.openxmlformats.org/officeDocument/2006/relationships/image" Target="media/image71.jpeg"/><Relationship Id="rId135" Type="http://schemas.openxmlformats.org/officeDocument/2006/relationships/image" Target="media/image113.PNG"/><Relationship Id="rId156" Type="http://schemas.openxmlformats.org/officeDocument/2006/relationships/image" Target="media/image133.png"/><Relationship Id="rId177" Type="http://schemas.openxmlformats.org/officeDocument/2006/relationships/image" Target="media/image154.png"/><Relationship Id="rId198" Type="http://schemas.openxmlformats.org/officeDocument/2006/relationships/image" Target="media/image174.png"/><Relationship Id="rId321" Type="http://schemas.openxmlformats.org/officeDocument/2006/relationships/image" Target="media/image297.png"/><Relationship Id="rId202" Type="http://schemas.openxmlformats.org/officeDocument/2006/relationships/image" Target="media/image178.png"/><Relationship Id="rId223" Type="http://schemas.openxmlformats.org/officeDocument/2006/relationships/image" Target="media/image199.png"/><Relationship Id="rId244" Type="http://schemas.openxmlformats.org/officeDocument/2006/relationships/image" Target="media/image220.png"/><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image" Target="media/image241.png"/><Relationship Id="rId286" Type="http://schemas.openxmlformats.org/officeDocument/2006/relationships/image" Target="media/image262.png"/><Relationship Id="rId50" Type="http://schemas.openxmlformats.org/officeDocument/2006/relationships/image" Target="media/image40.png"/><Relationship Id="rId104" Type="http://schemas.openxmlformats.org/officeDocument/2006/relationships/image" Target="media/image91.jpeg"/><Relationship Id="rId125" Type="http://schemas.openxmlformats.org/officeDocument/2006/relationships/image" Target="media/image104.emf"/><Relationship Id="rId146" Type="http://schemas.openxmlformats.org/officeDocument/2006/relationships/image" Target="media/image124.png"/><Relationship Id="rId167" Type="http://schemas.openxmlformats.org/officeDocument/2006/relationships/image" Target="media/image144.png"/><Relationship Id="rId188" Type="http://schemas.openxmlformats.org/officeDocument/2006/relationships/image" Target="media/image165.PNG"/><Relationship Id="rId311" Type="http://schemas.openxmlformats.org/officeDocument/2006/relationships/image" Target="media/image287.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89.png"/><Relationship Id="rId234"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31.png"/><Relationship Id="rId276" Type="http://schemas.openxmlformats.org/officeDocument/2006/relationships/image" Target="media/image252.png"/><Relationship Id="rId297" Type="http://schemas.openxmlformats.org/officeDocument/2006/relationships/image" Target="media/image273.png"/><Relationship Id="rId40" Type="http://schemas.openxmlformats.org/officeDocument/2006/relationships/image" Target="media/image31.png"/><Relationship Id="rId115" Type="http://schemas.openxmlformats.org/officeDocument/2006/relationships/image" Target="media/image98.emf"/><Relationship Id="rId136" Type="http://schemas.openxmlformats.org/officeDocument/2006/relationships/image" Target="media/image114.PNG"/><Relationship Id="rId157" Type="http://schemas.openxmlformats.org/officeDocument/2006/relationships/image" Target="media/image134.png"/><Relationship Id="rId178" Type="http://schemas.openxmlformats.org/officeDocument/2006/relationships/image" Target="media/image155.png"/><Relationship Id="rId301" Type="http://schemas.openxmlformats.org/officeDocument/2006/relationships/image" Target="media/image277.png"/><Relationship Id="rId322" Type="http://schemas.openxmlformats.org/officeDocument/2006/relationships/image" Target="media/image298.png"/><Relationship Id="rId61" Type="http://schemas.openxmlformats.org/officeDocument/2006/relationships/image" Target="media/image51.png"/><Relationship Id="rId82" Type="http://schemas.openxmlformats.org/officeDocument/2006/relationships/image" Target="media/image72.jpeg"/><Relationship Id="rId199" Type="http://schemas.openxmlformats.org/officeDocument/2006/relationships/image" Target="media/image175.png"/><Relationship Id="rId203" Type="http://schemas.openxmlformats.org/officeDocument/2006/relationships/image" Target="media/image179.png"/><Relationship Id="rId19" Type="http://schemas.openxmlformats.org/officeDocument/2006/relationships/image" Target="media/image11.png"/><Relationship Id="rId224" Type="http://schemas.openxmlformats.org/officeDocument/2006/relationships/image" Target="media/image200.png"/><Relationship Id="rId245" Type="http://schemas.openxmlformats.org/officeDocument/2006/relationships/image" Target="media/image221.png"/><Relationship Id="rId266" Type="http://schemas.openxmlformats.org/officeDocument/2006/relationships/image" Target="media/image242.png"/><Relationship Id="rId287" Type="http://schemas.openxmlformats.org/officeDocument/2006/relationships/image" Target="media/image26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chsa10\Documents\Q%20Exactive%20Plus\DATA\CMP\220818\220818%205PPM%20QE+%20PRM%20EGCG%20Rutin%20S-Equol%20and%20Peaonol%20LOCAL%20WILD%20PLANT%20EXTRACTS%20Selected%20for%20thesi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chsa10\Documents\Q%20Exactive%20Plus\DATA\CMP\220818\220818%205PPM%20QE+%20PRM%20EGCG%20Rutin%20S-Equol%20and%20Peaonol%20LOCAL%20WILD%20PLANT%20EXTRACTS%20Selected%20for%20thesi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chsa10\Documents\Q%20Exactive%20Plus\DATA\CMP\220818\220818%205PPM%20QE+%20PRM%20EGCG%20Rutin%20S-Equol%20and%20Peaonol%20LOCAL%20WILD%20PLANT%20EXTRACTS%20Selected%20for%20the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S-Equol Calibration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intercept val="0"/>
            <c:dispRSqr val="0"/>
            <c:dispEq val="0"/>
          </c:trendline>
          <c:trendline>
            <c:spPr>
              <a:ln w="9525" cap="rnd">
                <a:solidFill>
                  <a:schemeClr val="accent1"/>
                </a:solidFill>
              </a:ln>
              <a:effectLst/>
            </c:spPr>
            <c:trendlineType val="linear"/>
            <c:intercept val="0"/>
            <c:dispRSqr val="0"/>
            <c:dispEq val="0"/>
          </c:trendline>
          <c:trendline>
            <c:spPr>
              <a:ln w="9525" cap="rnd">
                <a:solidFill>
                  <a:schemeClr val="accent1"/>
                </a:solidFill>
              </a:ln>
              <a:effectLst/>
            </c:spPr>
            <c:trendlineType val="linear"/>
            <c:intercept val="0"/>
            <c:dispRSqr val="0"/>
            <c:dispEq val="0"/>
          </c:trendline>
          <c:trendline>
            <c:spPr>
              <a:ln w="9525" cap="rnd">
                <a:solidFill>
                  <a:schemeClr val="accent1"/>
                </a:solidFill>
              </a:ln>
              <a:effectLst/>
            </c:spPr>
            <c:trendlineType val="linear"/>
            <c:intercept val="0"/>
            <c:dispRSqr val="1"/>
            <c:dispEq val="1"/>
            <c:trendlineLbl>
              <c:layout>
                <c:manualLayout>
                  <c:x val="3.555551714103794E-2"/>
                  <c:y val="0.3608903806570472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trendlineLbl>
          </c:trendline>
          <c:xVal>
            <c:numRef>
              <c:f>'S-Equol'!$B$2:$B$13</c:f>
              <c:numCache>
                <c:formatCode>General</c:formatCode>
                <c:ptCount val="12"/>
                <c:pt idx="0">
                  <c:v>7.6</c:v>
                </c:pt>
                <c:pt idx="1">
                  <c:v>7.6</c:v>
                </c:pt>
                <c:pt idx="2">
                  <c:v>3.8</c:v>
                </c:pt>
                <c:pt idx="3">
                  <c:v>3.8</c:v>
                </c:pt>
                <c:pt idx="4">
                  <c:v>1.9</c:v>
                </c:pt>
                <c:pt idx="5">
                  <c:v>1.9</c:v>
                </c:pt>
                <c:pt idx="6">
                  <c:v>0.95</c:v>
                </c:pt>
                <c:pt idx="7">
                  <c:v>0.95</c:v>
                </c:pt>
                <c:pt idx="8">
                  <c:v>0.38</c:v>
                </c:pt>
                <c:pt idx="9">
                  <c:v>0.38</c:v>
                </c:pt>
                <c:pt idx="10">
                  <c:v>0.19</c:v>
                </c:pt>
                <c:pt idx="11">
                  <c:v>0.19</c:v>
                </c:pt>
              </c:numCache>
            </c:numRef>
          </c:xVal>
          <c:yVal>
            <c:numRef>
              <c:f>'S-Equol'!$C$2:$C$13</c:f>
              <c:numCache>
                <c:formatCode>General</c:formatCode>
                <c:ptCount val="12"/>
                <c:pt idx="0">
                  <c:v>86464045</c:v>
                </c:pt>
                <c:pt idx="1">
                  <c:v>96650958</c:v>
                </c:pt>
                <c:pt idx="2">
                  <c:v>52709929</c:v>
                </c:pt>
                <c:pt idx="3">
                  <c:v>55173940</c:v>
                </c:pt>
                <c:pt idx="4">
                  <c:v>26751264</c:v>
                </c:pt>
                <c:pt idx="5">
                  <c:v>28888567</c:v>
                </c:pt>
                <c:pt idx="6">
                  <c:v>14045388</c:v>
                </c:pt>
                <c:pt idx="7">
                  <c:v>14435860</c:v>
                </c:pt>
                <c:pt idx="8">
                  <c:v>4979488</c:v>
                </c:pt>
                <c:pt idx="9">
                  <c:v>4778513</c:v>
                </c:pt>
                <c:pt idx="10">
                  <c:v>888514</c:v>
                </c:pt>
                <c:pt idx="11">
                  <c:v>878910</c:v>
                </c:pt>
              </c:numCache>
            </c:numRef>
          </c:yVal>
          <c:smooth val="0"/>
          <c:extLst>
            <c:ext xmlns:c16="http://schemas.microsoft.com/office/drawing/2014/chart" uri="{C3380CC4-5D6E-409C-BE32-E72D297353CC}">
              <c16:uniqueId val="{00000000-FAC7-4BBC-BA4F-C53D9C7258A0}"/>
            </c:ext>
          </c:extLst>
        </c:ser>
        <c:dLbls>
          <c:showLegendKey val="0"/>
          <c:showVal val="0"/>
          <c:showCatName val="0"/>
          <c:showSerName val="0"/>
          <c:showPercent val="0"/>
          <c:showBubbleSize val="0"/>
        </c:dLbls>
        <c:axId val="639761848"/>
        <c:axId val="639761520"/>
      </c:scatterChart>
      <c:valAx>
        <c:axId val="639761848"/>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Concentration (mg/l)</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39761520"/>
        <c:crosses val="autoZero"/>
        <c:crossBetween val="midCat"/>
      </c:valAx>
      <c:valAx>
        <c:axId val="63976152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Area</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397618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baseline="0"/>
              <a:t>Epigallocatechin gallate Calibration</a:t>
            </a:r>
            <a:endParaRPr lang="en-GB"/>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intercept val="0"/>
            <c:dispRSqr val="0"/>
            <c:dispEq val="0"/>
          </c:trendline>
          <c:trendline>
            <c:spPr>
              <a:ln w="9525" cap="rnd">
                <a:solidFill>
                  <a:schemeClr val="accent1"/>
                </a:solidFill>
              </a:ln>
              <a:effectLst/>
            </c:spPr>
            <c:trendlineType val="linear"/>
            <c:intercept val="0"/>
            <c:dispRSqr val="1"/>
            <c:dispEq val="1"/>
            <c:trendlineLbl>
              <c:layout>
                <c:manualLayout>
                  <c:x val="6.0072818195775667E-2"/>
                  <c:y val="0.16071871127633208"/>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trendlineLbl>
          </c:trendline>
          <c:xVal>
            <c:numRef>
              <c:f>EGCG!$B$4:$B$13</c:f>
              <c:numCache>
                <c:formatCode>General</c:formatCode>
                <c:ptCount val="10"/>
                <c:pt idx="0">
                  <c:v>1.3</c:v>
                </c:pt>
                <c:pt idx="1">
                  <c:v>1.3</c:v>
                </c:pt>
                <c:pt idx="2">
                  <c:v>0.65</c:v>
                </c:pt>
                <c:pt idx="3">
                  <c:v>0.65</c:v>
                </c:pt>
                <c:pt idx="4">
                  <c:v>0.33</c:v>
                </c:pt>
                <c:pt idx="5">
                  <c:v>0.33</c:v>
                </c:pt>
                <c:pt idx="6">
                  <c:v>0.13</c:v>
                </c:pt>
                <c:pt idx="7">
                  <c:v>0.13</c:v>
                </c:pt>
                <c:pt idx="8">
                  <c:v>7.0000000000000007E-2</c:v>
                </c:pt>
                <c:pt idx="9">
                  <c:v>7.0000000000000007E-2</c:v>
                </c:pt>
              </c:numCache>
            </c:numRef>
          </c:xVal>
          <c:yVal>
            <c:numRef>
              <c:f>EGCG!$C$4:$C$13</c:f>
              <c:numCache>
                <c:formatCode>General</c:formatCode>
                <c:ptCount val="10"/>
                <c:pt idx="0">
                  <c:v>12554987</c:v>
                </c:pt>
                <c:pt idx="1">
                  <c:v>12133423</c:v>
                </c:pt>
                <c:pt idx="2">
                  <c:v>6435632</c:v>
                </c:pt>
                <c:pt idx="3">
                  <c:v>6981008</c:v>
                </c:pt>
                <c:pt idx="4">
                  <c:v>2734527</c:v>
                </c:pt>
                <c:pt idx="5">
                  <c:v>2928068</c:v>
                </c:pt>
                <c:pt idx="6">
                  <c:v>835836</c:v>
                </c:pt>
                <c:pt idx="7">
                  <c:v>871966</c:v>
                </c:pt>
                <c:pt idx="8">
                  <c:v>154453</c:v>
                </c:pt>
                <c:pt idx="9">
                  <c:v>142507</c:v>
                </c:pt>
              </c:numCache>
            </c:numRef>
          </c:yVal>
          <c:smooth val="0"/>
          <c:extLst>
            <c:ext xmlns:c16="http://schemas.microsoft.com/office/drawing/2014/chart" uri="{C3380CC4-5D6E-409C-BE32-E72D297353CC}">
              <c16:uniqueId val="{00000000-B0BD-4020-BA11-3103646DC29F}"/>
            </c:ext>
          </c:extLst>
        </c:ser>
        <c:dLbls>
          <c:showLegendKey val="0"/>
          <c:showVal val="0"/>
          <c:showCatName val="0"/>
          <c:showSerName val="0"/>
          <c:showPercent val="0"/>
          <c:showBubbleSize val="0"/>
        </c:dLbls>
        <c:axId val="452524312"/>
        <c:axId val="452524704"/>
      </c:scatterChart>
      <c:valAx>
        <c:axId val="452524312"/>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Concentration</a:t>
                </a:r>
                <a:r>
                  <a:rPr lang="en-GB" baseline="0"/>
                  <a:t> (mg/l)</a:t>
                </a:r>
                <a:endParaRPr lang="en-GB"/>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52524704"/>
        <c:crosses val="autoZero"/>
        <c:crossBetween val="midCat"/>
      </c:valAx>
      <c:valAx>
        <c:axId val="45252470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Peak</a:t>
                </a:r>
                <a:r>
                  <a:rPr lang="en-GB" baseline="0"/>
                  <a:t> Area</a:t>
                </a:r>
                <a:endParaRPr lang="en-GB"/>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5252431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baseline="0"/>
              <a:t>Rutin calibration</a:t>
            </a:r>
            <a:endParaRPr lang="en-GB"/>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0"/>
            <c:dispEq val="0"/>
          </c:trendline>
          <c:trendline>
            <c:spPr>
              <a:ln w="9525" cap="rnd">
                <a:solidFill>
                  <a:schemeClr val="accent1"/>
                </a:solidFill>
              </a:ln>
              <a:effectLst/>
            </c:spPr>
            <c:trendlineType val="linear"/>
            <c:dispRSqr val="0"/>
            <c:dispEq val="0"/>
          </c:trendline>
          <c:trendline>
            <c:spPr>
              <a:ln w="9525" cap="rnd">
                <a:solidFill>
                  <a:schemeClr val="accent1"/>
                </a:solidFill>
              </a:ln>
              <a:effectLst/>
            </c:spPr>
            <c:trendlineType val="linear"/>
            <c:intercept val="0"/>
            <c:dispRSqr val="0"/>
            <c:dispEq val="0"/>
          </c:trendline>
          <c:trendline>
            <c:spPr>
              <a:ln w="9525" cap="rnd">
                <a:solidFill>
                  <a:schemeClr val="accent1"/>
                </a:solidFill>
              </a:ln>
              <a:effectLst/>
            </c:spPr>
            <c:trendlineType val="linear"/>
            <c:dispRSqr val="0"/>
            <c:dispEq val="0"/>
          </c:trendline>
          <c:trendline>
            <c:spPr>
              <a:ln w="9525" cap="rnd">
                <a:solidFill>
                  <a:schemeClr val="accent1"/>
                </a:solidFill>
              </a:ln>
              <a:effectLst/>
            </c:spPr>
            <c:trendlineType val="linear"/>
            <c:intercept val="0"/>
            <c:dispRSqr val="1"/>
            <c:dispEq val="1"/>
            <c:trendlineLbl>
              <c:layout>
                <c:manualLayout>
                  <c:x val="7.6466662160792134E-2"/>
                  <c:y val="0.2524278215223096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trendlineLbl>
          </c:trendline>
          <c:xVal>
            <c:numRef>
              <c:f>Rutin!$B$2:$B$13</c:f>
              <c:numCache>
                <c:formatCode>0.0</c:formatCode>
                <c:ptCount val="12"/>
                <c:pt idx="0">
                  <c:v>9</c:v>
                </c:pt>
                <c:pt idx="1">
                  <c:v>9</c:v>
                </c:pt>
                <c:pt idx="2">
                  <c:v>4.5</c:v>
                </c:pt>
                <c:pt idx="3">
                  <c:v>4.5</c:v>
                </c:pt>
                <c:pt idx="4" formatCode="0.00">
                  <c:v>2.25</c:v>
                </c:pt>
                <c:pt idx="5" formatCode="0.00">
                  <c:v>2.25</c:v>
                </c:pt>
                <c:pt idx="6" formatCode="0.00">
                  <c:v>1.1299999999999999</c:v>
                </c:pt>
                <c:pt idx="7" formatCode="0.00">
                  <c:v>1.1299999999999999</c:v>
                </c:pt>
                <c:pt idx="8" formatCode="0.00">
                  <c:v>0.45</c:v>
                </c:pt>
                <c:pt idx="9" formatCode="0.00">
                  <c:v>0.45</c:v>
                </c:pt>
                <c:pt idx="10" formatCode="0.00">
                  <c:v>0.23</c:v>
                </c:pt>
                <c:pt idx="11" formatCode="0.00">
                  <c:v>0.23</c:v>
                </c:pt>
              </c:numCache>
            </c:numRef>
          </c:xVal>
          <c:yVal>
            <c:numRef>
              <c:f>Rutin!$C$2:$C$13</c:f>
              <c:numCache>
                <c:formatCode>General</c:formatCode>
                <c:ptCount val="12"/>
                <c:pt idx="0">
                  <c:v>89374539</c:v>
                </c:pt>
                <c:pt idx="1">
                  <c:v>91422863</c:v>
                </c:pt>
                <c:pt idx="2">
                  <c:v>45098992</c:v>
                </c:pt>
                <c:pt idx="3">
                  <c:v>45578610</c:v>
                </c:pt>
                <c:pt idx="4">
                  <c:v>24068776</c:v>
                </c:pt>
                <c:pt idx="5">
                  <c:v>25137399</c:v>
                </c:pt>
                <c:pt idx="6">
                  <c:v>13626628</c:v>
                </c:pt>
                <c:pt idx="7">
                  <c:v>13518806</c:v>
                </c:pt>
                <c:pt idx="8">
                  <c:v>4552513</c:v>
                </c:pt>
                <c:pt idx="9">
                  <c:v>4668700</c:v>
                </c:pt>
                <c:pt idx="10">
                  <c:v>864949</c:v>
                </c:pt>
                <c:pt idx="11">
                  <c:v>873954</c:v>
                </c:pt>
              </c:numCache>
            </c:numRef>
          </c:yVal>
          <c:smooth val="0"/>
          <c:extLst>
            <c:ext xmlns:c16="http://schemas.microsoft.com/office/drawing/2014/chart" uri="{C3380CC4-5D6E-409C-BE32-E72D297353CC}">
              <c16:uniqueId val="{00000000-EA91-4C26-B025-DEE49D0D955B}"/>
            </c:ext>
          </c:extLst>
        </c:ser>
        <c:dLbls>
          <c:showLegendKey val="0"/>
          <c:showVal val="0"/>
          <c:showCatName val="0"/>
          <c:showSerName val="0"/>
          <c:showPercent val="0"/>
          <c:showBubbleSize val="0"/>
        </c:dLbls>
        <c:axId val="455183024"/>
        <c:axId val="455183416"/>
      </c:scatterChart>
      <c:valAx>
        <c:axId val="455183024"/>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Concentration</a:t>
                </a:r>
                <a:r>
                  <a:rPr lang="en-GB" baseline="0"/>
                  <a:t> (mg/l)</a:t>
                </a:r>
                <a:endParaRPr lang="en-GB"/>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55183416"/>
        <c:crosses val="autoZero"/>
        <c:crossBetween val="midCat"/>
      </c:valAx>
      <c:valAx>
        <c:axId val="45518341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Peak</a:t>
                </a:r>
                <a:r>
                  <a:rPr lang="en-GB" baseline="0"/>
                  <a:t> area</a:t>
                </a:r>
                <a:endParaRPr lang="en-GB"/>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5518302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EF070C-1B47-4C3D-B00C-EF09456C1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371</Pages>
  <Words>147496</Words>
  <Characters>840729</Characters>
  <Application>Microsoft Office Word</Application>
  <DocSecurity>0</DocSecurity>
  <Lines>7006</Lines>
  <Paragraphs>1972</Paragraphs>
  <ScaleCrop>false</ScaleCrop>
  <HeadingPairs>
    <vt:vector size="2" baseType="variant">
      <vt:variant>
        <vt:lpstr>Title</vt:lpstr>
      </vt:variant>
      <vt:variant>
        <vt:i4>1</vt:i4>
      </vt:variant>
    </vt:vector>
  </HeadingPairs>
  <TitlesOfParts>
    <vt:vector size="1" baseType="lpstr">
      <vt:lpstr/>
    </vt:vector>
  </TitlesOfParts>
  <Company>Pryfysgol Bangor University</Company>
  <LinksUpToDate>false</LinksUpToDate>
  <CharactersWithSpaces>986253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Colin Potter</dc:creator>
  <cp:keywords/>
  <dc:description/>
  <cp:lastModifiedBy>Colin Potter</cp:lastModifiedBy>
  <cp:revision>21</cp:revision>
  <cp:lastPrinted>2020-02-05T11:47:00Z</cp:lastPrinted>
  <dcterms:created xsi:type="dcterms:W3CDTF">2020-07-13T08:45:00Z</dcterms:created>
  <dcterms:modified xsi:type="dcterms:W3CDTF">2020-08-13T10:59:00Z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http://www.zotero.org/styles/food-analytical-methods</vt:lpwstr>
  </property>
  <property fmtid="{D5CDD505-2E9C-101B-9397-08002B2CF9AE}" pid="11" name="Mendeley Recent Style Name 4_1">
    <vt:lpwstr>Food Analytical Methods</vt:lpwstr>
  </property>
  <property fmtid="{D5CDD505-2E9C-101B-9397-08002B2CF9AE}" pid="12" name="Mendeley Recent Style Id 5_1">
    <vt:lpwstr>http://www.zotero.org/styles/food-chemistry</vt:lpwstr>
  </property>
  <property fmtid="{D5CDD505-2E9C-101B-9397-08002B2CF9AE}" pid="13" name="Mendeley Recent Style Name 5_1">
    <vt:lpwstr>Food Chemistry</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f266c87f-cb24-3add-af9e-b5f2e929e342</vt:lpwstr>
  </property>
  <property fmtid="{D5CDD505-2E9C-101B-9397-08002B2CF9AE}" pid="24" name="Mendeley Citation Style_1">
    <vt:lpwstr>http://www.zotero.org/styles/food-chemistry</vt:lpwstr>
  </property>
</Properties>
</file>