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BDB92" w14:textId="6C31B894" w:rsidR="009503F7" w:rsidRDefault="00184F3B">
      <w:r>
        <w:t xml:space="preserve">The “Living Law” </w:t>
      </w:r>
      <w:r w:rsidR="009503F7">
        <w:t>100 years after Eugen Ehrlich</w:t>
      </w:r>
      <w:r w:rsidR="00590C42">
        <w:t xml:space="preserve">. Two </w:t>
      </w:r>
      <w:r w:rsidR="004852AA">
        <w:t>Workshops in Paris and Frankfurt</w:t>
      </w:r>
    </w:p>
    <w:p w14:paraId="557C4620" w14:textId="77777777" w:rsidR="004852AA" w:rsidRDefault="004852AA"/>
    <w:p w14:paraId="1213E6FC" w14:textId="75157B49" w:rsidR="009503F7" w:rsidRDefault="004852AA" w:rsidP="00647803">
      <w:pPr>
        <w:spacing w:line="360" w:lineRule="auto"/>
      </w:pPr>
      <w:r w:rsidRPr="004852AA">
        <w:t>Eugen Ehrlich died in 1922, not even</w:t>
      </w:r>
      <w:r>
        <w:t xml:space="preserve"> 60 years old, in poverty, from diabetes, which was incurable at the time. Behind the exiled Professor of Roman Law laid a life with highs and lows</w:t>
      </w:r>
      <w:r w:rsidR="009C6F67">
        <w:t xml:space="preserve">: rejection by many dominant </w:t>
      </w:r>
      <w:r w:rsidR="00590C42">
        <w:t xml:space="preserve">Austrian/German </w:t>
      </w:r>
      <w:r w:rsidR="009C6F67">
        <w:t>legal scholars but international acclaim, the satisfaction of being able to demonstrate his approach with empirical fieldwork, and disc</w:t>
      </w:r>
      <w:r w:rsidR="00590C42">
        <w:t>rim</w:t>
      </w:r>
      <w:r w:rsidR="009C6F67">
        <w:t>ination for political (and likely antisemitic) reasons</w:t>
      </w:r>
      <w:r>
        <w:t xml:space="preserve">. Many </w:t>
      </w:r>
      <w:r w:rsidR="009C6F67">
        <w:t>excellent</w:t>
      </w:r>
      <w:r>
        <w:t xml:space="preserve"> scholars stood at the cradle of sociology of law, but</w:t>
      </w:r>
      <w:r w:rsidR="009C6F67">
        <w:t>, with Klaus F. Röhl,</w:t>
      </w:r>
      <w:r>
        <w:t xml:space="preserve"> it can be said that Ehrlich’s book “</w:t>
      </w:r>
      <w:proofErr w:type="spellStart"/>
      <w:r>
        <w:t>Grundlagen</w:t>
      </w:r>
      <w:proofErr w:type="spellEnd"/>
      <w:r>
        <w:t xml:space="preserve"> der </w:t>
      </w:r>
      <w:proofErr w:type="spellStart"/>
      <w:r>
        <w:t>Soziologie</w:t>
      </w:r>
      <w:proofErr w:type="spellEnd"/>
      <w:r>
        <w:t xml:space="preserve"> des </w:t>
      </w:r>
      <w:proofErr w:type="spellStart"/>
      <w:r>
        <w:t>Rechts</w:t>
      </w:r>
      <w:proofErr w:type="spellEnd"/>
      <w:r>
        <w:t xml:space="preserve">” (“Foundations of the Sociology of Law” in Moll’s English translation) </w:t>
      </w:r>
      <w:r w:rsidR="00590C42">
        <w:t>form</w:t>
      </w:r>
      <w:r>
        <w:t>s the “</w:t>
      </w:r>
      <w:r w:rsidR="00095089">
        <w:t>foundation document</w:t>
      </w:r>
      <w:r>
        <w:t xml:space="preserve">” of </w:t>
      </w:r>
      <w:r w:rsidR="00184F3B">
        <w:t>our</w:t>
      </w:r>
      <w:r>
        <w:t xml:space="preserve"> subject</w:t>
      </w:r>
      <w:r w:rsidR="00184F3B">
        <w:t xml:space="preserve"> discipline</w:t>
      </w:r>
      <w:r w:rsidR="007B1C57">
        <w:t xml:space="preserve"> (</w:t>
      </w:r>
      <w:r w:rsidR="00A51C33" w:rsidRPr="00DE1B82">
        <w:t xml:space="preserve">Röhl/Machura </w:t>
      </w:r>
      <w:r w:rsidR="00DE1B82" w:rsidRPr="00DE1B82">
        <w:t>2013, 1117</w:t>
      </w:r>
      <w:r w:rsidR="007B1C57">
        <w:t>)</w:t>
      </w:r>
      <w:r>
        <w:t>.</w:t>
      </w:r>
    </w:p>
    <w:p w14:paraId="3200733B" w14:textId="4771B664" w:rsidR="009C6F67" w:rsidRDefault="009C6F67" w:rsidP="00647803">
      <w:pPr>
        <w:spacing w:line="360" w:lineRule="auto"/>
      </w:pPr>
      <w:r>
        <w:t xml:space="preserve">In September 2022, two conferences </w:t>
      </w:r>
      <w:r w:rsidR="00184F3B">
        <w:t>were</w:t>
      </w:r>
      <w:r>
        <w:t xml:space="preserve"> organized</w:t>
      </w:r>
      <w:r w:rsidR="00184F3B">
        <w:t xml:space="preserve"> to celebrate Ehrlich’s work, take </w:t>
      </w:r>
      <w:r w:rsidR="00395055">
        <w:t>stock,</w:t>
      </w:r>
      <w:r w:rsidR="00184F3B">
        <w:t xml:space="preserve"> and assess its relevance for the future</w:t>
      </w:r>
      <w:r>
        <w:t>. A group of Par</w:t>
      </w:r>
      <w:r w:rsidR="00944A08">
        <w:t>isian</w:t>
      </w:r>
      <w:r>
        <w:t xml:space="preserve"> </w:t>
      </w:r>
      <w:r w:rsidR="00653A7F">
        <w:t>colleagues</w:t>
      </w:r>
      <w:r w:rsidR="00443F1F">
        <w:t xml:space="preserve"> (Picture 1)</w:t>
      </w:r>
      <w:r>
        <w:t xml:space="preserve"> </w:t>
      </w:r>
      <w:r w:rsidR="00944A08">
        <w:t xml:space="preserve">invited </w:t>
      </w:r>
      <w:r w:rsidR="00184F3B">
        <w:t>academics</w:t>
      </w:r>
      <w:r w:rsidR="00944A08">
        <w:t xml:space="preserve"> from the host country, from Japan, Germany, Canada, and the United Kingdom</w:t>
      </w:r>
      <w:r>
        <w:t xml:space="preserve"> </w:t>
      </w:r>
      <w:r w:rsidR="00944A08">
        <w:t xml:space="preserve">to the </w:t>
      </w:r>
      <w:r w:rsidR="003E0EC5" w:rsidRPr="003E0EC5">
        <w:t xml:space="preserve">Université Paris 1 Panthéon-Sorbonne </w:t>
      </w:r>
      <w:r w:rsidR="00944A08">
        <w:t xml:space="preserve">to discuss </w:t>
      </w:r>
      <w:proofErr w:type="gramStart"/>
      <w:r w:rsidR="00944A08">
        <w:t>Ehrlich‘</w:t>
      </w:r>
      <w:proofErr w:type="gramEnd"/>
      <w:r w:rsidR="00944A08">
        <w:t xml:space="preserve">s work and its possible adaptations and uses today. </w:t>
      </w:r>
      <w:r w:rsidR="00653A7F">
        <w:t>T</w:t>
      </w:r>
      <w:r w:rsidR="00944A08">
        <w:t>he</w:t>
      </w:r>
      <w:r w:rsidR="00653A7F">
        <w:t xml:space="preserve"> </w:t>
      </w:r>
      <w:r w:rsidR="00417218">
        <w:t>symposium</w:t>
      </w:r>
      <w:r w:rsidR="00653A7F">
        <w:t xml:space="preserve"> titled “</w:t>
      </w:r>
      <w:proofErr w:type="spellStart"/>
      <w:r w:rsidR="00653A7F" w:rsidRPr="00653A7F">
        <w:t>L’actualité</w:t>
      </w:r>
      <w:proofErr w:type="spellEnd"/>
      <w:r w:rsidR="00653A7F" w:rsidRPr="00653A7F">
        <w:t xml:space="preserve"> de la pensée </w:t>
      </w:r>
      <w:proofErr w:type="spellStart"/>
      <w:r w:rsidR="00653A7F" w:rsidRPr="00653A7F">
        <w:t>d’Eugen</w:t>
      </w:r>
      <w:proofErr w:type="spellEnd"/>
      <w:r w:rsidR="00653A7F" w:rsidRPr="00653A7F">
        <w:t xml:space="preserve"> Ehrlich pour les </w:t>
      </w:r>
      <w:proofErr w:type="spellStart"/>
      <w:r w:rsidR="00653A7F" w:rsidRPr="00653A7F">
        <w:t>méthodes</w:t>
      </w:r>
      <w:proofErr w:type="spellEnd"/>
      <w:r w:rsidR="00653A7F" w:rsidRPr="00653A7F">
        <w:t xml:space="preserve"> </w:t>
      </w:r>
      <w:proofErr w:type="spellStart"/>
      <w:r w:rsidR="00653A7F" w:rsidRPr="00653A7F">
        <w:t>empiriques</w:t>
      </w:r>
      <w:proofErr w:type="spellEnd"/>
      <w:r w:rsidR="00653A7F" w:rsidRPr="00653A7F">
        <w:t xml:space="preserve"> du droit”</w:t>
      </w:r>
      <w:r w:rsidR="003E0EC5">
        <w:t xml:space="preserve"> (September 22 and 23, 2022) </w:t>
      </w:r>
      <w:r w:rsidR="00653A7F">
        <w:t>con</w:t>
      </w:r>
      <w:r w:rsidR="003E0EC5">
        <w:t>c</w:t>
      </w:r>
      <w:r w:rsidR="00653A7F">
        <w:t>entrated on the last two chapter</w:t>
      </w:r>
      <w:r w:rsidR="0094466D">
        <w:t>s</w:t>
      </w:r>
      <w:r w:rsidR="00653A7F">
        <w:t xml:space="preserve"> of Ehrlich’s “</w:t>
      </w:r>
      <w:proofErr w:type="spellStart"/>
      <w:r w:rsidR="00653A7F">
        <w:t>Grundlegung</w:t>
      </w:r>
      <w:proofErr w:type="spellEnd"/>
      <w:r w:rsidR="00653A7F">
        <w:t>”, the methods chapters. The presenters</w:t>
      </w:r>
      <w:r w:rsidR="00653A7F" w:rsidRPr="00653A7F">
        <w:t xml:space="preserve"> </w:t>
      </w:r>
      <w:r w:rsidR="00944A08">
        <w:t>covered perspectives from legal history and legal theory</w:t>
      </w:r>
      <w:r w:rsidR="00DB2AB5">
        <w:t xml:space="preserve"> (Ralf </w:t>
      </w:r>
      <w:proofErr w:type="spellStart"/>
      <w:r w:rsidR="00DB2AB5">
        <w:t>Seinecke</w:t>
      </w:r>
      <w:proofErr w:type="spellEnd"/>
      <w:r w:rsidR="00DB2AB5">
        <w:t xml:space="preserve">, Frankfurt; </w:t>
      </w:r>
      <w:r w:rsidR="00DB2AB5" w:rsidRPr="00DB2AB5">
        <w:t>Amanda Perry-</w:t>
      </w:r>
      <w:proofErr w:type="spellStart"/>
      <w:r w:rsidR="00DB2AB5" w:rsidRPr="00DB2AB5">
        <w:t>Kessaris</w:t>
      </w:r>
      <w:proofErr w:type="spellEnd"/>
      <w:r w:rsidR="00DB2AB5" w:rsidRPr="00DB2AB5">
        <w:t>, Kent</w:t>
      </w:r>
      <w:r w:rsidR="00DB2AB5">
        <w:t>)</w:t>
      </w:r>
      <w:r w:rsidR="00944A08">
        <w:t>, sociology</w:t>
      </w:r>
      <w:r w:rsidR="00DB2AB5">
        <w:t xml:space="preserve"> of law (</w:t>
      </w:r>
      <w:r w:rsidR="0094466D">
        <w:t xml:space="preserve">including </w:t>
      </w:r>
      <w:r w:rsidR="00ED2DB9">
        <w:t xml:space="preserve">Jean-Baptiste Scherrer, Paris; </w:t>
      </w:r>
      <w:r w:rsidR="00DB2AB5">
        <w:t xml:space="preserve">Alain Pottage, </w:t>
      </w:r>
      <w:r w:rsidR="00ED2DB9">
        <w:t>Paris</w:t>
      </w:r>
      <w:r w:rsidR="00DB2AB5">
        <w:t xml:space="preserve">; David </w:t>
      </w:r>
      <w:proofErr w:type="spellStart"/>
      <w:r w:rsidR="00DB2AB5">
        <w:t>Nelken</w:t>
      </w:r>
      <w:proofErr w:type="spellEnd"/>
      <w:r w:rsidR="00DB2AB5">
        <w:t xml:space="preserve">, London; Werner </w:t>
      </w:r>
      <w:proofErr w:type="spellStart"/>
      <w:r w:rsidR="00DB2AB5">
        <w:t>Gephart</w:t>
      </w:r>
      <w:proofErr w:type="spellEnd"/>
      <w:r w:rsidR="00DB2AB5">
        <w:t xml:space="preserve">, Bonn; </w:t>
      </w:r>
      <w:proofErr w:type="spellStart"/>
      <w:r w:rsidR="00DB2AB5">
        <w:t>Garronce</w:t>
      </w:r>
      <w:proofErr w:type="spellEnd"/>
      <w:r w:rsidR="00DB2AB5">
        <w:t xml:space="preserve"> Navarro-</w:t>
      </w:r>
      <w:proofErr w:type="spellStart"/>
      <w:r w:rsidR="00DB2AB5">
        <w:t>Ugé</w:t>
      </w:r>
      <w:proofErr w:type="spellEnd"/>
      <w:r w:rsidR="00DB2AB5">
        <w:t>, Paris;</w:t>
      </w:r>
      <w:r w:rsidR="00ED2DB9">
        <w:t xml:space="preserve"> </w:t>
      </w:r>
      <w:proofErr w:type="spellStart"/>
      <w:r w:rsidR="00ED2DB9">
        <w:t>Yoshiki</w:t>
      </w:r>
      <w:proofErr w:type="spellEnd"/>
      <w:r w:rsidR="00ED2DB9">
        <w:t xml:space="preserve"> </w:t>
      </w:r>
      <w:proofErr w:type="spellStart"/>
      <w:r w:rsidR="00ED2DB9">
        <w:t>Kurumisawa</w:t>
      </w:r>
      <w:proofErr w:type="spellEnd"/>
      <w:r w:rsidR="00ED2DB9">
        <w:t xml:space="preserve">, Tokyo; </w:t>
      </w:r>
      <w:proofErr w:type="spellStart"/>
      <w:r w:rsidR="00ED2DB9">
        <w:t>Éveline</w:t>
      </w:r>
      <w:proofErr w:type="spellEnd"/>
      <w:r w:rsidR="00ED2DB9">
        <w:t xml:space="preserve"> </w:t>
      </w:r>
      <w:proofErr w:type="spellStart"/>
      <w:r w:rsidR="00ED2DB9">
        <w:t>Serverin</w:t>
      </w:r>
      <w:proofErr w:type="spellEnd"/>
      <w:r w:rsidR="00ED2DB9">
        <w:t>, Paris;</w:t>
      </w:r>
      <w:r w:rsidR="00DB2AB5">
        <w:t xml:space="preserve"> </w:t>
      </w:r>
      <w:r w:rsidR="00ED2DB9">
        <w:t xml:space="preserve">Michel Coutu, Montreal; Claude </w:t>
      </w:r>
      <w:proofErr w:type="spellStart"/>
      <w:r w:rsidR="00ED2DB9">
        <w:t>Didry</w:t>
      </w:r>
      <w:proofErr w:type="spellEnd"/>
      <w:r w:rsidR="00ED2DB9">
        <w:t xml:space="preserve">, Paris; </w:t>
      </w:r>
      <w:r w:rsidR="00DB2AB5">
        <w:t xml:space="preserve">Marc </w:t>
      </w:r>
      <w:proofErr w:type="spellStart"/>
      <w:r w:rsidR="00DB2AB5">
        <w:t>Hertogh</w:t>
      </w:r>
      <w:proofErr w:type="spellEnd"/>
      <w:r w:rsidR="00DB2AB5">
        <w:t>, Groningen</w:t>
      </w:r>
      <w:r w:rsidR="006B3976">
        <w:t xml:space="preserve">, and the writer of </w:t>
      </w:r>
      <w:proofErr w:type="spellStart"/>
      <w:r w:rsidR="006B3976">
        <w:t>thes</w:t>
      </w:r>
      <w:proofErr w:type="spellEnd"/>
      <w:r w:rsidR="006B3976">
        <w:t xml:space="preserve"> lines)</w:t>
      </w:r>
      <w:r w:rsidR="00DB2AB5">
        <w:t>;</w:t>
      </w:r>
      <w:r w:rsidR="00944A08">
        <w:t xml:space="preserve"> as well as anthropology</w:t>
      </w:r>
      <w:r w:rsidR="00ED2DB9">
        <w:t xml:space="preserve"> (Judith Beyer, Konstanz; </w:t>
      </w:r>
      <w:proofErr w:type="spellStart"/>
      <w:r w:rsidR="00ED2DB9">
        <w:t>Nafay</w:t>
      </w:r>
      <w:proofErr w:type="spellEnd"/>
      <w:r w:rsidR="00ED2DB9">
        <w:t xml:space="preserve"> Chaudhury, Cambridge)</w:t>
      </w:r>
      <w:r w:rsidR="00944A08">
        <w:t xml:space="preserve">. The symposium was held bilingually, in French and English, and the odd sentence in German was thrown in for good measure. Further colleagues from yet more countries followed </w:t>
      </w:r>
      <w:r w:rsidR="00590C42">
        <w:t xml:space="preserve">the </w:t>
      </w:r>
      <w:r w:rsidR="00944A08">
        <w:t>discussion online and asked questions in the chat.</w:t>
      </w:r>
    </w:p>
    <w:p w14:paraId="546BBAE0" w14:textId="24A2C14E" w:rsidR="00944A08" w:rsidRDefault="00445ECA" w:rsidP="00647803">
      <w:pPr>
        <w:spacing w:line="360" w:lineRule="auto"/>
      </w:pPr>
      <w:r>
        <w:t xml:space="preserve">Unfortunately, Ehrlich is almost unknown in France as his works are not translated into French. The organisers of the event are planning to change this and are thinking of, not only publishing papers from the symposium, but also </w:t>
      </w:r>
      <w:r w:rsidR="008D47F4">
        <w:t>about ways to</w:t>
      </w:r>
      <w:r>
        <w:t xml:space="preserve"> translate key works of Ehrlich. </w:t>
      </w:r>
      <w:r w:rsidR="00BD6EA5">
        <w:t>For sure, p</w:t>
      </w:r>
      <w:r>
        <w:t xml:space="preserve">ublications on Ehrlich are filling many bookshelves, yet the Austrian scholar </w:t>
      </w:r>
      <w:r w:rsidR="00BD6EA5">
        <w:t>wa</w:t>
      </w:r>
      <w:r>
        <w:t xml:space="preserve">s typically misunderstood. Ehrlich himself </w:t>
      </w:r>
      <w:proofErr w:type="gramStart"/>
      <w:r w:rsidR="008D47F4">
        <w:t>ha</w:t>
      </w:r>
      <w:r>
        <w:t>s to</w:t>
      </w:r>
      <w:proofErr w:type="gramEnd"/>
      <w:r>
        <w:t xml:space="preserve"> be blamed</w:t>
      </w:r>
      <w:r w:rsidR="008D47F4">
        <w:t xml:space="preserve"> </w:t>
      </w:r>
      <w:r>
        <w:t>part</w:t>
      </w:r>
      <w:r w:rsidR="0094466D">
        <w:t>l</w:t>
      </w:r>
      <w:r>
        <w:t>y, as he was more the creative</w:t>
      </w:r>
      <w:r w:rsidR="00590C42">
        <w:t xml:space="preserve"> and </w:t>
      </w:r>
      <w:r w:rsidR="008D47F4">
        <w:t>polemic</w:t>
      </w:r>
      <w:r>
        <w:t xml:space="preserve"> essayist and less of a systematic thinker. In addition, the impact of World War One, when Russian troops conquered and lost </w:t>
      </w:r>
      <w:proofErr w:type="spellStart"/>
      <w:r>
        <w:t>Czernovitz</w:t>
      </w:r>
      <w:proofErr w:type="spellEnd"/>
      <w:r>
        <w:t>, his home city, several times, as well as his advancing ill health led to</w:t>
      </w:r>
      <w:r w:rsidR="0094466D">
        <w:t xml:space="preserve"> the</w:t>
      </w:r>
      <w:r>
        <w:t xml:space="preserve"> </w:t>
      </w:r>
      <w:r w:rsidR="00BD6EA5">
        <w:t>legal scholar’s</w:t>
      </w:r>
      <w:r>
        <w:t xml:space="preserve"> </w:t>
      </w:r>
      <w:r w:rsidR="00BD6EA5">
        <w:t>inability</w:t>
      </w:r>
      <w:r>
        <w:t xml:space="preserve"> to finish his publication programme. What we know as the “</w:t>
      </w:r>
      <w:proofErr w:type="spellStart"/>
      <w:r>
        <w:t>Grundlegung</w:t>
      </w:r>
      <w:proofErr w:type="spellEnd"/>
      <w:r>
        <w:t>” was only the first volume in a series of three</w:t>
      </w:r>
      <w:r w:rsidR="007567C7">
        <w:t xml:space="preserve"> (</w:t>
      </w:r>
      <w:proofErr w:type="spellStart"/>
      <w:r w:rsidR="00BD08D0">
        <w:t>Rehbinder</w:t>
      </w:r>
      <w:proofErr w:type="spellEnd"/>
      <w:r w:rsidR="00BD08D0">
        <w:t xml:space="preserve"> 2022, 5</w:t>
      </w:r>
      <w:r w:rsidR="007567C7">
        <w:t>)</w:t>
      </w:r>
      <w:r>
        <w:t>. The second</w:t>
      </w:r>
      <w:r w:rsidR="00BD6EA5">
        <w:t xml:space="preserve"> </w:t>
      </w:r>
      <w:r w:rsidR="00AE36BB">
        <w:t xml:space="preserve">volume </w:t>
      </w:r>
      <w:r w:rsidR="00BD6EA5">
        <w:t xml:space="preserve">should have </w:t>
      </w:r>
      <w:r w:rsidR="00BD6EA5">
        <w:lastRenderedPageBreak/>
        <w:t>covered Ehrlich’s legal dogmatics, and a third</w:t>
      </w:r>
      <w:r w:rsidR="00AE36BB">
        <w:t xml:space="preserve"> volume</w:t>
      </w:r>
      <w:r w:rsidR="00BD6EA5">
        <w:t xml:space="preserve"> his empirical findings in the Bukovina province. O</w:t>
      </w:r>
      <w:r w:rsidR="00F005D0">
        <w:t>f these, o</w:t>
      </w:r>
      <w:r w:rsidR="00BD6EA5">
        <w:t xml:space="preserve">nly parts of the second book were published and they demonstrate clearly </w:t>
      </w:r>
      <w:bookmarkStart w:id="0" w:name="_Hlk115866554"/>
      <w:r w:rsidR="00585E3F">
        <w:t>–</w:t>
      </w:r>
      <w:bookmarkEnd w:id="0"/>
      <w:r w:rsidR="00585E3F">
        <w:t xml:space="preserve"> </w:t>
      </w:r>
      <w:r w:rsidR="00205705">
        <w:t>countering</w:t>
      </w:r>
      <w:r w:rsidR="00585E3F">
        <w:t xml:space="preserve"> a common misperception </w:t>
      </w:r>
      <w:r w:rsidR="00585E3F" w:rsidRPr="00585E3F">
        <w:t>–</w:t>
      </w:r>
      <w:r w:rsidR="00585E3F">
        <w:t xml:space="preserve"> </w:t>
      </w:r>
      <w:r w:rsidR="00BD6EA5">
        <w:t>that Ehrlich did not intend to allow judges to deviate from the legal code</w:t>
      </w:r>
      <w:r w:rsidR="007567C7">
        <w:t>.</w:t>
      </w:r>
      <w:r w:rsidR="00BD6EA5">
        <w:t xml:space="preserve"> On the contrary, where the </w:t>
      </w:r>
      <w:r w:rsidR="004B1A42">
        <w:t>legislator</w:t>
      </w:r>
      <w:r w:rsidR="00BD6EA5">
        <w:t xml:space="preserve"> has foreseen the conflict and the interests involved in it, the judge was to be strictly bound by the law</w:t>
      </w:r>
      <w:r w:rsidR="007567C7">
        <w:t xml:space="preserve"> (</w:t>
      </w:r>
      <w:r w:rsidR="0031114C">
        <w:t xml:space="preserve">Ehrlich 1967, </w:t>
      </w:r>
      <w:r w:rsidR="00C5794A">
        <w:t>187</w:t>
      </w:r>
      <w:r w:rsidR="007567C7">
        <w:t>)</w:t>
      </w:r>
      <w:r w:rsidR="00BD6EA5">
        <w:t xml:space="preserve">. </w:t>
      </w:r>
      <w:r w:rsidR="0094466D">
        <w:t xml:space="preserve">Perhaps, the term “free finding of law” which Ehrlich coined was </w:t>
      </w:r>
      <w:r w:rsidR="00417218">
        <w:t>slated</w:t>
      </w:r>
      <w:r w:rsidR="0094466D">
        <w:t xml:space="preserve"> to give a false impression to the uninitiated reader from the start. </w:t>
      </w:r>
      <w:r w:rsidR="00BD6EA5">
        <w:t>Only where there is a genuine gap, where the code falls silent, the sociological background knowledge and the observation skills of the judge have their place</w:t>
      </w:r>
      <w:r w:rsidR="007567C7">
        <w:t xml:space="preserve"> (</w:t>
      </w:r>
      <w:r w:rsidR="008B7AE3" w:rsidRPr="005B5EA5">
        <w:rPr>
          <w:color w:val="000000" w:themeColor="text1"/>
        </w:rPr>
        <w:t xml:space="preserve">Ehrlich </w:t>
      </w:r>
      <w:r w:rsidR="005B5EA5" w:rsidRPr="005B5EA5">
        <w:t>1925,</w:t>
      </w:r>
      <w:r w:rsidR="005B5EA5">
        <w:t xml:space="preserve"> </w:t>
      </w:r>
      <w:r w:rsidR="008B7AE3" w:rsidRPr="005B5EA5">
        <w:rPr>
          <w:smallCaps/>
        </w:rPr>
        <w:t>309-313</w:t>
      </w:r>
      <w:r w:rsidR="007567C7">
        <w:t>)</w:t>
      </w:r>
      <w:r w:rsidR="00BD6EA5">
        <w:t xml:space="preserve">. This reduces the many meters of publications on Ehrlich to a more manageable few in which the authors </w:t>
      </w:r>
      <w:proofErr w:type="gramStart"/>
      <w:r w:rsidR="00BD6EA5">
        <w:t>take into account</w:t>
      </w:r>
      <w:proofErr w:type="gramEnd"/>
      <w:r w:rsidR="00BD6EA5">
        <w:t xml:space="preserve"> the full range of Ehrlich’s theories.</w:t>
      </w:r>
    </w:p>
    <w:p w14:paraId="6810BE1B" w14:textId="77777777" w:rsidR="00FF0899" w:rsidRDefault="00BD6EA5" w:rsidP="00647803">
      <w:pPr>
        <w:spacing w:line="360" w:lineRule="auto"/>
      </w:pPr>
      <w:r>
        <w:t xml:space="preserve">The most prominent sociological concept of Ehrlich </w:t>
      </w:r>
      <w:r w:rsidR="008D47F4">
        <w:t>must be</w:t>
      </w:r>
      <w:r>
        <w:t xml:space="preserve"> the “living law”</w:t>
      </w:r>
      <w:r w:rsidR="00EB5A76">
        <w:t xml:space="preserve">. Yet, as the discussion in Paris </w:t>
      </w:r>
      <w:r w:rsidR="007567C7">
        <w:t xml:space="preserve">(and at the Frankfurt conference) </w:t>
      </w:r>
      <w:r w:rsidR="00EB5A76">
        <w:t xml:space="preserve">also showed, its meaning remains </w:t>
      </w:r>
      <w:r w:rsidR="0094466D">
        <w:t>often</w:t>
      </w:r>
      <w:r w:rsidR="00EB5A76">
        <w:t xml:space="preserve"> unclear. The best way to approach this, is possibly to distinguish two manners of speech in Ehrlich’s sociology of law. When Ehrlich is in rhetorical mode, he uses “living law” to basically sell his ideas, drawing on the contemporary popularity of the expression “living”, but when he writes analytically, he juxtaposes “societal law” and “state law”</w:t>
      </w:r>
      <w:r w:rsidR="007567C7">
        <w:t xml:space="preserve"> (</w:t>
      </w:r>
      <w:proofErr w:type="spellStart"/>
      <w:r w:rsidR="00745604">
        <w:t>Vogl</w:t>
      </w:r>
      <w:proofErr w:type="spellEnd"/>
      <w:r w:rsidR="00745604">
        <w:t xml:space="preserve"> 2003, </w:t>
      </w:r>
      <w:r w:rsidR="00D167EE" w:rsidRPr="00D167EE">
        <w:t>161-162, 170</w:t>
      </w:r>
      <w:r w:rsidR="007567C7">
        <w:t>)</w:t>
      </w:r>
      <w:r w:rsidR="00EB5A76">
        <w:t>.  According to Ehrlich, law is either developing outside of the state, with most of the law originating there, or by the state.</w:t>
      </w:r>
    </w:p>
    <w:p w14:paraId="075A0FE0" w14:textId="01104416" w:rsidR="00BD6EA5" w:rsidRDefault="00EB5A76" w:rsidP="00647803">
      <w:pPr>
        <w:spacing w:line="360" w:lineRule="auto"/>
      </w:pPr>
      <w:r>
        <w:t xml:space="preserve">The “living law” is simply the law that is </w:t>
      </w:r>
      <w:proofErr w:type="gramStart"/>
      <w:r>
        <w:t>actually practiced</w:t>
      </w:r>
      <w:proofErr w:type="gramEnd"/>
      <w:r>
        <w:t>. And as law is originating mostly in the society as a response to ever-changing social or economic problems, the “living law” tends to be of the non-state variant. Only from time to time, the legislation manages to catch up with societal law</w:t>
      </w:r>
      <w:r w:rsidR="00665A65">
        <w:t xml:space="preserve"> (situation t</w:t>
      </w:r>
      <w:r w:rsidR="00665A65" w:rsidRPr="00443F1F">
        <w:rPr>
          <w:vertAlign w:val="subscript"/>
        </w:rPr>
        <w:t xml:space="preserve">2 </w:t>
      </w:r>
      <w:r w:rsidR="00665A65">
        <w:t xml:space="preserve">in Figure 1), but soon </w:t>
      </w:r>
      <w:r w:rsidR="00D5015C">
        <w:t xml:space="preserve">forces in </w:t>
      </w:r>
      <w:r w:rsidR="00665A65">
        <w:t xml:space="preserve">society </w:t>
      </w:r>
      <w:r w:rsidR="0094466D">
        <w:t xml:space="preserve">(the “associations”) </w:t>
      </w:r>
      <w:r w:rsidR="00665A65">
        <w:t>ha</w:t>
      </w:r>
      <w:r w:rsidR="00D5015C">
        <w:t>ve further developed</w:t>
      </w:r>
      <w:r w:rsidR="00665A65">
        <w:t xml:space="preserve"> the law (t</w:t>
      </w:r>
      <w:r w:rsidR="00D5015C" w:rsidRPr="00443F1F">
        <w:rPr>
          <w:vertAlign w:val="subscript"/>
        </w:rPr>
        <w:t>3</w:t>
      </w:r>
      <w:r w:rsidR="00665A65">
        <w:t xml:space="preserve">). According to Ehrlich, state intervention is often to the detriment of the situation, but with </w:t>
      </w:r>
      <w:r w:rsidR="0094466D">
        <w:t>its</w:t>
      </w:r>
      <w:r w:rsidR="00665A65">
        <w:t xml:space="preserve"> force, the state can at times constrain the use of law (t</w:t>
      </w:r>
      <w:r w:rsidR="00665A65" w:rsidRPr="00443F1F">
        <w:rPr>
          <w:vertAlign w:val="subscript"/>
        </w:rPr>
        <w:t>4</w:t>
      </w:r>
      <w:r w:rsidR="00665A65">
        <w:t>). Yet, it lies in the logic of Ehrlich’s ideas that the state will not be successful for long (t</w:t>
      </w:r>
      <w:r w:rsidR="00665A65" w:rsidRPr="00443F1F">
        <w:rPr>
          <w:vertAlign w:val="subscript"/>
        </w:rPr>
        <w:t>5</w:t>
      </w:r>
      <w:r w:rsidR="00665A65">
        <w:t xml:space="preserve">). </w:t>
      </w:r>
      <w:r w:rsidR="0094466D">
        <w:t>Therefore, d</w:t>
      </w:r>
      <w:r w:rsidR="00665A65">
        <w:t xml:space="preserve">epending on the </w:t>
      </w:r>
      <w:r w:rsidR="0094466D">
        <w:t>case at hand</w:t>
      </w:r>
      <w:r w:rsidR="00665A65">
        <w:t xml:space="preserve">, the “living law” can or cannot consist of state law. For example, when a state tax system recognises useful business expenses as tax </w:t>
      </w:r>
      <w:r w:rsidR="00590C42">
        <w:t>deductible</w:t>
      </w:r>
      <w:r w:rsidR="00D5015C">
        <w:t>,</w:t>
      </w:r>
      <w:r w:rsidR="00665A65">
        <w:t xml:space="preserve"> and thus validates business practice, the state law is like the societal law and as they are like, state law is simultaneously “living law”. At the symposium, </w:t>
      </w:r>
      <w:proofErr w:type="spellStart"/>
      <w:r w:rsidR="003E0EC5">
        <w:t>Nafay</w:t>
      </w:r>
      <w:proofErr w:type="spellEnd"/>
      <w:r w:rsidR="00665A65">
        <w:t xml:space="preserve"> Chaudhury demonstrated that</w:t>
      </w:r>
      <w:r w:rsidR="00815C0B">
        <w:t xml:space="preserve"> after the ousting of the Taliban in 2001,</w:t>
      </w:r>
      <w:r w:rsidR="00665A65">
        <w:t xml:space="preserve"> the</w:t>
      </w:r>
      <w:r w:rsidR="00815C0B">
        <w:t xml:space="preserve"> newly established</w:t>
      </w:r>
      <w:r w:rsidR="00665A65">
        <w:t xml:space="preserve"> Afghan Central Bank </w:t>
      </w:r>
      <w:r w:rsidR="00D5015C">
        <w:t xml:space="preserve">had to formally </w:t>
      </w:r>
      <w:r w:rsidR="00665A65">
        <w:t>accept</w:t>
      </w:r>
      <w:r w:rsidR="00D5015C">
        <w:t>,</w:t>
      </w:r>
      <w:r w:rsidR="00443F1F">
        <w:t xml:space="preserve"> as</w:t>
      </w:r>
      <w:r w:rsidR="00D5015C">
        <w:t xml:space="preserve"> law,</w:t>
      </w:r>
      <w:r w:rsidR="00665A65">
        <w:t xml:space="preserve"> the way in which money traders at the Kabul money market self-organised their business. To continue with the tax example, </w:t>
      </w:r>
      <w:r w:rsidR="00D5015C">
        <w:t xml:space="preserve">exporters of technology may start to pay bribes to officials in developing countries and to tax deduct the expenses. Driven by moral concern, politicians may then change the tax law and, with the costs no longer possible to include in the firm’s </w:t>
      </w:r>
      <w:r w:rsidR="00443F1F">
        <w:t>bookkeeping</w:t>
      </w:r>
      <w:r w:rsidR="00D5015C">
        <w:t>, the practice may seize (t</w:t>
      </w:r>
      <w:r w:rsidR="00D5015C" w:rsidRPr="00443F1F">
        <w:rPr>
          <w:vertAlign w:val="subscript"/>
        </w:rPr>
        <w:t>4</w:t>
      </w:r>
      <w:r w:rsidR="00D5015C">
        <w:t xml:space="preserve">). Yet, after a while, a new “useful” practice is developed, for example, </w:t>
      </w:r>
      <w:r w:rsidR="00417218">
        <w:t>instead of employing</w:t>
      </w:r>
      <w:r w:rsidR="00D5015C">
        <w:t xml:space="preserve"> the blunt instrument of </w:t>
      </w:r>
      <w:r w:rsidR="00D5015C">
        <w:lastRenderedPageBreak/>
        <w:t xml:space="preserve">money handouts, </w:t>
      </w:r>
      <w:r w:rsidR="008C425A">
        <w:t xml:space="preserve">things like lavish </w:t>
      </w:r>
      <w:r w:rsidR="00D5015C">
        <w:t xml:space="preserve">PhD scholarships to relatives of decision-makers </w:t>
      </w:r>
      <w:r w:rsidR="00417218">
        <w:t>are offered</w:t>
      </w:r>
      <w:r w:rsidR="007567C7">
        <w:t xml:space="preserve"> </w:t>
      </w:r>
      <w:r w:rsidR="00D5015C">
        <w:t>(t</w:t>
      </w:r>
      <w:r w:rsidR="00D5015C" w:rsidRPr="00443F1F">
        <w:rPr>
          <w:vertAlign w:val="subscript"/>
        </w:rPr>
        <w:t>5</w:t>
      </w:r>
      <w:r w:rsidR="00D5015C">
        <w:t>)</w:t>
      </w:r>
      <w:r w:rsidR="00443F1F">
        <w:t>, or</w:t>
      </w:r>
      <w:r w:rsidR="00417218">
        <w:t xml:space="preserve"> the company pays</w:t>
      </w:r>
      <w:r w:rsidR="00443F1F">
        <w:t xml:space="preserve"> for a hospital in a politician’s constitu</w:t>
      </w:r>
      <w:r w:rsidR="003E0EC5">
        <w:t>e</w:t>
      </w:r>
      <w:r w:rsidR="00443F1F">
        <w:t xml:space="preserve">ncy. </w:t>
      </w:r>
      <w:r w:rsidR="00D5015C">
        <w:t xml:space="preserve">As these examples have tried to demonstrate, Ehrlich </w:t>
      </w:r>
      <w:proofErr w:type="gramStart"/>
      <w:r w:rsidR="00D5015C">
        <w:t xml:space="preserve">actually </w:t>
      </w:r>
      <w:r w:rsidR="00443F1F">
        <w:t>has</w:t>
      </w:r>
      <w:proofErr w:type="gramEnd"/>
      <w:r w:rsidR="00D5015C">
        <w:t xml:space="preserve"> a dynamic model of how law develops and takes effect, how society’s practices become state law, and how state law reflects back to society. The term “living law” covers this forward and backward.</w:t>
      </w:r>
    </w:p>
    <w:p w14:paraId="6BEAC27F" w14:textId="292F42DE" w:rsidR="00184F3B" w:rsidRDefault="00184F3B" w:rsidP="00647803">
      <w:pPr>
        <w:spacing w:line="360" w:lineRule="auto"/>
      </w:pPr>
      <w:r>
        <w:t xml:space="preserve">Yet, all depends on the assumption that there is something like societal “law”. And the root of the famous debate between </w:t>
      </w:r>
      <w:proofErr w:type="spellStart"/>
      <w:r>
        <w:t>Kelsen</w:t>
      </w:r>
      <w:proofErr w:type="spellEnd"/>
      <w:r>
        <w:t xml:space="preserve"> and Ehrlich </w:t>
      </w:r>
      <w:r w:rsidR="007567C7">
        <w:t>(</w:t>
      </w:r>
      <w:r w:rsidR="00A233C0">
        <w:t xml:space="preserve">reprinted in: </w:t>
      </w:r>
      <w:proofErr w:type="spellStart"/>
      <w:r w:rsidR="004F73A6">
        <w:t>Lüderssen</w:t>
      </w:r>
      <w:proofErr w:type="spellEnd"/>
      <w:r w:rsidR="004F73A6">
        <w:t xml:space="preserve"> 200</w:t>
      </w:r>
      <w:r w:rsidR="00C233A2">
        <w:t xml:space="preserve">3) </w:t>
      </w:r>
      <w:r>
        <w:t>lies exactly</w:t>
      </w:r>
      <w:r w:rsidR="00815C0B">
        <w:t xml:space="preserve"> here.</w:t>
      </w:r>
      <w:r>
        <w:t xml:space="preserve"> As David </w:t>
      </w:r>
      <w:proofErr w:type="spellStart"/>
      <w:r>
        <w:t>Nelken</w:t>
      </w:r>
      <w:proofErr w:type="spellEnd"/>
      <w:r>
        <w:t xml:space="preserve"> explained</w:t>
      </w:r>
      <w:r w:rsidR="007567C7">
        <w:t xml:space="preserve"> at the Sorbonne conference</w:t>
      </w:r>
      <w:r>
        <w:t xml:space="preserve">, it ended with Ehrlich challenging </w:t>
      </w:r>
      <w:proofErr w:type="spellStart"/>
      <w:r>
        <w:t>Kelsen</w:t>
      </w:r>
      <w:proofErr w:type="spellEnd"/>
      <w:r>
        <w:t xml:space="preserve"> to a duel. </w:t>
      </w:r>
      <w:r w:rsidR="00815C0B">
        <w:t xml:space="preserve">Had </w:t>
      </w:r>
      <w:proofErr w:type="spellStart"/>
      <w:r>
        <w:t>Kelsen</w:t>
      </w:r>
      <w:proofErr w:type="spellEnd"/>
      <w:r>
        <w:t xml:space="preserve"> agreed, it may have ended badly for him, as fencing was Ehrlich’s hobby</w:t>
      </w:r>
      <w:r w:rsidR="00815C0B">
        <w:t xml:space="preserve">. Ehrlich did not want </w:t>
      </w:r>
      <w:proofErr w:type="spellStart"/>
      <w:r w:rsidR="00815C0B">
        <w:t>Kelsen</w:t>
      </w:r>
      <w:proofErr w:type="spellEnd"/>
      <w:r w:rsidR="00815C0B">
        <w:t xml:space="preserve"> to </w:t>
      </w:r>
      <w:proofErr w:type="gramStart"/>
      <w:r w:rsidR="00815C0B">
        <w:t>actually take</w:t>
      </w:r>
      <w:proofErr w:type="gramEnd"/>
      <w:r w:rsidR="00815C0B">
        <w:t xml:space="preserve"> up the challenge, he wanted to make his point</w:t>
      </w:r>
      <w:r>
        <w:t xml:space="preserve">. Of course, a duel was forbidden </w:t>
      </w:r>
      <w:r w:rsidR="00806C3C">
        <w:t>by the penal</w:t>
      </w:r>
      <w:r w:rsidR="00124A9E">
        <w:t xml:space="preserve"> code</w:t>
      </w:r>
      <w:r>
        <w:t xml:space="preserve">, but it was a feature of “living law” at the time, </w:t>
      </w:r>
      <w:r w:rsidR="00806C3C">
        <w:t xml:space="preserve">including in academic circles, just </w:t>
      </w:r>
      <w:r>
        <w:t>the kind of law the existence of</w:t>
      </w:r>
      <w:r w:rsidR="00DD611F">
        <w:t xml:space="preserve"> which</w:t>
      </w:r>
      <w:r>
        <w:t xml:space="preserve"> </w:t>
      </w:r>
      <w:proofErr w:type="spellStart"/>
      <w:r>
        <w:t>Kelsen</w:t>
      </w:r>
      <w:proofErr w:type="spellEnd"/>
      <w:r>
        <w:t xml:space="preserve"> </w:t>
      </w:r>
      <w:r w:rsidR="00815C0B">
        <w:t xml:space="preserve">stubbornly </w:t>
      </w:r>
      <w:r>
        <w:t>denied.</w:t>
      </w:r>
    </w:p>
    <w:p w14:paraId="5DCA302E" w14:textId="1B480F98" w:rsidR="0055157D" w:rsidRDefault="0055157D" w:rsidP="00647803">
      <w:pPr>
        <w:spacing w:line="360" w:lineRule="auto"/>
      </w:pPr>
      <w:r>
        <w:t xml:space="preserve">Does Ehrlich merit attention for reasons other than the history of sociology of law or </w:t>
      </w:r>
      <w:r w:rsidR="00395055">
        <w:t>of</w:t>
      </w:r>
      <w:r>
        <w:t xml:space="preserve"> legal history? </w:t>
      </w:r>
      <w:r w:rsidR="00395055">
        <w:t xml:space="preserve">Separately, </w:t>
      </w:r>
      <w:r>
        <w:t xml:space="preserve">Marc </w:t>
      </w:r>
      <w:proofErr w:type="spellStart"/>
      <w:r>
        <w:t>Hertog</w:t>
      </w:r>
      <w:r w:rsidR="00395055">
        <w:t>h</w:t>
      </w:r>
      <w:proofErr w:type="spellEnd"/>
      <w:r>
        <w:t xml:space="preserve"> and I argued that this </w:t>
      </w:r>
      <w:r w:rsidR="00395055">
        <w:t xml:space="preserve">indeed </w:t>
      </w:r>
      <w:r>
        <w:t>is the case, partly drawing on studies of legal consciousness link</w:t>
      </w:r>
      <w:r w:rsidR="00124A9E">
        <w:t>ing them to</w:t>
      </w:r>
      <w:r>
        <w:t xml:space="preserve"> the assumption of Ehrlich that law has a foundation in people’s emotional relation to law. The point was well taken by the audience, familiar with the similar theory of Durkheim, the key author of French sociology. </w:t>
      </w:r>
    </w:p>
    <w:p w14:paraId="42DB91D5" w14:textId="0A5D03A5" w:rsidR="00184F3B" w:rsidRDefault="00815C0B" w:rsidP="00647803">
      <w:pPr>
        <w:spacing w:line="360" w:lineRule="auto"/>
      </w:pPr>
      <w:r>
        <w:t xml:space="preserve">A week later, in Frankfurt, and with proceedings now in German language, Ehrlich was remembered. The </w:t>
      </w:r>
      <w:r w:rsidR="00EC0708">
        <w:t>Max Planck-Institute for Legal History and Legal Theory</w:t>
      </w:r>
      <w:r w:rsidR="0055157D">
        <w:t>, Department of Multidisciplinary Legal Theory,</w:t>
      </w:r>
      <w:r w:rsidR="00EC0708">
        <w:t xml:space="preserve"> </w:t>
      </w:r>
      <w:r w:rsidR="0055157D">
        <w:t xml:space="preserve">headed by Marietta Auer, </w:t>
      </w:r>
      <w:r w:rsidR="00EC0708">
        <w:t xml:space="preserve">had invited scholars not only from Germany, but from Japan, the UK, </w:t>
      </w:r>
      <w:proofErr w:type="gramStart"/>
      <w:r w:rsidR="00EC0708">
        <w:t>Switzerland</w:t>
      </w:r>
      <w:proofErr w:type="gramEnd"/>
      <w:r w:rsidR="00EC0708">
        <w:t xml:space="preserve"> and Austria.</w:t>
      </w:r>
      <w:r w:rsidR="00806C3C">
        <w:t xml:space="preserve"> Here, Ralf </w:t>
      </w:r>
      <w:proofErr w:type="spellStart"/>
      <w:r w:rsidR="00806C3C">
        <w:t>Seinecke</w:t>
      </w:r>
      <w:proofErr w:type="spellEnd"/>
      <w:r w:rsidR="00806C3C">
        <w:t xml:space="preserve"> acted as co-organiser</w:t>
      </w:r>
      <w:r w:rsidR="00B94AD6">
        <w:t xml:space="preserve">, taking a more appreciative view of Ehrlich than the </w:t>
      </w:r>
      <w:r w:rsidR="007F77F5">
        <w:t>i</w:t>
      </w:r>
      <w:r w:rsidR="00B94AD6">
        <w:t xml:space="preserve">nstitute </w:t>
      </w:r>
      <w:r w:rsidR="007F77F5">
        <w:t>d</w:t>
      </w:r>
      <w:r w:rsidR="00B94AD6">
        <w:t>irector</w:t>
      </w:r>
      <w:r w:rsidR="007F77F5">
        <w:t xml:space="preserve"> who missed system and clarity in Ehrlich’s </w:t>
      </w:r>
      <w:r w:rsidR="0072684D">
        <w:t>oeuvre</w:t>
      </w:r>
      <w:r w:rsidR="007F77F5">
        <w:t>. F</w:t>
      </w:r>
      <w:r w:rsidR="00806C3C">
        <w:t xml:space="preserve">rom the presenters in Paris, </w:t>
      </w:r>
      <w:proofErr w:type="spellStart"/>
      <w:r w:rsidR="00DD611F">
        <w:t>Seinecke</w:t>
      </w:r>
      <w:proofErr w:type="spellEnd"/>
      <w:r w:rsidR="00DD611F">
        <w:t xml:space="preserve"> and the</w:t>
      </w:r>
      <w:r w:rsidR="00806C3C">
        <w:t xml:space="preserve"> author of these lin</w:t>
      </w:r>
      <w:r w:rsidR="00DD611F">
        <w:t xml:space="preserve">es </w:t>
      </w:r>
      <w:r w:rsidR="00806C3C">
        <w:t xml:space="preserve">contributed. Personally, I was especially looking forward to the presentation of Stefan </w:t>
      </w:r>
      <w:proofErr w:type="spellStart"/>
      <w:r w:rsidR="00806C3C">
        <w:t>Vogl</w:t>
      </w:r>
      <w:proofErr w:type="spellEnd"/>
      <w:r w:rsidR="00806C3C">
        <w:t xml:space="preserve"> (Kyoto), </w:t>
      </w:r>
      <w:r w:rsidR="00DD611F">
        <w:t xml:space="preserve">who </w:t>
      </w:r>
      <w:r w:rsidR="00806C3C">
        <w:t xml:space="preserve">apart from Manfred </w:t>
      </w:r>
      <w:proofErr w:type="spellStart"/>
      <w:r w:rsidR="00806C3C">
        <w:t>Rehbinder</w:t>
      </w:r>
      <w:proofErr w:type="spellEnd"/>
      <w:r w:rsidR="00806C3C">
        <w:t xml:space="preserve">, </w:t>
      </w:r>
      <w:r w:rsidR="00DD611F">
        <w:t xml:space="preserve">must be </w:t>
      </w:r>
      <w:r w:rsidR="00806C3C">
        <w:t xml:space="preserve">the leading international Ehrlich scholar. This time, </w:t>
      </w:r>
      <w:proofErr w:type="spellStart"/>
      <w:r w:rsidR="00806C3C">
        <w:t>Vogl</w:t>
      </w:r>
      <w:proofErr w:type="spellEnd"/>
      <w:r w:rsidR="00806C3C">
        <w:t xml:space="preserve"> explained the </w:t>
      </w:r>
      <w:r w:rsidR="00AB5A7D">
        <w:t>divergent</w:t>
      </w:r>
      <w:r w:rsidR="00806C3C">
        <w:t xml:space="preserve"> perspectives of </w:t>
      </w:r>
      <w:r w:rsidR="00AB5A7D">
        <w:t xml:space="preserve">Pound and Ehrlich, with both being influenced by the very different legal issues in their societies. </w:t>
      </w:r>
      <w:r w:rsidR="00B94AD6">
        <w:t>Pound</w:t>
      </w:r>
      <w:r w:rsidR="00DD611F">
        <w:t xml:space="preserve"> misunderstood (or misrepresented</w:t>
      </w:r>
      <w:r w:rsidR="00B94AD6">
        <w:t>?)</w:t>
      </w:r>
      <w:r w:rsidR="00DD611F">
        <w:t xml:space="preserve"> Ehrlich’s theory in many </w:t>
      </w:r>
      <w:r w:rsidR="00B94AD6">
        <w:t>re</w:t>
      </w:r>
      <w:r w:rsidR="00DD611F">
        <w:t>spects</w:t>
      </w:r>
      <w:r w:rsidR="00854153">
        <w:t xml:space="preserve">, </w:t>
      </w:r>
      <w:proofErr w:type="spellStart"/>
      <w:r w:rsidR="00854153">
        <w:t>Vogl</w:t>
      </w:r>
      <w:proofErr w:type="spellEnd"/>
      <w:r w:rsidR="00F57D44">
        <w:t xml:space="preserve"> argued</w:t>
      </w:r>
      <w:r w:rsidR="00DD611F">
        <w:t xml:space="preserve">. </w:t>
      </w:r>
      <w:r w:rsidR="00E86381">
        <w:t xml:space="preserve">Doris Schweitzer </w:t>
      </w:r>
      <w:r w:rsidR="00164B26">
        <w:t xml:space="preserve">(Frankfurt at the Main) </w:t>
      </w:r>
      <w:r w:rsidR="00E86381">
        <w:t xml:space="preserve">showed how Ehrlich was </w:t>
      </w:r>
      <w:r w:rsidR="00F57D44">
        <w:t xml:space="preserve">initially </w:t>
      </w:r>
      <w:r w:rsidR="00E86381">
        <w:t xml:space="preserve">received by German sociologists. </w:t>
      </w:r>
      <w:r w:rsidR="00DD611F">
        <w:t xml:space="preserve">Most of the presenters and </w:t>
      </w:r>
      <w:proofErr w:type="gramStart"/>
      <w:r w:rsidR="00DD611F">
        <w:t>definitely most</w:t>
      </w:r>
      <w:proofErr w:type="gramEnd"/>
      <w:r w:rsidR="00DD611F">
        <w:t xml:space="preserve"> of the audience at the legal history institute were interested in relating Ehrlich to predecessors and contemporaries among legal scholars.</w:t>
      </w:r>
      <w:r w:rsidR="00A34C92">
        <w:t xml:space="preserve"> As for the Paris conference, only a selection of contributions</w:t>
      </w:r>
      <w:r w:rsidR="00ED1F7C">
        <w:t xml:space="preserve"> will be reported here.</w:t>
      </w:r>
      <w:r w:rsidR="00DD611F">
        <w:t xml:space="preserve"> </w:t>
      </w:r>
      <w:r w:rsidR="00ED1F7C">
        <w:t>Very</w:t>
      </w:r>
      <w:r w:rsidR="00DD611F">
        <w:t xml:space="preserve"> impressively, emeritus professor Joachim </w:t>
      </w:r>
      <w:proofErr w:type="spellStart"/>
      <w:r w:rsidR="00DD611F">
        <w:t>Rückert</w:t>
      </w:r>
      <w:proofErr w:type="spellEnd"/>
      <w:r w:rsidR="00DD611F">
        <w:t xml:space="preserve"> </w:t>
      </w:r>
      <w:r w:rsidR="00B94AD6">
        <w:t xml:space="preserve">of the Institute </w:t>
      </w:r>
      <w:r w:rsidR="00DD611F">
        <w:t xml:space="preserve">provided a plethora of comments, especially on Ehrlich’s relation to the </w:t>
      </w:r>
      <w:proofErr w:type="spellStart"/>
      <w:r w:rsidR="00DD611F">
        <w:rPr>
          <w:i/>
          <w:iCs/>
        </w:rPr>
        <w:t>Historische</w:t>
      </w:r>
      <w:proofErr w:type="spellEnd"/>
      <w:r w:rsidR="00DD611F">
        <w:rPr>
          <w:i/>
          <w:iCs/>
        </w:rPr>
        <w:t xml:space="preserve"> </w:t>
      </w:r>
      <w:proofErr w:type="spellStart"/>
      <w:r w:rsidR="00DD611F" w:rsidRPr="00ED1F7C">
        <w:rPr>
          <w:i/>
          <w:iCs/>
        </w:rPr>
        <w:t>Rechtsschule</w:t>
      </w:r>
      <w:proofErr w:type="spellEnd"/>
      <w:r w:rsidR="00DD611F">
        <w:t xml:space="preserve"> in Germany. Nikolaus Linder</w:t>
      </w:r>
      <w:r w:rsidR="00B94AD6">
        <w:t xml:space="preserve"> </w:t>
      </w:r>
      <w:r w:rsidR="00B94AD6">
        <w:lastRenderedPageBreak/>
        <w:t>(Göttingen)</w:t>
      </w:r>
      <w:r w:rsidR="00DD611F">
        <w:t xml:space="preserve"> illuminated the position </w:t>
      </w:r>
      <w:r w:rsidR="00F005D0">
        <w:t xml:space="preserve">of </w:t>
      </w:r>
      <w:r w:rsidR="00DD611F">
        <w:t xml:space="preserve">Ehrlich as a scholar of Roman Law. Ehrlich has written little on the subject he was teaching at </w:t>
      </w:r>
      <w:proofErr w:type="spellStart"/>
      <w:r w:rsidR="00DD611F">
        <w:t>Czernovitz</w:t>
      </w:r>
      <w:proofErr w:type="spellEnd"/>
      <w:r w:rsidR="00DD611F">
        <w:t xml:space="preserve">, but he read the ancient sources from an original perspective that challenged the predominant interpretation at his time. </w:t>
      </w:r>
      <w:r w:rsidR="00B94AD6">
        <w:t xml:space="preserve">Romanists have forgotten his contribution but in recent years, Ehrlich’s </w:t>
      </w:r>
      <w:r w:rsidR="00F005D0">
        <w:t>interpretation</w:t>
      </w:r>
      <w:r w:rsidR="00B94AD6">
        <w:t xml:space="preserve"> of Roman Law was vindicated in new publications. A bibliometric study on Ehrlich in the literature was introduced by Christian </w:t>
      </w:r>
      <w:proofErr w:type="gramStart"/>
      <w:r w:rsidR="00B94AD6">
        <w:t>Boulanger</w:t>
      </w:r>
      <w:r w:rsidR="005B0627">
        <w:t xml:space="preserve">  (</w:t>
      </w:r>
      <w:proofErr w:type="gramEnd"/>
      <w:r w:rsidR="005B0627">
        <w:t>Frankfurt at the Main)</w:t>
      </w:r>
      <w:r w:rsidR="00B94AD6">
        <w:t xml:space="preserve">. </w:t>
      </w:r>
      <w:r w:rsidR="00F005D0">
        <w:t>As Boulanger explained, t</w:t>
      </w:r>
      <w:r w:rsidR="00B94AD6">
        <w:t xml:space="preserve">he software is not yet ready to adequately cover especially the German literature, in which footnotes are the predominant form of citation. </w:t>
      </w:r>
      <w:r w:rsidR="00E86381">
        <w:t xml:space="preserve">This said, the available data show different times at which Ehrlich was quoted in different countries. </w:t>
      </w:r>
      <w:r w:rsidR="00E904E1">
        <w:t>Unlike at the Paris symposium, a vocal minority of the Frankfurt participants expressed passionate opposition against Ehrlich and his work on grounds of a lack of clear systematic argument. This may be a view held particularly by those preferring the legal dogmatic literature</w:t>
      </w:r>
      <w:r w:rsidR="00824852">
        <w:t xml:space="preserve"> and to stand on the firm grounds of the codified law. For sociologists of law and all interested in a fuller picture of legal phenomena, the perspective must include the “non-state law”, however.</w:t>
      </w:r>
      <w:r w:rsidR="00E904E1">
        <w:t xml:space="preserve"> </w:t>
      </w:r>
      <w:r w:rsidR="00E86381">
        <w:t xml:space="preserve"> -- </w:t>
      </w:r>
      <w:r w:rsidR="00AB5A7D" w:rsidRPr="00DD611F">
        <w:t>Again</w:t>
      </w:r>
      <w:r w:rsidR="00AB5A7D">
        <w:t>, a book with the conference papers</w:t>
      </w:r>
      <w:r w:rsidR="0055157D">
        <w:t xml:space="preserve"> is </w:t>
      </w:r>
      <w:r w:rsidR="00AB5A7D">
        <w:t>in preparation.</w:t>
      </w:r>
    </w:p>
    <w:p w14:paraId="20A2BB7C" w14:textId="195A216A" w:rsidR="00B94AD6" w:rsidRDefault="00B94AD6" w:rsidP="00647803">
      <w:pPr>
        <w:spacing w:line="360" w:lineRule="auto"/>
      </w:pPr>
      <w:r>
        <w:t xml:space="preserve">All in all, both </w:t>
      </w:r>
      <w:r w:rsidR="00F733AB">
        <w:t>conferences</w:t>
      </w:r>
      <w:r>
        <w:t xml:space="preserve"> reflect a renewed interest in the works of Eugen Ehrlich, its predecessors, contemporary relations</w:t>
      </w:r>
      <w:r w:rsidR="00E86381">
        <w:t>,</w:t>
      </w:r>
      <w:r>
        <w:t xml:space="preserve"> and the fluctuating and selective impact of his work. Although Ehrlich is an important figure, a lot of detail is still missing. For example, we don’t know anything about his years as a</w:t>
      </w:r>
      <w:r w:rsidR="00AF374A">
        <w:t>n Austrian</w:t>
      </w:r>
      <w:r>
        <w:t xml:space="preserve"> lawyer, waiting to get a paid teaching position. What cases did he deal with? </w:t>
      </w:r>
      <w:r w:rsidR="00E86381">
        <w:t>Did</w:t>
      </w:r>
      <w:r w:rsidR="007B1C57">
        <w:t xml:space="preserve"> they</w:t>
      </w:r>
      <w:r>
        <w:t xml:space="preserve"> influence the </w:t>
      </w:r>
      <w:r w:rsidR="007B1C57">
        <w:t>turn his academic interests took towards a sociologically grounded jurisprudence?</w:t>
      </w:r>
    </w:p>
    <w:p w14:paraId="23977053" w14:textId="6A7900B0" w:rsidR="007B1C57" w:rsidRPr="00647803" w:rsidRDefault="007B1C57" w:rsidP="00647803">
      <w:pPr>
        <w:spacing w:line="360" w:lineRule="auto"/>
        <w:jc w:val="right"/>
        <w:rPr>
          <w:lang w:val="de-DE"/>
        </w:rPr>
      </w:pPr>
      <w:r w:rsidRPr="00647803">
        <w:rPr>
          <w:lang w:val="de-DE"/>
        </w:rPr>
        <w:t>Stefan Machura</w:t>
      </w:r>
    </w:p>
    <w:p w14:paraId="30266A92" w14:textId="7C6AE53A" w:rsidR="00BD6EA5" w:rsidRPr="00647803" w:rsidRDefault="00BD6EA5">
      <w:pPr>
        <w:rPr>
          <w:lang w:val="de-DE"/>
        </w:rPr>
      </w:pPr>
    </w:p>
    <w:p w14:paraId="2BE8CECB" w14:textId="1A3926CE" w:rsidR="00DE1B82" w:rsidRPr="00274D74" w:rsidRDefault="006960CD">
      <w:pPr>
        <w:rPr>
          <w:lang w:val="de-DE"/>
        </w:rPr>
      </w:pPr>
      <w:r>
        <w:rPr>
          <w:lang w:val="de-DE"/>
        </w:rPr>
        <w:t>References</w:t>
      </w:r>
    </w:p>
    <w:p w14:paraId="52570D89" w14:textId="77777777" w:rsidR="00063C48" w:rsidRDefault="00063C48">
      <w:pPr>
        <w:rPr>
          <w:lang w:val="de-DE"/>
        </w:rPr>
      </w:pPr>
      <w:r w:rsidRPr="00AC7E8E">
        <w:rPr>
          <w:smallCaps/>
          <w:lang w:val="de-DE"/>
        </w:rPr>
        <w:t xml:space="preserve">Eugen Ehrlich, </w:t>
      </w:r>
      <w:r w:rsidRPr="00AC7E8E">
        <w:rPr>
          <w:i/>
          <w:lang w:val="de-DE"/>
        </w:rPr>
        <w:t>Die juristische Logik</w:t>
      </w:r>
      <w:r w:rsidRPr="00AC7E8E">
        <w:rPr>
          <w:lang w:val="de-DE"/>
        </w:rPr>
        <w:t xml:space="preserve">, 2nd </w:t>
      </w:r>
      <w:proofErr w:type="spellStart"/>
      <w:r w:rsidRPr="00AC7E8E">
        <w:rPr>
          <w:lang w:val="de-DE"/>
        </w:rPr>
        <w:t>edition</w:t>
      </w:r>
      <w:proofErr w:type="spellEnd"/>
      <w:r w:rsidRPr="00AC7E8E">
        <w:rPr>
          <w:lang w:val="de-DE"/>
        </w:rPr>
        <w:t>, Aalen 1925</w:t>
      </w:r>
      <w:r>
        <w:rPr>
          <w:lang w:val="de-DE"/>
        </w:rPr>
        <w:t>.</w:t>
      </w:r>
    </w:p>
    <w:p w14:paraId="1D39B4F0" w14:textId="3E154DD1" w:rsidR="00C5794A" w:rsidRDefault="00C5794A">
      <w:pPr>
        <w:rPr>
          <w:smallCaps/>
          <w:lang w:val="de-DE"/>
        </w:rPr>
      </w:pPr>
      <w:r w:rsidRPr="00AC7E8E">
        <w:rPr>
          <w:smallCaps/>
          <w:lang w:val="de-DE"/>
        </w:rPr>
        <w:t xml:space="preserve">Eugen Ehrlich, </w:t>
      </w:r>
      <w:r w:rsidRPr="00AC7E8E">
        <w:rPr>
          <w:lang w:val="de-DE"/>
        </w:rPr>
        <w:t xml:space="preserve">Freie Rechtsfindung und freie Rechtswissenschaft, in: </w:t>
      </w:r>
      <w:r w:rsidRPr="00AC7E8E">
        <w:rPr>
          <w:smallCaps/>
          <w:lang w:val="de-DE"/>
        </w:rPr>
        <w:t xml:space="preserve">Eugen Ehrlich, </w:t>
      </w:r>
      <w:r w:rsidRPr="00AC7E8E">
        <w:rPr>
          <w:i/>
          <w:lang w:val="de-DE"/>
        </w:rPr>
        <w:t>Recht und Leben</w:t>
      </w:r>
      <w:r w:rsidRPr="00AC7E8E">
        <w:rPr>
          <w:lang w:val="de-DE"/>
        </w:rPr>
        <w:t xml:space="preserve">, </w:t>
      </w:r>
      <w:proofErr w:type="spellStart"/>
      <w:r w:rsidRPr="00AC7E8E">
        <w:rPr>
          <w:lang w:val="de-DE"/>
        </w:rPr>
        <w:t>edited</w:t>
      </w:r>
      <w:proofErr w:type="spellEnd"/>
      <w:r w:rsidRPr="00AC7E8E">
        <w:rPr>
          <w:lang w:val="de-DE"/>
        </w:rPr>
        <w:t xml:space="preserve"> </w:t>
      </w:r>
      <w:proofErr w:type="spellStart"/>
      <w:r w:rsidRPr="00AC7E8E">
        <w:rPr>
          <w:lang w:val="de-DE"/>
        </w:rPr>
        <w:t>by</w:t>
      </w:r>
      <w:proofErr w:type="spellEnd"/>
      <w:r w:rsidRPr="00AC7E8E">
        <w:rPr>
          <w:lang w:val="de-DE"/>
        </w:rPr>
        <w:t xml:space="preserve"> </w:t>
      </w:r>
      <w:r w:rsidRPr="00AC7E8E">
        <w:rPr>
          <w:smallCaps/>
          <w:lang w:val="de-DE"/>
        </w:rPr>
        <w:t>Manfred Rehbinder</w:t>
      </w:r>
      <w:r w:rsidRPr="00AC7E8E">
        <w:rPr>
          <w:lang w:val="de-DE"/>
        </w:rPr>
        <w:t>, Berlin</w:t>
      </w:r>
      <w:r w:rsidRPr="00AC7E8E">
        <w:rPr>
          <w:smallCaps/>
          <w:lang w:val="de-DE"/>
        </w:rPr>
        <w:t xml:space="preserve"> 1967, </w:t>
      </w:r>
      <w:r w:rsidRPr="00AC7E8E">
        <w:rPr>
          <w:lang w:val="de-DE"/>
        </w:rPr>
        <w:t>pp.</w:t>
      </w:r>
      <w:r w:rsidRPr="00AC7E8E">
        <w:rPr>
          <w:smallCaps/>
          <w:lang w:val="de-DE"/>
        </w:rPr>
        <w:t xml:space="preserve"> 170–202</w:t>
      </w:r>
      <w:r>
        <w:rPr>
          <w:smallCaps/>
          <w:lang w:val="de-DE"/>
        </w:rPr>
        <w:t>.</w:t>
      </w:r>
    </w:p>
    <w:p w14:paraId="38DC6015" w14:textId="7075D1EE" w:rsidR="0018401D" w:rsidRPr="00C41E76" w:rsidRDefault="00C41E76" w:rsidP="001C035A">
      <w:pPr>
        <w:rPr>
          <w:smallCaps/>
        </w:rPr>
      </w:pPr>
      <w:r w:rsidRPr="005C038A">
        <w:rPr>
          <w:smallCaps/>
        </w:rPr>
        <w:t xml:space="preserve">Eugen Ehrlich, </w:t>
      </w:r>
      <w:r w:rsidRPr="005C038A">
        <w:rPr>
          <w:i/>
          <w:iCs/>
        </w:rPr>
        <w:t>Fundamental Principles of the Sociology of Law</w:t>
      </w:r>
      <w:r w:rsidRPr="005C038A">
        <w:t xml:space="preserve">, translated by </w:t>
      </w:r>
      <w:r w:rsidRPr="005C038A">
        <w:rPr>
          <w:smallCaps/>
        </w:rPr>
        <w:t>Walter L. Moll, 2</w:t>
      </w:r>
      <w:r w:rsidRPr="005C038A">
        <w:rPr>
          <w:vertAlign w:val="superscript"/>
        </w:rPr>
        <w:t>nd</w:t>
      </w:r>
      <w:r w:rsidRPr="005C038A">
        <w:t xml:space="preserve"> edition, New Brunswick, NJ 2002</w:t>
      </w:r>
      <w:r w:rsidR="004B7143">
        <w:t>.</w:t>
      </w:r>
    </w:p>
    <w:p w14:paraId="08253236" w14:textId="63B8853D" w:rsidR="001C035A" w:rsidRDefault="001C035A" w:rsidP="001C035A">
      <w:pPr>
        <w:rPr>
          <w:smallCaps/>
          <w:lang w:val="de-DE"/>
        </w:rPr>
      </w:pPr>
      <w:r w:rsidRPr="005C038A">
        <w:rPr>
          <w:smallCaps/>
          <w:lang w:val="de-DE"/>
        </w:rPr>
        <w:t xml:space="preserve">Klaus </w:t>
      </w:r>
      <w:proofErr w:type="spellStart"/>
      <w:r w:rsidRPr="005C038A">
        <w:rPr>
          <w:smallCaps/>
          <w:lang w:val="de-DE"/>
        </w:rPr>
        <w:t>Lüderssen</w:t>
      </w:r>
      <w:proofErr w:type="spellEnd"/>
      <w:r>
        <w:rPr>
          <w:smallCaps/>
          <w:lang w:val="de-DE"/>
        </w:rPr>
        <w:t xml:space="preserve"> (</w:t>
      </w:r>
      <w:proofErr w:type="spellStart"/>
      <w:r w:rsidRPr="001C035A">
        <w:rPr>
          <w:lang w:val="de-DE"/>
        </w:rPr>
        <w:t>ed</w:t>
      </w:r>
      <w:proofErr w:type="spellEnd"/>
      <w:r>
        <w:rPr>
          <w:smallCaps/>
          <w:lang w:val="de-DE"/>
        </w:rPr>
        <w:t>.),</w:t>
      </w:r>
      <w:r w:rsidRPr="005C038A">
        <w:rPr>
          <w:i/>
          <w:lang w:val="de-DE"/>
        </w:rPr>
        <w:t xml:space="preserve"> Rechtssoziologie und Rechtswissenschaft</w:t>
      </w:r>
      <w:r w:rsidRPr="005C038A">
        <w:rPr>
          <w:iCs/>
          <w:lang w:val="de-DE"/>
        </w:rPr>
        <w:t>,</w:t>
      </w:r>
      <w:r w:rsidR="00904A35">
        <w:rPr>
          <w:iCs/>
          <w:lang w:val="de-DE"/>
        </w:rPr>
        <w:t xml:space="preserve"> </w:t>
      </w:r>
      <w:r w:rsidRPr="005C038A">
        <w:rPr>
          <w:lang w:val="de-DE"/>
        </w:rPr>
        <w:t>Baden-Baden 2003</w:t>
      </w:r>
      <w:r w:rsidR="00904A35">
        <w:rPr>
          <w:lang w:val="de-DE"/>
        </w:rPr>
        <w:t>.</w:t>
      </w:r>
    </w:p>
    <w:p w14:paraId="5AA0966D" w14:textId="32E7F816" w:rsidR="0049456E" w:rsidRDefault="0049456E">
      <w:pPr>
        <w:rPr>
          <w:smallCaps/>
          <w:lang w:val="de-DE"/>
        </w:rPr>
      </w:pPr>
      <w:r w:rsidRPr="00AC7E8E">
        <w:rPr>
          <w:smallCaps/>
          <w:lang w:val="de-DE"/>
        </w:rPr>
        <w:t>Manfred Rehbinder</w:t>
      </w:r>
      <w:r w:rsidRPr="00AC7E8E">
        <w:rPr>
          <w:lang w:val="de-DE"/>
        </w:rPr>
        <w:t xml:space="preserve">, Vorbemerkungen des Herausgebers, in: </w:t>
      </w:r>
      <w:r w:rsidRPr="00AC7E8E">
        <w:rPr>
          <w:smallCaps/>
          <w:lang w:val="de-DE"/>
        </w:rPr>
        <w:t>Eugen Ehrlich</w:t>
      </w:r>
      <w:r w:rsidRPr="00AC7E8E">
        <w:rPr>
          <w:lang w:val="de-DE"/>
        </w:rPr>
        <w:t xml:space="preserve">, </w:t>
      </w:r>
      <w:r w:rsidRPr="0049456E">
        <w:rPr>
          <w:i/>
          <w:iCs/>
          <w:lang w:val="de-DE"/>
        </w:rPr>
        <w:t>Grundlegung der Soziologie des Rechts</w:t>
      </w:r>
      <w:r w:rsidRPr="00AC7E8E">
        <w:rPr>
          <w:lang w:val="de-DE"/>
        </w:rPr>
        <w:t xml:space="preserve">, 5th </w:t>
      </w:r>
      <w:proofErr w:type="spellStart"/>
      <w:r w:rsidRPr="00AC7E8E">
        <w:rPr>
          <w:lang w:val="de-DE"/>
        </w:rPr>
        <w:t>edition</w:t>
      </w:r>
      <w:proofErr w:type="spellEnd"/>
      <w:r w:rsidRPr="00AC7E8E">
        <w:rPr>
          <w:lang w:val="de-DE"/>
        </w:rPr>
        <w:t xml:space="preserve">, </w:t>
      </w:r>
      <w:proofErr w:type="spellStart"/>
      <w:r w:rsidRPr="00AC7E8E">
        <w:rPr>
          <w:lang w:val="de-DE"/>
        </w:rPr>
        <w:t>edited</w:t>
      </w:r>
      <w:proofErr w:type="spellEnd"/>
      <w:r w:rsidRPr="00AC7E8E">
        <w:rPr>
          <w:lang w:val="de-DE"/>
        </w:rPr>
        <w:t xml:space="preserve"> </w:t>
      </w:r>
      <w:proofErr w:type="spellStart"/>
      <w:r w:rsidRPr="00AC7E8E">
        <w:rPr>
          <w:lang w:val="de-DE"/>
        </w:rPr>
        <w:t>by</w:t>
      </w:r>
      <w:proofErr w:type="spellEnd"/>
      <w:r w:rsidRPr="00AC7E8E">
        <w:rPr>
          <w:lang w:val="de-DE"/>
        </w:rPr>
        <w:t xml:space="preserve"> </w:t>
      </w:r>
      <w:r w:rsidRPr="00AC7E8E">
        <w:rPr>
          <w:smallCaps/>
          <w:lang w:val="de-DE"/>
        </w:rPr>
        <w:t>Manfred Rehbinder</w:t>
      </w:r>
      <w:r w:rsidRPr="00AC7E8E">
        <w:rPr>
          <w:lang w:val="de-DE"/>
        </w:rPr>
        <w:t>, Berlin 2022, pp. 5-9</w:t>
      </w:r>
      <w:r>
        <w:rPr>
          <w:lang w:val="de-DE"/>
        </w:rPr>
        <w:t>.</w:t>
      </w:r>
    </w:p>
    <w:p w14:paraId="6F753821" w14:textId="70779276" w:rsidR="00DE1B82" w:rsidRDefault="00274D74">
      <w:pPr>
        <w:rPr>
          <w:lang w:val="de-DE"/>
        </w:rPr>
      </w:pPr>
      <w:r w:rsidRPr="00AC7E8E">
        <w:rPr>
          <w:smallCaps/>
          <w:lang w:val="de-DE"/>
        </w:rPr>
        <w:t>Klaus F. Röhl</w:t>
      </w:r>
      <w:r w:rsidRPr="00AC7E8E">
        <w:rPr>
          <w:lang w:val="de-DE"/>
        </w:rPr>
        <w:t xml:space="preserve"> and </w:t>
      </w:r>
      <w:r w:rsidRPr="00AC7E8E">
        <w:rPr>
          <w:smallCaps/>
          <w:lang w:val="de-DE"/>
        </w:rPr>
        <w:t>Stefan Machura</w:t>
      </w:r>
      <w:r w:rsidRPr="00AC7E8E">
        <w:rPr>
          <w:lang w:val="de-DE"/>
        </w:rPr>
        <w:t xml:space="preserve">, 100 Jahre Rechtssoziologie: Eugen Ehrlichs Rechtspluralismus heute. </w:t>
      </w:r>
      <w:r w:rsidRPr="0049456E">
        <w:rPr>
          <w:i/>
          <w:iCs/>
          <w:lang w:val="de-DE"/>
        </w:rPr>
        <w:t>Juristenzeitung</w:t>
      </w:r>
      <w:r w:rsidRPr="0049456E">
        <w:rPr>
          <w:lang w:val="de-DE"/>
        </w:rPr>
        <w:t xml:space="preserve"> 68 (2013), 1117–1128</w:t>
      </w:r>
      <w:r w:rsidR="0053532E" w:rsidRPr="0049456E">
        <w:rPr>
          <w:lang w:val="de-DE"/>
        </w:rPr>
        <w:t>.</w:t>
      </w:r>
    </w:p>
    <w:p w14:paraId="363A9A0D" w14:textId="2D2BB54C" w:rsidR="006F7D01" w:rsidRPr="0049456E" w:rsidRDefault="006F7D01">
      <w:pPr>
        <w:rPr>
          <w:lang w:val="de-DE"/>
        </w:rPr>
      </w:pPr>
      <w:r w:rsidRPr="005C038A">
        <w:rPr>
          <w:smallCaps/>
          <w:lang w:val="de-DE"/>
        </w:rPr>
        <w:t>Stefan Vogl</w:t>
      </w:r>
      <w:r w:rsidRPr="005C038A">
        <w:rPr>
          <w:lang w:val="de-DE"/>
        </w:rPr>
        <w:t xml:space="preserve">, </w:t>
      </w:r>
      <w:r w:rsidRPr="005C038A">
        <w:rPr>
          <w:i/>
          <w:lang w:val="de-DE"/>
        </w:rPr>
        <w:t>Soziale Gesetzgebungspolitik, freie Rechtsfindung und soziologische Rechtswissenschaft bei Eugen Ehrlich</w:t>
      </w:r>
      <w:r w:rsidRPr="005C038A">
        <w:rPr>
          <w:lang w:val="de-DE"/>
        </w:rPr>
        <w:t>, Baden-Baden 2003</w:t>
      </w:r>
      <w:r>
        <w:rPr>
          <w:lang w:val="de-DE"/>
        </w:rPr>
        <w:t>.</w:t>
      </w:r>
    </w:p>
    <w:p w14:paraId="1B2D947B" w14:textId="0F70D229" w:rsidR="004852AA" w:rsidRDefault="00443F1F">
      <w:r>
        <w:lastRenderedPageBreak/>
        <w:t>Picture 1: Organising team of the Paris symposium</w:t>
      </w:r>
    </w:p>
    <w:p w14:paraId="2E657E04" w14:textId="11FE59CD" w:rsidR="00443F1F" w:rsidRDefault="00807C06">
      <w:r>
        <w:rPr>
          <w:noProof/>
        </w:rPr>
        <w:drawing>
          <wp:inline distT="0" distB="0" distL="0" distR="0" wp14:anchorId="65C7BF13" wp14:editId="46584BDB">
            <wp:extent cx="5731510" cy="4298950"/>
            <wp:effectExtent l="0" t="0" r="2540" b="6350"/>
            <wp:docPr id="2"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a phot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1337A878" w14:textId="5E970967" w:rsidR="00653A7F" w:rsidRPr="00653A7F" w:rsidRDefault="00443F1F" w:rsidP="00653A7F">
      <w:pPr>
        <w:autoSpaceDE w:val="0"/>
        <w:autoSpaceDN w:val="0"/>
        <w:adjustRightInd w:val="0"/>
        <w:spacing w:after="0" w:line="240" w:lineRule="auto"/>
      </w:pPr>
      <w:r>
        <w:t xml:space="preserve">From left to right: </w:t>
      </w:r>
      <w:r w:rsidR="00827B78">
        <w:t>Nathalie</w:t>
      </w:r>
      <w:r w:rsidR="00653A7F">
        <w:t xml:space="preserve"> </w:t>
      </w:r>
      <w:proofErr w:type="spellStart"/>
      <w:r w:rsidR="00653A7F">
        <w:t>Sacksick</w:t>
      </w:r>
      <w:proofErr w:type="spellEnd"/>
      <w:r w:rsidR="00653A7F">
        <w:t xml:space="preserve">, </w:t>
      </w:r>
      <w:r w:rsidR="00653A7F" w:rsidRPr="00653A7F">
        <w:t xml:space="preserve">Pierre Brunet, Clara </w:t>
      </w:r>
      <w:proofErr w:type="spellStart"/>
      <w:r w:rsidR="00653A7F" w:rsidRPr="00653A7F">
        <w:t>Gavelli</w:t>
      </w:r>
      <w:proofErr w:type="spellEnd"/>
      <w:r w:rsidR="00653A7F" w:rsidRPr="00653A7F">
        <w:t>, Jean-Baptiste</w:t>
      </w:r>
    </w:p>
    <w:p w14:paraId="4BB184B2" w14:textId="63509C1E" w:rsidR="00443F1F" w:rsidRPr="00653A7F" w:rsidRDefault="00653A7F" w:rsidP="00653A7F">
      <w:pPr>
        <w:autoSpaceDE w:val="0"/>
        <w:autoSpaceDN w:val="0"/>
        <w:adjustRightInd w:val="0"/>
        <w:spacing w:after="0" w:line="240" w:lineRule="auto"/>
      </w:pPr>
      <w:r w:rsidRPr="00653A7F">
        <w:t>Scherrer</w:t>
      </w:r>
      <w:r w:rsidR="00BB31AF" w:rsidRPr="00653A7F">
        <w:t xml:space="preserve">, </w:t>
      </w:r>
      <w:proofErr w:type="spellStart"/>
      <w:r w:rsidR="00BB31AF" w:rsidRPr="00653A7F">
        <w:t>Linxin</w:t>
      </w:r>
      <w:proofErr w:type="spellEnd"/>
      <w:r w:rsidR="00BB31AF" w:rsidRPr="00653A7F">
        <w:t xml:space="preserve"> He</w:t>
      </w:r>
      <w:r>
        <w:t xml:space="preserve"> (</w:t>
      </w:r>
      <w:r w:rsidR="00BB31AF">
        <w:t>photo</w:t>
      </w:r>
      <w:r>
        <w:t xml:space="preserve"> S. Machura</w:t>
      </w:r>
      <w:r w:rsidRPr="00653A7F">
        <w:t>)</w:t>
      </w:r>
    </w:p>
    <w:p w14:paraId="78C4EE77" w14:textId="77777777" w:rsidR="009503F7" w:rsidRPr="004852AA" w:rsidRDefault="009503F7"/>
    <w:p w14:paraId="00279350" w14:textId="77777777" w:rsidR="00824852" w:rsidRDefault="00824852">
      <w:r>
        <w:br w:type="page"/>
      </w:r>
    </w:p>
    <w:p w14:paraId="51B0EE28" w14:textId="48EB2642" w:rsidR="009503F7" w:rsidRDefault="00E86381">
      <w:r>
        <w:lastRenderedPageBreak/>
        <w:t>Picture 2: Group photo of participants at the Paris symposium</w:t>
      </w:r>
    </w:p>
    <w:p w14:paraId="4DCBFF46" w14:textId="45BD639A" w:rsidR="00E86381" w:rsidRDefault="00164B26">
      <w:r>
        <w:rPr>
          <w:noProof/>
        </w:rPr>
        <w:drawing>
          <wp:inline distT="0" distB="0" distL="0" distR="0" wp14:anchorId="0DA2F0DA" wp14:editId="4D256834">
            <wp:extent cx="5731510" cy="32835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283585"/>
                    </a:xfrm>
                    <a:prstGeom prst="rect">
                      <a:avLst/>
                    </a:prstGeom>
                  </pic:spPr>
                </pic:pic>
              </a:graphicData>
            </a:graphic>
          </wp:inline>
        </w:drawing>
      </w:r>
    </w:p>
    <w:p w14:paraId="5D511F10" w14:textId="0C2182A8" w:rsidR="00E86381" w:rsidRDefault="00E86381"/>
    <w:p w14:paraId="7C9E1256" w14:textId="61F6B7DF" w:rsidR="00E86381" w:rsidRDefault="00E86381">
      <w:r>
        <w:t xml:space="preserve">(Printed with kind permission of Y. </w:t>
      </w:r>
      <w:proofErr w:type="spellStart"/>
      <w:r>
        <w:t>Kurumisawa</w:t>
      </w:r>
      <w:proofErr w:type="spellEnd"/>
      <w:r>
        <w:t>)</w:t>
      </w:r>
    </w:p>
    <w:p w14:paraId="5976D2B8" w14:textId="3E7EC478" w:rsidR="00E86381" w:rsidRDefault="00E86381"/>
    <w:p w14:paraId="20441174" w14:textId="6E5E4B28" w:rsidR="00E86381" w:rsidRDefault="00E86381"/>
    <w:p w14:paraId="32762A54" w14:textId="77777777" w:rsidR="00E86381" w:rsidRPr="004852AA" w:rsidRDefault="00E86381"/>
    <w:p w14:paraId="208AFE0B" w14:textId="77777777" w:rsidR="00824852" w:rsidRDefault="00824852">
      <w:r>
        <w:br w:type="page"/>
      </w:r>
    </w:p>
    <w:p w14:paraId="7C5F4584" w14:textId="094B15AB" w:rsidR="00B1243E" w:rsidRDefault="00443F1F">
      <w:r>
        <w:lastRenderedPageBreak/>
        <w:t xml:space="preserve">Figure 1: </w:t>
      </w:r>
      <w:r w:rsidR="00B1243E" w:rsidRPr="00B1243E">
        <w:t xml:space="preserve">Living law, societal </w:t>
      </w:r>
      <w:proofErr w:type="gramStart"/>
      <w:r w:rsidR="00B1243E" w:rsidRPr="00B1243E">
        <w:t>law</w:t>
      </w:r>
      <w:proofErr w:type="gramEnd"/>
      <w:r w:rsidR="00B1243E" w:rsidRPr="00B1243E">
        <w:t xml:space="preserve"> and state law according to </w:t>
      </w:r>
      <w:r w:rsidR="00B1243E">
        <w:t>Ehrlich’s dynamic model</w:t>
      </w:r>
    </w:p>
    <w:p w14:paraId="4A75B315" w14:textId="20641708" w:rsidR="00B1243E" w:rsidRDefault="00B1243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
        <w:gridCol w:w="2254"/>
        <w:gridCol w:w="1583"/>
        <w:gridCol w:w="2268"/>
      </w:tblGrid>
      <w:tr w:rsidR="00B1243E" w14:paraId="21684E17" w14:textId="77777777" w:rsidTr="003D7FFE">
        <w:tc>
          <w:tcPr>
            <w:tcW w:w="1125" w:type="dxa"/>
          </w:tcPr>
          <w:p w14:paraId="7F4D0EFF" w14:textId="77777777" w:rsidR="00B1243E" w:rsidRDefault="00B1243E"/>
        </w:tc>
        <w:tc>
          <w:tcPr>
            <w:tcW w:w="2254" w:type="dxa"/>
          </w:tcPr>
          <w:p w14:paraId="4A455528" w14:textId="77777777" w:rsidR="00B1243E" w:rsidRDefault="00B1243E"/>
        </w:tc>
        <w:tc>
          <w:tcPr>
            <w:tcW w:w="1583" w:type="dxa"/>
          </w:tcPr>
          <w:p w14:paraId="60E0B792" w14:textId="77777777" w:rsidR="00B1243E" w:rsidRDefault="00B1243E"/>
        </w:tc>
        <w:tc>
          <w:tcPr>
            <w:tcW w:w="2268" w:type="dxa"/>
          </w:tcPr>
          <w:p w14:paraId="27EF464A" w14:textId="77777777" w:rsidR="00B1243E" w:rsidRDefault="00B1243E"/>
        </w:tc>
      </w:tr>
      <w:tr w:rsidR="00B1243E" w14:paraId="029B7D0C" w14:textId="77777777" w:rsidTr="003D7FFE">
        <w:tc>
          <w:tcPr>
            <w:tcW w:w="1125" w:type="dxa"/>
          </w:tcPr>
          <w:p w14:paraId="39888D97" w14:textId="56CC8A7F" w:rsidR="00B1243E" w:rsidRPr="00824852" w:rsidRDefault="00824852">
            <w:pPr>
              <w:rPr>
                <w:b/>
                <w:bCs/>
              </w:rPr>
            </w:pPr>
            <w:r w:rsidRPr="00824852">
              <w:rPr>
                <w:b/>
                <w:bCs/>
                <w:sz w:val="32"/>
                <w:szCs w:val="32"/>
              </w:rPr>
              <w:t>. . .</w:t>
            </w:r>
          </w:p>
        </w:tc>
        <w:tc>
          <w:tcPr>
            <w:tcW w:w="2254" w:type="dxa"/>
          </w:tcPr>
          <w:p w14:paraId="46ACAD67" w14:textId="77777777" w:rsidR="00B1243E" w:rsidRDefault="00B1243E"/>
        </w:tc>
        <w:tc>
          <w:tcPr>
            <w:tcW w:w="1583" w:type="dxa"/>
          </w:tcPr>
          <w:p w14:paraId="69851032" w14:textId="77777777" w:rsidR="00B1243E" w:rsidRDefault="00B1243E"/>
        </w:tc>
        <w:tc>
          <w:tcPr>
            <w:tcW w:w="2268" w:type="dxa"/>
          </w:tcPr>
          <w:p w14:paraId="30CB4ED1" w14:textId="77777777" w:rsidR="00B1243E" w:rsidRDefault="00B1243E"/>
        </w:tc>
      </w:tr>
      <w:tr w:rsidR="00B1243E" w14:paraId="5F1D8CC9" w14:textId="77777777" w:rsidTr="003D7FFE">
        <w:tc>
          <w:tcPr>
            <w:tcW w:w="1125" w:type="dxa"/>
          </w:tcPr>
          <w:p w14:paraId="2218F606" w14:textId="77777777" w:rsidR="00B1243E" w:rsidRDefault="00B1243E"/>
        </w:tc>
        <w:tc>
          <w:tcPr>
            <w:tcW w:w="2254" w:type="dxa"/>
          </w:tcPr>
          <w:p w14:paraId="32A314A8" w14:textId="77777777" w:rsidR="00B1243E" w:rsidRDefault="00B1243E"/>
        </w:tc>
        <w:tc>
          <w:tcPr>
            <w:tcW w:w="1583" w:type="dxa"/>
          </w:tcPr>
          <w:p w14:paraId="355C3EA8" w14:textId="77777777" w:rsidR="00B1243E" w:rsidRDefault="00B1243E"/>
        </w:tc>
        <w:tc>
          <w:tcPr>
            <w:tcW w:w="2268" w:type="dxa"/>
          </w:tcPr>
          <w:p w14:paraId="2EDC93C4" w14:textId="77777777" w:rsidR="00B1243E" w:rsidRDefault="00B1243E"/>
        </w:tc>
      </w:tr>
      <w:tr w:rsidR="00B1243E" w14:paraId="11220863" w14:textId="77777777" w:rsidTr="003D7FFE">
        <w:tc>
          <w:tcPr>
            <w:tcW w:w="1125" w:type="dxa"/>
          </w:tcPr>
          <w:p w14:paraId="0BAED8E8" w14:textId="2A211E14" w:rsidR="00B1243E" w:rsidRPr="003D7FFE" w:rsidRDefault="00D42D57">
            <w:pPr>
              <w:rPr>
                <w:sz w:val="32"/>
                <w:szCs w:val="32"/>
              </w:rPr>
            </w:pPr>
            <w:r w:rsidRPr="003D7FFE">
              <w:rPr>
                <w:sz w:val="32"/>
                <w:szCs w:val="32"/>
              </w:rPr>
              <w:t>t</w:t>
            </w:r>
            <w:r w:rsidRPr="003D7FFE">
              <w:rPr>
                <w:sz w:val="32"/>
                <w:szCs w:val="32"/>
                <w:vertAlign w:val="subscript"/>
              </w:rPr>
              <w:t>5</w:t>
            </w:r>
          </w:p>
        </w:tc>
        <w:tc>
          <w:tcPr>
            <w:tcW w:w="2254" w:type="dxa"/>
          </w:tcPr>
          <w:p w14:paraId="4DC4069C" w14:textId="22B7FA9F" w:rsidR="00B1243E" w:rsidRDefault="00D42D57">
            <w:r>
              <w:rPr>
                <w:noProof/>
              </w:rPr>
              <w:drawing>
                <wp:inline distT="0" distB="0" distL="0" distR="0" wp14:anchorId="2827E2D3" wp14:editId="35F8BEAE">
                  <wp:extent cx="1165860" cy="41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5860" cy="419100"/>
                          </a:xfrm>
                          <a:prstGeom prst="rect">
                            <a:avLst/>
                          </a:prstGeom>
                          <a:noFill/>
                        </pic:spPr>
                      </pic:pic>
                    </a:graphicData>
                  </a:graphic>
                </wp:inline>
              </w:drawing>
            </w:r>
          </w:p>
        </w:tc>
        <w:tc>
          <w:tcPr>
            <w:tcW w:w="1583" w:type="dxa"/>
          </w:tcPr>
          <w:p w14:paraId="743E6FB3" w14:textId="596976FB" w:rsidR="00B1243E" w:rsidRDefault="00D42D57" w:rsidP="007A7EE4">
            <w:pPr>
              <w:jc w:val="center"/>
            </w:pPr>
            <w:r w:rsidRPr="007A7EE4">
              <w:rPr>
                <w:sz w:val="52"/>
                <w:szCs w:val="52"/>
              </w:rPr>
              <w:t>≠</w:t>
            </w:r>
          </w:p>
        </w:tc>
        <w:tc>
          <w:tcPr>
            <w:tcW w:w="2268" w:type="dxa"/>
          </w:tcPr>
          <w:p w14:paraId="1A502ED9" w14:textId="77777777" w:rsidR="00B1243E" w:rsidRDefault="00B1243E"/>
        </w:tc>
      </w:tr>
      <w:tr w:rsidR="00B1243E" w14:paraId="187C8B96" w14:textId="77777777" w:rsidTr="003D7FFE">
        <w:tc>
          <w:tcPr>
            <w:tcW w:w="1125" w:type="dxa"/>
          </w:tcPr>
          <w:p w14:paraId="6047BB95" w14:textId="77777777" w:rsidR="00B1243E" w:rsidRPr="003D7FFE" w:rsidRDefault="00B1243E">
            <w:pPr>
              <w:rPr>
                <w:sz w:val="32"/>
                <w:szCs w:val="32"/>
              </w:rPr>
            </w:pPr>
          </w:p>
          <w:p w14:paraId="61A8715D" w14:textId="4D76C3F0" w:rsidR="003D7FFE" w:rsidRPr="003D7FFE" w:rsidRDefault="003D7FFE">
            <w:pPr>
              <w:rPr>
                <w:sz w:val="32"/>
                <w:szCs w:val="32"/>
              </w:rPr>
            </w:pPr>
          </w:p>
        </w:tc>
        <w:tc>
          <w:tcPr>
            <w:tcW w:w="2254" w:type="dxa"/>
          </w:tcPr>
          <w:p w14:paraId="1611EDDB" w14:textId="77777777" w:rsidR="00B1243E" w:rsidRDefault="00B1243E"/>
        </w:tc>
        <w:tc>
          <w:tcPr>
            <w:tcW w:w="1583" w:type="dxa"/>
          </w:tcPr>
          <w:p w14:paraId="48DEA1B5" w14:textId="77777777" w:rsidR="00B1243E" w:rsidRDefault="00B1243E"/>
        </w:tc>
        <w:tc>
          <w:tcPr>
            <w:tcW w:w="2268" w:type="dxa"/>
          </w:tcPr>
          <w:p w14:paraId="1FEE6A9B" w14:textId="77777777" w:rsidR="00B1243E" w:rsidRDefault="00B1243E"/>
        </w:tc>
      </w:tr>
      <w:tr w:rsidR="00B1243E" w14:paraId="5A780460" w14:textId="77777777" w:rsidTr="003D7FFE">
        <w:tc>
          <w:tcPr>
            <w:tcW w:w="1125" w:type="dxa"/>
          </w:tcPr>
          <w:p w14:paraId="7D03B3B5" w14:textId="5D7B7B3B" w:rsidR="00B1243E" w:rsidRPr="003D7FFE" w:rsidRDefault="00D42D57">
            <w:pPr>
              <w:rPr>
                <w:sz w:val="32"/>
                <w:szCs w:val="32"/>
              </w:rPr>
            </w:pPr>
            <w:r w:rsidRPr="003D7FFE">
              <w:rPr>
                <w:sz w:val="32"/>
                <w:szCs w:val="32"/>
              </w:rPr>
              <w:t>t</w:t>
            </w:r>
            <w:r w:rsidRPr="003D7FFE">
              <w:rPr>
                <w:sz w:val="32"/>
                <w:szCs w:val="32"/>
                <w:vertAlign w:val="subscript"/>
              </w:rPr>
              <w:t>4</w:t>
            </w:r>
          </w:p>
        </w:tc>
        <w:tc>
          <w:tcPr>
            <w:tcW w:w="2254" w:type="dxa"/>
          </w:tcPr>
          <w:p w14:paraId="12122C21" w14:textId="7BFD2ED5" w:rsidR="00B1243E" w:rsidRDefault="00B1243E"/>
        </w:tc>
        <w:tc>
          <w:tcPr>
            <w:tcW w:w="1583" w:type="dxa"/>
          </w:tcPr>
          <w:p w14:paraId="5E33ADC0" w14:textId="3AFA9345" w:rsidR="00B1243E" w:rsidRDefault="007A7EE4" w:rsidP="007A7EE4">
            <w:pPr>
              <w:jc w:val="right"/>
            </w:pPr>
            <w:r>
              <w:rPr>
                <w:noProof/>
              </w:rPr>
              <mc:AlternateContent>
                <mc:Choice Requires="wps">
                  <w:drawing>
                    <wp:anchor distT="0" distB="0" distL="114300" distR="114300" simplePos="0" relativeHeight="251660288" behindDoc="0" locked="0" layoutInCell="1" allowOverlap="1" wp14:anchorId="63B20549" wp14:editId="63B9BCF8">
                      <wp:simplePos x="0" y="0"/>
                      <wp:positionH relativeFrom="column">
                        <wp:posOffset>-14605</wp:posOffset>
                      </wp:positionH>
                      <wp:positionV relativeFrom="paragraph">
                        <wp:posOffset>288290</wp:posOffset>
                      </wp:positionV>
                      <wp:extent cx="652780" cy="158750"/>
                      <wp:effectExtent l="19050" t="19050" r="13970" b="31750"/>
                      <wp:wrapNone/>
                      <wp:docPr id="13" name="Arrow: Right 13"/>
                      <wp:cNvGraphicFramePr/>
                      <a:graphic xmlns:a="http://schemas.openxmlformats.org/drawingml/2006/main">
                        <a:graphicData uri="http://schemas.microsoft.com/office/word/2010/wordprocessingShape">
                          <wps:wsp>
                            <wps:cNvSpPr/>
                            <wps:spPr>
                              <a:xfrm rot="10800000">
                                <a:off x="0" y="0"/>
                                <a:ext cx="652780" cy="158750"/>
                              </a:xfrm>
                              <a:prstGeom prst="rightArrow">
                                <a:avLst/>
                              </a:prstGeom>
                            </wps:spPr>
                            <wps:style>
                              <a:lnRef idx="2">
                                <a:schemeClr val="dk1">
                                  <a:shade val="50000"/>
                                </a:schemeClr>
                              </a:lnRef>
                              <a:fillRef idx="1">
                                <a:schemeClr val="dk1"/>
                              </a:fillRef>
                              <a:effectRef idx="0">
                                <a:schemeClr val="dk1"/>
                              </a:effectRef>
                              <a:fontRef idx="minor">
                                <a:schemeClr val="lt1"/>
                              </a:fontRef>
                            </wps:style>
                            <wps:txbx>
                              <w:txbxContent>
                                <w:p w14:paraId="687A2921" w14:textId="4F0C5D44" w:rsidR="00D42D57" w:rsidRDefault="00D42D57" w:rsidP="00D42D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205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3" o:spid="_x0000_s1026" type="#_x0000_t13" style="position:absolute;left:0;text-align:left;margin-left:-1.15pt;margin-top:22.7pt;width:51.4pt;height:12.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" adj="18974" fillcolor="black [3200]" strokecolor="black [1600]" strokeweight="1pt">
                      <v:textbox>
                        <w:txbxContent>
                          <w:p w14:paraId="687A2921" w14:textId="4F0C5D44" w:rsidR="00D42D57" w:rsidRDefault="00D42D57" w:rsidP="00D42D57">
                            <w:pPr>
                              <w:jc w:val="center"/>
                            </w:pPr>
                          </w:p>
                        </w:txbxContent>
                      </v:textbox>
                    </v:shape>
                  </w:pict>
                </mc:Fallback>
              </mc:AlternateContent>
            </w:r>
            <w:r>
              <w:rPr>
                <w:noProof/>
              </w:rPr>
              <w:drawing>
                <wp:inline distT="0" distB="0" distL="0" distR="0" wp14:anchorId="55D72615" wp14:editId="124C3BF9">
                  <wp:extent cx="294640" cy="507024"/>
                  <wp:effectExtent l="0" t="0" r="0" b="7620"/>
                  <wp:docPr id="15" name="Graphic 15" descr="Lightning bol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Lightning bolt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5442" cy="525612"/>
                          </a:xfrm>
                          <a:prstGeom prst="rect">
                            <a:avLst/>
                          </a:prstGeom>
                        </pic:spPr>
                      </pic:pic>
                    </a:graphicData>
                  </a:graphic>
                </wp:inline>
              </w:drawing>
            </w:r>
          </w:p>
        </w:tc>
        <w:tc>
          <w:tcPr>
            <w:tcW w:w="2268" w:type="dxa"/>
          </w:tcPr>
          <w:p w14:paraId="7F9D8EB0" w14:textId="74D646E6" w:rsidR="00B1243E" w:rsidRDefault="00D42D57">
            <w:r>
              <w:rPr>
                <w:noProof/>
              </w:rPr>
              <w:drawing>
                <wp:inline distT="0" distB="0" distL="0" distR="0" wp14:anchorId="3970127D" wp14:editId="7AFDC75D">
                  <wp:extent cx="1165860" cy="419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5860" cy="419100"/>
                          </a:xfrm>
                          <a:prstGeom prst="rect">
                            <a:avLst/>
                          </a:prstGeom>
                          <a:noFill/>
                        </pic:spPr>
                      </pic:pic>
                    </a:graphicData>
                  </a:graphic>
                </wp:inline>
              </w:drawing>
            </w:r>
          </w:p>
        </w:tc>
      </w:tr>
      <w:tr w:rsidR="00B1243E" w14:paraId="79134ADC" w14:textId="77777777" w:rsidTr="003D7FFE">
        <w:tc>
          <w:tcPr>
            <w:tcW w:w="1125" w:type="dxa"/>
          </w:tcPr>
          <w:p w14:paraId="5C0BD853" w14:textId="77777777" w:rsidR="00B1243E" w:rsidRPr="003D7FFE" w:rsidRDefault="00B1243E">
            <w:pPr>
              <w:rPr>
                <w:sz w:val="32"/>
                <w:szCs w:val="32"/>
              </w:rPr>
            </w:pPr>
          </w:p>
          <w:p w14:paraId="086E82EF" w14:textId="3FD4A6B2" w:rsidR="003D7FFE" w:rsidRPr="003D7FFE" w:rsidRDefault="003D7FFE">
            <w:pPr>
              <w:rPr>
                <w:sz w:val="32"/>
                <w:szCs w:val="32"/>
              </w:rPr>
            </w:pPr>
          </w:p>
        </w:tc>
        <w:tc>
          <w:tcPr>
            <w:tcW w:w="2254" w:type="dxa"/>
          </w:tcPr>
          <w:p w14:paraId="12A1B264" w14:textId="77777777" w:rsidR="00B1243E" w:rsidRDefault="00B1243E"/>
        </w:tc>
        <w:tc>
          <w:tcPr>
            <w:tcW w:w="1583" w:type="dxa"/>
          </w:tcPr>
          <w:p w14:paraId="60455635" w14:textId="7AF9B17F" w:rsidR="00B1243E" w:rsidRDefault="00B1243E"/>
        </w:tc>
        <w:tc>
          <w:tcPr>
            <w:tcW w:w="2268" w:type="dxa"/>
          </w:tcPr>
          <w:p w14:paraId="5F090BB7" w14:textId="77777777" w:rsidR="00B1243E" w:rsidRDefault="00B1243E"/>
        </w:tc>
      </w:tr>
      <w:tr w:rsidR="00B1243E" w14:paraId="66AD1AE2" w14:textId="77777777" w:rsidTr="003D7FFE">
        <w:tc>
          <w:tcPr>
            <w:tcW w:w="1125" w:type="dxa"/>
          </w:tcPr>
          <w:p w14:paraId="742BE2E3" w14:textId="2853F7FA" w:rsidR="00B1243E" w:rsidRPr="003D7FFE" w:rsidRDefault="00D42D57">
            <w:pPr>
              <w:rPr>
                <w:sz w:val="32"/>
                <w:szCs w:val="32"/>
              </w:rPr>
            </w:pPr>
            <w:r w:rsidRPr="003D7FFE">
              <w:rPr>
                <w:sz w:val="32"/>
                <w:szCs w:val="32"/>
              </w:rPr>
              <w:t>t</w:t>
            </w:r>
            <w:r w:rsidRPr="003D7FFE">
              <w:rPr>
                <w:sz w:val="32"/>
                <w:szCs w:val="32"/>
                <w:vertAlign w:val="subscript"/>
              </w:rPr>
              <w:t>3</w:t>
            </w:r>
          </w:p>
        </w:tc>
        <w:tc>
          <w:tcPr>
            <w:tcW w:w="2254" w:type="dxa"/>
          </w:tcPr>
          <w:p w14:paraId="52AC202A" w14:textId="404E952D" w:rsidR="00B1243E" w:rsidRDefault="00D42D57">
            <w:r>
              <w:rPr>
                <w:noProof/>
              </w:rPr>
              <w:drawing>
                <wp:inline distT="0" distB="0" distL="0" distR="0" wp14:anchorId="7EB6424B" wp14:editId="7D51A5B2">
                  <wp:extent cx="1165860" cy="419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5860" cy="419100"/>
                          </a:xfrm>
                          <a:prstGeom prst="rect">
                            <a:avLst/>
                          </a:prstGeom>
                          <a:noFill/>
                        </pic:spPr>
                      </pic:pic>
                    </a:graphicData>
                  </a:graphic>
                </wp:inline>
              </w:drawing>
            </w:r>
          </w:p>
        </w:tc>
        <w:tc>
          <w:tcPr>
            <w:tcW w:w="1583" w:type="dxa"/>
          </w:tcPr>
          <w:p w14:paraId="305AD548" w14:textId="2BC1A0AC" w:rsidR="00B1243E" w:rsidRDefault="007A7EE4" w:rsidP="007A7EE4">
            <w:pPr>
              <w:jc w:val="center"/>
            </w:pPr>
            <w:r w:rsidRPr="007A7EE4">
              <w:rPr>
                <w:sz w:val="52"/>
                <w:szCs w:val="52"/>
              </w:rPr>
              <w:t>≠</w:t>
            </w:r>
          </w:p>
        </w:tc>
        <w:tc>
          <w:tcPr>
            <w:tcW w:w="2268" w:type="dxa"/>
          </w:tcPr>
          <w:p w14:paraId="27B505D2" w14:textId="77777777" w:rsidR="00B1243E" w:rsidRDefault="00B1243E"/>
        </w:tc>
      </w:tr>
      <w:tr w:rsidR="00B1243E" w14:paraId="36EEF6D9" w14:textId="77777777" w:rsidTr="003D7FFE">
        <w:tc>
          <w:tcPr>
            <w:tcW w:w="1125" w:type="dxa"/>
          </w:tcPr>
          <w:p w14:paraId="36C1B1F4" w14:textId="77777777" w:rsidR="00B1243E" w:rsidRPr="003D7FFE" w:rsidRDefault="00B1243E">
            <w:pPr>
              <w:rPr>
                <w:sz w:val="32"/>
                <w:szCs w:val="32"/>
              </w:rPr>
            </w:pPr>
          </w:p>
          <w:p w14:paraId="19ED48E3" w14:textId="2F49A167" w:rsidR="003D7FFE" w:rsidRPr="003D7FFE" w:rsidRDefault="003D7FFE">
            <w:pPr>
              <w:rPr>
                <w:sz w:val="32"/>
                <w:szCs w:val="32"/>
              </w:rPr>
            </w:pPr>
          </w:p>
        </w:tc>
        <w:tc>
          <w:tcPr>
            <w:tcW w:w="2254" w:type="dxa"/>
          </w:tcPr>
          <w:p w14:paraId="3F11FED0" w14:textId="77777777" w:rsidR="00B1243E" w:rsidRDefault="00B1243E"/>
        </w:tc>
        <w:tc>
          <w:tcPr>
            <w:tcW w:w="1583" w:type="dxa"/>
          </w:tcPr>
          <w:p w14:paraId="30693CF1" w14:textId="77777777" w:rsidR="00B1243E" w:rsidRDefault="00B1243E"/>
        </w:tc>
        <w:tc>
          <w:tcPr>
            <w:tcW w:w="2268" w:type="dxa"/>
          </w:tcPr>
          <w:p w14:paraId="5053B90D" w14:textId="77777777" w:rsidR="00B1243E" w:rsidRDefault="00B1243E"/>
        </w:tc>
      </w:tr>
      <w:tr w:rsidR="00B1243E" w14:paraId="6C86C7B2" w14:textId="77777777" w:rsidTr="003D7FFE">
        <w:tc>
          <w:tcPr>
            <w:tcW w:w="1125" w:type="dxa"/>
          </w:tcPr>
          <w:p w14:paraId="0880B57B" w14:textId="7AB488B9" w:rsidR="00B1243E" w:rsidRPr="003D7FFE" w:rsidRDefault="00D42D57">
            <w:pPr>
              <w:rPr>
                <w:sz w:val="32"/>
                <w:szCs w:val="32"/>
              </w:rPr>
            </w:pPr>
            <w:r w:rsidRPr="003D7FFE">
              <w:rPr>
                <w:sz w:val="32"/>
                <w:szCs w:val="32"/>
              </w:rPr>
              <w:t>t</w:t>
            </w:r>
            <w:r w:rsidRPr="003D7FFE">
              <w:rPr>
                <w:sz w:val="32"/>
                <w:szCs w:val="32"/>
                <w:vertAlign w:val="subscript"/>
              </w:rPr>
              <w:t>2</w:t>
            </w:r>
          </w:p>
        </w:tc>
        <w:tc>
          <w:tcPr>
            <w:tcW w:w="2254" w:type="dxa"/>
          </w:tcPr>
          <w:p w14:paraId="4CBEF092" w14:textId="532A8AFA" w:rsidR="00B1243E" w:rsidRDefault="00D42D57">
            <w:r>
              <w:rPr>
                <w:noProof/>
              </w:rPr>
              <w:drawing>
                <wp:inline distT="0" distB="0" distL="0" distR="0" wp14:anchorId="17FDD3DF" wp14:editId="0CC76DBF">
                  <wp:extent cx="1165860" cy="419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5860" cy="419100"/>
                          </a:xfrm>
                          <a:prstGeom prst="rect">
                            <a:avLst/>
                          </a:prstGeom>
                          <a:noFill/>
                        </pic:spPr>
                      </pic:pic>
                    </a:graphicData>
                  </a:graphic>
                </wp:inline>
              </w:drawing>
            </w:r>
          </w:p>
        </w:tc>
        <w:tc>
          <w:tcPr>
            <w:tcW w:w="1583" w:type="dxa"/>
          </w:tcPr>
          <w:p w14:paraId="75955BDE" w14:textId="27230952" w:rsidR="007A7EE4" w:rsidRPr="003D7FFE" w:rsidRDefault="003D7FFE" w:rsidP="003D7FFE">
            <w:pPr>
              <w:jc w:val="center"/>
              <w:rPr>
                <w:noProof/>
                <w:sz w:val="40"/>
                <w:szCs w:val="40"/>
              </w:rPr>
            </w:pPr>
            <w:r w:rsidRPr="003D7FFE">
              <w:rPr>
                <w:noProof/>
                <w:sz w:val="40"/>
                <w:szCs w:val="40"/>
              </w:rPr>
              <w:t>=</w:t>
            </w:r>
          </w:p>
          <w:p w14:paraId="541FF66B" w14:textId="59F3B5E1" w:rsidR="00B1243E" w:rsidRDefault="007A7EE4">
            <w:r>
              <w:rPr>
                <w:noProof/>
              </w:rPr>
              <w:drawing>
                <wp:inline distT="0" distB="0" distL="0" distR="0" wp14:anchorId="69EDD2FB" wp14:editId="4A60A852">
                  <wp:extent cx="862965" cy="1385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758" cy="142847"/>
                          </a:xfrm>
                          <a:prstGeom prst="rect">
                            <a:avLst/>
                          </a:prstGeom>
                          <a:noFill/>
                        </pic:spPr>
                      </pic:pic>
                    </a:graphicData>
                  </a:graphic>
                </wp:inline>
              </w:drawing>
            </w:r>
          </w:p>
        </w:tc>
        <w:tc>
          <w:tcPr>
            <w:tcW w:w="2268" w:type="dxa"/>
          </w:tcPr>
          <w:p w14:paraId="693D377E" w14:textId="0F414450" w:rsidR="00B1243E" w:rsidRDefault="00D42D57">
            <w:r>
              <w:rPr>
                <w:noProof/>
              </w:rPr>
              <w:drawing>
                <wp:inline distT="0" distB="0" distL="0" distR="0" wp14:anchorId="4D1C1E3C" wp14:editId="608CA921">
                  <wp:extent cx="1165860" cy="419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5860" cy="419100"/>
                          </a:xfrm>
                          <a:prstGeom prst="rect">
                            <a:avLst/>
                          </a:prstGeom>
                          <a:noFill/>
                        </pic:spPr>
                      </pic:pic>
                    </a:graphicData>
                  </a:graphic>
                </wp:inline>
              </w:drawing>
            </w:r>
          </w:p>
        </w:tc>
      </w:tr>
      <w:tr w:rsidR="00B1243E" w14:paraId="4190876E" w14:textId="77777777" w:rsidTr="003D7FFE">
        <w:tc>
          <w:tcPr>
            <w:tcW w:w="1125" w:type="dxa"/>
          </w:tcPr>
          <w:p w14:paraId="09A7D939" w14:textId="77777777" w:rsidR="00B1243E" w:rsidRPr="003D7FFE" w:rsidRDefault="00B1243E">
            <w:pPr>
              <w:rPr>
                <w:sz w:val="32"/>
                <w:szCs w:val="32"/>
              </w:rPr>
            </w:pPr>
          </w:p>
        </w:tc>
        <w:tc>
          <w:tcPr>
            <w:tcW w:w="2254" w:type="dxa"/>
          </w:tcPr>
          <w:p w14:paraId="2776675E" w14:textId="77777777" w:rsidR="00B1243E" w:rsidRDefault="00B1243E"/>
          <w:p w14:paraId="0745265E" w14:textId="3F43CF59" w:rsidR="003D7FFE" w:rsidRDefault="003D7FFE"/>
        </w:tc>
        <w:tc>
          <w:tcPr>
            <w:tcW w:w="1583" w:type="dxa"/>
          </w:tcPr>
          <w:p w14:paraId="02DDA2A5" w14:textId="77777777" w:rsidR="00B1243E" w:rsidRDefault="00B1243E"/>
        </w:tc>
        <w:tc>
          <w:tcPr>
            <w:tcW w:w="2268" w:type="dxa"/>
          </w:tcPr>
          <w:p w14:paraId="0BB533CA" w14:textId="77777777" w:rsidR="00B1243E" w:rsidRDefault="00B1243E"/>
        </w:tc>
      </w:tr>
      <w:tr w:rsidR="00B1243E" w14:paraId="22B9D683" w14:textId="77777777" w:rsidTr="003D7FFE">
        <w:tc>
          <w:tcPr>
            <w:tcW w:w="1125" w:type="dxa"/>
          </w:tcPr>
          <w:p w14:paraId="60A85686" w14:textId="74951172" w:rsidR="00B1243E" w:rsidRPr="003D7FFE" w:rsidRDefault="00B1243E">
            <w:pPr>
              <w:rPr>
                <w:sz w:val="32"/>
                <w:szCs w:val="32"/>
              </w:rPr>
            </w:pPr>
            <w:r w:rsidRPr="003D7FFE">
              <w:rPr>
                <w:sz w:val="32"/>
                <w:szCs w:val="32"/>
              </w:rPr>
              <w:t>t</w:t>
            </w:r>
            <w:r w:rsidRPr="003D7FFE">
              <w:rPr>
                <w:sz w:val="32"/>
                <w:szCs w:val="32"/>
                <w:vertAlign w:val="subscript"/>
              </w:rPr>
              <w:t>1</w:t>
            </w:r>
          </w:p>
        </w:tc>
        <w:tc>
          <w:tcPr>
            <w:tcW w:w="2254" w:type="dxa"/>
          </w:tcPr>
          <w:p w14:paraId="70322296" w14:textId="12D22A7D" w:rsidR="00B1243E" w:rsidRDefault="00B1243E">
            <w:r>
              <w:rPr>
                <w:noProof/>
              </w:rPr>
              <mc:AlternateContent>
                <mc:Choice Requires="wps">
                  <w:drawing>
                    <wp:anchor distT="0" distB="0" distL="114300" distR="114300" simplePos="0" relativeHeight="251659264" behindDoc="0" locked="0" layoutInCell="1" allowOverlap="1" wp14:anchorId="23B4B875" wp14:editId="22F5E0A9">
                      <wp:simplePos x="0" y="0"/>
                      <wp:positionH relativeFrom="column">
                        <wp:posOffset>-23585</wp:posOffset>
                      </wp:positionH>
                      <wp:positionV relativeFrom="paragraph">
                        <wp:posOffset>39007</wp:posOffset>
                      </wp:positionV>
                      <wp:extent cx="1145705" cy="396764"/>
                      <wp:effectExtent l="0" t="0" r="16510" b="22860"/>
                      <wp:wrapNone/>
                      <wp:docPr id="1" name="Oval 1"/>
                      <wp:cNvGraphicFramePr/>
                      <a:graphic xmlns:a="http://schemas.openxmlformats.org/drawingml/2006/main">
                        <a:graphicData uri="http://schemas.microsoft.com/office/word/2010/wordprocessingShape">
                          <wps:wsp>
                            <wps:cNvSpPr/>
                            <wps:spPr>
                              <a:xfrm>
                                <a:off x="0" y="0"/>
                                <a:ext cx="1145705" cy="39676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0AD621" w14:textId="066B32C7" w:rsidR="00B1243E" w:rsidRPr="00B1243E" w:rsidRDefault="00B1243E" w:rsidP="00B1243E">
                                  <w:pPr>
                                    <w:rPr>
                                      <w:lang w:val="de-DE"/>
                                    </w:rPr>
                                  </w:pPr>
                                  <w:r w:rsidRPr="00D42D57">
                                    <w:rPr>
                                      <w:lang w:val="de-DE"/>
                                    </w:rPr>
                                    <w:t>Livi</w:t>
                                  </w:r>
                                  <w:r>
                                    <w:rPr>
                                      <w:lang w:val="de-DE"/>
                                    </w:rPr>
                                    <w:t>ng Law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4B875" id="Oval 1" o:spid="_x0000_s1027" style="position:absolute;margin-left:-1.85pt;margin-top:3.05pt;width:90.2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" fillcolor="#4472c4 [3204]" strokecolor="#1f3763 [1604]" strokeweight="1pt">
                      <v:stroke joinstyle="miter"/>
                      <v:textbox>
                        <w:txbxContent>
                          <w:p w14:paraId="740AD621" w14:textId="066B32C7" w:rsidR="00B1243E" w:rsidRPr="00B1243E" w:rsidRDefault="00B1243E" w:rsidP="00B1243E">
                            <w:pPr>
                              <w:rPr>
                                <w:lang w:val="de-DE"/>
                              </w:rPr>
                            </w:pPr>
                            <w:r w:rsidRPr="00D42D57">
                              <w:rPr>
                                <w:lang w:val="de-DE"/>
                              </w:rPr>
                              <w:t>Livi</w:t>
                            </w:r>
                            <w:r>
                              <w:rPr>
                                <w:lang w:val="de-DE"/>
                              </w:rPr>
                              <w:t>ng Law</w:t>
                            </w:r>
                          </w:p>
                        </w:txbxContent>
                      </v:textbox>
                    </v:oval>
                  </w:pict>
                </mc:Fallback>
              </mc:AlternateContent>
            </w:r>
          </w:p>
          <w:p w14:paraId="344FBA65" w14:textId="77777777" w:rsidR="00B1243E" w:rsidRDefault="00B1243E"/>
          <w:p w14:paraId="350C3FDA" w14:textId="4E65D957" w:rsidR="00B1243E" w:rsidRDefault="00B1243E"/>
        </w:tc>
        <w:tc>
          <w:tcPr>
            <w:tcW w:w="1583" w:type="dxa"/>
          </w:tcPr>
          <w:p w14:paraId="31FA5AA0" w14:textId="77777777" w:rsidR="00B1243E" w:rsidRDefault="00B1243E"/>
        </w:tc>
        <w:tc>
          <w:tcPr>
            <w:tcW w:w="2268" w:type="dxa"/>
          </w:tcPr>
          <w:p w14:paraId="6C736A17" w14:textId="77777777" w:rsidR="00B1243E" w:rsidRDefault="00B1243E"/>
        </w:tc>
      </w:tr>
      <w:tr w:rsidR="00B1243E" w14:paraId="406142A6" w14:textId="77777777" w:rsidTr="003D7FFE">
        <w:trPr>
          <w:trHeight w:val="345"/>
        </w:trPr>
        <w:tc>
          <w:tcPr>
            <w:tcW w:w="1125" w:type="dxa"/>
          </w:tcPr>
          <w:p w14:paraId="4E6737A1" w14:textId="77777777" w:rsidR="00B1243E" w:rsidRDefault="00B1243E"/>
        </w:tc>
        <w:tc>
          <w:tcPr>
            <w:tcW w:w="2254" w:type="dxa"/>
          </w:tcPr>
          <w:p w14:paraId="68CE05BC" w14:textId="77777777" w:rsidR="00B1243E" w:rsidRDefault="00B1243E"/>
        </w:tc>
        <w:tc>
          <w:tcPr>
            <w:tcW w:w="1583" w:type="dxa"/>
          </w:tcPr>
          <w:p w14:paraId="42BEECDE" w14:textId="77777777" w:rsidR="00B1243E" w:rsidRDefault="00B1243E"/>
        </w:tc>
        <w:tc>
          <w:tcPr>
            <w:tcW w:w="2268" w:type="dxa"/>
          </w:tcPr>
          <w:p w14:paraId="3191C5E2" w14:textId="77777777" w:rsidR="00B1243E" w:rsidRDefault="00B1243E"/>
        </w:tc>
      </w:tr>
      <w:tr w:rsidR="00B1243E" w14:paraId="5A83EDDE" w14:textId="77777777" w:rsidTr="003D7FFE">
        <w:tc>
          <w:tcPr>
            <w:tcW w:w="1125" w:type="dxa"/>
          </w:tcPr>
          <w:p w14:paraId="6E46A215" w14:textId="59B12B93" w:rsidR="00B1243E" w:rsidRDefault="00B1243E">
            <w:r>
              <w:t>Timeline</w:t>
            </w:r>
          </w:p>
        </w:tc>
        <w:tc>
          <w:tcPr>
            <w:tcW w:w="2254" w:type="dxa"/>
          </w:tcPr>
          <w:p w14:paraId="26C50048" w14:textId="34ADF428" w:rsidR="00B1243E" w:rsidRDefault="00B1243E" w:rsidP="003D7FFE">
            <w:pPr>
              <w:jc w:val="center"/>
            </w:pPr>
            <w:r>
              <w:t>Societal law</w:t>
            </w:r>
          </w:p>
        </w:tc>
        <w:tc>
          <w:tcPr>
            <w:tcW w:w="1583" w:type="dxa"/>
          </w:tcPr>
          <w:p w14:paraId="6EA89F59" w14:textId="4AA93FBB" w:rsidR="00B1243E" w:rsidRDefault="00B1243E" w:rsidP="003D7FFE">
            <w:pPr>
              <w:jc w:val="center"/>
            </w:pPr>
            <w:r>
              <w:t>Relation</w:t>
            </w:r>
          </w:p>
        </w:tc>
        <w:tc>
          <w:tcPr>
            <w:tcW w:w="2268" w:type="dxa"/>
          </w:tcPr>
          <w:p w14:paraId="55F60753" w14:textId="4162E089" w:rsidR="00B1243E" w:rsidRDefault="00B1243E" w:rsidP="003D7FFE">
            <w:pPr>
              <w:jc w:val="center"/>
            </w:pPr>
            <w:r>
              <w:t>State law</w:t>
            </w:r>
          </w:p>
        </w:tc>
      </w:tr>
    </w:tbl>
    <w:p w14:paraId="3AD43EAF" w14:textId="77777777" w:rsidR="00B1243E" w:rsidRDefault="00B1243E"/>
    <w:p w14:paraId="4B7524C3" w14:textId="353009C2" w:rsidR="00B1243E" w:rsidRDefault="00653A7F">
      <w:r>
        <w:t>(Source: S. Machura)</w:t>
      </w:r>
    </w:p>
    <w:p w14:paraId="0EF32D33" w14:textId="77777777" w:rsidR="00653A7F" w:rsidRDefault="00653A7F"/>
    <w:p w14:paraId="4D2D43F4" w14:textId="5C94C7EC" w:rsidR="00B1243E" w:rsidRDefault="00B1243E"/>
    <w:p w14:paraId="52C6923C" w14:textId="26E4D80C" w:rsidR="00B1243E" w:rsidRDefault="00B1243E"/>
    <w:p w14:paraId="34410C71" w14:textId="77777777" w:rsidR="00B1243E" w:rsidRPr="00B1243E" w:rsidRDefault="00B1243E"/>
    <w:sectPr w:rsidR="00B1243E" w:rsidRPr="00B1243E" w:rsidSect="00510467">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2290" w14:textId="77777777" w:rsidR="000741B8" w:rsidRDefault="000741B8" w:rsidP="009C6F67">
      <w:pPr>
        <w:spacing w:after="0" w:line="240" w:lineRule="auto"/>
      </w:pPr>
      <w:r>
        <w:separator/>
      </w:r>
    </w:p>
  </w:endnote>
  <w:endnote w:type="continuationSeparator" w:id="0">
    <w:p w14:paraId="7ED730BB" w14:textId="77777777" w:rsidR="000741B8" w:rsidRDefault="000741B8" w:rsidP="009C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978894"/>
      <w:docPartObj>
        <w:docPartGallery w:val="Page Numbers (Bottom of Page)"/>
        <w:docPartUnique/>
      </w:docPartObj>
    </w:sdtPr>
    <w:sdtEndPr>
      <w:rPr>
        <w:noProof/>
      </w:rPr>
    </w:sdtEndPr>
    <w:sdtContent>
      <w:p w14:paraId="2B94D6D5" w14:textId="61FB1DD4" w:rsidR="00510467" w:rsidRDefault="005104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8FA949" w14:textId="77777777" w:rsidR="00510467" w:rsidRDefault="00510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CD5BB" w14:textId="77777777" w:rsidR="000741B8" w:rsidRDefault="000741B8" w:rsidP="009C6F67">
      <w:pPr>
        <w:spacing w:after="0" w:line="240" w:lineRule="auto"/>
      </w:pPr>
      <w:r>
        <w:separator/>
      </w:r>
    </w:p>
  </w:footnote>
  <w:footnote w:type="continuationSeparator" w:id="0">
    <w:p w14:paraId="0D061D04" w14:textId="77777777" w:rsidR="000741B8" w:rsidRDefault="000741B8" w:rsidP="009C6F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3E"/>
    <w:rsid w:val="00063C48"/>
    <w:rsid w:val="000741B8"/>
    <w:rsid w:val="00093959"/>
    <w:rsid w:val="00095089"/>
    <w:rsid w:val="00124A9E"/>
    <w:rsid w:val="00164B26"/>
    <w:rsid w:val="0018401D"/>
    <w:rsid w:val="00184F3B"/>
    <w:rsid w:val="001C035A"/>
    <w:rsid w:val="00205705"/>
    <w:rsid w:val="00240AE1"/>
    <w:rsid w:val="00274D74"/>
    <w:rsid w:val="0031114C"/>
    <w:rsid w:val="00344489"/>
    <w:rsid w:val="00395055"/>
    <w:rsid w:val="003D7FFE"/>
    <w:rsid w:val="003E0EC5"/>
    <w:rsid w:val="00417218"/>
    <w:rsid w:val="004349B9"/>
    <w:rsid w:val="00443F1F"/>
    <w:rsid w:val="00445ECA"/>
    <w:rsid w:val="004852AA"/>
    <w:rsid w:val="0049456E"/>
    <w:rsid w:val="004B1A42"/>
    <w:rsid w:val="004B7143"/>
    <w:rsid w:val="004F73A6"/>
    <w:rsid w:val="00510467"/>
    <w:rsid w:val="0053532E"/>
    <w:rsid w:val="00550121"/>
    <w:rsid w:val="0055157D"/>
    <w:rsid w:val="00585E3F"/>
    <w:rsid w:val="00590C42"/>
    <w:rsid w:val="005B0627"/>
    <w:rsid w:val="005B5EA5"/>
    <w:rsid w:val="00640207"/>
    <w:rsid w:val="00647803"/>
    <w:rsid w:val="00653A7F"/>
    <w:rsid w:val="00665A65"/>
    <w:rsid w:val="006960CD"/>
    <w:rsid w:val="006B3976"/>
    <w:rsid w:val="006F7D01"/>
    <w:rsid w:val="0072684D"/>
    <w:rsid w:val="007308BA"/>
    <w:rsid w:val="00745604"/>
    <w:rsid w:val="007567C7"/>
    <w:rsid w:val="007A7EE4"/>
    <w:rsid w:val="007B1C57"/>
    <w:rsid w:val="007F77F5"/>
    <w:rsid w:val="00806C3C"/>
    <w:rsid w:val="00807C06"/>
    <w:rsid w:val="00813992"/>
    <w:rsid w:val="00815C0B"/>
    <w:rsid w:val="00824852"/>
    <w:rsid w:val="00827B78"/>
    <w:rsid w:val="00854153"/>
    <w:rsid w:val="00861405"/>
    <w:rsid w:val="008B7AE3"/>
    <w:rsid w:val="008C425A"/>
    <w:rsid w:val="008D47F4"/>
    <w:rsid w:val="00904A35"/>
    <w:rsid w:val="0094466D"/>
    <w:rsid w:val="00944A08"/>
    <w:rsid w:val="009503F7"/>
    <w:rsid w:val="009C6F67"/>
    <w:rsid w:val="00A233C0"/>
    <w:rsid w:val="00A34C92"/>
    <w:rsid w:val="00A51C33"/>
    <w:rsid w:val="00A51E95"/>
    <w:rsid w:val="00A92BDA"/>
    <w:rsid w:val="00AB5A7D"/>
    <w:rsid w:val="00AE36BB"/>
    <w:rsid w:val="00AF374A"/>
    <w:rsid w:val="00B1243E"/>
    <w:rsid w:val="00B94AD6"/>
    <w:rsid w:val="00BB31AF"/>
    <w:rsid w:val="00BD08D0"/>
    <w:rsid w:val="00BD6EA5"/>
    <w:rsid w:val="00C233A2"/>
    <w:rsid w:val="00C41E76"/>
    <w:rsid w:val="00C5794A"/>
    <w:rsid w:val="00D167EE"/>
    <w:rsid w:val="00D42D57"/>
    <w:rsid w:val="00D5015C"/>
    <w:rsid w:val="00D873E0"/>
    <w:rsid w:val="00DB2AB5"/>
    <w:rsid w:val="00DD611F"/>
    <w:rsid w:val="00DE1B82"/>
    <w:rsid w:val="00E4767D"/>
    <w:rsid w:val="00E55B5E"/>
    <w:rsid w:val="00E86381"/>
    <w:rsid w:val="00E904E1"/>
    <w:rsid w:val="00EB5A76"/>
    <w:rsid w:val="00EC0708"/>
    <w:rsid w:val="00ED1F7C"/>
    <w:rsid w:val="00ED2DB9"/>
    <w:rsid w:val="00EE3438"/>
    <w:rsid w:val="00F005D0"/>
    <w:rsid w:val="00F37BC4"/>
    <w:rsid w:val="00F57D44"/>
    <w:rsid w:val="00F627B6"/>
    <w:rsid w:val="00F733AB"/>
    <w:rsid w:val="00FA76AC"/>
    <w:rsid w:val="00FF0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A6DE"/>
  <w15:chartTrackingRefBased/>
  <w15:docId w15:val="{4DF266FA-F6B6-445E-9E07-46206C7C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F67"/>
  </w:style>
  <w:style w:type="paragraph" w:styleId="Footer">
    <w:name w:val="footer"/>
    <w:basedOn w:val="Normal"/>
    <w:link w:val="FooterChar"/>
    <w:uiPriority w:val="99"/>
    <w:unhideWhenUsed/>
    <w:rsid w:val="009C6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AADFB-8E7A-4D86-8B57-6DDDE728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7</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Machura</dc:creator>
  <cp:keywords/>
  <dc:description/>
  <cp:lastModifiedBy>Stefan Machura</cp:lastModifiedBy>
  <cp:revision>62</cp:revision>
  <dcterms:created xsi:type="dcterms:W3CDTF">2022-09-24T13:43:00Z</dcterms:created>
  <dcterms:modified xsi:type="dcterms:W3CDTF">2022-10-05T14:16:00Z</dcterms:modified>
</cp:coreProperties>
</file>